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SCHEDULE TO</w:t>
      </w:r>
    </w:p>
    <w:p>
      <w:pPr>
        <w:jc w:val="center"/>
        <w:ind w:right="1779"/>
        <w:spacing w:after="0"/>
        <w:rPr>
          <w:sz w:val="20"/>
          <w:szCs w:val="20"/>
          <w:color w:val="auto"/>
        </w:rPr>
      </w:pPr>
      <w:r>
        <w:rPr>
          <w:rFonts w:ascii="Courier New" w:cs="Courier New" w:eastAsia="Courier New" w:hAnsi="Courier New"/>
          <w:sz w:val="18"/>
          <w:szCs w:val="18"/>
          <w:color w:val="auto"/>
        </w:rPr>
        <w:t>TENDER OFFER STATEMENT UNDER SECTION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14(d)(1) OR 13(e)(1) OF THE SECURITIES EXCHANGE ACT OF 1934</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TORO COMPANY</w:t>
      </w:r>
    </w:p>
    <w:p>
      <w:pPr>
        <w:ind w:left="2440"/>
        <w:spacing w:after="0"/>
        <w:rPr>
          <w:sz w:val="20"/>
          <w:szCs w:val="20"/>
          <w:color w:val="auto"/>
        </w:rPr>
      </w:pPr>
      <w:r>
        <w:rPr>
          <w:rFonts w:ascii="Courier New" w:cs="Courier New" w:eastAsia="Courier New" w:hAnsi="Courier New"/>
          <w:sz w:val="18"/>
          <w:szCs w:val="18"/>
          <w:color w:val="auto"/>
        </w:rPr>
        <w:t>(NAME OF SUBJECT COMPANY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 (OFFEROR)</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OF FILING PERSON (IDENTIFYING STATUS AS OFFEROR, ISSUER OR OTHER PERSON))</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$1.00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891092108</w:t>
      </w:r>
    </w:p>
    <w:p>
      <w:pPr>
        <w:jc w:val="center"/>
        <w:ind w:right="16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 LAWRENCE MCINTYRE</w:t>
      </w:r>
    </w:p>
    <w:p>
      <w:pPr>
        <w:jc w:val="center"/>
        <w:ind w:right="1679"/>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7" w:lineRule="auto"/>
        <w:rPr>
          <w:sz w:val="20"/>
          <w:szCs w:val="20"/>
          <w:color w:val="auto"/>
        </w:rPr>
      </w:pPr>
      <w:r>
        <w:rPr>
          <w:rFonts w:ascii="Courier New" w:cs="Courier New" w:eastAsia="Courier New" w:hAnsi="Courier New"/>
          <w:sz w:val="18"/>
          <w:szCs w:val="18"/>
          <w:color w:val="auto"/>
        </w:rPr>
        <w:t>8111 LYNDALE AVENUE SOUTH, BLOOMINGTON, MINNESOTA 55420-1196</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(952) 888-8801</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 ON BEHALF OF FILING PERSONS)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RICHARD D. KATCHER, ESQ.</w:t>
      </w:r>
    </w:p>
    <w:p>
      <w:pPr>
        <w:ind w:left="2640"/>
        <w:spacing w:after="0" w:line="238" w:lineRule="auto"/>
        <w:rPr>
          <w:sz w:val="20"/>
          <w:szCs w:val="20"/>
          <w:color w:val="auto"/>
        </w:rPr>
      </w:pPr>
      <w:r>
        <w:rPr>
          <w:rFonts w:ascii="Courier New" w:cs="Courier New" w:eastAsia="Courier New" w:hAnsi="Courier New"/>
          <w:sz w:val="18"/>
          <w:szCs w:val="18"/>
          <w:color w:val="auto"/>
        </w:rPr>
        <w:t>WACHTELL, LIPTON, ROSEN &amp; KATZ</w:t>
      </w:r>
    </w:p>
    <w:p>
      <w:pPr>
        <w:ind w:left="3280"/>
        <w:spacing w:after="0"/>
        <w:rPr>
          <w:sz w:val="20"/>
          <w:szCs w:val="20"/>
          <w:color w:val="auto"/>
        </w:rPr>
      </w:pPr>
      <w:r>
        <w:rPr>
          <w:rFonts w:ascii="Courier New" w:cs="Courier New" w:eastAsia="Courier New" w:hAnsi="Courier New"/>
          <w:sz w:val="18"/>
          <w:szCs w:val="18"/>
          <w:color w:val="auto"/>
        </w:rPr>
        <w:t>51 West 52nd Street</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10019</w:t>
      </w:r>
    </w:p>
    <w:p>
      <w:pPr>
        <w:ind w:left="2960"/>
        <w:spacing w:after="0" w:line="238" w:lineRule="auto"/>
        <w:rPr>
          <w:sz w:val="20"/>
          <w:szCs w:val="20"/>
          <w:color w:val="auto"/>
        </w:rPr>
      </w:pPr>
      <w:r>
        <w:rPr>
          <w:rFonts w:ascii="Courier New" w:cs="Courier New" w:eastAsia="Courier New" w:hAnsi="Courier New"/>
          <w:sz w:val="18"/>
          <w:szCs w:val="18"/>
          <w:color w:val="auto"/>
        </w:rPr>
        <w:t>Telephone: (212) 403-1000</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Transaction Value</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jc w:val="both"/>
        <w:ind w:left="540" w:right="1879" w:hanging="532"/>
        <w:spacing w:after="0" w:line="23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2" w:lineRule="exact"/>
        <w:rPr>
          <w:sz w:val="24"/>
          <w:szCs w:val="24"/>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Amount Previously Paid:</w:t>
      </w:r>
      <w:r>
        <w:rPr>
          <w:sz w:val="20"/>
          <w:szCs w:val="20"/>
          <w:color w:val="auto"/>
        </w:rPr>
        <w:tab/>
      </w:r>
      <w:r>
        <w:rPr>
          <w:rFonts w:ascii="Courier New" w:cs="Courier New" w:eastAsia="Courier New" w:hAnsi="Courier New"/>
          <w:sz w:val="16"/>
          <w:szCs w:val="16"/>
          <w:color w:val="auto"/>
        </w:rPr>
        <w:t>N/A</w:t>
      </w: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Form or Registration No.:</w:t>
      </w:r>
      <w:r>
        <w:rPr>
          <w:sz w:val="20"/>
          <w:szCs w:val="20"/>
          <w:color w:val="auto"/>
        </w:rPr>
        <w:tab/>
      </w:r>
      <w:r>
        <w:rPr>
          <w:rFonts w:ascii="Courier New" w:cs="Courier New" w:eastAsia="Courier New" w:hAnsi="Courier New"/>
          <w:sz w:val="16"/>
          <w:szCs w:val="16"/>
          <w:color w:val="auto"/>
        </w:rPr>
        <w:t>N/A</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Filing Party:</w:t>
      </w:r>
      <w:r>
        <w:rPr>
          <w:sz w:val="20"/>
          <w:szCs w:val="20"/>
          <w:color w:val="auto"/>
        </w:rPr>
        <w:tab/>
      </w:r>
      <w:r>
        <w:rPr>
          <w:rFonts w:ascii="Courier New" w:cs="Courier New" w:eastAsia="Courier New" w:hAnsi="Courier New"/>
          <w:sz w:val="16"/>
          <w:szCs w:val="16"/>
          <w:color w:val="auto"/>
        </w:rPr>
        <w:t>N/A</w:t>
      </w: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Date Filed:</w:t>
      </w:r>
      <w:r>
        <w:rPr>
          <w:sz w:val="20"/>
          <w:szCs w:val="20"/>
          <w:color w:val="auto"/>
        </w:rPr>
        <w:tab/>
      </w:r>
      <w:r>
        <w:rPr>
          <w:rFonts w:ascii="Courier New" w:cs="Courier New" w:eastAsia="Courier New" w:hAnsi="Courier New"/>
          <w:sz w:val="16"/>
          <w:szCs w:val="16"/>
          <w:color w:val="auto"/>
        </w:rPr>
        <w:t>N/A</w:t>
      </w:r>
    </w:p>
    <w:p>
      <w:pPr>
        <w:spacing w:after="0" w:line="207" w:lineRule="exact"/>
        <w:rPr>
          <w:sz w:val="24"/>
          <w:szCs w:val="24"/>
          <w:color w:val="auto"/>
        </w:rPr>
      </w:pPr>
    </w:p>
    <w:p>
      <w:pPr>
        <w:ind w:left="540" w:right="209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pacing w:after="0" w:line="207" w:lineRule="exact"/>
        <w:rPr>
          <w:sz w:val="24"/>
          <w:szCs w:val="24"/>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Logo]</w:t>
      </w:r>
    </w:p>
    <w:p>
      <w:pPr>
        <w:spacing w:after="0" w:line="201" w:lineRule="exact"/>
        <w:rPr>
          <w:sz w:val="24"/>
          <w:szCs w:val="24"/>
          <w:color w:val="auto"/>
        </w:rPr>
      </w:pPr>
    </w:p>
    <w:p>
      <w:pPr>
        <w:spacing w:after="0"/>
        <w:tabs>
          <w:tab w:leader="none" w:pos="4940" w:val="left"/>
        </w:tabs>
        <w:rPr>
          <w:sz w:val="20"/>
          <w:szCs w:val="20"/>
          <w:color w:val="auto"/>
        </w:rPr>
      </w:pPr>
      <w:r>
        <w:rPr>
          <w:rFonts w:ascii="Courier New" w:cs="Courier New" w:eastAsia="Courier New" w:hAnsi="Courier New"/>
          <w:sz w:val="18"/>
          <w:szCs w:val="18"/>
          <w:color w:val="auto"/>
        </w:rPr>
        <w:t>Investor Relations</w:t>
      </w:r>
      <w:r>
        <w:rPr>
          <w:sz w:val="20"/>
          <w:szCs w:val="20"/>
          <w:color w:val="auto"/>
        </w:rPr>
        <w:tab/>
      </w:r>
      <w:r>
        <w:rPr>
          <w:rFonts w:ascii="Courier New" w:cs="Courier New" w:eastAsia="Courier New" w:hAnsi="Courier New"/>
          <w:sz w:val="16"/>
          <w:szCs w:val="16"/>
          <w:color w:val="auto"/>
        </w:rPr>
        <w:t>Media Relations</w:t>
      </w:r>
    </w:p>
    <w:p>
      <w:pPr>
        <w:sectPr>
          <w:pgSz w:w="11900" w:h="16838" w:orient="portrait"/>
          <w:cols w:equalWidth="0" w:num="1">
            <w:col w:w="10219"/>
          </w:cols>
          <w:pgMar w:left="240" w:top="250" w:right="1440" w:bottom="0" w:gutter="0" w:footer="0" w:header="0"/>
        </w:sectPr>
      </w:pPr>
    </w:p>
    <w:bookmarkStart w:id="1" w:name="page2"/>
    <w:bookmarkEnd w:id="1"/>
    <w:p>
      <w:pPr>
        <w:spacing w:after="0" w:line="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Stephen P. Wolfe Vice President, CFO (952) 887-8076</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Courier New" w:cs="Courier New" w:eastAsia="Courier New" w:hAnsi="Courier New"/>
          <w:sz w:val="16"/>
          <w:szCs w:val="16"/>
          <w:color w:val="auto"/>
        </w:rPr>
        <w:t>Tom Larson Assistant Treasurer (952) 887-8449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Connie Hawkinson</w:t>
      </w:r>
    </w:p>
    <w:p>
      <w:pPr>
        <w:spacing w:after="0" w:line="238" w:lineRule="auto"/>
        <w:rPr>
          <w:sz w:val="20"/>
          <w:szCs w:val="20"/>
          <w:color w:val="auto"/>
        </w:rPr>
      </w:pPr>
      <w:r>
        <w:rPr>
          <w:rFonts w:ascii="Courier New" w:cs="Courier New" w:eastAsia="Courier New" w:hAnsi="Courier New"/>
          <w:sz w:val="18"/>
          <w:szCs w:val="18"/>
          <w:color w:val="auto"/>
        </w:rPr>
        <w:t>Toro Media Relations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(952) 887-8984, pr@toro.com</w:t>
      </w:r>
    </w:p>
    <w:p>
      <w:pPr>
        <w:spacing w:after="0" w:line="218" w:lineRule="exact"/>
        <w:rPr>
          <w:sz w:val="20"/>
          <w:szCs w:val="20"/>
          <w:color w:val="auto"/>
        </w:rPr>
      </w:pPr>
    </w:p>
    <w:p>
      <w:pPr>
        <w:sectPr>
          <w:pgSz w:w="11900" w:h="16838" w:orient="portrait"/>
          <w:cols w:equalWidth="0" w:num="3">
            <w:col w:w="2000" w:space="640"/>
            <w:col w:w="2000" w:space="320"/>
            <w:col w:w="5259"/>
          </w:cols>
          <w:pgMar w:left="240" w:top="136"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Web Site</w:t>
      </w:r>
    </w:p>
    <w:p>
      <w:pPr>
        <w:spacing w:after="0" w:line="238" w:lineRule="auto"/>
        <w:rPr>
          <w:sz w:val="20"/>
          <w:szCs w:val="20"/>
          <w:color w:val="auto"/>
        </w:rPr>
      </w:pPr>
      <w:r>
        <w:rPr>
          <w:rFonts w:ascii="Courier New" w:cs="Courier New" w:eastAsia="Courier New" w:hAnsi="Courier New"/>
          <w:sz w:val="18"/>
          <w:szCs w:val="18"/>
          <w:color w:val="auto"/>
        </w:rPr>
        <w:t>www.thetorocompany.com</w:t>
      </w:r>
    </w:p>
    <w:p>
      <w:pPr>
        <w:spacing w:after="0" w:line="207" w:lineRule="exact"/>
        <w:rPr>
          <w:sz w:val="20"/>
          <w:szCs w:val="20"/>
          <w:color w:val="auto"/>
        </w:rPr>
      </w:pPr>
    </w:p>
    <w:p>
      <w:pPr>
        <w:ind w:left="1580" w:right="3259" w:firstLine="527"/>
        <w:spacing w:after="0" w:line="236" w:lineRule="auto"/>
        <w:rPr>
          <w:sz w:val="20"/>
          <w:szCs w:val="20"/>
          <w:color w:val="auto"/>
        </w:rPr>
      </w:pPr>
      <w:r>
        <w:rPr>
          <w:rFonts w:ascii="Courier New" w:cs="Courier New" w:eastAsia="Courier New" w:hAnsi="Courier New"/>
          <w:sz w:val="18"/>
          <w:szCs w:val="18"/>
          <w:color w:val="auto"/>
        </w:rPr>
        <w:t>THE TORO COMPANY ANNOUNCES DUTCH AUCTION TENDER OFFER TO REPURCHASE 2,500,000 OF ITS SHARES; DECLARES REGULAR QUARTERLY CASH DIVIDEND</w:t>
      </w:r>
    </w:p>
    <w:p>
      <w:pPr>
        <w:sectPr>
          <w:pgSz w:w="11900" w:h="16838" w:orient="portrait"/>
          <w:cols w:equalWidth="0" w:num="1">
            <w:col w:w="10219"/>
          </w:cols>
          <w:pgMar w:left="240" w:top="136" w:right="1440" w:bottom="1440" w:gutter="0" w:footer="0" w:header="0"/>
          <w:type w:val="continuous"/>
        </w:sect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BLOOMINGTON, Minn., (March 12, 2004) - The Toro Company (NYSE: TTC) announced today that its Board of Directors approved the repurchase of up to 2,500,000 shares of its common stock, through a Dutch auction self-tender offer. The tender offer is expected to commence during the week of March 15, 2004 and extend through mid-April. The tender offer price will range from $56.50 to $60.00 per share, or a total of $141.3 million to $150.0 million if Toro purchases the maximum number of shares. This price range represents a .3 to 6.6 percent premium to the $56.31 closing price per share as reported by the New York Stock Exchange as of 4 p.m. ET on March 12, 2004.</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Dutch auction tender procedure allows stockholders to select the price within the specified range at which each stockholder is willing to sell all or a portion of its shares to Toro. Based on the number of shares tendered and the prices specified by the tendering stockholders, Toro will determine the lowest single per share price within the range that will allow it to buy 2,500,000 of its shares or such lesser number of shares as are properly tendered. The tender offer will not be contingent upon any minimum number of shares being tendered.</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number of shares tendered is greater than the number sought, Toro will select the lowest price within the stated range that will allow it to buy 2,500,000 shares, with purchases generally to be made on a pro rata basis for shareholders tendering at or below the purchase price. All shares that Toro purchases in the tender offer will receive the same price. Toro reserves the right, in its sole discretion, to increase the number of shares purchased, subject to compliance with applicable law.</w:t>
      </w:r>
    </w:p>
    <w:p>
      <w:pPr>
        <w:spacing w:after="0" w:line="211"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Toro will finance the tender offer from borrowings under its committed credit facilities. The tender offer is not subject to the receipt of financing. The tender offer is, however, subject to certain other customary conditions.</w:t>
      </w:r>
    </w:p>
    <w:p>
      <w:pPr>
        <w:spacing w:after="0" w:line="17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All of the shares that are properly tendered (and not properly withdrawn) at prices at or below the purchase price determined by Toro will be purchased at such purchase price, net to the seller in cash without interest, as promptly as practical after the expiration of the tender offer, subject to any withholding under applicable law, possible proration and provisions relating to conditional tenders. In general, stockholders that own beneficially or of record fewer than 100 shares in the aggregate may elect not to be subject to proration if they properly tender all their shares at or below the purchase price before the tender offer expires. Toro will promptly return to tendering stockholders all shares that have been tendered and not purchased.</w:t>
      </w:r>
    </w:p>
    <w:p>
      <w:pPr>
        <w:spacing w:after="0" w:line="38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Toro's Board of Directors has authorized this tender offer as a prudent use of financial resources given Toro's business, assets and current stock price, and an efficient means to provide value to</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2--Toro Announces Dutch Auction Tender Offer</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stockholders. The offer represents an opportunity for Toro to return cash to stockholders who elect to tender their shares while at the same time increasing non-tendering stockholders' proportional interest in Toro. Toro believes the tender offer, if completed, will be accretive to earnings per share.</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Board also approved the repurchase in the open market or in privately negotiated transactions, from time to time of an additional 1,000,000 shares in the aggregate, subject to a number of factors including Toro's business and financial performance, general business and market conditions, and other factors the Company may consider to be relevant.</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Additionally, Toro's Board of Directors declared a regular quarterly cash dividend of 6 cents per share, payable April 12, 2004 to stockholders of record on March 22, 2004.</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Toro Company is a leading worldwide provider of outdoor maintenance and beautification products for home, recreation and commercial landscapes.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press release is for informational purposes only and is not an offer to buy or the solicitation of an offer to sell any shares of Toro's common stock. The solicitation of offers to buy shares of Toro common stock will only be made pursuant to the offer to purchase and related materials that Toro will send to its stockholders shortly. Stockholders should read those materials carefully because they will contain important information, including the various terms of, and conditions to, the tender offer. Stockholders will be able to obtain the offer to purchase and related materials for free at the SEC's website at www.sec.gov or from our information agent, Morrow &amp; Co., Inc., by calling</w:t>
      </w:r>
    </w:p>
    <w:p>
      <w:pPr>
        <w:spacing w:after="0" w:line="2" w:lineRule="exact"/>
        <w:rPr>
          <w:sz w:val="20"/>
          <w:szCs w:val="20"/>
          <w:color w:val="auto"/>
        </w:rPr>
      </w:pPr>
    </w:p>
    <w:p>
      <w:pPr>
        <w:ind w:right="1779" w:firstLine="8"/>
        <w:spacing w:after="0" w:line="235"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607-0088. We urge stockholders to carefully read those materials prior to making any decisions with respect to the tender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program which is intended to improve our revenue growth and after-tax return on sales; the company's ability to achieve sales growth and double-digit diluted earnings per share growth in fiscal 2004; unforeseen product quality problems in the development and production of new and existing products; potential issues with moving production between facilities;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governmental restriction on water usage and water availability; market acceptance of existing and new products; and increased and adverse</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3--Toro Announces Dutch Auction Tender Offer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upperLetter"/>
      <w:start w:val="24"/>
    </w:lvl>
  </w:abstractNum>
  <w:abstractNum w:abstractNumId="5">
    <w:nsid w:val="41B71EFB"/>
    <w:multiLevelType w:val="hybridMultilevel"/>
    <w:lvl w:ilvl="0">
      <w:lvlJc w:val="left"/>
      <w:lvlText w:val="[%1]"/>
      <w:numFmt w:val="upperLetter"/>
      <w:start w:val="2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2019-12-13T13:53:45Z</dcterms:created>
  <dcterms:modified xsi:type="dcterms:W3CDTF">2019-12-13T13:53:45Z</dcterms:modified>
</cp:coreProperties>
</file>