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July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06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360" w:type="dxa"/>
            <w:vAlign w:val="bottom"/>
          </w:tcPr>
          <w:p>
            <w:pPr>
              <w:jc w:val="center"/>
              <w:ind w:right="1026"/>
              <w:spacing w:after="0"/>
              <w:rPr>
                <w:sz w:val="20"/>
                <w:szCs w:val="20"/>
                <w:color w:val="auto"/>
              </w:rPr>
            </w:pPr>
            <w:r>
              <w:rPr>
                <w:rFonts w:ascii="Arial" w:cs="Arial" w:eastAsia="Arial" w:hAnsi="Arial"/>
                <w:sz w:val="18"/>
                <w:szCs w:val="18"/>
                <w:b w:val="1"/>
                <w:bCs w:val="1"/>
                <w:color w:val="auto"/>
                <w:w w:val="89"/>
              </w:rPr>
              <w:t>1-8649</w:t>
            </w:r>
          </w:p>
        </w:tc>
        <w:tc>
          <w:tcPr>
            <w:tcW w:w="2680" w:type="dxa"/>
            <w:vAlign w:val="bottom"/>
          </w:tcPr>
          <w:p>
            <w:pPr>
              <w:jc w:val="right"/>
              <w:ind w:right="164"/>
              <w:spacing w:after="0"/>
              <w:rPr>
                <w:sz w:val="20"/>
                <w:szCs w:val="20"/>
                <w:color w:val="auto"/>
              </w:rPr>
            </w:pPr>
            <w:r>
              <w:rPr>
                <w:rFonts w:ascii="Arial" w:cs="Arial" w:eastAsia="Arial" w:hAnsi="Arial"/>
                <w:sz w:val="18"/>
                <w:szCs w:val="18"/>
                <w:b w:val="1"/>
                <w:bCs w:val="1"/>
                <w:color w:val="auto"/>
              </w:rPr>
              <w:t>41-0580470</w:t>
            </w:r>
          </w:p>
        </w:tc>
      </w:tr>
      <w:tr>
        <w:trPr>
          <w:trHeight w:val="149"/>
        </w:trPr>
        <w:tc>
          <w:tcPr>
            <w:tcW w:w="4060" w:type="dxa"/>
            <w:vAlign w:val="bottom"/>
          </w:tcPr>
          <w:p>
            <w:pPr>
              <w:jc w:val="center"/>
              <w:ind w:right="238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60" w:type="dxa"/>
            <w:vAlign w:val="bottom"/>
          </w:tcPr>
          <w:p>
            <w:pPr>
              <w:jc w:val="center"/>
              <w:ind w:right="104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680" w:type="dxa"/>
            <w:vAlign w:val="bottom"/>
          </w:tcPr>
          <w:p>
            <w:pPr>
              <w:jc w:val="center"/>
              <w:ind w:left="1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60" w:type="dxa"/>
            <w:vAlign w:val="bottom"/>
          </w:tcPr>
          <w:p>
            <w:pPr>
              <w:jc w:val="center"/>
              <w:ind w:right="2382"/>
              <w:spacing w:after="0"/>
              <w:rPr>
                <w:sz w:val="20"/>
                <w:szCs w:val="20"/>
                <w:color w:val="auto"/>
              </w:rPr>
            </w:pPr>
            <w:r>
              <w:rPr>
                <w:rFonts w:ascii="Arial" w:cs="Arial" w:eastAsia="Arial" w:hAnsi="Arial"/>
                <w:sz w:val="14"/>
                <w:szCs w:val="14"/>
                <w:b w:val="1"/>
                <w:bCs w:val="1"/>
                <w:color w:val="auto"/>
                <w:w w:val="89"/>
              </w:rPr>
              <w:t>of Incorporation)</w:t>
            </w:r>
          </w:p>
        </w:tc>
        <w:tc>
          <w:tcPr>
            <w:tcW w:w="2360" w:type="dxa"/>
            <w:vAlign w:val="bottom"/>
          </w:tcPr>
          <w:p>
            <w:pPr>
              <w:jc w:val="center"/>
              <w:ind w:right="1026"/>
              <w:spacing w:after="0"/>
              <w:rPr>
                <w:sz w:val="20"/>
                <w:szCs w:val="20"/>
                <w:color w:val="auto"/>
              </w:rPr>
            </w:pPr>
            <w:r>
              <w:rPr>
                <w:rFonts w:ascii="Arial" w:cs="Arial" w:eastAsia="Arial" w:hAnsi="Arial"/>
                <w:sz w:val="14"/>
                <w:szCs w:val="14"/>
                <w:b w:val="1"/>
                <w:bCs w:val="1"/>
                <w:color w:val="auto"/>
                <w:w w:val="91"/>
              </w:rPr>
              <w:t>File Number)</w:t>
            </w:r>
          </w:p>
        </w:tc>
        <w:tc>
          <w:tcPr>
            <w:tcW w:w="2680" w:type="dxa"/>
            <w:vAlign w:val="bottom"/>
          </w:tcPr>
          <w:p>
            <w:pPr>
              <w:jc w:val="center"/>
              <w:ind w:left="1264"/>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4060" w:type="dxa"/>
            <w:vAlign w:val="bottom"/>
          </w:tcPr>
          <w:p>
            <w:pPr>
              <w:jc w:val="center"/>
              <w:ind w:left="1202"/>
              <w:spacing w:after="0"/>
              <w:rPr>
                <w:sz w:val="20"/>
                <w:szCs w:val="20"/>
                <w:color w:val="auto"/>
              </w:rPr>
            </w:pPr>
            <w:r>
              <w:rPr>
                <w:rFonts w:ascii="Arial" w:cs="Arial" w:eastAsia="Arial" w:hAnsi="Arial"/>
                <w:sz w:val="18"/>
                <w:szCs w:val="18"/>
                <w:b w:val="1"/>
                <w:bCs w:val="1"/>
                <w:color w:val="auto"/>
                <w:w w:val="86"/>
              </w:rPr>
              <w:t>8111 Lyndale Avenue South</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1"/>
        </w:trPr>
        <w:tc>
          <w:tcPr>
            <w:tcW w:w="4060" w:type="dxa"/>
            <w:vAlign w:val="bottom"/>
          </w:tcPr>
          <w:p>
            <w:pPr>
              <w:jc w:val="center"/>
              <w:ind w:left="1222"/>
              <w:spacing w:after="0"/>
              <w:rPr>
                <w:sz w:val="20"/>
                <w:szCs w:val="20"/>
                <w:color w:val="auto"/>
              </w:rPr>
            </w:pPr>
            <w:r>
              <w:rPr>
                <w:rFonts w:ascii="Arial" w:cs="Arial" w:eastAsia="Arial" w:hAnsi="Arial"/>
                <w:sz w:val="18"/>
                <w:szCs w:val="18"/>
                <w:b w:val="1"/>
                <w:bCs w:val="1"/>
                <w:color w:val="auto"/>
                <w:w w:val="87"/>
              </w:rPr>
              <w:t>Bloomington, Minnesota</w:t>
            </w:r>
          </w:p>
        </w:tc>
        <w:tc>
          <w:tcPr>
            <w:tcW w:w="2360" w:type="dxa"/>
            <w:vAlign w:val="bottom"/>
          </w:tcPr>
          <w:p>
            <w:pPr>
              <w:spacing w:after="0"/>
              <w:rPr>
                <w:sz w:val="20"/>
                <w:szCs w:val="20"/>
                <w:color w:val="auto"/>
              </w:rPr>
            </w:pPr>
          </w:p>
        </w:tc>
        <w:tc>
          <w:tcPr>
            <w:tcW w:w="2680" w:type="dxa"/>
            <w:vAlign w:val="bottom"/>
          </w:tcPr>
          <w:p>
            <w:pPr>
              <w:jc w:val="right"/>
              <w:ind w:right="364"/>
              <w:spacing w:after="0"/>
              <w:rPr>
                <w:sz w:val="20"/>
                <w:szCs w:val="20"/>
                <w:color w:val="auto"/>
              </w:rPr>
            </w:pPr>
            <w:r>
              <w:rPr>
                <w:rFonts w:ascii="Arial" w:cs="Arial" w:eastAsia="Arial" w:hAnsi="Arial"/>
                <w:sz w:val="18"/>
                <w:szCs w:val="18"/>
                <w:b w:val="1"/>
                <w:bCs w:val="1"/>
                <w:color w:val="auto"/>
              </w:rPr>
              <w:t>55420</w:t>
            </w:r>
          </w:p>
        </w:tc>
      </w:tr>
      <w:tr>
        <w:trPr>
          <w:trHeight w:val="174"/>
        </w:trPr>
        <w:tc>
          <w:tcPr>
            <w:tcW w:w="4060" w:type="dxa"/>
            <w:vAlign w:val="bottom"/>
          </w:tcPr>
          <w:p>
            <w:pPr>
              <w:jc w:val="center"/>
              <w:ind w:left="122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60" w:type="dxa"/>
            <w:vAlign w:val="bottom"/>
          </w:tcPr>
          <w:p>
            <w:pPr>
              <w:spacing w:after="0"/>
              <w:rPr>
                <w:sz w:val="15"/>
                <w:szCs w:val="15"/>
                <w:color w:val="auto"/>
              </w:rPr>
            </w:pPr>
          </w:p>
        </w:tc>
        <w:tc>
          <w:tcPr>
            <w:tcW w:w="2680" w:type="dxa"/>
            <w:vAlign w:val="bottom"/>
          </w:tcPr>
          <w:p>
            <w:pPr>
              <w:jc w:val="center"/>
              <w:ind w:left="12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(952) 888-8801</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1—Registrant’s Business and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July 28, 2011, The Toro Company (“Toro”), Toro Manufacturing LLC, Exmark Manufacturing Company Incorporated and Toro International Company (collectively, the “Borrowers”), entered into a credit agreement (the “Credit Agreement”) with certain lenders, Bank of America, N.A., as administrative agent, swingline lender and letter of credit issuer (the “Administrative Agent”) and Wells Fargo Bank, National Association, as syndication agent (the “Syndication Agent”). The Credit Agreement provides for a $150 million unsecured senior five-year revolving credit facility, with a $20 million sublimit for the issuance of standby letters of credit and a $20 million sublimit for swingline loans. At the election of the Borrowers, the aggregate maximum principal amount available under the Credit Agreement may be increased by an amount up to $100 million in the aggregate. Additional subsidiaries of Toro may be designated as Borrowers at the election of Toro at any time. Funds are available under the credit facility for working capital, capital expenditures and other lawful purposes, including acquisitions and stock repurchases. Loans under the Credit Agreement are available in Dollars, Euros, Sterling, Australian Dollars and, at the discretion of the lenders, other currencies. As of July 27, 2011, there were no borrowings outstanding under Toro’s previous credit facility, except for the issuance of standby letters of credit in an aggregate amount of approximately $6 million.</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certain initial fees payable to the Administrative Agent, the Syndication Agent and their respective affiliates, the Borrowers are obligated to pay a facility fee based on the availability of commitments which is payable quarterly in arrears to each lender. At the option of the Borrowers, any loan under the Credit Agreement (other than swingline loans) will bear interest at a variable rate based on LIBOR or an alternative variable rate based on the Bank of America prime rate, the federal funds rate or LIBOR, in each case plus a basis point spread determined by reference to the debt rating of Toro, as defined in the Credit Agreement. Swingline loans bear interest at a rate determined by the swingline lender. Interest is payable quarterly in arrears.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standard covenants regarding Toro and its subsidiaries, including, without limitation: financial covenants, such as the maintenance of minimum interest coverage and maximum debt to earnings ratios; and negative covenants, which, among other things, limit loans and investments, dividends, disposition of assets, consolidations and mergers, transactions with affiliates, contingent obligations, liens and other matters customarily restricted in such agreements. Most of these restrictions are subject to certain minimum thresholds and exceptions. The Credit Agreement also contains customary events of default, including, without limitation: payment defaults, material inaccuracy of representations and warranties, covenant defaults, bankruptcy and insolvency proceedings, monetary judgment defaults in excess of specified amounts, cross-defaults to certain other agreements, change of control and customary defaults under the Employee Retirement Income Security Act of 1974.</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Merrill Lynch, Pierce, Fenner &amp; Smith Incorporated, an affiliate of the Administrative Agent, and Wells Fargo Securities, LLC, an affiliate of the Syndication Agent, served as lead arrangers and joint book managers for the revolving credit facility, for which they each received customary compensation. In addition, the Administrative Agent, the Syndication Agent and certain of the other lenders and their respective affiliates have in the past performed, and may in the future from time to time, perform, investment banking, financial advisory, lending and/or commercial banking services for Toro and its subsidiaries, for which service they have in the past received, and may in the future receive, customary compensation and reimbursement of expenses.</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foregoing description of the Credit Agreement is a summary of the material terms of such agreement, does not purport to be complete and is qualified in its entirety by reference to the complete text of the agreement, a copy of which is filed as Exhibit 10.1 to this Current Report on Form 8-K and is incorporated herein by reference.</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1.02. Termination of a Material Definitive Agreement.</w:t>
      </w:r>
    </w:p>
    <w:p>
      <w:pPr>
        <w:spacing w:after="0" w:line="9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In connection with the entering into of the Credit Agreement described above, on July 28, 2011, the Borrowers terminated their prior $175 million credit facility as evidenced by that certain Credit Agreement, dated as of September 8, 2004, and amended as of October 25, 2005, January 10, 2007, February 28, 2007, February 29, 2008 and November 9, 2010 (the “Prior Credit Agreement”). The Prior Credit Agreement was scheduled to expire on January 10, 2012. The material relationships between the Borrowers and their affiliates, and the parties to the Prior Credit Agreement were the same as described above. The material terms and conditions of the Prior Credit Agreement were substantially similar to the material terms and conditions of the Credit Agreement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90"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The information described above under “Section 1</w:t>
      </w:r>
      <w:r>
        <w:rPr>
          <w:rFonts w:ascii="Arial" w:cs="Arial" w:eastAsia="Arial" w:hAnsi="Arial"/>
          <w:sz w:val="18"/>
          <w:szCs w:val="18"/>
          <w:b w:val="1"/>
          <w:bCs w:val="1"/>
          <w:color w:val="auto"/>
        </w:rPr>
        <w:t>—</w:t>
      </w:r>
      <w:r>
        <w:rPr>
          <w:rFonts w:ascii="Arial" w:cs="Arial" w:eastAsia="Arial" w:hAnsi="Arial"/>
          <w:sz w:val="18"/>
          <w:szCs w:val="18"/>
          <w:color w:val="auto"/>
        </w:rPr>
        <w:t>Registrant’s Business and Operations, Item 1.01. Entry into a Material Definitive Agreement”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780" w:type="dxa"/>
            <w:vAlign w:val="bottom"/>
          </w:tcPr>
          <w:p>
            <w:pPr>
              <w:spacing w:after="0"/>
              <w:rPr>
                <w:sz w:val="14"/>
                <w:szCs w:val="14"/>
                <w:color w:val="auto"/>
              </w:rPr>
            </w:pP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88"/>
              </w:rPr>
              <w:t>Credit Agreement dated as of July 28, 2011, among The Toro Company, Toro Manufacturing LLC, Exmark Manufacturing Company Incorporated,</w:t>
            </w:r>
          </w:p>
        </w:tc>
      </w:tr>
      <w:tr>
        <w:trPr>
          <w:trHeight w:val="216"/>
        </w:trPr>
        <w:tc>
          <w:tcPr>
            <w:tcW w:w="46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and Toro International Company and certain subsidiaries, as Borrowers, the lenders from time to time party thereto, Bank of America, N.A., as</w:t>
            </w:r>
          </w:p>
        </w:tc>
      </w:tr>
      <w:tr>
        <w:trPr>
          <w:trHeight w:val="216"/>
        </w:trPr>
        <w:tc>
          <w:tcPr>
            <w:tcW w:w="46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Administrative Agent, Swingline Lender and Letter of Credit Issuer and Wells Fargo Bank, National Association, as Syndication Agent (filed</w:t>
            </w:r>
          </w:p>
        </w:tc>
      </w:tr>
      <w:tr>
        <w:trPr>
          <w:trHeight w:val="222"/>
        </w:trPr>
        <w:tc>
          <w:tcPr>
            <w:tcW w:w="46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herewith)</w:t>
            </w:r>
          </w:p>
        </w:tc>
      </w:tr>
    </w:tbl>
    <w:p>
      <w:pPr>
        <w:sectPr>
          <w:pgSz w:w="11900" w:h="16838" w:orient="portrait"/>
          <w:cols w:equalWidth="0" w:num="1">
            <w:col w:w="11360"/>
          </w:cols>
          <w:pgMar w:left="240" w:top="409" w:right="29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300" w:type="dxa"/>
            <w:vAlign w:val="bottom"/>
            <w:gridSpan w:val="2"/>
          </w:tcPr>
          <w:p>
            <w:pPr>
              <w:ind w:left="540"/>
              <w:spacing w:after="0"/>
              <w:rPr>
                <w:sz w:val="20"/>
                <w:szCs w:val="20"/>
                <w:color w:val="auto"/>
              </w:rPr>
            </w:pPr>
            <w:r>
              <w:rPr>
                <w:rFonts w:ascii="Arial" w:cs="Arial" w:eastAsia="Arial" w:hAnsi="Arial"/>
                <w:sz w:val="18"/>
                <w:szCs w:val="18"/>
                <w:color w:val="auto"/>
              </w:rPr>
              <w:t>THE TORO COMPANY</w:t>
            </w:r>
          </w:p>
        </w:tc>
      </w:tr>
      <w:tr>
        <w:trPr>
          <w:trHeight w:val="222"/>
        </w:trPr>
        <w:tc>
          <w:tcPr>
            <w:tcW w:w="40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300" w:type="dxa"/>
            <w:vAlign w:val="bottom"/>
            <w:gridSpan w:val="2"/>
          </w:tcPr>
          <w:p>
            <w:pPr>
              <w:ind w:left="540"/>
              <w:spacing w:after="0"/>
              <w:rPr>
                <w:sz w:val="20"/>
                <w:szCs w:val="20"/>
                <w:color w:val="auto"/>
              </w:rPr>
            </w:pPr>
            <w:r>
              <w:rPr>
                <w:rFonts w:ascii="Arial" w:cs="Arial" w:eastAsia="Arial" w:hAnsi="Arial"/>
                <w:sz w:val="18"/>
                <w:szCs w:val="18"/>
                <w:color w:val="auto"/>
              </w:rPr>
              <w:t>(Registrant)</w:t>
            </w:r>
          </w:p>
        </w:tc>
      </w:tr>
      <w:tr>
        <w:trPr>
          <w:trHeight w:val="448"/>
        </w:trPr>
        <w:tc>
          <w:tcPr>
            <w:tcW w:w="4020" w:type="dxa"/>
            <w:vAlign w:val="bottom"/>
          </w:tcPr>
          <w:p>
            <w:pPr>
              <w:spacing w:after="0"/>
              <w:rPr>
                <w:sz w:val="20"/>
                <w:szCs w:val="20"/>
                <w:color w:val="auto"/>
              </w:rPr>
            </w:pPr>
            <w:r>
              <w:rPr>
                <w:rFonts w:ascii="Arial" w:cs="Arial" w:eastAsia="Arial" w:hAnsi="Arial"/>
                <w:sz w:val="18"/>
                <w:szCs w:val="18"/>
                <w:color w:val="auto"/>
              </w:rPr>
              <w:t>Date: July 28, 2011</w:t>
            </w:r>
          </w:p>
        </w:tc>
        <w:tc>
          <w:tcPr>
            <w:tcW w:w="6280" w:type="dxa"/>
            <w:vAlign w:val="bottom"/>
            <w:gridSpan w:val="3"/>
          </w:tcPr>
          <w:p>
            <w:pPr>
              <w:ind w:left="2640"/>
              <w:spacing w:after="0"/>
              <w:rPr>
                <w:sz w:val="20"/>
                <w:szCs w:val="20"/>
                <w:color w:val="auto"/>
              </w:rPr>
            </w:pPr>
            <w:r>
              <w:rPr>
                <w:rFonts w:ascii="Arial" w:cs="Arial" w:eastAsia="Arial" w:hAnsi="Arial"/>
                <w:sz w:val="18"/>
                <w:szCs w:val="18"/>
                <w:color w:val="auto"/>
              </w:rPr>
              <w:t>By  /s/ Stephen P. Wolfe</w:t>
            </w:r>
          </w:p>
        </w:tc>
      </w:tr>
      <w:tr>
        <w:trPr>
          <w:trHeight w:val="20"/>
        </w:trPr>
        <w:tc>
          <w:tcPr>
            <w:tcW w:w="4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5"/>
        </w:trPr>
        <w:tc>
          <w:tcPr>
            <w:tcW w:w="4020" w:type="dxa"/>
            <w:vAlign w:val="bottom"/>
          </w:tcPr>
          <w:p>
            <w:pPr>
              <w:spacing w:after="0"/>
              <w:rPr>
                <w:sz w:val="18"/>
                <w:szCs w:val="18"/>
                <w:color w:val="auto"/>
              </w:rPr>
            </w:pPr>
          </w:p>
        </w:tc>
        <w:tc>
          <w:tcPr>
            <w:tcW w:w="6280" w:type="dxa"/>
            <w:vAlign w:val="bottom"/>
            <w:gridSpan w:val="3"/>
          </w:tcPr>
          <w:p>
            <w:pPr>
              <w:ind w:left="2640"/>
              <w:spacing w:after="0"/>
              <w:rPr>
                <w:sz w:val="20"/>
                <w:szCs w:val="20"/>
                <w:color w:val="auto"/>
              </w:rPr>
            </w:pPr>
            <w:r>
              <w:rPr>
                <w:rFonts w:ascii="Arial" w:cs="Arial" w:eastAsia="Arial" w:hAnsi="Arial"/>
                <w:sz w:val="18"/>
                <w:szCs w:val="18"/>
                <w:color w:val="auto"/>
              </w:rPr>
              <w:t>Stephen P. Wolfe</w:t>
            </w:r>
          </w:p>
        </w:tc>
      </w:tr>
      <w:tr>
        <w:trPr>
          <w:trHeight w:val="222"/>
        </w:trPr>
        <w:tc>
          <w:tcPr>
            <w:tcW w:w="4020" w:type="dxa"/>
            <w:vAlign w:val="bottom"/>
          </w:tcPr>
          <w:p>
            <w:pPr>
              <w:spacing w:after="0"/>
              <w:rPr>
                <w:sz w:val="19"/>
                <w:szCs w:val="19"/>
                <w:color w:val="auto"/>
              </w:rPr>
            </w:pPr>
          </w:p>
        </w:tc>
        <w:tc>
          <w:tcPr>
            <w:tcW w:w="6280" w:type="dxa"/>
            <w:vAlign w:val="bottom"/>
            <w:gridSpan w:val="3"/>
          </w:tcPr>
          <w:p>
            <w:pPr>
              <w:ind w:left="2640"/>
              <w:spacing w:after="0"/>
              <w:rPr>
                <w:sz w:val="20"/>
                <w:szCs w:val="20"/>
                <w:color w:val="auto"/>
              </w:rPr>
            </w:pPr>
            <w:r>
              <w:rPr>
                <w:rFonts w:ascii="Arial" w:cs="Arial" w:eastAsia="Arial" w:hAnsi="Arial"/>
                <w:sz w:val="18"/>
                <w:szCs w:val="18"/>
                <w:color w:val="auto"/>
                <w:w w:val="88"/>
              </w:rPr>
              <w:t>Vice President, Finance and Chief Financial Officer</w:t>
            </w:r>
          </w:p>
        </w:tc>
      </w:tr>
    </w:tbl>
    <w:p>
      <w:pPr>
        <w:sectPr>
          <w:pgSz w:w="11900" w:h="16838" w:orient="portrait"/>
          <w:cols w:equalWidth="0" w:num="1">
            <w:col w:w="11000"/>
          </w:cols>
          <w:pgMar w:left="240" w:top="274" w:right="6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94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6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640" w:type="dxa"/>
            <w:vAlign w:val="bottom"/>
          </w:tcPr>
          <w:p>
            <w:pPr>
              <w:spacing w:after="0"/>
              <w:rPr>
                <w:sz w:val="14"/>
                <w:szCs w:val="14"/>
                <w:color w:val="auto"/>
              </w:rPr>
            </w:pPr>
          </w:p>
        </w:tc>
      </w:tr>
    </w:tbl>
    <w:p>
      <w:pPr>
        <w:spacing w:after="0" w:line="100" w:lineRule="exact"/>
        <w:rPr>
          <w:sz w:val="20"/>
          <w:szCs w:val="20"/>
          <w:color w:val="auto"/>
        </w:rPr>
      </w:pPr>
    </w:p>
    <w:p>
      <w:pPr>
        <w:ind w:left="900" w:hanging="890"/>
        <w:spacing w:after="0" w:line="256" w:lineRule="auto"/>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Credit Agreement dated as of July 28, 2011, among The Toro Company, Toro Manufacturing LLC, Exmark Manufacturing Company Incorporated, Toro International Company and certain subsidiaries, as Borrowers, the lenders from time to time party thereto, Bank of America, N.A., as Administrative Agent, Swingline Lender and Letter of Credit Issuer and Wells Fargo Bank, National Association, as Syndication Agent.</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Method of</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-7620</wp:posOffset>
            </wp:positionV>
            <wp:extent cx="394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ectPr>
          <w:pgSz w:w="11900" w:h="16838" w:orient="portrait"/>
          <w:cols w:equalWidth="0" w:num="2">
            <w:col w:w="9860" w:space="440"/>
            <w:col w:w="1020"/>
          </w:cols>
          <w:pgMar w:left="240" w:top="27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Deal: 891091AC4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891091AD2</w:t>
      </w:r>
    </w:p>
    <w:p>
      <w:pPr>
        <w:spacing w:after="0" w:line="15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CREDIT AGREEMENT</w:t>
      </w:r>
    </w:p>
    <w:p>
      <w:pPr>
        <w:spacing w:after="0" w:line="17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as of July 28, 2011</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6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TORO MANUFACTURING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EXMARK MANUFACTURING COMPANY INCORPORATED,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TORO INTERNATIONAL COMPANY,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CERTAIN OTHER SUBSIDIARIES,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Borrowers,</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 Swing Line Lender</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L/C Issuer,</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Other Lenders Party Hereto</w:t>
      </w:r>
    </w:p>
    <w:p>
      <w:pPr>
        <w:spacing w:after="0" w:line="16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WELLS FARGO SECURITIES,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Joint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10640" w:type="dxa"/>
            <w:vAlign w:val="bottom"/>
          </w:tcPr>
          <w:p>
            <w:pPr>
              <w:ind w:left="436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r>
      <w:tr>
        <w:trPr>
          <w:trHeight w:val="360"/>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Section</w:t>
            </w:r>
          </w:p>
        </w:tc>
        <w:tc>
          <w:tcPr>
            <w:tcW w:w="1064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302"/>
        </w:trPr>
        <w:tc>
          <w:tcPr>
            <w:tcW w:w="420" w:type="dxa"/>
            <w:vAlign w:val="bottom"/>
          </w:tcPr>
          <w:p>
            <w:pPr>
              <w:spacing w:after="0"/>
              <w:rPr>
                <w:sz w:val="24"/>
                <w:szCs w:val="24"/>
                <w:color w:val="auto"/>
              </w:rPr>
            </w:pPr>
          </w:p>
        </w:tc>
        <w:tc>
          <w:tcPr>
            <w:tcW w:w="10640" w:type="dxa"/>
            <w:vAlign w:val="bottom"/>
          </w:tcPr>
          <w:p>
            <w:pPr>
              <w:jc w:val="center"/>
              <w:ind w:right="72"/>
              <w:spacing w:after="0"/>
              <w:rPr>
                <w:sz w:val="20"/>
                <w:szCs w:val="20"/>
                <w:color w:val="auto"/>
              </w:rPr>
            </w:pPr>
            <w:r>
              <w:rPr>
                <w:rFonts w:ascii="Arial" w:cs="Arial" w:eastAsia="Arial" w:hAnsi="Arial"/>
                <w:sz w:val="18"/>
                <w:szCs w:val="18"/>
                <w:color w:val="auto"/>
                <w:w w:val="96"/>
              </w:rPr>
              <w:t>ARTICLE I.</w:t>
            </w:r>
          </w:p>
        </w:tc>
        <w:tc>
          <w:tcPr>
            <w:tcW w:w="26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10640" w:type="dxa"/>
            <w:vAlign w:val="bottom"/>
          </w:tcPr>
          <w:p>
            <w:pPr>
              <w:jc w:val="center"/>
              <w:ind w:right="52"/>
              <w:spacing w:after="0"/>
              <w:rPr>
                <w:sz w:val="20"/>
                <w:szCs w:val="20"/>
                <w:color w:val="auto"/>
              </w:rPr>
            </w:pPr>
            <w:r>
              <w:rPr>
                <w:rFonts w:ascii="Arial" w:cs="Arial" w:eastAsia="Arial" w:hAnsi="Arial"/>
                <w:sz w:val="18"/>
                <w:szCs w:val="18"/>
                <w:color w:val="auto"/>
                <w:w w:val="95"/>
              </w:rPr>
              <w:t>DEFINITIONS AND ACCOUNTING TERMS</w:t>
            </w:r>
          </w:p>
        </w:tc>
        <w:tc>
          <w:tcPr>
            <w:tcW w:w="260" w:type="dxa"/>
            <w:vAlign w:val="bottom"/>
          </w:tcPr>
          <w:p>
            <w:pPr>
              <w:spacing w:after="0"/>
              <w:rPr>
                <w:sz w:val="19"/>
                <w:szCs w:val="19"/>
                <w:color w:val="auto"/>
              </w:rPr>
            </w:pPr>
          </w:p>
        </w:tc>
      </w:tr>
      <w:tr>
        <w:trPr>
          <w:trHeight w:val="318"/>
        </w:trPr>
        <w:tc>
          <w:tcPr>
            <w:tcW w:w="42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tcPr>
          <w:p>
            <w:pPr>
              <w:ind w:left="360"/>
              <w:spacing w:after="0"/>
              <w:rPr>
                <w:sz w:val="20"/>
                <w:szCs w:val="20"/>
                <w:color w:val="auto"/>
              </w:rPr>
            </w:pPr>
            <w:r>
              <w:rPr>
                <w:rFonts w:ascii="Arial" w:cs="Arial" w:eastAsia="Arial" w:hAnsi="Arial"/>
                <w:sz w:val="18"/>
                <w:szCs w:val="18"/>
                <w:color w:val="auto"/>
              </w:rPr>
              <w:t>Defined Terms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1.02</w:t>
            </w:r>
          </w:p>
        </w:tc>
        <w:tc>
          <w:tcPr>
            <w:tcW w:w="10640" w:type="dxa"/>
            <w:vAlign w:val="bottom"/>
          </w:tcPr>
          <w:p>
            <w:pPr>
              <w:ind w:left="360"/>
              <w:spacing w:after="0"/>
              <w:rPr>
                <w:sz w:val="20"/>
                <w:szCs w:val="20"/>
                <w:color w:val="auto"/>
              </w:rPr>
            </w:pPr>
            <w:r>
              <w:rPr>
                <w:rFonts w:ascii="Arial" w:cs="Arial" w:eastAsia="Arial" w:hAnsi="Arial"/>
                <w:sz w:val="18"/>
                <w:szCs w:val="18"/>
                <w:color w:val="auto"/>
              </w:rPr>
              <w:t>Other Interpretive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tcPr>
          <w:p>
            <w:pPr>
              <w:ind w:left="360"/>
              <w:spacing w:after="0"/>
              <w:rPr>
                <w:sz w:val="20"/>
                <w:szCs w:val="20"/>
                <w:color w:val="auto"/>
              </w:rPr>
            </w:pPr>
            <w:r>
              <w:rPr>
                <w:rFonts w:ascii="Arial" w:cs="Arial" w:eastAsia="Arial" w:hAnsi="Arial"/>
                <w:sz w:val="18"/>
                <w:szCs w:val="18"/>
                <w:color w:val="auto"/>
              </w:rPr>
              <w:t>Accounting Terms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10640" w:type="dxa"/>
            <w:vAlign w:val="bottom"/>
          </w:tcPr>
          <w:p>
            <w:pPr>
              <w:ind w:left="360"/>
              <w:spacing w:after="0"/>
              <w:rPr>
                <w:sz w:val="20"/>
                <w:szCs w:val="20"/>
                <w:color w:val="auto"/>
              </w:rPr>
            </w:pPr>
            <w:r>
              <w:rPr>
                <w:rFonts w:ascii="Arial" w:cs="Arial" w:eastAsia="Arial" w:hAnsi="Arial"/>
                <w:sz w:val="18"/>
                <w:szCs w:val="18"/>
                <w:color w:val="auto"/>
              </w:rPr>
              <w:t>Exchange Rates; Currency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tcPr>
          <w:p>
            <w:pPr>
              <w:ind w:left="360"/>
              <w:spacing w:after="0"/>
              <w:rPr>
                <w:sz w:val="20"/>
                <w:szCs w:val="20"/>
                <w:color w:val="auto"/>
              </w:rPr>
            </w:pPr>
            <w:r>
              <w:rPr>
                <w:rFonts w:ascii="Arial" w:cs="Arial" w:eastAsia="Arial" w:hAnsi="Arial"/>
                <w:sz w:val="18"/>
                <w:szCs w:val="18"/>
                <w:color w:val="auto"/>
              </w:rPr>
              <w:t>Additional Alternative Currencies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1.06</w:t>
            </w:r>
          </w:p>
        </w:tc>
        <w:tc>
          <w:tcPr>
            <w:tcW w:w="10640" w:type="dxa"/>
            <w:vAlign w:val="bottom"/>
          </w:tcPr>
          <w:p>
            <w:pPr>
              <w:ind w:left="360"/>
              <w:spacing w:after="0"/>
              <w:rPr>
                <w:sz w:val="20"/>
                <w:szCs w:val="20"/>
                <w:color w:val="auto"/>
              </w:rPr>
            </w:pPr>
            <w:r>
              <w:rPr>
                <w:rFonts w:ascii="Arial" w:cs="Arial" w:eastAsia="Arial" w:hAnsi="Arial"/>
                <w:sz w:val="18"/>
                <w:szCs w:val="18"/>
                <w:color w:val="auto"/>
              </w:rPr>
              <w:t>Change of Currency</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1.07</w:t>
            </w:r>
          </w:p>
        </w:tc>
        <w:tc>
          <w:tcPr>
            <w:tcW w:w="10640" w:type="dxa"/>
            <w:vAlign w:val="bottom"/>
          </w:tcPr>
          <w:p>
            <w:pPr>
              <w:ind w:left="360"/>
              <w:spacing w:after="0"/>
              <w:rPr>
                <w:sz w:val="20"/>
                <w:szCs w:val="20"/>
                <w:color w:val="auto"/>
              </w:rPr>
            </w:pPr>
            <w:r>
              <w:rPr>
                <w:rFonts w:ascii="Arial" w:cs="Arial" w:eastAsia="Arial" w:hAnsi="Arial"/>
                <w:sz w:val="18"/>
                <w:szCs w:val="18"/>
                <w:color w:val="auto"/>
              </w:rPr>
              <w:t>Times of Day</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1.08</w:t>
            </w:r>
          </w:p>
        </w:tc>
        <w:tc>
          <w:tcPr>
            <w:tcW w:w="10640" w:type="dxa"/>
            <w:vAlign w:val="bottom"/>
          </w:tcPr>
          <w:p>
            <w:pPr>
              <w:ind w:left="360"/>
              <w:spacing w:after="0"/>
              <w:rPr>
                <w:sz w:val="20"/>
                <w:szCs w:val="20"/>
                <w:color w:val="auto"/>
              </w:rPr>
            </w:pPr>
            <w:r>
              <w:rPr>
                <w:rFonts w:ascii="Arial" w:cs="Arial" w:eastAsia="Arial" w:hAnsi="Arial"/>
                <w:sz w:val="18"/>
                <w:szCs w:val="18"/>
                <w:color w:val="auto"/>
              </w:rPr>
              <w:t>Letter of Credit Amounts</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1.09</w:t>
            </w:r>
          </w:p>
        </w:tc>
        <w:tc>
          <w:tcPr>
            <w:tcW w:w="10640" w:type="dxa"/>
            <w:vAlign w:val="bottom"/>
          </w:tcPr>
          <w:p>
            <w:pPr>
              <w:ind w:left="360"/>
              <w:spacing w:after="0"/>
              <w:rPr>
                <w:sz w:val="20"/>
                <w:szCs w:val="20"/>
                <w:color w:val="auto"/>
              </w:rPr>
            </w:pPr>
            <w:r>
              <w:rPr>
                <w:rFonts w:ascii="Arial" w:cs="Arial" w:eastAsia="Arial" w:hAnsi="Arial"/>
                <w:sz w:val="18"/>
                <w:szCs w:val="18"/>
                <w:color w:val="auto"/>
              </w:rPr>
              <w:t>Rounding</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26"/>
        </w:trPr>
        <w:tc>
          <w:tcPr>
            <w:tcW w:w="420" w:type="dxa"/>
            <w:vAlign w:val="bottom"/>
          </w:tcPr>
          <w:p>
            <w:pPr>
              <w:spacing w:after="0"/>
              <w:rPr>
                <w:sz w:val="24"/>
                <w:szCs w:val="24"/>
                <w:color w:val="auto"/>
              </w:rPr>
            </w:pPr>
          </w:p>
        </w:tc>
        <w:tc>
          <w:tcPr>
            <w:tcW w:w="10640" w:type="dxa"/>
            <w:vAlign w:val="bottom"/>
          </w:tcPr>
          <w:p>
            <w:pPr>
              <w:jc w:val="center"/>
              <w:ind w:right="52"/>
              <w:spacing w:after="0"/>
              <w:rPr>
                <w:sz w:val="20"/>
                <w:szCs w:val="20"/>
                <w:color w:val="auto"/>
              </w:rPr>
            </w:pPr>
            <w:r>
              <w:rPr>
                <w:rFonts w:ascii="Arial" w:cs="Arial" w:eastAsia="Arial" w:hAnsi="Arial"/>
                <w:sz w:val="18"/>
                <w:szCs w:val="18"/>
                <w:color w:val="auto"/>
                <w:w w:val="97"/>
              </w:rPr>
              <w:t>ARTICLE II.</w:t>
            </w:r>
          </w:p>
        </w:tc>
        <w:tc>
          <w:tcPr>
            <w:tcW w:w="26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10640" w:type="dxa"/>
            <w:vAlign w:val="bottom"/>
          </w:tcPr>
          <w:p>
            <w:pPr>
              <w:jc w:val="center"/>
              <w:ind w:right="52"/>
              <w:spacing w:after="0"/>
              <w:rPr>
                <w:sz w:val="20"/>
                <w:szCs w:val="20"/>
                <w:color w:val="auto"/>
              </w:rPr>
            </w:pPr>
            <w:r>
              <w:rPr>
                <w:rFonts w:ascii="Arial" w:cs="Arial" w:eastAsia="Arial" w:hAnsi="Arial"/>
                <w:sz w:val="18"/>
                <w:szCs w:val="18"/>
                <w:color w:val="auto"/>
                <w:w w:val="95"/>
              </w:rPr>
              <w:t>THE COMMITMENTS AND CREDIT EXTENSIONS</w:t>
            </w:r>
          </w:p>
        </w:tc>
        <w:tc>
          <w:tcPr>
            <w:tcW w:w="260" w:type="dxa"/>
            <w:vAlign w:val="bottom"/>
          </w:tcPr>
          <w:p>
            <w:pPr>
              <w:spacing w:after="0"/>
              <w:rPr>
                <w:sz w:val="19"/>
                <w:szCs w:val="19"/>
                <w:color w:val="auto"/>
              </w:rPr>
            </w:pPr>
          </w:p>
        </w:tc>
      </w:tr>
      <w:tr>
        <w:trPr>
          <w:trHeight w:val="318"/>
        </w:trPr>
        <w:tc>
          <w:tcPr>
            <w:tcW w:w="420" w:type="dxa"/>
            <w:vAlign w:val="bottom"/>
          </w:tcPr>
          <w:p>
            <w:pPr>
              <w:spacing w:after="0"/>
              <w:rPr>
                <w:sz w:val="20"/>
                <w:szCs w:val="20"/>
                <w:color w:val="auto"/>
              </w:rPr>
            </w:pPr>
            <w:r>
              <w:rPr>
                <w:rFonts w:ascii="Arial" w:cs="Arial" w:eastAsia="Arial" w:hAnsi="Arial"/>
                <w:sz w:val="18"/>
                <w:szCs w:val="18"/>
                <w:color w:val="auto"/>
              </w:rPr>
              <w:t>2.01</w:t>
            </w:r>
          </w:p>
        </w:tc>
        <w:tc>
          <w:tcPr>
            <w:tcW w:w="10640" w:type="dxa"/>
            <w:vAlign w:val="bottom"/>
          </w:tcPr>
          <w:p>
            <w:pPr>
              <w:ind w:left="360"/>
              <w:spacing w:after="0"/>
              <w:rPr>
                <w:sz w:val="20"/>
                <w:szCs w:val="20"/>
                <w:color w:val="auto"/>
              </w:rPr>
            </w:pPr>
            <w:r>
              <w:rPr>
                <w:rFonts w:ascii="Arial" w:cs="Arial" w:eastAsia="Arial" w:hAnsi="Arial"/>
                <w:sz w:val="18"/>
                <w:szCs w:val="18"/>
                <w:color w:val="auto"/>
              </w:rPr>
              <w:t>Committed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2.02</w:t>
            </w:r>
          </w:p>
        </w:tc>
        <w:tc>
          <w:tcPr>
            <w:tcW w:w="10640" w:type="dxa"/>
            <w:vAlign w:val="bottom"/>
          </w:tcPr>
          <w:p>
            <w:pPr>
              <w:ind w:left="360"/>
              <w:spacing w:after="0"/>
              <w:rPr>
                <w:sz w:val="20"/>
                <w:szCs w:val="20"/>
                <w:color w:val="auto"/>
              </w:rPr>
            </w:pPr>
            <w:r>
              <w:rPr>
                <w:rFonts w:ascii="Arial" w:cs="Arial" w:eastAsia="Arial" w:hAnsi="Arial"/>
                <w:sz w:val="18"/>
                <w:szCs w:val="18"/>
                <w:color w:val="auto"/>
              </w:rPr>
              <w:t>Borrowings, Conversions and Continuations of Committed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2.03</w:t>
            </w:r>
          </w:p>
        </w:tc>
        <w:tc>
          <w:tcPr>
            <w:tcW w:w="10640" w:type="dxa"/>
            <w:vAlign w:val="bottom"/>
          </w:tcPr>
          <w:p>
            <w:pPr>
              <w:ind w:left="360"/>
              <w:spacing w:after="0"/>
              <w:rPr>
                <w:sz w:val="20"/>
                <w:szCs w:val="20"/>
                <w:color w:val="auto"/>
              </w:rPr>
            </w:pPr>
            <w:r>
              <w:rPr>
                <w:rFonts w:ascii="Arial" w:cs="Arial" w:eastAsia="Arial" w:hAnsi="Arial"/>
                <w:sz w:val="18"/>
                <w:szCs w:val="18"/>
                <w:color w:val="auto"/>
              </w:rPr>
              <w:t>Letters of Credit</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2.04</w:t>
            </w:r>
          </w:p>
        </w:tc>
        <w:tc>
          <w:tcPr>
            <w:tcW w:w="10640" w:type="dxa"/>
            <w:vAlign w:val="bottom"/>
          </w:tcPr>
          <w:p>
            <w:pPr>
              <w:ind w:left="360"/>
              <w:spacing w:after="0"/>
              <w:rPr>
                <w:sz w:val="20"/>
                <w:szCs w:val="20"/>
                <w:color w:val="auto"/>
              </w:rPr>
            </w:pPr>
            <w:r>
              <w:rPr>
                <w:rFonts w:ascii="Arial" w:cs="Arial" w:eastAsia="Arial" w:hAnsi="Arial"/>
                <w:sz w:val="18"/>
                <w:szCs w:val="18"/>
                <w:color w:val="auto"/>
              </w:rPr>
              <w:t>Swing Line Loans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2.05</w:t>
            </w:r>
          </w:p>
        </w:tc>
        <w:tc>
          <w:tcPr>
            <w:tcW w:w="1064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2.06</w:t>
            </w:r>
          </w:p>
        </w:tc>
        <w:tc>
          <w:tcPr>
            <w:tcW w:w="10640" w:type="dxa"/>
            <w:vAlign w:val="bottom"/>
          </w:tcPr>
          <w:p>
            <w:pPr>
              <w:ind w:left="360"/>
              <w:spacing w:after="0"/>
              <w:rPr>
                <w:sz w:val="20"/>
                <w:szCs w:val="20"/>
                <w:color w:val="auto"/>
              </w:rPr>
            </w:pPr>
            <w:r>
              <w:rPr>
                <w:rFonts w:ascii="Arial" w:cs="Arial" w:eastAsia="Arial" w:hAnsi="Arial"/>
                <w:sz w:val="18"/>
                <w:szCs w:val="18"/>
                <w:color w:val="auto"/>
              </w:rPr>
              <w:t>Termination or Reduction of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2.07</w:t>
            </w:r>
          </w:p>
        </w:tc>
        <w:tc>
          <w:tcPr>
            <w:tcW w:w="10640" w:type="dxa"/>
            <w:vAlign w:val="bottom"/>
          </w:tcPr>
          <w:p>
            <w:pPr>
              <w:ind w:left="360"/>
              <w:spacing w:after="0"/>
              <w:rPr>
                <w:sz w:val="20"/>
                <w:szCs w:val="20"/>
                <w:color w:val="auto"/>
              </w:rPr>
            </w:pPr>
            <w:r>
              <w:rPr>
                <w:rFonts w:ascii="Arial" w:cs="Arial" w:eastAsia="Arial" w:hAnsi="Arial"/>
                <w:sz w:val="18"/>
                <w:szCs w:val="18"/>
                <w:color w:val="auto"/>
              </w:rPr>
              <w:t>Repayment of Loans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2.08</w:t>
            </w:r>
          </w:p>
        </w:tc>
        <w:tc>
          <w:tcPr>
            <w:tcW w:w="106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2.09</w:t>
            </w:r>
          </w:p>
        </w:tc>
        <w:tc>
          <w:tcPr>
            <w:tcW w:w="10640" w:type="dxa"/>
            <w:vAlign w:val="bottom"/>
          </w:tcPr>
          <w:p>
            <w:pPr>
              <w:ind w:left="360"/>
              <w:spacing w:after="0"/>
              <w:rPr>
                <w:sz w:val="20"/>
                <w:szCs w:val="20"/>
                <w:color w:val="auto"/>
              </w:rPr>
            </w:pPr>
            <w:r>
              <w:rPr>
                <w:rFonts w:ascii="Arial" w:cs="Arial" w:eastAsia="Arial" w:hAnsi="Arial"/>
                <w:sz w:val="18"/>
                <w:szCs w:val="18"/>
                <w:color w:val="auto"/>
              </w:rPr>
              <w:t>Fees</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2.10</w:t>
            </w:r>
          </w:p>
        </w:tc>
        <w:tc>
          <w:tcPr>
            <w:tcW w:w="10640" w:type="dxa"/>
            <w:vAlign w:val="bottom"/>
          </w:tcPr>
          <w:p>
            <w:pPr>
              <w:ind w:left="36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2.11</w:t>
            </w:r>
          </w:p>
        </w:tc>
        <w:tc>
          <w:tcPr>
            <w:tcW w:w="10640" w:type="dxa"/>
            <w:vAlign w:val="bottom"/>
          </w:tcPr>
          <w:p>
            <w:pPr>
              <w:ind w:left="360"/>
              <w:spacing w:after="0"/>
              <w:rPr>
                <w:sz w:val="20"/>
                <w:szCs w:val="20"/>
                <w:color w:val="auto"/>
              </w:rPr>
            </w:pPr>
            <w:r>
              <w:rPr>
                <w:rFonts w:ascii="Arial" w:cs="Arial" w:eastAsia="Arial" w:hAnsi="Arial"/>
                <w:sz w:val="18"/>
                <w:szCs w:val="18"/>
                <w:color w:val="auto"/>
              </w:rPr>
              <w:t>Evidence of Debt</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2.12</w:t>
            </w:r>
          </w:p>
        </w:tc>
        <w:tc>
          <w:tcPr>
            <w:tcW w:w="10640" w:type="dxa"/>
            <w:vAlign w:val="bottom"/>
          </w:tcPr>
          <w:p>
            <w:pPr>
              <w:ind w:left="360"/>
              <w:spacing w:after="0"/>
              <w:rPr>
                <w:sz w:val="20"/>
                <w:szCs w:val="20"/>
                <w:color w:val="auto"/>
              </w:rPr>
            </w:pPr>
            <w:r>
              <w:rPr>
                <w:rFonts w:ascii="Arial" w:cs="Arial" w:eastAsia="Arial" w:hAnsi="Arial"/>
                <w:sz w:val="18"/>
                <w:szCs w:val="18"/>
                <w:color w:val="auto"/>
              </w:rPr>
              <w:t>Payments Generally; Administrative Agent’s Clawback</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2.13</w:t>
            </w:r>
          </w:p>
        </w:tc>
        <w:tc>
          <w:tcPr>
            <w:tcW w:w="10640" w:type="dxa"/>
            <w:vAlign w:val="bottom"/>
          </w:tcPr>
          <w:p>
            <w:pPr>
              <w:ind w:left="360"/>
              <w:spacing w:after="0"/>
              <w:rPr>
                <w:sz w:val="20"/>
                <w:szCs w:val="20"/>
                <w:color w:val="auto"/>
              </w:rPr>
            </w:pPr>
            <w:r>
              <w:rPr>
                <w:rFonts w:ascii="Arial" w:cs="Arial" w:eastAsia="Arial" w:hAnsi="Arial"/>
                <w:sz w:val="18"/>
                <w:szCs w:val="18"/>
                <w:color w:val="auto"/>
              </w:rPr>
              <w:t>Sharing of Payments by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2.14</w:t>
            </w:r>
          </w:p>
        </w:tc>
        <w:tc>
          <w:tcPr>
            <w:tcW w:w="10640" w:type="dxa"/>
            <w:vAlign w:val="bottom"/>
          </w:tcPr>
          <w:p>
            <w:pPr>
              <w:ind w:left="360"/>
              <w:spacing w:after="0"/>
              <w:rPr>
                <w:sz w:val="20"/>
                <w:szCs w:val="20"/>
                <w:color w:val="auto"/>
              </w:rPr>
            </w:pPr>
            <w:r>
              <w:rPr>
                <w:rFonts w:ascii="Arial" w:cs="Arial" w:eastAsia="Arial" w:hAnsi="Arial"/>
                <w:sz w:val="18"/>
                <w:szCs w:val="18"/>
                <w:color w:val="auto"/>
              </w:rPr>
              <w:t>Increase in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2.15</w:t>
            </w:r>
          </w:p>
        </w:tc>
        <w:tc>
          <w:tcPr>
            <w:tcW w:w="10640" w:type="dxa"/>
            <w:vAlign w:val="bottom"/>
          </w:tcPr>
          <w:p>
            <w:pPr>
              <w:ind w:left="360"/>
              <w:spacing w:after="0"/>
              <w:rPr>
                <w:sz w:val="20"/>
                <w:szCs w:val="20"/>
                <w:color w:val="auto"/>
              </w:rPr>
            </w:pPr>
            <w:r>
              <w:rPr>
                <w:rFonts w:ascii="Arial" w:cs="Arial" w:eastAsia="Arial" w:hAnsi="Arial"/>
                <w:sz w:val="18"/>
                <w:szCs w:val="18"/>
                <w:color w:val="auto"/>
              </w:rPr>
              <w:t>Cash Collateral</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2.16</w:t>
            </w:r>
          </w:p>
        </w:tc>
        <w:tc>
          <w:tcPr>
            <w:tcW w:w="10640" w:type="dxa"/>
            <w:vAlign w:val="bottom"/>
          </w:tcPr>
          <w:p>
            <w:pPr>
              <w:ind w:left="360"/>
              <w:spacing w:after="0"/>
              <w:rPr>
                <w:sz w:val="20"/>
                <w:szCs w:val="20"/>
                <w:color w:val="auto"/>
              </w:rPr>
            </w:pPr>
            <w:r>
              <w:rPr>
                <w:rFonts w:ascii="Arial" w:cs="Arial" w:eastAsia="Arial" w:hAnsi="Arial"/>
                <w:sz w:val="18"/>
                <w:szCs w:val="18"/>
                <w:color w:val="auto"/>
              </w:rPr>
              <w:t>Defaulting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2.17</w:t>
            </w:r>
          </w:p>
        </w:tc>
        <w:tc>
          <w:tcPr>
            <w:tcW w:w="10640" w:type="dxa"/>
            <w:vAlign w:val="bottom"/>
          </w:tcPr>
          <w:p>
            <w:pPr>
              <w:ind w:left="360"/>
              <w:spacing w:after="0"/>
              <w:rPr>
                <w:sz w:val="20"/>
                <w:szCs w:val="20"/>
                <w:color w:val="auto"/>
              </w:rPr>
            </w:pPr>
            <w:r>
              <w:rPr>
                <w:rFonts w:ascii="Arial" w:cs="Arial" w:eastAsia="Arial" w:hAnsi="Arial"/>
                <w:sz w:val="18"/>
                <w:szCs w:val="18"/>
                <w:color w:val="auto"/>
              </w:rPr>
              <w:t>Designated Borrowers</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26"/>
        </w:trPr>
        <w:tc>
          <w:tcPr>
            <w:tcW w:w="420" w:type="dxa"/>
            <w:vAlign w:val="bottom"/>
          </w:tcPr>
          <w:p>
            <w:pPr>
              <w:spacing w:after="0"/>
              <w:rPr>
                <w:sz w:val="24"/>
                <w:szCs w:val="24"/>
                <w:color w:val="auto"/>
              </w:rPr>
            </w:pPr>
          </w:p>
        </w:tc>
        <w:tc>
          <w:tcPr>
            <w:tcW w:w="10640" w:type="dxa"/>
            <w:vAlign w:val="bottom"/>
          </w:tcPr>
          <w:p>
            <w:pPr>
              <w:jc w:val="center"/>
              <w:ind w:right="72"/>
              <w:spacing w:after="0"/>
              <w:rPr>
                <w:sz w:val="20"/>
                <w:szCs w:val="20"/>
                <w:color w:val="auto"/>
              </w:rPr>
            </w:pPr>
            <w:r>
              <w:rPr>
                <w:rFonts w:ascii="Arial" w:cs="Arial" w:eastAsia="Arial" w:hAnsi="Arial"/>
                <w:sz w:val="18"/>
                <w:szCs w:val="18"/>
                <w:color w:val="auto"/>
                <w:w w:val="98"/>
              </w:rPr>
              <w:t>ARTICLE III.</w:t>
            </w:r>
          </w:p>
        </w:tc>
        <w:tc>
          <w:tcPr>
            <w:tcW w:w="26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10640" w:type="dxa"/>
            <w:vAlign w:val="bottom"/>
          </w:tcPr>
          <w:p>
            <w:pPr>
              <w:jc w:val="center"/>
              <w:ind w:right="72"/>
              <w:spacing w:after="0"/>
              <w:rPr>
                <w:sz w:val="20"/>
                <w:szCs w:val="20"/>
                <w:color w:val="auto"/>
              </w:rPr>
            </w:pPr>
            <w:r>
              <w:rPr>
                <w:rFonts w:ascii="Arial" w:cs="Arial" w:eastAsia="Arial" w:hAnsi="Arial"/>
                <w:sz w:val="18"/>
                <w:szCs w:val="18"/>
                <w:color w:val="auto"/>
                <w:w w:val="96"/>
              </w:rPr>
              <w:t>TAXES, YIELD PROTECTION AND ILLEGALITY</w:t>
            </w:r>
          </w:p>
        </w:tc>
        <w:tc>
          <w:tcPr>
            <w:tcW w:w="260" w:type="dxa"/>
            <w:vAlign w:val="bottom"/>
          </w:tcPr>
          <w:p>
            <w:pPr>
              <w:spacing w:after="0"/>
              <w:rPr>
                <w:sz w:val="19"/>
                <w:szCs w:val="19"/>
                <w:color w:val="auto"/>
              </w:rPr>
            </w:pPr>
          </w:p>
        </w:tc>
      </w:tr>
      <w:tr>
        <w:trPr>
          <w:trHeight w:val="318"/>
        </w:trPr>
        <w:tc>
          <w:tcPr>
            <w:tcW w:w="420" w:type="dxa"/>
            <w:vAlign w:val="bottom"/>
          </w:tcPr>
          <w:p>
            <w:pPr>
              <w:spacing w:after="0"/>
              <w:rPr>
                <w:sz w:val="20"/>
                <w:szCs w:val="20"/>
                <w:color w:val="auto"/>
              </w:rPr>
            </w:pPr>
            <w:r>
              <w:rPr>
                <w:rFonts w:ascii="Arial" w:cs="Arial" w:eastAsia="Arial" w:hAnsi="Arial"/>
                <w:sz w:val="18"/>
                <w:szCs w:val="18"/>
                <w:color w:val="auto"/>
              </w:rPr>
              <w:t>3.01</w:t>
            </w:r>
          </w:p>
        </w:tc>
        <w:tc>
          <w:tcPr>
            <w:tcW w:w="10640" w:type="dxa"/>
            <w:vAlign w:val="bottom"/>
          </w:tcPr>
          <w:p>
            <w:pPr>
              <w:ind w:left="36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3.02</w:t>
            </w:r>
          </w:p>
        </w:tc>
        <w:tc>
          <w:tcPr>
            <w:tcW w:w="10640" w:type="dxa"/>
            <w:vAlign w:val="bottom"/>
          </w:tcPr>
          <w:p>
            <w:pPr>
              <w:ind w:left="360"/>
              <w:spacing w:after="0"/>
              <w:rPr>
                <w:sz w:val="20"/>
                <w:szCs w:val="20"/>
                <w:color w:val="auto"/>
              </w:rPr>
            </w:pPr>
            <w:r>
              <w:rPr>
                <w:rFonts w:ascii="Arial" w:cs="Arial" w:eastAsia="Arial" w:hAnsi="Arial"/>
                <w:sz w:val="18"/>
                <w:szCs w:val="18"/>
                <w:color w:val="auto"/>
              </w:rPr>
              <w:t>Illegality</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3.03</w:t>
            </w:r>
          </w:p>
        </w:tc>
        <w:tc>
          <w:tcPr>
            <w:tcW w:w="10640" w:type="dxa"/>
            <w:vAlign w:val="bottom"/>
          </w:tcPr>
          <w:p>
            <w:pPr>
              <w:ind w:left="360"/>
              <w:spacing w:after="0"/>
              <w:rPr>
                <w:sz w:val="20"/>
                <w:szCs w:val="20"/>
                <w:color w:val="auto"/>
              </w:rPr>
            </w:pPr>
            <w:r>
              <w:rPr>
                <w:rFonts w:ascii="Arial" w:cs="Arial" w:eastAsia="Arial" w:hAnsi="Arial"/>
                <w:sz w:val="18"/>
                <w:szCs w:val="18"/>
                <w:color w:val="auto"/>
              </w:rPr>
              <w:t>Inability to Determine Rates</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3.04</w:t>
            </w:r>
          </w:p>
        </w:tc>
        <w:tc>
          <w:tcPr>
            <w:tcW w:w="10640" w:type="dxa"/>
            <w:vAlign w:val="bottom"/>
          </w:tcPr>
          <w:p>
            <w:pPr>
              <w:ind w:left="360"/>
              <w:spacing w:after="0"/>
              <w:rPr>
                <w:sz w:val="20"/>
                <w:szCs w:val="20"/>
                <w:color w:val="auto"/>
              </w:rPr>
            </w:pPr>
            <w:r>
              <w:rPr>
                <w:rFonts w:ascii="Arial" w:cs="Arial" w:eastAsia="Arial" w:hAnsi="Arial"/>
                <w:sz w:val="18"/>
                <w:szCs w:val="18"/>
                <w:color w:val="auto"/>
              </w:rPr>
              <w:t>Increased Costs; Reserves on Eurocurrency Rate Loans</w:t>
            </w:r>
          </w:p>
        </w:tc>
        <w:tc>
          <w:tcPr>
            <w:tcW w:w="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3.05</w:t>
            </w:r>
          </w:p>
        </w:tc>
        <w:tc>
          <w:tcPr>
            <w:tcW w:w="10640" w:type="dxa"/>
            <w:vAlign w:val="bottom"/>
          </w:tcPr>
          <w:p>
            <w:pPr>
              <w:ind w:left="360"/>
              <w:spacing w:after="0"/>
              <w:rPr>
                <w:sz w:val="20"/>
                <w:szCs w:val="20"/>
                <w:color w:val="auto"/>
              </w:rPr>
            </w:pPr>
            <w:r>
              <w:rPr>
                <w:rFonts w:ascii="Arial" w:cs="Arial" w:eastAsia="Arial" w:hAnsi="Arial"/>
                <w:sz w:val="18"/>
                <w:szCs w:val="18"/>
                <w:color w:val="auto"/>
              </w:rPr>
              <w:t>Compensation for Losses</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3.06</w:t>
            </w:r>
          </w:p>
        </w:tc>
        <w:tc>
          <w:tcPr>
            <w:tcW w:w="10640" w:type="dxa"/>
            <w:vAlign w:val="bottom"/>
          </w:tcPr>
          <w:p>
            <w:pPr>
              <w:ind w:left="360"/>
              <w:spacing w:after="0"/>
              <w:rPr>
                <w:sz w:val="20"/>
                <w:szCs w:val="20"/>
                <w:color w:val="auto"/>
              </w:rPr>
            </w:pPr>
            <w:r>
              <w:rPr>
                <w:rFonts w:ascii="Arial" w:cs="Arial" w:eastAsia="Arial" w:hAnsi="Arial"/>
                <w:sz w:val="18"/>
                <w:szCs w:val="18"/>
                <w:color w:val="auto"/>
              </w:rPr>
              <w:t>Mitigation Obligations; Replacement of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3.07</w:t>
            </w:r>
          </w:p>
        </w:tc>
        <w:tc>
          <w:tcPr>
            <w:tcW w:w="10640" w:type="dxa"/>
            <w:vAlign w:val="bottom"/>
          </w:tcPr>
          <w:p>
            <w:pPr>
              <w:ind w:left="360"/>
              <w:spacing w:after="0"/>
              <w:rPr>
                <w:sz w:val="20"/>
                <w:szCs w:val="20"/>
                <w:color w:val="auto"/>
              </w:rPr>
            </w:pPr>
            <w:r>
              <w:rPr>
                <w:rFonts w:ascii="Arial" w:cs="Arial" w:eastAsia="Arial" w:hAnsi="Arial"/>
                <w:sz w:val="18"/>
                <w:szCs w:val="18"/>
                <w:color w:val="auto"/>
              </w:rPr>
              <w:t>Survival</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8920" w:type="dxa"/>
            <w:vAlign w:val="bottom"/>
          </w:tcPr>
          <w:p>
            <w:pPr>
              <w:jc w:val="center"/>
              <w:ind w:left="1252"/>
              <w:spacing w:after="0"/>
              <w:rPr>
                <w:sz w:val="20"/>
                <w:szCs w:val="20"/>
                <w:color w:val="auto"/>
              </w:rPr>
            </w:pPr>
            <w:r>
              <w:rPr>
                <w:rFonts w:ascii="Arial" w:cs="Arial" w:eastAsia="Arial" w:hAnsi="Arial"/>
                <w:sz w:val="18"/>
                <w:szCs w:val="18"/>
                <w:color w:val="auto"/>
                <w:w w:val="95"/>
              </w:rPr>
              <w:t>ARTICLE IV.</w:t>
            </w:r>
          </w:p>
        </w:tc>
        <w:tc>
          <w:tcPr>
            <w:tcW w:w="186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8920" w:type="dxa"/>
            <w:vAlign w:val="bottom"/>
          </w:tcPr>
          <w:p>
            <w:pPr>
              <w:jc w:val="center"/>
              <w:ind w:left="1252"/>
              <w:spacing w:after="0"/>
              <w:rPr>
                <w:sz w:val="20"/>
                <w:szCs w:val="20"/>
                <w:color w:val="auto"/>
              </w:rPr>
            </w:pPr>
            <w:r>
              <w:rPr>
                <w:rFonts w:ascii="Arial" w:cs="Arial" w:eastAsia="Arial" w:hAnsi="Arial"/>
                <w:sz w:val="18"/>
                <w:szCs w:val="18"/>
                <w:color w:val="auto"/>
                <w:w w:val="93"/>
              </w:rPr>
              <w:t>CONDITIONS PRECEDENT TO CREDIT EXTENSIONS</w:t>
            </w:r>
          </w:p>
        </w:tc>
        <w:tc>
          <w:tcPr>
            <w:tcW w:w="1860" w:type="dxa"/>
            <w:vAlign w:val="bottom"/>
          </w:tcPr>
          <w:p>
            <w:pPr>
              <w:spacing w:after="0"/>
              <w:rPr>
                <w:sz w:val="19"/>
                <w:szCs w:val="19"/>
                <w:color w:val="auto"/>
              </w:rPr>
            </w:pPr>
          </w:p>
        </w:tc>
      </w:tr>
      <w:tr>
        <w:trPr>
          <w:trHeight w:val="318"/>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4.01</w:t>
            </w:r>
          </w:p>
        </w:tc>
        <w:tc>
          <w:tcPr>
            <w:tcW w:w="8920" w:type="dxa"/>
            <w:vAlign w:val="bottom"/>
          </w:tcPr>
          <w:p>
            <w:pPr>
              <w:ind w:left="240"/>
              <w:spacing w:after="0"/>
              <w:rPr>
                <w:sz w:val="20"/>
                <w:szCs w:val="20"/>
                <w:color w:val="auto"/>
              </w:rPr>
            </w:pPr>
            <w:r>
              <w:rPr>
                <w:rFonts w:ascii="Arial" w:cs="Arial" w:eastAsia="Arial" w:hAnsi="Arial"/>
                <w:sz w:val="18"/>
                <w:szCs w:val="18"/>
                <w:color w:val="auto"/>
              </w:rPr>
              <w:t>Conditions of Initial Credit Extension</w:t>
            </w:r>
          </w:p>
        </w:tc>
        <w:tc>
          <w:tcPr>
            <w:tcW w:w="1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2"/>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4.02</w:t>
            </w:r>
          </w:p>
        </w:tc>
        <w:tc>
          <w:tcPr>
            <w:tcW w:w="8920" w:type="dxa"/>
            <w:vAlign w:val="bottom"/>
          </w:tcPr>
          <w:p>
            <w:pPr>
              <w:ind w:left="240"/>
              <w:spacing w:after="0"/>
              <w:rPr>
                <w:sz w:val="20"/>
                <w:szCs w:val="20"/>
                <w:color w:val="auto"/>
              </w:rPr>
            </w:pPr>
            <w:r>
              <w:rPr>
                <w:rFonts w:ascii="Arial" w:cs="Arial" w:eastAsia="Arial" w:hAnsi="Arial"/>
                <w:sz w:val="18"/>
                <w:szCs w:val="18"/>
                <w:color w:val="auto"/>
              </w:rPr>
              <w:t>Conditions to all Credit Extensions</w:t>
            </w:r>
          </w:p>
        </w:tc>
        <w:tc>
          <w:tcPr>
            <w:tcW w:w="18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26"/>
        </w:trPr>
        <w:tc>
          <w:tcPr>
            <w:tcW w:w="540" w:type="dxa"/>
            <w:vAlign w:val="bottom"/>
          </w:tcPr>
          <w:p>
            <w:pPr>
              <w:spacing w:after="0"/>
              <w:rPr>
                <w:sz w:val="24"/>
                <w:szCs w:val="24"/>
                <w:color w:val="auto"/>
              </w:rPr>
            </w:pPr>
          </w:p>
        </w:tc>
        <w:tc>
          <w:tcPr>
            <w:tcW w:w="8920" w:type="dxa"/>
            <w:vAlign w:val="bottom"/>
          </w:tcPr>
          <w:p>
            <w:pPr>
              <w:jc w:val="center"/>
              <w:ind w:left="1232"/>
              <w:spacing w:after="0"/>
              <w:rPr>
                <w:sz w:val="20"/>
                <w:szCs w:val="20"/>
                <w:color w:val="auto"/>
              </w:rPr>
            </w:pPr>
            <w:r>
              <w:rPr>
                <w:rFonts w:ascii="Arial" w:cs="Arial" w:eastAsia="Arial" w:hAnsi="Arial"/>
                <w:sz w:val="18"/>
                <w:szCs w:val="18"/>
                <w:color w:val="auto"/>
                <w:w w:val="93"/>
              </w:rPr>
              <w:t>ARTICLE V.</w:t>
            </w:r>
          </w:p>
        </w:tc>
        <w:tc>
          <w:tcPr>
            <w:tcW w:w="186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8920" w:type="dxa"/>
            <w:vAlign w:val="bottom"/>
          </w:tcPr>
          <w:p>
            <w:pPr>
              <w:jc w:val="center"/>
              <w:ind w:left="1232"/>
              <w:spacing w:after="0"/>
              <w:rPr>
                <w:sz w:val="20"/>
                <w:szCs w:val="20"/>
                <w:color w:val="auto"/>
              </w:rPr>
            </w:pPr>
            <w:r>
              <w:rPr>
                <w:rFonts w:ascii="Arial" w:cs="Arial" w:eastAsia="Arial" w:hAnsi="Arial"/>
                <w:sz w:val="18"/>
                <w:szCs w:val="18"/>
                <w:color w:val="auto"/>
                <w:w w:val="92"/>
              </w:rPr>
              <w:t>REPRESENTATIONS AND WARRANTIES</w:t>
            </w:r>
          </w:p>
        </w:tc>
        <w:tc>
          <w:tcPr>
            <w:tcW w:w="1860" w:type="dxa"/>
            <w:vAlign w:val="bottom"/>
          </w:tcPr>
          <w:p>
            <w:pPr>
              <w:spacing w:after="0"/>
              <w:rPr>
                <w:sz w:val="19"/>
                <w:szCs w:val="19"/>
                <w:color w:val="auto"/>
              </w:rPr>
            </w:pPr>
          </w:p>
        </w:tc>
      </w:tr>
      <w:tr>
        <w:trPr>
          <w:trHeight w:val="318"/>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5.01</w:t>
            </w:r>
          </w:p>
        </w:tc>
        <w:tc>
          <w:tcPr>
            <w:tcW w:w="8920" w:type="dxa"/>
            <w:vAlign w:val="bottom"/>
          </w:tcPr>
          <w:p>
            <w:pPr>
              <w:ind w:left="240"/>
              <w:spacing w:after="0"/>
              <w:rPr>
                <w:sz w:val="20"/>
                <w:szCs w:val="20"/>
                <w:color w:val="auto"/>
              </w:rPr>
            </w:pPr>
            <w:r>
              <w:rPr>
                <w:rFonts w:ascii="Arial" w:cs="Arial" w:eastAsia="Arial" w:hAnsi="Arial"/>
                <w:sz w:val="18"/>
                <w:szCs w:val="18"/>
                <w:color w:val="auto"/>
              </w:rPr>
              <w:t>Existence, Qualification and Power</w:t>
            </w:r>
          </w:p>
        </w:tc>
        <w:tc>
          <w:tcPr>
            <w:tcW w:w="18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5.02</w:t>
            </w:r>
          </w:p>
        </w:tc>
        <w:tc>
          <w:tcPr>
            <w:tcW w:w="8920" w:type="dxa"/>
            <w:vAlign w:val="bottom"/>
          </w:tcPr>
          <w:p>
            <w:pPr>
              <w:ind w:left="240"/>
              <w:spacing w:after="0"/>
              <w:rPr>
                <w:sz w:val="20"/>
                <w:szCs w:val="20"/>
                <w:color w:val="auto"/>
              </w:rPr>
            </w:pPr>
            <w:r>
              <w:rPr>
                <w:rFonts w:ascii="Arial" w:cs="Arial" w:eastAsia="Arial" w:hAnsi="Arial"/>
                <w:sz w:val="18"/>
                <w:szCs w:val="18"/>
                <w:color w:val="auto"/>
              </w:rPr>
              <w:t>Authorization; No Contravention</w:t>
            </w:r>
          </w:p>
        </w:tc>
        <w:tc>
          <w:tcPr>
            <w:tcW w:w="1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5.03</w:t>
            </w:r>
          </w:p>
        </w:tc>
        <w:tc>
          <w:tcPr>
            <w:tcW w:w="8920" w:type="dxa"/>
            <w:vAlign w:val="bottom"/>
          </w:tcPr>
          <w:p>
            <w:pPr>
              <w:ind w:left="240"/>
              <w:spacing w:after="0"/>
              <w:rPr>
                <w:sz w:val="20"/>
                <w:szCs w:val="20"/>
                <w:color w:val="auto"/>
              </w:rPr>
            </w:pPr>
            <w:r>
              <w:rPr>
                <w:rFonts w:ascii="Arial" w:cs="Arial" w:eastAsia="Arial" w:hAnsi="Arial"/>
                <w:sz w:val="18"/>
                <w:szCs w:val="18"/>
                <w:color w:val="auto"/>
              </w:rPr>
              <w:t>Governmental Authorization; Other Consents</w:t>
            </w:r>
          </w:p>
        </w:tc>
        <w:tc>
          <w:tcPr>
            <w:tcW w:w="1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5.04</w:t>
            </w:r>
          </w:p>
        </w:tc>
        <w:tc>
          <w:tcPr>
            <w:tcW w:w="8920" w:type="dxa"/>
            <w:vAlign w:val="bottom"/>
          </w:tcPr>
          <w:p>
            <w:pPr>
              <w:ind w:left="240"/>
              <w:spacing w:after="0"/>
              <w:rPr>
                <w:sz w:val="20"/>
                <w:szCs w:val="20"/>
                <w:color w:val="auto"/>
              </w:rPr>
            </w:pPr>
            <w:r>
              <w:rPr>
                <w:rFonts w:ascii="Arial" w:cs="Arial" w:eastAsia="Arial" w:hAnsi="Arial"/>
                <w:sz w:val="18"/>
                <w:szCs w:val="18"/>
                <w:color w:val="auto"/>
              </w:rPr>
              <w:t>Binding Effect</w:t>
            </w:r>
          </w:p>
        </w:tc>
        <w:tc>
          <w:tcPr>
            <w:tcW w:w="1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5.05</w:t>
            </w:r>
          </w:p>
        </w:tc>
        <w:tc>
          <w:tcPr>
            <w:tcW w:w="8920" w:type="dxa"/>
            <w:vAlign w:val="bottom"/>
          </w:tcPr>
          <w:p>
            <w:pPr>
              <w:ind w:left="240"/>
              <w:spacing w:after="0"/>
              <w:rPr>
                <w:sz w:val="20"/>
                <w:szCs w:val="20"/>
                <w:color w:val="auto"/>
              </w:rPr>
            </w:pPr>
            <w:r>
              <w:rPr>
                <w:rFonts w:ascii="Arial" w:cs="Arial" w:eastAsia="Arial" w:hAnsi="Arial"/>
                <w:sz w:val="18"/>
                <w:szCs w:val="18"/>
                <w:color w:val="auto"/>
              </w:rPr>
              <w:t>Financial Statements; No Material Adverse Effect</w:t>
            </w:r>
          </w:p>
        </w:tc>
        <w:tc>
          <w:tcPr>
            <w:tcW w:w="1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5.06</w:t>
            </w:r>
          </w:p>
        </w:tc>
        <w:tc>
          <w:tcPr>
            <w:tcW w:w="892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1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5.07</w:t>
            </w:r>
          </w:p>
        </w:tc>
        <w:tc>
          <w:tcPr>
            <w:tcW w:w="8920" w:type="dxa"/>
            <w:vAlign w:val="bottom"/>
          </w:tcPr>
          <w:p>
            <w:pPr>
              <w:ind w:left="240"/>
              <w:spacing w:after="0"/>
              <w:rPr>
                <w:sz w:val="20"/>
                <w:szCs w:val="20"/>
                <w:color w:val="auto"/>
              </w:rPr>
            </w:pPr>
            <w:r>
              <w:rPr>
                <w:rFonts w:ascii="Arial" w:cs="Arial" w:eastAsia="Arial" w:hAnsi="Arial"/>
                <w:sz w:val="18"/>
                <w:szCs w:val="18"/>
                <w:color w:val="auto"/>
              </w:rPr>
              <w:t>No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5.08</w:t>
            </w:r>
          </w:p>
        </w:tc>
        <w:tc>
          <w:tcPr>
            <w:tcW w:w="8920" w:type="dxa"/>
            <w:vAlign w:val="bottom"/>
          </w:tcPr>
          <w:p>
            <w:pPr>
              <w:ind w:left="240"/>
              <w:spacing w:after="0"/>
              <w:rPr>
                <w:sz w:val="20"/>
                <w:szCs w:val="20"/>
                <w:color w:val="auto"/>
              </w:rPr>
            </w:pPr>
            <w:r>
              <w:rPr>
                <w:rFonts w:ascii="Arial" w:cs="Arial" w:eastAsia="Arial" w:hAnsi="Arial"/>
                <w:sz w:val="18"/>
                <w:szCs w:val="18"/>
                <w:color w:val="auto"/>
              </w:rPr>
              <w:t>Ownership of Property; Liens</w:t>
            </w:r>
          </w:p>
        </w:tc>
        <w:tc>
          <w:tcPr>
            <w:tcW w:w="1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5.09</w:t>
            </w:r>
          </w:p>
        </w:tc>
        <w:tc>
          <w:tcPr>
            <w:tcW w:w="8920" w:type="dxa"/>
            <w:vAlign w:val="bottom"/>
          </w:tcPr>
          <w:p>
            <w:pPr>
              <w:ind w:left="240"/>
              <w:spacing w:after="0"/>
              <w:rPr>
                <w:sz w:val="20"/>
                <w:szCs w:val="20"/>
                <w:color w:val="auto"/>
              </w:rPr>
            </w:pPr>
            <w:r>
              <w:rPr>
                <w:rFonts w:ascii="Arial" w:cs="Arial" w:eastAsia="Arial" w:hAnsi="Arial"/>
                <w:sz w:val="18"/>
                <w:szCs w:val="18"/>
                <w:color w:val="auto"/>
              </w:rPr>
              <w:t>Environmental Compliance</w:t>
            </w:r>
          </w:p>
        </w:tc>
        <w:tc>
          <w:tcPr>
            <w:tcW w:w="1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5.10</w:t>
            </w:r>
          </w:p>
        </w:tc>
        <w:tc>
          <w:tcPr>
            <w:tcW w:w="89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40" w:type="dxa"/>
            <w:vAlign w:val="bottom"/>
          </w:tcPr>
          <w:p>
            <w:pPr>
              <w:jc w:val="right"/>
              <w:ind w:right="152"/>
              <w:spacing w:after="0"/>
              <w:rPr>
                <w:sz w:val="20"/>
                <w:szCs w:val="20"/>
                <w:color w:val="auto"/>
              </w:rPr>
            </w:pPr>
            <w:r>
              <w:rPr>
                <w:rFonts w:ascii="Arial" w:cs="Arial" w:eastAsia="Arial" w:hAnsi="Arial"/>
                <w:sz w:val="18"/>
                <w:szCs w:val="18"/>
                <w:color w:val="auto"/>
                <w:w w:val="79"/>
              </w:rPr>
              <w:t>5.11</w:t>
            </w:r>
          </w:p>
        </w:tc>
        <w:tc>
          <w:tcPr>
            <w:tcW w:w="8920" w:type="dxa"/>
            <w:vAlign w:val="bottom"/>
          </w:tcPr>
          <w:p>
            <w:pPr>
              <w:ind w:left="240"/>
              <w:spacing w:after="0"/>
              <w:rPr>
                <w:sz w:val="20"/>
                <w:szCs w:val="20"/>
                <w:color w:val="auto"/>
              </w:rPr>
            </w:pPr>
            <w:r>
              <w:rPr>
                <w:rFonts w:ascii="Arial" w:cs="Arial" w:eastAsia="Arial" w:hAnsi="Arial"/>
                <w:sz w:val="18"/>
                <w:szCs w:val="18"/>
                <w:color w:val="auto"/>
              </w:rPr>
              <w:t>Taxes</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5.12</w:t>
            </w:r>
          </w:p>
        </w:tc>
        <w:tc>
          <w:tcPr>
            <w:tcW w:w="8920" w:type="dxa"/>
            <w:vAlign w:val="bottom"/>
          </w:tcPr>
          <w:p>
            <w:pPr>
              <w:ind w:left="240"/>
              <w:spacing w:after="0"/>
              <w:rPr>
                <w:sz w:val="20"/>
                <w:szCs w:val="20"/>
                <w:color w:val="auto"/>
              </w:rPr>
            </w:pPr>
            <w:r>
              <w:rPr>
                <w:rFonts w:ascii="Arial" w:cs="Arial" w:eastAsia="Arial" w:hAnsi="Arial"/>
                <w:sz w:val="18"/>
                <w:szCs w:val="18"/>
                <w:color w:val="auto"/>
              </w:rPr>
              <w:t>ERISA Compliance</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5.13</w:t>
            </w:r>
          </w:p>
        </w:tc>
        <w:tc>
          <w:tcPr>
            <w:tcW w:w="8920" w:type="dxa"/>
            <w:vAlign w:val="bottom"/>
          </w:tcPr>
          <w:p>
            <w:pPr>
              <w:ind w:left="240"/>
              <w:spacing w:after="0"/>
              <w:rPr>
                <w:sz w:val="20"/>
                <w:szCs w:val="20"/>
                <w:color w:val="auto"/>
              </w:rPr>
            </w:pPr>
            <w:r>
              <w:rPr>
                <w:rFonts w:ascii="Arial" w:cs="Arial" w:eastAsia="Arial" w:hAnsi="Arial"/>
                <w:sz w:val="18"/>
                <w:szCs w:val="18"/>
                <w:color w:val="auto"/>
              </w:rPr>
              <w:t>Subsidiaries; Equity Interests</w:t>
            </w:r>
          </w:p>
        </w:tc>
        <w:tc>
          <w:tcPr>
            <w:tcW w:w="1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5.14</w:t>
            </w:r>
          </w:p>
        </w:tc>
        <w:tc>
          <w:tcPr>
            <w:tcW w:w="8920" w:type="dxa"/>
            <w:vAlign w:val="bottom"/>
          </w:tcPr>
          <w:p>
            <w:pPr>
              <w:ind w:left="240"/>
              <w:spacing w:after="0"/>
              <w:rPr>
                <w:sz w:val="20"/>
                <w:szCs w:val="20"/>
                <w:color w:val="auto"/>
              </w:rPr>
            </w:pPr>
            <w:r>
              <w:rPr>
                <w:rFonts w:ascii="Arial" w:cs="Arial" w:eastAsia="Arial" w:hAnsi="Arial"/>
                <w:sz w:val="18"/>
                <w:szCs w:val="18"/>
                <w:color w:val="auto"/>
              </w:rPr>
              <w:t>Margin Regulations; Investment Company Act</w:t>
            </w:r>
          </w:p>
        </w:tc>
        <w:tc>
          <w:tcPr>
            <w:tcW w:w="1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5.15</w:t>
            </w:r>
          </w:p>
        </w:tc>
        <w:tc>
          <w:tcPr>
            <w:tcW w:w="8920" w:type="dxa"/>
            <w:vAlign w:val="bottom"/>
          </w:tcPr>
          <w:p>
            <w:pPr>
              <w:ind w:left="240"/>
              <w:spacing w:after="0"/>
              <w:rPr>
                <w:sz w:val="20"/>
                <w:szCs w:val="20"/>
                <w:color w:val="auto"/>
              </w:rPr>
            </w:pPr>
            <w:r>
              <w:rPr>
                <w:rFonts w:ascii="Arial" w:cs="Arial" w:eastAsia="Arial" w:hAnsi="Arial"/>
                <w:sz w:val="18"/>
                <w:szCs w:val="18"/>
                <w:color w:val="auto"/>
              </w:rPr>
              <w:t>Copyrights, Patents, Trademarks and Licenses, Etc</w:t>
            </w:r>
          </w:p>
        </w:tc>
        <w:tc>
          <w:tcPr>
            <w:tcW w:w="1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5.16</w:t>
            </w:r>
          </w:p>
        </w:tc>
        <w:tc>
          <w:tcPr>
            <w:tcW w:w="892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1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5.17</w:t>
            </w:r>
          </w:p>
        </w:tc>
        <w:tc>
          <w:tcPr>
            <w:tcW w:w="892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18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5.18</w:t>
            </w:r>
          </w:p>
        </w:tc>
        <w:tc>
          <w:tcPr>
            <w:tcW w:w="8920" w:type="dxa"/>
            <w:vAlign w:val="bottom"/>
          </w:tcPr>
          <w:p>
            <w:pPr>
              <w:ind w:left="240"/>
              <w:spacing w:after="0"/>
              <w:rPr>
                <w:sz w:val="20"/>
                <w:szCs w:val="20"/>
                <w:color w:val="auto"/>
              </w:rPr>
            </w:pPr>
            <w:r>
              <w:rPr>
                <w:rFonts w:ascii="Arial" w:cs="Arial" w:eastAsia="Arial" w:hAnsi="Arial"/>
                <w:sz w:val="18"/>
                <w:szCs w:val="18"/>
                <w:color w:val="auto"/>
              </w:rPr>
              <w:t>Representations as to Foreign Obligors</w:t>
            </w:r>
          </w:p>
        </w:tc>
        <w:tc>
          <w:tcPr>
            <w:tcW w:w="18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2"/>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5.19</w:t>
            </w:r>
          </w:p>
        </w:tc>
        <w:tc>
          <w:tcPr>
            <w:tcW w:w="8920" w:type="dxa"/>
            <w:vAlign w:val="bottom"/>
          </w:tcPr>
          <w:p>
            <w:pPr>
              <w:ind w:left="240"/>
              <w:spacing w:after="0"/>
              <w:rPr>
                <w:sz w:val="20"/>
                <w:szCs w:val="20"/>
                <w:color w:val="auto"/>
              </w:rPr>
            </w:pPr>
            <w:r>
              <w:rPr>
                <w:rFonts w:ascii="Arial" w:cs="Arial" w:eastAsia="Arial" w:hAnsi="Arial"/>
                <w:sz w:val="18"/>
                <w:szCs w:val="18"/>
                <w:color w:val="auto"/>
              </w:rPr>
              <w:t>Taxpayer Identification Number; Other Identifying Information</w:t>
            </w:r>
          </w:p>
        </w:tc>
        <w:tc>
          <w:tcPr>
            <w:tcW w:w="18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26"/>
        </w:trPr>
        <w:tc>
          <w:tcPr>
            <w:tcW w:w="540" w:type="dxa"/>
            <w:vAlign w:val="bottom"/>
          </w:tcPr>
          <w:p>
            <w:pPr>
              <w:spacing w:after="0"/>
              <w:rPr>
                <w:sz w:val="24"/>
                <w:szCs w:val="24"/>
                <w:color w:val="auto"/>
              </w:rPr>
            </w:pPr>
          </w:p>
        </w:tc>
        <w:tc>
          <w:tcPr>
            <w:tcW w:w="8920" w:type="dxa"/>
            <w:vAlign w:val="bottom"/>
          </w:tcPr>
          <w:p>
            <w:pPr>
              <w:jc w:val="center"/>
              <w:ind w:left="1232"/>
              <w:spacing w:after="0"/>
              <w:rPr>
                <w:sz w:val="20"/>
                <w:szCs w:val="20"/>
                <w:color w:val="auto"/>
              </w:rPr>
            </w:pPr>
            <w:r>
              <w:rPr>
                <w:rFonts w:ascii="Arial" w:cs="Arial" w:eastAsia="Arial" w:hAnsi="Arial"/>
                <w:sz w:val="18"/>
                <w:szCs w:val="18"/>
                <w:color w:val="auto"/>
                <w:w w:val="97"/>
              </w:rPr>
              <w:t>ARTICLE VI.</w:t>
            </w:r>
          </w:p>
        </w:tc>
        <w:tc>
          <w:tcPr>
            <w:tcW w:w="186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8920" w:type="dxa"/>
            <w:vAlign w:val="bottom"/>
          </w:tcPr>
          <w:p>
            <w:pPr>
              <w:jc w:val="center"/>
              <w:ind w:left="1252"/>
              <w:spacing w:after="0"/>
              <w:rPr>
                <w:sz w:val="20"/>
                <w:szCs w:val="20"/>
                <w:color w:val="auto"/>
              </w:rPr>
            </w:pPr>
            <w:r>
              <w:rPr>
                <w:rFonts w:ascii="Arial" w:cs="Arial" w:eastAsia="Arial" w:hAnsi="Arial"/>
                <w:sz w:val="18"/>
                <w:szCs w:val="18"/>
                <w:color w:val="auto"/>
                <w:w w:val="95"/>
              </w:rPr>
              <w:t>AFFIRMATIVE COVENANTS</w:t>
            </w:r>
          </w:p>
        </w:tc>
        <w:tc>
          <w:tcPr>
            <w:tcW w:w="1860" w:type="dxa"/>
            <w:vAlign w:val="bottom"/>
          </w:tcPr>
          <w:p>
            <w:pPr>
              <w:spacing w:after="0"/>
              <w:rPr>
                <w:sz w:val="19"/>
                <w:szCs w:val="19"/>
                <w:color w:val="auto"/>
              </w:rPr>
            </w:pPr>
          </w:p>
        </w:tc>
      </w:tr>
      <w:tr>
        <w:trPr>
          <w:trHeight w:val="318"/>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6.01</w:t>
            </w:r>
          </w:p>
        </w:tc>
        <w:tc>
          <w:tcPr>
            <w:tcW w:w="892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18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6.02</w:t>
            </w:r>
          </w:p>
        </w:tc>
        <w:tc>
          <w:tcPr>
            <w:tcW w:w="8920" w:type="dxa"/>
            <w:vAlign w:val="bottom"/>
          </w:tcPr>
          <w:p>
            <w:pPr>
              <w:ind w:left="240"/>
              <w:spacing w:after="0"/>
              <w:rPr>
                <w:sz w:val="20"/>
                <w:szCs w:val="20"/>
                <w:color w:val="auto"/>
              </w:rPr>
            </w:pPr>
            <w:r>
              <w:rPr>
                <w:rFonts w:ascii="Arial" w:cs="Arial" w:eastAsia="Arial" w:hAnsi="Arial"/>
                <w:sz w:val="18"/>
                <w:szCs w:val="18"/>
                <w:color w:val="auto"/>
              </w:rPr>
              <w:t>Certificates; Other Information</w:t>
            </w:r>
          </w:p>
        </w:tc>
        <w:tc>
          <w:tcPr>
            <w:tcW w:w="18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6.03</w:t>
            </w:r>
          </w:p>
        </w:tc>
        <w:tc>
          <w:tcPr>
            <w:tcW w:w="8920" w:type="dxa"/>
            <w:vAlign w:val="bottom"/>
          </w:tcPr>
          <w:p>
            <w:pPr>
              <w:ind w:left="240"/>
              <w:spacing w:after="0"/>
              <w:rPr>
                <w:sz w:val="20"/>
                <w:szCs w:val="20"/>
                <w:color w:val="auto"/>
              </w:rPr>
            </w:pPr>
            <w:r>
              <w:rPr>
                <w:rFonts w:ascii="Arial" w:cs="Arial" w:eastAsia="Arial" w:hAnsi="Arial"/>
                <w:sz w:val="18"/>
                <w:szCs w:val="18"/>
                <w:color w:val="auto"/>
              </w:rPr>
              <w:t>Notices</w:t>
            </w:r>
          </w:p>
        </w:tc>
        <w:tc>
          <w:tcPr>
            <w:tcW w:w="18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6.04</w:t>
            </w:r>
          </w:p>
        </w:tc>
        <w:tc>
          <w:tcPr>
            <w:tcW w:w="8920" w:type="dxa"/>
            <w:vAlign w:val="bottom"/>
          </w:tcPr>
          <w:p>
            <w:pPr>
              <w:ind w:left="240"/>
              <w:spacing w:after="0"/>
              <w:rPr>
                <w:sz w:val="20"/>
                <w:szCs w:val="20"/>
                <w:color w:val="auto"/>
              </w:rPr>
            </w:pPr>
            <w:r>
              <w:rPr>
                <w:rFonts w:ascii="Arial" w:cs="Arial" w:eastAsia="Arial" w:hAnsi="Arial"/>
                <w:sz w:val="18"/>
                <w:szCs w:val="18"/>
                <w:color w:val="auto"/>
              </w:rPr>
              <w:t>[Intentionally Deleted.]</w:t>
            </w:r>
          </w:p>
        </w:tc>
        <w:tc>
          <w:tcPr>
            <w:tcW w:w="18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6.05</w:t>
            </w:r>
          </w:p>
        </w:tc>
        <w:tc>
          <w:tcPr>
            <w:tcW w:w="8920" w:type="dxa"/>
            <w:vAlign w:val="bottom"/>
          </w:tcPr>
          <w:p>
            <w:pPr>
              <w:ind w:left="240"/>
              <w:spacing w:after="0"/>
              <w:rPr>
                <w:sz w:val="20"/>
                <w:szCs w:val="20"/>
                <w:color w:val="auto"/>
              </w:rPr>
            </w:pPr>
            <w:r>
              <w:rPr>
                <w:rFonts w:ascii="Arial" w:cs="Arial" w:eastAsia="Arial" w:hAnsi="Arial"/>
                <w:sz w:val="18"/>
                <w:szCs w:val="18"/>
                <w:color w:val="auto"/>
              </w:rPr>
              <w:t>Preservation of Existence, Etc</w:t>
            </w:r>
          </w:p>
        </w:tc>
        <w:tc>
          <w:tcPr>
            <w:tcW w:w="18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6.06</w:t>
            </w:r>
          </w:p>
        </w:tc>
        <w:tc>
          <w:tcPr>
            <w:tcW w:w="892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18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6.07</w:t>
            </w:r>
          </w:p>
        </w:tc>
        <w:tc>
          <w:tcPr>
            <w:tcW w:w="8920" w:type="dxa"/>
            <w:vAlign w:val="bottom"/>
          </w:tcPr>
          <w:p>
            <w:pPr>
              <w:ind w:left="240"/>
              <w:spacing w:after="0"/>
              <w:rPr>
                <w:sz w:val="20"/>
                <w:szCs w:val="20"/>
                <w:color w:val="auto"/>
              </w:rPr>
            </w:pPr>
            <w:r>
              <w:rPr>
                <w:rFonts w:ascii="Arial" w:cs="Arial" w:eastAsia="Arial" w:hAnsi="Arial"/>
                <w:sz w:val="18"/>
                <w:szCs w:val="18"/>
                <w:color w:val="auto"/>
              </w:rPr>
              <w:t>Maintenance of 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6.08</w:t>
            </w:r>
          </w:p>
        </w:tc>
        <w:tc>
          <w:tcPr>
            <w:tcW w:w="8920" w:type="dxa"/>
            <w:vAlign w:val="bottom"/>
          </w:tcPr>
          <w:p>
            <w:pPr>
              <w:ind w:left="240"/>
              <w:spacing w:after="0"/>
              <w:rPr>
                <w:sz w:val="20"/>
                <w:szCs w:val="20"/>
                <w:color w:val="auto"/>
              </w:rPr>
            </w:pPr>
            <w:r>
              <w:rPr>
                <w:rFonts w:ascii="Arial" w:cs="Arial" w:eastAsia="Arial" w:hAnsi="Arial"/>
                <w:sz w:val="18"/>
                <w:szCs w:val="18"/>
                <w:color w:val="auto"/>
              </w:rPr>
              <w:t>Compliance with Laws and Contractual Obligations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6.09</w:t>
            </w:r>
          </w:p>
        </w:tc>
        <w:tc>
          <w:tcPr>
            <w:tcW w:w="8920" w:type="dxa"/>
            <w:vAlign w:val="bottom"/>
          </w:tcPr>
          <w:p>
            <w:pPr>
              <w:ind w:left="240"/>
              <w:spacing w:after="0"/>
              <w:rPr>
                <w:sz w:val="20"/>
                <w:szCs w:val="20"/>
                <w:color w:val="auto"/>
              </w:rPr>
            </w:pPr>
            <w:r>
              <w:rPr>
                <w:rFonts w:ascii="Arial" w:cs="Arial" w:eastAsia="Arial" w:hAnsi="Arial"/>
                <w:sz w:val="18"/>
                <w:szCs w:val="18"/>
                <w:color w:val="auto"/>
              </w:rPr>
              <w:t>Books and Records</w:t>
            </w:r>
          </w:p>
        </w:tc>
        <w:tc>
          <w:tcPr>
            <w:tcW w:w="18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6.10</w:t>
            </w:r>
          </w:p>
        </w:tc>
        <w:tc>
          <w:tcPr>
            <w:tcW w:w="8920" w:type="dxa"/>
            <w:vAlign w:val="bottom"/>
          </w:tcPr>
          <w:p>
            <w:pPr>
              <w:ind w:left="240"/>
              <w:spacing w:after="0"/>
              <w:rPr>
                <w:sz w:val="20"/>
                <w:szCs w:val="20"/>
                <w:color w:val="auto"/>
              </w:rPr>
            </w:pPr>
            <w:r>
              <w:rPr>
                <w:rFonts w:ascii="Arial" w:cs="Arial" w:eastAsia="Arial" w:hAnsi="Arial"/>
                <w:sz w:val="18"/>
                <w:szCs w:val="18"/>
                <w:color w:val="auto"/>
              </w:rPr>
              <w:t>Inspection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40" w:type="dxa"/>
            <w:vAlign w:val="bottom"/>
          </w:tcPr>
          <w:p>
            <w:pPr>
              <w:jc w:val="right"/>
              <w:ind w:right="152"/>
              <w:spacing w:after="0"/>
              <w:rPr>
                <w:sz w:val="20"/>
                <w:szCs w:val="20"/>
                <w:color w:val="auto"/>
              </w:rPr>
            </w:pPr>
            <w:r>
              <w:rPr>
                <w:rFonts w:ascii="Arial" w:cs="Arial" w:eastAsia="Arial" w:hAnsi="Arial"/>
                <w:sz w:val="18"/>
                <w:szCs w:val="18"/>
                <w:color w:val="auto"/>
                <w:w w:val="79"/>
              </w:rPr>
              <w:t>6.11</w:t>
            </w:r>
          </w:p>
        </w:tc>
        <w:tc>
          <w:tcPr>
            <w:tcW w:w="892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18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2"/>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6.12</w:t>
            </w:r>
          </w:p>
        </w:tc>
        <w:tc>
          <w:tcPr>
            <w:tcW w:w="8920" w:type="dxa"/>
            <w:vAlign w:val="bottom"/>
          </w:tcPr>
          <w:p>
            <w:pPr>
              <w:ind w:left="240"/>
              <w:spacing w:after="0"/>
              <w:rPr>
                <w:sz w:val="20"/>
                <w:szCs w:val="20"/>
                <w:color w:val="auto"/>
              </w:rPr>
            </w:pPr>
            <w:r>
              <w:rPr>
                <w:rFonts w:ascii="Arial" w:cs="Arial" w:eastAsia="Arial" w:hAnsi="Arial"/>
                <w:sz w:val="18"/>
                <w:szCs w:val="18"/>
                <w:color w:val="auto"/>
              </w:rPr>
              <w:t>Approvals and Authorizations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8580" w:type="dxa"/>
            <w:vAlign w:val="bottom"/>
          </w:tcPr>
          <w:p>
            <w:pPr>
              <w:jc w:val="center"/>
              <w:ind w:left="1472"/>
              <w:spacing w:after="0"/>
              <w:rPr>
                <w:sz w:val="20"/>
                <w:szCs w:val="20"/>
                <w:color w:val="auto"/>
              </w:rPr>
            </w:pPr>
            <w:r>
              <w:rPr>
                <w:rFonts w:ascii="Arial" w:cs="Arial" w:eastAsia="Arial" w:hAnsi="Arial"/>
                <w:sz w:val="18"/>
                <w:szCs w:val="18"/>
                <w:color w:val="auto"/>
                <w:w w:val="98"/>
              </w:rPr>
              <w:t>ARTICLE VII.</w:t>
            </w:r>
          </w:p>
        </w:tc>
        <w:tc>
          <w:tcPr>
            <w:tcW w:w="2140" w:type="dxa"/>
            <w:vAlign w:val="bottom"/>
          </w:tcPr>
          <w:p>
            <w:pPr>
              <w:spacing w:after="0"/>
              <w:rPr>
                <w:sz w:val="18"/>
                <w:szCs w:val="18"/>
                <w:color w:val="auto"/>
              </w:rPr>
            </w:pPr>
          </w:p>
        </w:tc>
      </w:tr>
      <w:tr>
        <w:trPr>
          <w:trHeight w:val="222"/>
        </w:trPr>
        <w:tc>
          <w:tcPr>
            <w:tcW w:w="600" w:type="dxa"/>
            <w:vAlign w:val="bottom"/>
          </w:tcPr>
          <w:p>
            <w:pPr>
              <w:spacing w:after="0"/>
              <w:rPr>
                <w:sz w:val="19"/>
                <w:szCs w:val="19"/>
                <w:color w:val="auto"/>
              </w:rPr>
            </w:pPr>
          </w:p>
        </w:tc>
        <w:tc>
          <w:tcPr>
            <w:tcW w:w="8580" w:type="dxa"/>
            <w:vAlign w:val="bottom"/>
          </w:tcPr>
          <w:p>
            <w:pPr>
              <w:jc w:val="center"/>
              <w:ind w:left="1472"/>
              <w:spacing w:after="0"/>
              <w:rPr>
                <w:sz w:val="20"/>
                <w:szCs w:val="20"/>
                <w:color w:val="auto"/>
              </w:rPr>
            </w:pPr>
            <w:r>
              <w:rPr>
                <w:rFonts w:ascii="Arial" w:cs="Arial" w:eastAsia="Arial" w:hAnsi="Arial"/>
                <w:sz w:val="18"/>
                <w:szCs w:val="18"/>
                <w:color w:val="auto"/>
                <w:w w:val="95"/>
              </w:rPr>
              <w:t>NEGATIVE COVENANTS</w:t>
            </w:r>
          </w:p>
        </w:tc>
        <w:tc>
          <w:tcPr>
            <w:tcW w:w="2140" w:type="dxa"/>
            <w:vAlign w:val="bottom"/>
          </w:tcPr>
          <w:p>
            <w:pPr>
              <w:spacing w:after="0"/>
              <w:rPr>
                <w:sz w:val="19"/>
                <w:szCs w:val="19"/>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7.01</w:t>
            </w:r>
          </w:p>
        </w:tc>
        <w:tc>
          <w:tcPr>
            <w:tcW w:w="8580" w:type="dxa"/>
            <w:vAlign w:val="bottom"/>
          </w:tcPr>
          <w:p>
            <w:pPr>
              <w:ind w:left="180"/>
              <w:spacing w:after="0"/>
              <w:rPr>
                <w:sz w:val="20"/>
                <w:szCs w:val="20"/>
                <w:color w:val="auto"/>
              </w:rPr>
            </w:pPr>
            <w:r>
              <w:rPr>
                <w:rFonts w:ascii="Arial" w:cs="Arial" w:eastAsia="Arial" w:hAnsi="Arial"/>
                <w:sz w:val="18"/>
                <w:szCs w:val="18"/>
                <w:color w:val="auto"/>
              </w:rPr>
              <w:t>Limitation on Liens</w:t>
            </w:r>
          </w:p>
        </w:tc>
        <w:tc>
          <w:tcPr>
            <w:tcW w:w="2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7.02</w:t>
            </w:r>
          </w:p>
        </w:tc>
        <w:tc>
          <w:tcPr>
            <w:tcW w:w="8580" w:type="dxa"/>
            <w:vAlign w:val="bottom"/>
          </w:tcPr>
          <w:p>
            <w:pPr>
              <w:ind w:left="180"/>
              <w:spacing w:after="0"/>
              <w:rPr>
                <w:sz w:val="20"/>
                <w:szCs w:val="20"/>
                <w:color w:val="auto"/>
              </w:rPr>
            </w:pPr>
            <w:r>
              <w:rPr>
                <w:rFonts w:ascii="Arial" w:cs="Arial" w:eastAsia="Arial" w:hAnsi="Arial"/>
                <w:sz w:val="18"/>
                <w:szCs w:val="18"/>
                <w:color w:val="auto"/>
              </w:rPr>
              <w:t>Disposition of Assets</w:t>
            </w:r>
          </w:p>
        </w:tc>
        <w:tc>
          <w:tcPr>
            <w:tcW w:w="2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7.03</w:t>
            </w:r>
          </w:p>
        </w:tc>
        <w:tc>
          <w:tcPr>
            <w:tcW w:w="8580" w:type="dxa"/>
            <w:vAlign w:val="bottom"/>
          </w:tcPr>
          <w:p>
            <w:pPr>
              <w:ind w:left="180"/>
              <w:spacing w:after="0"/>
              <w:rPr>
                <w:sz w:val="20"/>
                <w:szCs w:val="20"/>
                <w:color w:val="auto"/>
              </w:rPr>
            </w:pPr>
            <w:r>
              <w:rPr>
                <w:rFonts w:ascii="Arial" w:cs="Arial" w:eastAsia="Arial" w:hAnsi="Arial"/>
                <w:sz w:val="18"/>
                <w:szCs w:val="18"/>
                <w:color w:val="auto"/>
              </w:rPr>
              <w:t>Consolidations and Mergers</w:t>
            </w:r>
          </w:p>
        </w:tc>
        <w:tc>
          <w:tcPr>
            <w:tcW w:w="21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7.04</w:t>
            </w:r>
          </w:p>
        </w:tc>
        <w:tc>
          <w:tcPr>
            <w:tcW w:w="8580" w:type="dxa"/>
            <w:vAlign w:val="bottom"/>
          </w:tcPr>
          <w:p>
            <w:pPr>
              <w:ind w:left="180"/>
              <w:spacing w:after="0"/>
              <w:rPr>
                <w:sz w:val="20"/>
                <w:szCs w:val="20"/>
                <w:color w:val="auto"/>
              </w:rPr>
            </w:pPr>
            <w:r>
              <w:rPr>
                <w:rFonts w:ascii="Arial" w:cs="Arial" w:eastAsia="Arial" w:hAnsi="Arial"/>
                <w:sz w:val="18"/>
                <w:szCs w:val="18"/>
                <w:color w:val="auto"/>
              </w:rPr>
              <w:t>Loans and Investments</w:t>
            </w:r>
          </w:p>
        </w:tc>
        <w:tc>
          <w:tcPr>
            <w:tcW w:w="2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7.05</w:t>
            </w:r>
          </w:p>
        </w:tc>
        <w:tc>
          <w:tcPr>
            <w:tcW w:w="8580" w:type="dxa"/>
            <w:vAlign w:val="bottom"/>
          </w:tcPr>
          <w:p>
            <w:pPr>
              <w:ind w:left="180"/>
              <w:spacing w:after="0"/>
              <w:rPr>
                <w:sz w:val="20"/>
                <w:szCs w:val="20"/>
                <w:color w:val="auto"/>
              </w:rPr>
            </w:pPr>
            <w:r>
              <w:rPr>
                <w:rFonts w:ascii="Arial" w:cs="Arial" w:eastAsia="Arial" w:hAnsi="Arial"/>
                <w:sz w:val="18"/>
                <w:szCs w:val="18"/>
                <w:color w:val="auto"/>
              </w:rPr>
              <w:t>Transactions with Affiliates</w:t>
            </w:r>
          </w:p>
        </w:tc>
        <w:tc>
          <w:tcPr>
            <w:tcW w:w="2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7.06</w:t>
            </w:r>
          </w:p>
        </w:tc>
        <w:tc>
          <w:tcPr>
            <w:tcW w:w="8580" w:type="dxa"/>
            <w:vAlign w:val="bottom"/>
          </w:tcPr>
          <w:p>
            <w:pPr>
              <w:ind w:left="180"/>
              <w:spacing w:after="0"/>
              <w:rPr>
                <w:sz w:val="20"/>
                <w:szCs w:val="20"/>
                <w:color w:val="auto"/>
              </w:rPr>
            </w:pPr>
            <w:r>
              <w:rPr>
                <w:rFonts w:ascii="Arial" w:cs="Arial" w:eastAsia="Arial" w:hAnsi="Arial"/>
                <w:sz w:val="18"/>
                <w:szCs w:val="18"/>
                <w:color w:val="auto"/>
              </w:rPr>
              <w:t>Contingent Obligations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7.07</w:t>
            </w:r>
          </w:p>
        </w:tc>
        <w:tc>
          <w:tcPr>
            <w:tcW w:w="8580" w:type="dxa"/>
            <w:vAlign w:val="bottom"/>
          </w:tcPr>
          <w:p>
            <w:pPr>
              <w:ind w:left="180"/>
              <w:spacing w:after="0"/>
              <w:rPr>
                <w:sz w:val="20"/>
                <w:szCs w:val="20"/>
                <w:color w:val="auto"/>
              </w:rPr>
            </w:pPr>
            <w:r>
              <w:rPr>
                <w:rFonts w:ascii="Arial" w:cs="Arial" w:eastAsia="Arial" w:hAnsi="Arial"/>
                <w:sz w:val="18"/>
                <w:szCs w:val="18"/>
                <w:color w:val="auto"/>
              </w:rPr>
              <w:t>Restricted Payments</w:t>
            </w:r>
          </w:p>
        </w:tc>
        <w:tc>
          <w:tcPr>
            <w:tcW w:w="2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7.08</w:t>
            </w:r>
          </w:p>
        </w:tc>
        <w:tc>
          <w:tcPr>
            <w:tcW w:w="8580" w:type="dxa"/>
            <w:vAlign w:val="bottom"/>
          </w:tcPr>
          <w:p>
            <w:pPr>
              <w:ind w:left="180"/>
              <w:spacing w:after="0"/>
              <w:rPr>
                <w:sz w:val="20"/>
                <w:szCs w:val="20"/>
                <w:color w:val="auto"/>
              </w:rPr>
            </w:pPr>
            <w:r>
              <w:rPr>
                <w:rFonts w:ascii="Arial" w:cs="Arial" w:eastAsia="Arial" w:hAnsi="Arial"/>
                <w:sz w:val="18"/>
                <w:szCs w:val="18"/>
                <w:color w:val="auto"/>
              </w:rPr>
              <w:t>Maintenance of Business</w:t>
            </w:r>
          </w:p>
        </w:tc>
        <w:tc>
          <w:tcPr>
            <w:tcW w:w="2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7.09</w:t>
            </w:r>
          </w:p>
        </w:tc>
        <w:tc>
          <w:tcPr>
            <w:tcW w:w="8580" w:type="dxa"/>
            <w:vAlign w:val="bottom"/>
          </w:tcPr>
          <w:p>
            <w:pPr>
              <w:ind w:left="180"/>
              <w:spacing w:after="0"/>
              <w:rPr>
                <w:sz w:val="20"/>
                <w:szCs w:val="20"/>
                <w:color w:val="auto"/>
              </w:rPr>
            </w:pPr>
            <w:r>
              <w:rPr>
                <w:rFonts w:ascii="Arial" w:cs="Arial" w:eastAsia="Arial" w:hAnsi="Arial"/>
                <w:sz w:val="18"/>
                <w:szCs w:val="18"/>
                <w:color w:val="auto"/>
              </w:rPr>
              <w:t>Minimum Interest Coverage</w:t>
            </w:r>
          </w:p>
        </w:tc>
        <w:tc>
          <w:tcPr>
            <w:tcW w:w="2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7.10</w:t>
            </w:r>
          </w:p>
        </w:tc>
        <w:tc>
          <w:tcPr>
            <w:tcW w:w="8580" w:type="dxa"/>
            <w:vAlign w:val="bottom"/>
          </w:tcPr>
          <w:p>
            <w:pPr>
              <w:ind w:left="180"/>
              <w:spacing w:after="0"/>
              <w:rPr>
                <w:sz w:val="20"/>
                <w:szCs w:val="20"/>
                <w:color w:val="auto"/>
              </w:rPr>
            </w:pPr>
            <w:r>
              <w:rPr>
                <w:rFonts w:ascii="Arial" w:cs="Arial" w:eastAsia="Arial" w:hAnsi="Arial"/>
                <w:sz w:val="18"/>
                <w:szCs w:val="18"/>
                <w:color w:val="auto"/>
              </w:rPr>
              <w:t>Maximum Total Indebtedness to Consolidated EBITDA</w:t>
            </w:r>
          </w:p>
        </w:tc>
        <w:tc>
          <w:tcPr>
            <w:tcW w:w="2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7.11</w:t>
            </w:r>
          </w:p>
        </w:tc>
        <w:tc>
          <w:tcPr>
            <w:tcW w:w="8580" w:type="dxa"/>
            <w:vAlign w:val="bottom"/>
          </w:tcPr>
          <w:p>
            <w:pPr>
              <w:ind w:left="180"/>
              <w:spacing w:after="0"/>
              <w:rPr>
                <w:sz w:val="20"/>
                <w:szCs w:val="20"/>
                <w:color w:val="auto"/>
              </w:rPr>
            </w:pPr>
            <w:r>
              <w:rPr>
                <w:rFonts w:ascii="Arial" w:cs="Arial" w:eastAsia="Arial" w:hAnsi="Arial"/>
                <w:sz w:val="18"/>
                <w:szCs w:val="18"/>
                <w:color w:val="auto"/>
              </w:rPr>
              <w:t>Red Iron</w:t>
            </w:r>
          </w:p>
        </w:tc>
        <w:tc>
          <w:tcPr>
            <w:tcW w:w="2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7.12</w:t>
            </w:r>
          </w:p>
        </w:tc>
        <w:tc>
          <w:tcPr>
            <w:tcW w:w="8580" w:type="dxa"/>
            <w:vAlign w:val="bottom"/>
          </w:tcPr>
          <w:p>
            <w:pPr>
              <w:ind w:left="180"/>
              <w:spacing w:after="0"/>
              <w:rPr>
                <w:sz w:val="20"/>
                <w:szCs w:val="20"/>
                <w:color w:val="auto"/>
              </w:rPr>
            </w:pPr>
            <w:r>
              <w:rPr>
                <w:rFonts w:ascii="Arial" w:cs="Arial" w:eastAsia="Arial" w:hAnsi="Arial"/>
                <w:sz w:val="18"/>
                <w:szCs w:val="18"/>
                <w:color w:val="auto"/>
              </w:rPr>
              <w:t>Negative Pledge Clause</w:t>
            </w:r>
          </w:p>
        </w:tc>
        <w:tc>
          <w:tcPr>
            <w:tcW w:w="2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7.13</w:t>
            </w:r>
          </w:p>
        </w:tc>
        <w:tc>
          <w:tcPr>
            <w:tcW w:w="8580" w:type="dxa"/>
            <w:vAlign w:val="bottom"/>
          </w:tcPr>
          <w:p>
            <w:pPr>
              <w:ind w:left="180"/>
              <w:spacing w:after="0"/>
              <w:rPr>
                <w:sz w:val="20"/>
                <w:szCs w:val="20"/>
                <w:color w:val="auto"/>
              </w:rPr>
            </w:pPr>
            <w:r>
              <w:rPr>
                <w:rFonts w:ascii="Arial" w:cs="Arial" w:eastAsia="Arial" w:hAnsi="Arial"/>
                <w:sz w:val="18"/>
                <w:szCs w:val="18"/>
                <w:color w:val="auto"/>
              </w:rPr>
              <w:t>Burdensome Contractual Obligation</w:t>
            </w:r>
          </w:p>
        </w:tc>
        <w:tc>
          <w:tcPr>
            <w:tcW w:w="21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26"/>
        </w:trPr>
        <w:tc>
          <w:tcPr>
            <w:tcW w:w="600" w:type="dxa"/>
            <w:vAlign w:val="bottom"/>
          </w:tcPr>
          <w:p>
            <w:pPr>
              <w:spacing w:after="0"/>
              <w:rPr>
                <w:sz w:val="24"/>
                <w:szCs w:val="24"/>
                <w:color w:val="auto"/>
              </w:rPr>
            </w:pPr>
          </w:p>
        </w:tc>
        <w:tc>
          <w:tcPr>
            <w:tcW w:w="8580" w:type="dxa"/>
            <w:vAlign w:val="bottom"/>
          </w:tcPr>
          <w:p>
            <w:pPr>
              <w:jc w:val="center"/>
              <w:ind w:left="1452"/>
              <w:spacing w:after="0"/>
              <w:rPr>
                <w:sz w:val="20"/>
                <w:szCs w:val="20"/>
                <w:color w:val="auto"/>
              </w:rPr>
            </w:pPr>
            <w:r>
              <w:rPr>
                <w:rFonts w:ascii="Arial" w:cs="Arial" w:eastAsia="Arial" w:hAnsi="Arial"/>
                <w:sz w:val="18"/>
                <w:szCs w:val="18"/>
                <w:color w:val="auto"/>
                <w:w w:val="99"/>
              </w:rPr>
              <w:t>ARTICLE VIII.</w:t>
            </w:r>
          </w:p>
        </w:tc>
        <w:tc>
          <w:tcPr>
            <w:tcW w:w="214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8580" w:type="dxa"/>
            <w:vAlign w:val="bottom"/>
          </w:tcPr>
          <w:p>
            <w:pPr>
              <w:jc w:val="center"/>
              <w:ind w:left="1472"/>
              <w:spacing w:after="0"/>
              <w:rPr>
                <w:sz w:val="20"/>
                <w:szCs w:val="20"/>
                <w:color w:val="auto"/>
              </w:rPr>
            </w:pPr>
            <w:r>
              <w:rPr>
                <w:rFonts w:ascii="Arial" w:cs="Arial" w:eastAsia="Arial" w:hAnsi="Arial"/>
                <w:sz w:val="18"/>
                <w:szCs w:val="18"/>
                <w:color w:val="auto"/>
                <w:w w:val="93"/>
              </w:rPr>
              <w:t>EVENTS OF DEFAULT AND REMEDIES</w:t>
            </w:r>
          </w:p>
        </w:tc>
        <w:tc>
          <w:tcPr>
            <w:tcW w:w="214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8.01</w:t>
            </w:r>
          </w:p>
        </w:tc>
        <w:tc>
          <w:tcPr>
            <w:tcW w:w="858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21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8.02</w:t>
            </w:r>
          </w:p>
        </w:tc>
        <w:tc>
          <w:tcPr>
            <w:tcW w:w="8580" w:type="dxa"/>
            <w:vAlign w:val="bottom"/>
          </w:tcPr>
          <w:p>
            <w:pPr>
              <w:ind w:left="180"/>
              <w:spacing w:after="0"/>
              <w:rPr>
                <w:sz w:val="20"/>
                <w:szCs w:val="20"/>
                <w:color w:val="auto"/>
              </w:rPr>
            </w:pPr>
            <w:r>
              <w:rPr>
                <w:rFonts w:ascii="Arial" w:cs="Arial" w:eastAsia="Arial" w:hAnsi="Arial"/>
                <w:sz w:val="18"/>
                <w:szCs w:val="18"/>
                <w:color w:val="auto"/>
              </w:rPr>
              <w:t>Remedies Upon Event of Default</w:t>
            </w:r>
          </w:p>
        </w:tc>
        <w:tc>
          <w:tcPr>
            <w:tcW w:w="21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8.03</w:t>
            </w:r>
          </w:p>
        </w:tc>
        <w:tc>
          <w:tcPr>
            <w:tcW w:w="8580" w:type="dxa"/>
            <w:vAlign w:val="bottom"/>
          </w:tcPr>
          <w:p>
            <w:pPr>
              <w:ind w:left="180"/>
              <w:spacing w:after="0"/>
              <w:rPr>
                <w:sz w:val="20"/>
                <w:szCs w:val="20"/>
                <w:color w:val="auto"/>
              </w:rPr>
            </w:pPr>
            <w:r>
              <w:rPr>
                <w:rFonts w:ascii="Arial" w:cs="Arial" w:eastAsia="Arial" w:hAnsi="Arial"/>
                <w:sz w:val="18"/>
                <w:szCs w:val="18"/>
                <w:color w:val="auto"/>
              </w:rPr>
              <w:t>Application of Funds</w:t>
            </w:r>
          </w:p>
        </w:tc>
        <w:tc>
          <w:tcPr>
            <w:tcW w:w="21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26"/>
        </w:trPr>
        <w:tc>
          <w:tcPr>
            <w:tcW w:w="600" w:type="dxa"/>
            <w:vAlign w:val="bottom"/>
          </w:tcPr>
          <w:p>
            <w:pPr>
              <w:spacing w:after="0"/>
              <w:rPr>
                <w:sz w:val="24"/>
                <w:szCs w:val="24"/>
                <w:color w:val="auto"/>
              </w:rPr>
            </w:pPr>
          </w:p>
        </w:tc>
        <w:tc>
          <w:tcPr>
            <w:tcW w:w="8580" w:type="dxa"/>
            <w:vAlign w:val="bottom"/>
          </w:tcPr>
          <w:p>
            <w:pPr>
              <w:jc w:val="center"/>
              <w:ind w:left="1452"/>
              <w:spacing w:after="0"/>
              <w:rPr>
                <w:sz w:val="20"/>
                <w:szCs w:val="20"/>
                <w:color w:val="auto"/>
              </w:rPr>
            </w:pPr>
            <w:r>
              <w:rPr>
                <w:rFonts w:ascii="Arial" w:cs="Arial" w:eastAsia="Arial" w:hAnsi="Arial"/>
                <w:sz w:val="18"/>
                <w:szCs w:val="18"/>
                <w:color w:val="auto"/>
                <w:w w:val="97"/>
              </w:rPr>
              <w:t>ARTICLE IX.</w:t>
            </w:r>
          </w:p>
        </w:tc>
        <w:tc>
          <w:tcPr>
            <w:tcW w:w="214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8580" w:type="dxa"/>
            <w:vAlign w:val="bottom"/>
          </w:tcPr>
          <w:p>
            <w:pPr>
              <w:jc w:val="center"/>
              <w:ind w:left="1452"/>
              <w:spacing w:after="0"/>
              <w:rPr>
                <w:sz w:val="20"/>
                <w:szCs w:val="20"/>
                <w:color w:val="auto"/>
              </w:rPr>
            </w:pPr>
            <w:r>
              <w:rPr>
                <w:rFonts w:ascii="Arial" w:cs="Arial" w:eastAsia="Arial" w:hAnsi="Arial"/>
                <w:sz w:val="18"/>
                <w:szCs w:val="18"/>
                <w:color w:val="auto"/>
                <w:w w:val="97"/>
              </w:rPr>
              <w:t>ADMINISTRATIVE AGENT</w:t>
            </w:r>
          </w:p>
        </w:tc>
        <w:tc>
          <w:tcPr>
            <w:tcW w:w="214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9.01</w:t>
            </w:r>
          </w:p>
        </w:tc>
        <w:tc>
          <w:tcPr>
            <w:tcW w:w="8580" w:type="dxa"/>
            <w:vAlign w:val="bottom"/>
          </w:tcPr>
          <w:p>
            <w:pPr>
              <w:ind w:left="180"/>
              <w:spacing w:after="0"/>
              <w:rPr>
                <w:sz w:val="20"/>
                <w:szCs w:val="20"/>
                <w:color w:val="auto"/>
              </w:rPr>
            </w:pPr>
            <w:r>
              <w:rPr>
                <w:rFonts w:ascii="Arial" w:cs="Arial" w:eastAsia="Arial" w:hAnsi="Arial"/>
                <w:sz w:val="18"/>
                <w:szCs w:val="18"/>
                <w:color w:val="auto"/>
              </w:rPr>
              <w:t>Appointment and Authority</w:t>
            </w:r>
          </w:p>
        </w:tc>
        <w:tc>
          <w:tcPr>
            <w:tcW w:w="2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9.02</w:t>
            </w:r>
          </w:p>
        </w:tc>
        <w:tc>
          <w:tcPr>
            <w:tcW w:w="8580" w:type="dxa"/>
            <w:vAlign w:val="bottom"/>
          </w:tcPr>
          <w:p>
            <w:pPr>
              <w:ind w:left="180"/>
              <w:spacing w:after="0"/>
              <w:rPr>
                <w:sz w:val="20"/>
                <w:szCs w:val="20"/>
                <w:color w:val="auto"/>
              </w:rPr>
            </w:pPr>
            <w:r>
              <w:rPr>
                <w:rFonts w:ascii="Arial" w:cs="Arial" w:eastAsia="Arial" w:hAnsi="Arial"/>
                <w:sz w:val="18"/>
                <w:szCs w:val="18"/>
                <w:color w:val="auto"/>
              </w:rPr>
              <w:t>Rights as a Lender</w:t>
            </w:r>
          </w:p>
        </w:tc>
        <w:tc>
          <w:tcPr>
            <w:tcW w:w="2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9.03</w:t>
            </w:r>
          </w:p>
        </w:tc>
        <w:tc>
          <w:tcPr>
            <w:tcW w:w="8580" w:type="dxa"/>
            <w:vAlign w:val="bottom"/>
          </w:tcPr>
          <w:p>
            <w:pPr>
              <w:ind w:left="180"/>
              <w:spacing w:after="0"/>
              <w:rPr>
                <w:sz w:val="20"/>
                <w:szCs w:val="20"/>
                <w:color w:val="auto"/>
              </w:rPr>
            </w:pPr>
            <w:r>
              <w:rPr>
                <w:rFonts w:ascii="Arial" w:cs="Arial" w:eastAsia="Arial" w:hAnsi="Arial"/>
                <w:sz w:val="18"/>
                <w:szCs w:val="18"/>
                <w:color w:val="auto"/>
              </w:rPr>
              <w:t>Exculpatory Provisions</w:t>
            </w:r>
          </w:p>
        </w:tc>
        <w:tc>
          <w:tcPr>
            <w:tcW w:w="2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9.04</w:t>
            </w:r>
          </w:p>
        </w:tc>
        <w:tc>
          <w:tcPr>
            <w:tcW w:w="8580" w:type="dxa"/>
            <w:vAlign w:val="bottom"/>
          </w:tcPr>
          <w:p>
            <w:pPr>
              <w:ind w:left="180"/>
              <w:spacing w:after="0"/>
              <w:rPr>
                <w:sz w:val="20"/>
                <w:szCs w:val="20"/>
                <w:color w:val="auto"/>
              </w:rPr>
            </w:pPr>
            <w:r>
              <w:rPr>
                <w:rFonts w:ascii="Arial" w:cs="Arial" w:eastAsia="Arial" w:hAnsi="Arial"/>
                <w:sz w:val="18"/>
                <w:szCs w:val="18"/>
                <w:color w:val="auto"/>
              </w:rPr>
              <w:t>Reliance by Administrative Agent</w:t>
            </w:r>
          </w:p>
        </w:tc>
        <w:tc>
          <w:tcPr>
            <w:tcW w:w="21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9.05</w:t>
            </w:r>
          </w:p>
        </w:tc>
        <w:tc>
          <w:tcPr>
            <w:tcW w:w="8580" w:type="dxa"/>
            <w:vAlign w:val="bottom"/>
          </w:tcPr>
          <w:p>
            <w:pPr>
              <w:ind w:left="180"/>
              <w:spacing w:after="0"/>
              <w:rPr>
                <w:sz w:val="20"/>
                <w:szCs w:val="20"/>
                <w:color w:val="auto"/>
              </w:rPr>
            </w:pPr>
            <w:r>
              <w:rPr>
                <w:rFonts w:ascii="Arial" w:cs="Arial" w:eastAsia="Arial" w:hAnsi="Arial"/>
                <w:sz w:val="18"/>
                <w:szCs w:val="18"/>
                <w:color w:val="auto"/>
              </w:rPr>
              <w:t>Delegation of Duties</w:t>
            </w:r>
          </w:p>
        </w:tc>
        <w:tc>
          <w:tcPr>
            <w:tcW w:w="2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9.06</w:t>
            </w:r>
          </w:p>
        </w:tc>
        <w:tc>
          <w:tcPr>
            <w:tcW w:w="8580" w:type="dxa"/>
            <w:vAlign w:val="bottom"/>
          </w:tcPr>
          <w:p>
            <w:pPr>
              <w:ind w:left="180"/>
              <w:spacing w:after="0"/>
              <w:rPr>
                <w:sz w:val="20"/>
                <w:szCs w:val="20"/>
                <w:color w:val="auto"/>
              </w:rPr>
            </w:pPr>
            <w:r>
              <w:rPr>
                <w:rFonts w:ascii="Arial" w:cs="Arial" w:eastAsia="Arial" w:hAnsi="Arial"/>
                <w:sz w:val="18"/>
                <w:szCs w:val="18"/>
                <w:color w:val="auto"/>
              </w:rPr>
              <w:t>Resignation of Administrative Agent</w:t>
            </w:r>
          </w:p>
        </w:tc>
        <w:tc>
          <w:tcPr>
            <w:tcW w:w="2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9.07</w:t>
            </w:r>
          </w:p>
        </w:tc>
        <w:tc>
          <w:tcPr>
            <w:tcW w:w="8580" w:type="dxa"/>
            <w:vAlign w:val="bottom"/>
          </w:tcPr>
          <w:p>
            <w:pPr>
              <w:ind w:left="180"/>
              <w:spacing w:after="0"/>
              <w:rPr>
                <w:sz w:val="20"/>
                <w:szCs w:val="20"/>
                <w:color w:val="auto"/>
              </w:rPr>
            </w:pPr>
            <w:r>
              <w:rPr>
                <w:rFonts w:ascii="Arial" w:cs="Arial" w:eastAsia="Arial" w:hAnsi="Arial"/>
                <w:sz w:val="18"/>
                <w:szCs w:val="18"/>
                <w:color w:val="auto"/>
              </w:rPr>
              <w:t>Non-Reliance on Administrative Agent and Other Lenders</w:t>
            </w:r>
          </w:p>
        </w:tc>
        <w:tc>
          <w:tcPr>
            <w:tcW w:w="2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9.08</w:t>
            </w:r>
          </w:p>
        </w:tc>
        <w:tc>
          <w:tcPr>
            <w:tcW w:w="8580" w:type="dxa"/>
            <w:vAlign w:val="bottom"/>
          </w:tcPr>
          <w:p>
            <w:pPr>
              <w:ind w:left="180"/>
              <w:spacing w:after="0"/>
              <w:rPr>
                <w:sz w:val="20"/>
                <w:szCs w:val="20"/>
                <w:color w:val="auto"/>
              </w:rPr>
            </w:pPr>
            <w:r>
              <w:rPr>
                <w:rFonts w:ascii="Arial" w:cs="Arial" w:eastAsia="Arial" w:hAnsi="Arial"/>
                <w:sz w:val="18"/>
                <w:szCs w:val="18"/>
                <w:color w:val="auto"/>
              </w:rPr>
              <w:t>No Other Duties, Etc</w:t>
            </w:r>
          </w:p>
        </w:tc>
        <w:tc>
          <w:tcPr>
            <w:tcW w:w="2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9.09</w:t>
            </w:r>
          </w:p>
        </w:tc>
        <w:tc>
          <w:tcPr>
            <w:tcW w:w="8580" w:type="dxa"/>
            <w:vAlign w:val="bottom"/>
          </w:tcPr>
          <w:p>
            <w:pPr>
              <w:ind w:left="180"/>
              <w:spacing w:after="0"/>
              <w:rPr>
                <w:sz w:val="20"/>
                <w:szCs w:val="20"/>
                <w:color w:val="auto"/>
              </w:rPr>
            </w:pPr>
            <w:r>
              <w:rPr>
                <w:rFonts w:ascii="Arial" w:cs="Arial" w:eastAsia="Arial" w:hAnsi="Arial"/>
                <w:sz w:val="18"/>
                <w:szCs w:val="18"/>
                <w:color w:val="auto"/>
              </w:rPr>
              <w:t>Administrative Agent May File Proofs of Claim</w:t>
            </w:r>
          </w:p>
        </w:tc>
        <w:tc>
          <w:tcPr>
            <w:tcW w:w="2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9.10</w:t>
            </w:r>
          </w:p>
        </w:tc>
        <w:tc>
          <w:tcPr>
            <w:tcW w:w="8580" w:type="dxa"/>
            <w:vAlign w:val="bottom"/>
          </w:tcPr>
          <w:p>
            <w:pPr>
              <w:ind w:left="180"/>
              <w:spacing w:after="0"/>
              <w:rPr>
                <w:sz w:val="20"/>
                <w:szCs w:val="20"/>
                <w:color w:val="auto"/>
              </w:rPr>
            </w:pPr>
            <w:r>
              <w:rPr>
                <w:rFonts w:ascii="Arial" w:cs="Arial" w:eastAsia="Arial" w:hAnsi="Arial"/>
                <w:sz w:val="18"/>
                <w:szCs w:val="18"/>
                <w:color w:val="auto"/>
              </w:rPr>
              <w:t>Removal of Administrative Agent</w:t>
            </w:r>
          </w:p>
        </w:tc>
        <w:tc>
          <w:tcPr>
            <w:tcW w:w="2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26"/>
        </w:trPr>
        <w:tc>
          <w:tcPr>
            <w:tcW w:w="600" w:type="dxa"/>
            <w:vAlign w:val="bottom"/>
          </w:tcPr>
          <w:p>
            <w:pPr>
              <w:spacing w:after="0"/>
              <w:rPr>
                <w:sz w:val="24"/>
                <w:szCs w:val="24"/>
                <w:color w:val="auto"/>
              </w:rPr>
            </w:pPr>
          </w:p>
        </w:tc>
        <w:tc>
          <w:tcPr>
            <w:tcW w:w="8580" w:type="dxa"/>
            <w:vAlign w:val="bottom"/>
          </w:tcPr>
          <w:p>
            <w:pPr>
              <w:jc w:val="center"/>
              <w:ind w:left="1472"/>
              <w:spacing w:after="0"/>
              <w:rPr>
                <w:sz w:val="20"/>
                <w:szCs w:val="20"/>
                <w:color w:val="auto"/>
              </w:rPr>
            </w:pPr>
            <w:r>
              <w:rPr>
                <w:rFonts w:ascii="Arial" w:cs="Arial" w:eastAsia="Arial" w:hAnsi="Arial"/>
                <w:sz w:val="18"/>
                <w:szCs w:val="18"/>
                <w:color w:val="auto"/>
                <w:w w:val="95"/>
              </w:rPr>
              <w:t>ARTICLE X.</w:t>
            </w:r>
          </w:p>
        </w:tc>
        <w:tc>
          <w:tcPr>
            <w:tcW w:w="214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8580" w:type="dxa"/>
            <w:vAlign w:val="bottom"/>
          </w:tcPr>
          <w:p>
            <w:pPr>
              <w:jc w:val="center"/>
              <w:ind w:left="1472"/>
              <w:spacing w:after="0"/>
              <w:rPr>
                <w:sz w:val="20"/>
                <w:szCs w:val="20"/>
                <w:color w:val="auto"/>
              </w:rPr>
            </w:pPr>
            <w:r>
              <w:rPr>
                <w:rFonts w:ascii="Arial" w:cs="Arial" w:eastAsia="Arial" w:hAnsi="Arial"/>
                <w:sz w:val="18"/>
                <w:szCs w:val="18"/>
                <w:color w:val="auto"/>
                <w:w w:val="89"/>
              </w:rPr>
              <w:t>Guaranty</w:t>
            </w:r>
          </w:p>
        </w:tc>
        <w:tc>
          <w:tcPr>
            <w:tcW w:w="214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10.01</w:t>
            </w:r>
          </w:p>
        </w:tc>
        <w:tc>
          <w:tcPr>
            <w:tcW w:w="8580" w:type="dxa"/>
            <w:vAlign w:val="bottom"/>
          </w:tcPr>
          <w:p>
            <w:pPr>
              <w:ind w:left="180"/>
              <w:spacing w:after="0"/>
              <w:rPr>
                <w:sz w:val="20"/>
                <w:szCs w:val="20"/>
                <w:color w:val="auto"/>
              </w:rPr>
            </w:pPr>
            <w:r>
              <w:rPr>
                <w:rFonts w:ascii="Arial" w:cs="Arial" w:eastAsia="Arial" w:hAnsi="Arial"/>
                <w:sz w:val="18"/>
                <w:szCs w:val="18"/>
                <w:color w:val="auto"/>
              </w:rPr>
              <w:t>The Guaranty</w:t>
            </w:r>
          </w:p>
        </w:tc>
        <w:tc>
          <w:tcPr>
            <w:tcW w:w="2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10.02</w:t>
            </w:r>
          </w:p>
        </w:tc>
        <w:tc>
          <w:tcPr>
            <w:tcW w:w="8580" w:type="dxa"/>
            <w:vAlign w:val="bottom"/>
          </w:tcPr>
          <w:p>
            <w:pPr>
              <w:ind w:left="180"/>
              <w:spacing w:after="0"/>
              <w:rPr>
                <w:sz w:val="20"/>
                <w:szCs w:val="20"/>
                <w:color w:val="auto"/>
              </w:rPr>
            </w:pPr>
            <w:r>
              <w:rPr>
                <w:rFonts w:ascii="Arial" w:cs="Arial" w:eastAsia="Arial" w:hAnsi="Arial"/>
                <w:sz w:val="18"/>
                <w:szCs w:val="18"/>
                <w:color w:val="auto"/>
              </w:rPr>
              <w:t>Guaranty Unconditional</w:t>
            </w:r>
          </w:p>
        </w:tc>
        <w:tc>
          <w:tcPr>
            <w:tcW w:w="2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10.03</w:t>
            </w:r>
          </w:p>
        </w:tc>
        <w:tc>
          <w:tcPr>
            <w:tcW w:w="8580" w:type="dxa"/>
            <w:vAlign w:val="bottom"/>
          </w:tcPr>
          <w:p>
            <w:pPr>
              <w:ind w:left="180"/>
              <w:spacing w:after="0"/>
              <w:rPr>
                <w:sz w:val="20"/>
                <w:szCs w:val="20"/>
                <w:color w:val="auto"/>
              </w:rPr>
            </w:pPr>
            <w:r>
              <w:rPr>
                <w:rFonts w:ascii="Arial" w:cs="Arial" w:eastAsia="Arial" w:hAnsi="Arial"/>
                <w:sz w:val="18"/>
                <w:szCs w:val="18"/>
                <w:color w:val="auto"/>
              </w:rPr>
              <w:t>Discharge Only Upon Payment In Full; Reinstatement In Certain Circumstances</w:t>
            </w:r>
          </w:p>
        </w:tc>
        <w:tc>
          <w:tcPr>
            <w:tcW w:w="2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10.04</w:t>
            </w:r>
          </w:p>
        </w:tc>
        <w:tc>
          <w:tcPr>
            <w:tcW w:w="8580" w:type="dxa"/>
            <w:vAlign w:val="bottom"/>
          </w:tcPr>
          <w:p>
            <w:pPr>
              <w:ind w:left="180"/>
              <w:spacing w:after="0"/>
              <w:rPr>
                <w:sz w:val="20"/>
                <w:szCs w:val="20"/>
                <w:color w:val="auto"/>
              </w:rPr>
            </w:pPr>
            <w:r>
              <w:rPr>
                <w:rFonts w:ascii="Arial" w:cs="Arial" w:eastAsia="Arial" w:hAnsi="Arial"/>
                <w:sz w:val="18"/>
                <w:szCs w:val="18"/>
                <w:color w:val="auto"/>
              </w:rPr>
              <w:t>Waiver by Toro</w:t>
            </w:r>
          </w:p>
        </w:tc>
        <w:tc>
          <w:tcPr>
            <w:tcW w:w="2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10.05</w:t>
            </w:r>
          </w:p>
        </w:tc>
        <w:tc>
          <w:tcPr>
            <w:tcW w:w="8580" w:type="dxa"/>
            <w:vAlign w:val="bottom"/>
          </w:tcPr>
          <w:p>
            <w:pPr>
              <w:ind w:left="180"/>
              <w:spacing w:after="0"/>
              <w:rPr>
                <w:sz w:val="20"/>
                <w:szCs w:val="20"/>
                <w:color w:val="auto"/>
              </w:rPr>
            </w:pPr>
            <w:r>
              <w:rPr>
                <w:rFonts w:ascii="Arial" w:cs="Arial" w:eastAsia="Arial" w:hAnsi="Arial"/>
                <w:sz w:val="18"/>
                <w:szCs w:val="18"/>
                <w:color w:val="auto"/>
              </w:rPr>
              <w:t>No Subrogation</w:t>
            </w:r>
          </w:p>
        </w:tc>
        <w:tc>
          <w:tcPr>
            <w:tcW w:w="2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10.06</w:t>
            </w:r>
          </w:p>
        </w:tc>
        <w:tc>
          <w:tcPr>
            <w:tcW w:w="8580" w:type="dxa"/>
            <w:vAlign w:val="bottom"/>
          </w:tcPr>
          <w:p>
            <w:pPr>
              <w:ind w:left="180"/>
              <w:spacing w:after="0"/>
              <w:rPr>
                <w:sz w:val="20"/>
                <w:szCs w:val="20"/>
                <w:color w:val="auto"/>
              </w:rPr>
            </w:pPr>
            <w:r>
              <w:rPr>
                <w:rFonts w:ascii="Arial" w:cs="Arial" w:eastAsia="Arial" w:hAnsi="Arial"/>
                <w:sz w:val="18"/>
                <w:szCs w:val="18"/>
                <w:color w:val="auto"/>
              </w:rPr>
              <w:t>Stay of Acceleration</w:t>
            </w:r>
          </w:p>
        </w:tc>
        <w:tc>
          <w:tcPr>
            <w:tcW w:w="214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8160" w:type="dxa"/>
            <w:vAlign w:val="bottom"/>
          </w:tcPr>
          <w:p>
            <w:pPr>
              <w:ind w:left="4580"/>
              <w:spacing w:after="0"/>
              <w:rPr>
                <w:sz w:val="20"/>
                <w:szCs w:val="20"/>
                <w:color w:val="auto"/>
              </w:rPr>
            </w:pPr>
            <w:r>
              <w:rPr>
                <w:rFonts w:ascii="Arial" w:cs="Arial" w:eastAsia="Arial" w:hAnsi="Arial"/>
                <w:sz w:val="18"/>
                <w:szCs w:val="18"/>
                <w:color w:val="auto"/>
              </w:rPr>
              <w:t>ARTICLE XI.</w:t>
            </w:r>
          </w:p>
        </w:tc>
        <w:tc>
          <w:tcPr>
            <w:tcW w:w="258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8160" w:type="dxa"/>
            <w:vAlign w:val="bottom"/>
          </w:tcPr>
          <w:p>
            <w:pPr>
              <w:ind w:left="4360"/>
              <w:spacing w:after="0"/>
              <w:rPr>
                <w:sz w:val="20"/>
                <w:szCs w:val="20"/>
                <w:color w:val="auto"/>
              </w:rPr>
            </w:pPr>
            <w:r>
              <w:rPr>
                <w:rFonts w:ascii="Arial" w:cs="Arial" w:eastAsia="Arial" w:hAnsi="Arial"/>
                <w:sz w:val="18"/>
                <w:szCs w:val="18"/>
                <w:color w:val="auto"/>
              </w:rPr>
              <w:t>MISCELLANEOUS</w:t>
            </w:r>
          </w:p>
        </w:tc>
        <w:tc>
          <w:tcPr>
            <w:tcW w:w="2580" w:type="dxa"/>
            <w:vAlign w:val="bottom"/>
          </w:tcPr>
          <w:p>
            <w:pPr>
              <w:spacing w:after="0"/>
              <w:rPr>
                <w:sz w:val="19"/>
                <w:szCs w:val="19"/>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11.01</w:t>
            </w:r>
          </w:p>
        </w:tc>
        <w:tc>
          <w:tcPr>
            <w:tcW w:w="8160" w:type="dxa"/>
            <w:vAlign w:val="bottom"/>
          </w:tcPr>
          <w:p>
            <w:pPr>
              <w:ind w:left="200"/>
              <w:spacing w:after="0"/>
              <w:rPr>
                <w:sz w:val="20"/>
                <w:szCs w:val="20"/>
                <w:color w:val="auto"/>
              </w:rPr>
            </w:pPr>
            <w:r>
              <w:rPr>
                <w:rFonts w:ascii="Arial" w:cs="Arial" w:eastAsia="Arial" w:hAnsi="Arial"/>
                <w:sz w:val="18"/>
                <w:szCs w:val="18"/>
                <w:color w:val="auto"/>
              </w:rPr>
              <w:t>Amendments, Etc</w:t>
            </w:r>
          </w:p>
        </w:tc>
        <w:tc>
          <w:tcPr>
            <w:tcW w:w="25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11.02</w:t>
            </w:r>
          </w:p>
        </w:tc>
        <w:tc>
          <w:tcPr>
            <w:tcW w:w="8160" w:type="dxa"/>
            <w:vAlign w:val="bottom"/>
          </w:tcPr>
          <w:p>
            <w:pPr>
              <w:ind w:left="200"/>
              <w:spacing w:after="0"/>
              <w:rPr>
                <w:sz w:val="20"/>
                <w:szCs w:val="20"/>
                <w:color w:val="auto"/>
              </w:rPr>
            </w:pPr>
            <w:r>
              <w:rPr>
                <w:rFonts w:ascii="Arial" w:cs="Arial" w:eastAsia="Arial" w:hAnsi="Arial"/>
                <w:sz w:val="18"/>
                <w:szCs w:val="18"/>
                <w:color w:val="auto"/>
              </w:rPr>
              <w:t>Notices; Effectiveness; Electronic Communication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11.03</w:t>
            </w:r>
          </w:p>
        </w:tc>
        <w:tc>
          <w:tcPr>
            <w:tcW w:w="8160" w:type="dxa"/>
            <w:vAlign w:val="bottom"/>
          </w:tcPr>
          <w:p>
            <w:pPr>
              <w:ind w:left="200"/>
              <w:spacing w:after="0"/>
              <w:rPr>
                <w:sz w:val="20"/>
                <w:szCs w:val="20"/>
                <w:color w:val="auto"/>
              </w:rPr>
            </w:pPr>
            <w:r>
              <w:rPr>
                <w:rFonts w:ascii="Arial" w:cs="Arial" w:eastAsia="Arial" w:hAnsi="Arial"/>
                <w:sz w:val="18"/>
                <w:szCs w:val="18"/>
                <w:color w:val="auto"/>
              </w:rPr>
              <w:t>No Waiver; Cumulative Remedies; Enforcement</w:t>
            </w:r>
          </w:p>
        </w:tc>
        <w:tc>
          <w:tcPr>
            <w:tcW w:w="25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11.04</w:t>
            </w:r>
          </w:p>
        </w:tc>
        <w:tc>
          <w:tcPr>
            <w:tcW w:w="8160" w:type="dxa"/>
            <w:vAlign w:val="bottom"/>
          </w:tcPr>
          <w:p>
            <w:pPr>
              <w:ind w:left="200"/>
              <w:spacing w:after="0"/>
              <w:rPr>
                <w:sz w:val="20"/>
                <w:szCs w:val="20"/>
                <w:color w:val="auto"/>
              </w:rPr>
            </w:pPr>
            <w:r>
              <w:rPr>
                <w:rFonts w:ascii="Arial" w:cs="Arial" w:eastAsia="Arial" w:hAnsi="Arial"/>
                <w:sz w:val="18"/>
                <w:szCs w:val="18"/>
                <w:color w:val="auto"/>
              </w:rPr>
              <w:t>Expenses; Indemnity; Damage Waiver</w:t>
            </w:r>
          </w:p>
        </w:tc>
        <w:tc>
          <w:tcPr>
            <w:tcW w:w="2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11.05</w:t>
            </w:r>
          </w:p>
        </w:tc>
        <w:tc>
          <w:tcPr>
            <w:tcW w:w="8160" w:type="dxa"/>
            <w:vAlign w:val="bottom"/>
          </w:tcPr>
          <w:p>
            <w:pPr>
              <w:ind w:left="200"/>
              <w:spacing w:after="0"/>
              <w:rPr>
                <w:sz w:val="20"/>
                <w:szCs w:val="20"/>
                <w:color w:val="auto"/>
              </w:rPr>
            </w:pPr>
            <w:r>
              <w:rPr>
                <w:rFonts w:ascii="Arial" w:cs="Arial" w:eastAsia="Arial" w:hAnsi="Arial"/>
                <w:sz w:val="18"/>
                <w:szCs w:val="18"/>
                <w:color w:val="auto"/>
              </w:rPr>
              <w:t>Payments Set Aside</w:t>
            </w:r>
          </w:p>
        </w:tc>
        <w:tc>
          <w:tcPr>
            <w:tcW w:w="25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11.06</w:t>
            </w:r>
          </w:p>
        </w:tc>
        <w:tc>
          <w:tcPr>
            <w:tcW w:w="816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5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11.07</w:t>
            </w:r>
          </w:p>
        </w:tc>
        <w:tc>
          <w:tcPr>
            <w:tcW w:w="8160" w:type="dxa"/>
            <w:vAlign w:val="bottom"/>
          </w:tcPr>
          <w:p>
            <w:pPr>
              <w:ind w:left="200"/>
              <w:spacing w:after="0"/>
              <w:rPr>
                <w:sz w:val="20"/>
                <w:szCs w:val="20"/>
                <w:color w:val="auto"/>
              </w:rPr>
            </w:pPr>
            <w:r>
              <w:rPr>
                <w:rFonts w:ascii="Arial" w:cs="Arial" w:eastAsia="Arial" w:hAnsi="Arial"/>
                <w:sz w:val="18"/>
                <w:szCs w:val="18"/>
                <w:color w:val="auto"/>
              </w:rPr>
              <w:t>Treatment of Certain Information; Confidentiality</w:t>
            </w:r>
          </w:p>
        </w:tc>
        <w:tc>
          <w:tcPr>
            <w:tcW w:w="25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11.08</w:t>
            </w:r>
          </w:p>
        </w:tc>
        <w:tc>
          <w:tcPr>
            <w:tcW w:w="8160" w:type="dxa"/>
            <w:vAlign w:val="bottom"/>
          </w:tcPr>
          <w:p>
            <w:pPr>
              <w:ind w:left="200"/>
              <w:spacing w:after="0"/>
              <w:rPr>
                <w:sz w:val="20"/>
                <w:szCs w:val="20"/>
                <w:color w:val="auto"/>
              </w:rPr>
            </w:pPr>
            <w:r>
              <w:rPr>
                <w:rFonts w:ascii="Arial" w:cs="Arial" w:eastAsia="Arial" w:hAnsi="Arial"/>
                <w:sz w:val="18"/>
                <w:szCs w:val="18"/>
                <w:color w:val="auto"/>
              </w:rPr>
              <w:t>Right of Setoff</w:t>
            </w:r>
          </w:p>
        </w:tc>
        <w:tc>
          <w:tcPr>
            <w:tcW w:w="25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11.09</w:t>
            </w:r>
          </w:p>
        </w:tc>
        <w:tc>
          <w:tcPr>
            <w:tcW w:w="8160" w:type="dxa"/>
            <w:vAlign w:val="bottom"/>
          </w:tcPr>
          <w:p>
            <w:pPr>
              <w:ind w:left="200"/>
              <w:spacing w:after="0"/>
              <w:rPr>
                <w:sz w:val="20"/>
                <w:szCs w:val="20"/>
                <w:color w:val="auto"/>
              </w:rPr>
            </w:pPr>
            <w:r>
              <w:rPr>
                <w:rFonts w:ascii="Arial" w:cs="Arial" w:eastAsia="Arial" w:hAnsi="Arial"/>
                <w:sz w:val="18"/>
                <w:szCs w:val="18"/>
                <w:color w:val="auto"/>
              </w:rPr>
              <w:t>Interest Rate Limitation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11.10</w:t>
            </w:r>
          </w:p>
        </w:tc>
        <w:tc>
          <w:tcPr>
            <w:tcW w:w="8160" w:type="dxa"/>
            <w:vAlign w:val="bottom"/>
          </w:tcPr>
          <w:p>
            <w:pPr>
              <w:ind w:left="200"/>
              <w:spacing w:after="0"/>
              <w:rPr>
                <w:sz w:val="20"/>
                <w:szCs w:val="20"/>
                <w:color w:val="auto"/>
              </w:rPr>
            </w:pPr>
            <w:r>
              <w:rPr>
                <w:rFonts w:ascii="Arial" w:cs="Arial" w:eastAsia="Arial" w:hAnsi="Arial"/>
                <w:sz w:val="18"/>
                <w:szCs w:val="18"/>
                <w:color w:val="auto"/>
              </w:rPr>
              <w:t>Counterparts; Integration; Effectiveness</w:t>
            </w:r>
          </w:p>
        </w:tc>
        <w:tc>
          <w:tcPr>
            <w:tcW w:w="25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11.11</w:t>
            </w:r>
          </w:p>
        </w:tc>
        <w:tc>
          <w:tcPr>
            <w:tcW w:w="8160" w:type="dxa"/>
            <w:vAlign w:val="bottom"/>
          </w:tcPr>
          <w:p>
            <w:pPr>
              <w:ind w:left="200"/>
              <w:spacing w:after="0"/>
              <w:rPr>
                <w:sz w:val="20"/>
                <w:szCs w:val="20"/>
                <w:color w:val="auto"/>
              </w:rPr>
            </w:pPr>
            <w:r>
              <w:rPr>
                <w:rFonts w:ascii="Arial" w:cs="Arial" w:eastAsia="Arial" w:hAnsi="Arial"/>
                <w:sz w:val="18"/>
                <w:szCs w:val="18"/>
                <w:color w:val="auto"/>
              </w:rPr>
              <w:t>Survival of Representations and 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11.12</w:t>
            </w:r>
          </w:p>
        </w:tc>
        <w:tc>
          <w:tcPr>
            <w:tcW w:w="816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11.13</w:t>
            </w:r>
          </w:p>
        </w:tc>
        <w:tc>
          <w:tcPr>
            <w:tcW w:w="8160" w:type="dxa"/>
            <w:vAlign w:val="bottom"/>
          </w:tcPr>
          <w:p>
            <w:pPr>
              <w:ind w:left="200"/>
              <w:spacing w:after="0"/>
              <w:rPr>
                <w:sz w:val="20"/>
                <w:szCs w:val="20"/>
                <w:color w:val="auto"/>
              </w:rPr>
            </w:pPr>
            <w:r>
              <w:rPr>
                <w:rFonts w:ascii="Arial" w:cs="Arial" w:eastAsia="Arial" w:hAnsi="Arial"/>
                <w:sz w:val="18"/>
                <w:szCs w:val="18"/>
                <w:color w:val="auto"/>
              </w:rPr>
              <w:t>Replacement of Lenders</w:t>
            </w:r>
          </w:p>
        </w:tc>
        <w:tc>
          <w:tcPr>
            <w:tcW w:w="25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11.14</w:t>
            </w:r>
          </w:p>
        </w:tc>
        <w:tc>
          <w:tcPr>
            <w:tcW w:w="8160" w:type="dxa"/>
            <w:vAlign w:val="bottom"/>
          </w:tcPr>
          <w:p>
            <w:pPr>
              <w:ind w:left="200"/>
              <w:spacing w:after="0"/>
              <w:rPr>
                <w:sz w:val="20"/>
                <w:szCs w:val="20"/>
                <w:color w:val="auto"/>
              </w:rPr>
            </w:pPr>
            <w:r>
              <w:rPr>
                <w:rFonts w:ascii="Arial" w:cs="Arial" w:eastAsia="Arial" w:hAnsi="Arial"/>
                <w:sz w:val="18"/>
                <w:szCs w:val="18"/>
                <w:color w:val="auto"/>
              </w:rPr>
              <w:t>Governing Law; Jurisdiction; Etc</w:t>
            </w:r>
          </w:p>
        </w:tc>
        <w:tc>
          <w:tcPr>
            <w:tcW w:w="25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11.15</w:t>
            </w:r>
          </w:p>
        </w:tc>
        <w:tc>
          <w:tcPr>
            <w:tcW w:w="816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2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11.16</w:t>
            </w:r>
          </w:p>
        </w:tc>
        <w:tc>
          <w:tcPr>
            <w:tcW w:w="8160" w:type="dxa"/>
            <w:vAlign w:val="bottom"/>
          </w:tcPr>
          <w:p>
            <w:pPr>
              <w:ind w:left="200"/>
              <w:spacing w:after="0"/>
              <w:rPr>
                <w:sz w:val="20"/>
                <w:szCs w:val="20"/>
                <w:color w:val="auto"/>
              </w:rPr>
            </w:pPr>
            <w:r>
              <w:rPr>
                <w:rFonts w:ascii="Arial" w:cs="Arial" w:eastAsia="Arial" w:hAnsi="Arial"/>
                <w:sz w:val="18"/>
                <w:szCs w:val="18"/>
                <w:color w:val="auto"/>
              </w:rPr>
              <w:t>USA PATRIOT Act Notice</w:t>
            </w:r>
          </w:p>
        </w:tc>
        <w:tc>
          <w:tcPr>
            <w:tcW w:w="2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11.17</w:t>
            </w:r>
          </w:p>
        </w:tc>
        <w:tc>
          <w:tcPr>
            <w:tcW w:w="8160" w:type="dxa"/>
            <w:vAlign w:val="bottom"/>
          </w:tcPr>
          <w:p>
            <w:pPr>
              <w:ind w:left="200"/>
              <w:spacing w:after="0"/>
              <w:rPr>
                <w:sz w:val="20"/>
                <w:szCs w:val="20"/>
                <w:color w:val="auto"/>
              </w:rPr>
            </w:pPr>
            <w:r>
              <w:rPr>
                <w:rFonts w:ascii="Arial" w:cs="Arial" w:eastAsia="Arial" w:hAnsi="Arial"/>
                <w:sz w:val="18"/>
                <w:szCs w:val="18"/>
                <w:color w:val="auto"/>
              </w:rPr>
              <w:t>Liability of the Borrowers.</w:t>
            </w:r>
          </w:p>
        </w:tc>
        <w:tc>
          <w:tcPr>
            <w:tcW w:w="2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11.18</w:t>
            </w:r>
          </w:p>
        </w:tc>
        <w:tc>
          <w:tcPr>
            <w:tcW w:w="8160" w:type="dxa"/>
            <w:vAlign w:val="bottom"/>
          </w:tcPr>
          <w:p>
            <w:pPr>
              <w:ind w:left="200"/>
              <w:spacing w:after="0"/>
              <w:rPr>
                <w:sz w:val="20"/>
                <w:szCs w:val="20"/>
                <w:color w:val="auto"/>
              </w:rPr>
            </w:pPr>
            <w:r>
              <w:rPr>
                <w:rFonts w:ascii="Arial" w:cs="Arial" w:eastAsia="Arial" w:hAnsi="Arial"/>
                <w:sz w:val="18"/>
                <w:szCs w:val="18"/>
                <w:color w:val="auto"/>
              </w:rPr>
              <w:t>Judgment Currency</w:t>
            </w:r>
          </w:p>
        </w:tc>
        <w:tc>
          <w:tcPr>
            <w:tcW w:w="2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11.19</w:t>
            </w:r>
          </w:p>
        </w:tc>
        <w:tc>
          <w:tcPr>
            <w:tcW w:w="8160" w:type="dxa"/>
            <w:vAlign w:val="bottom"/>
          </w:tcPr>
          <w:p>
            <w:pPr>
              <w:ind w:left="200"/>
              <w:spacing w:after="0"/>
              <w:rPr>
                <w:sz w:val="20"/>
                <w:szCs w:val="20"/>
                <w:color w:val="auto"/>
              </w:rPr>
            </w:pPr>
            <w:r>
              <w:rPr>
                <w:rFonts w:ascii="Arial" w:cs="Arial" w:eastAsia="Arial" w:hAnsi="Arial"/>
                <w:sz w:val="18"/>
                <w:szCs w:val="18"/>
                <w:color w:val="auto"/>
              </w:rPr>
              <w:t>Automatic Debits of Principal, Interest, Fees</w:t>
            </w:r>
          </w:p>
        </w:tc>
        <w:tc>
          <w:tcPr>
            <w:tcW w:w="2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11.20</w:t>
            </w:r>
          </w:p>
        </w:tc>
        <w:tc>
          <w:tcPr>
            <w:tcW w:w="8160" w:type="dxa"/>
            <w:vAlign w:val="bottom"/>
          </w:tcPr>
          <w:p>
            <w:pPr>
              <w:ind w:left="200"/>
              <w:spacing w:after="0"/>
              <w:rPr>
                <w:sz w:val="20"/>
                <w:szCs w:val="20"/>
                <w:color w:val="auto"/>
              </w:rPr>
            </w:pPr>
            <w:r>
              <w:rPr>
                <w:rFonts w:ascii="Arial" w:cs="Arial" w:eastAsia="Arial" w:hAnsi="Arial"/>
                <w:sz w:val="18"/>
                <w:szCs w:val="18"/>
                <w:color w:val="auto"/>
              </w:rPr>
              <w:t>Termination of Existing Credit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11.21</w:t>
            </w:r>
          </w:p>
        </w:tc>
        <w:tc>
          <w:tcPr>
            <w:tcW w:w="8160" w:type="dxa"/>
            <w:vAlign w:val="bottom"/>
          </w:tcPr>
          <w:p>
            <w:pPr>
              <w:ind w:left="200"/>
              <w:spacing w:after="0"/>
              <w:rPr>
                <w:sz w:val="20"/>
                <w:szCs w:val="20"/>
                <w:color w:val="auto"/>
              </w:rPr>
            </w:pPr>
            <w:r>
              <w:rPr>
                <w:rFonts w:ascii="Arial" w:cs="Arial" w:eastAsia="Arial" w:hAnsi="Arial"/>
                <w:sz w:val="18"/>
                <w:szCs w:val="18"/>
                <w:color w:val="auto"/>
              </w:rPr>
              <w:t>No Advisory or Fiduciary Responsibility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11.22</w:t>
            </w:r>
          </w:p>
        </w:tc>
        <w:tc>
          <w:tcPr>
            <w:tcW w:w="8160" w:type="dxa"/>
            <w:vAlign w:val="bottom"/>
          </w:tcPr>
          <w:p>
            <w:pPr>
              <w:ind w:left="200"/>
              <w:spacing w:after="0"/>
              <w:rPr>
                <w:sz w:val="20"/>
                <w:szCs w:val="20"/>
                <w:color w:val="auto"/>
              </w:rPr>
            </w:pPr>
            <w:r>
              <w:rPr>
                <w:rFonts w:ascii="Arial" w:cs="Arial" w:eastAsia="Arial" w:hAnsi="Arial"/>
                <w:sz w:val="18"/>
                <w:szCs w:val="18"/>
                <w:color w:val="auto"/>
              </w:rPr>
              <w:t>Electronic Execution of Assignments and Certain Other Documents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11.23</w:t>
            </w:r>
          </w:p>
        </w:tc>
        <w:tc>
          <w:tcPr>
            <w:tcW w:w="816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25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365"/>
        </w:trPr>
        <w:tc>
          <w:tcPr>
            <w:tcW w:w="580" w:type="dxa"/>
            <w:vAlign w:val="bottom"/>
          </w:tcPr>
          <w:p>
            <w:pPr>
              <w:spacing w:after="0"/>
              <w:rPr>
                <w:sz w:val="24"/>
                <w:szCs w:val="24"/>
                <w:color w:val="auto"/>
              </w:rPr>
            </w:pPr>
          </w:p>
        </w:tc>
        <w:tc>
          <w:tcPr>
            <w:tcW w:w="8160" w:type="dxa"/>
            <w:vAlign w:val="bottom"/>
          </w:tcPr>
          <w:p>
            <w:pPr>
              <w:ind w:left="5060"/>
              <w:spacing w:after="0"/>
              <w:rPr>
                <w:sz w:val="20"/>
                <w:szCs w:val="20"/>
                <w:color w:val="auto"/>
              </w:rPr>
            </w:pPr>
            <w:r>
              <w:rPr>
                <w:rFonts w:ascii="Arial" w:cs="Arial" w:eastAsia="Arial" w:hAnsi="Arial"/>
                <w:sz w:val="18"/>
                <w:szCs w:val="18"/>
                <w:color w:val="auto"/>
              </w:rPr>
              <w:t>iv</w:t>
            </w:r>
          </w:p>
        </w:tc>
        <w:tc>
          <w:tcPr>
            <w:tcW w:w="2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28"/>
        </w:trPr>
        <w:tc>
          <w:tcPr>
            <w:tcW w:w="136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5020" w:type="dxa"/>
            <w:vAlign w:val="bottom"/>
          </w:tcPr>
          <w:p>
            <w:pPr>
              <w:spacing w:after="0"/>
              <w:rPr>
                <w:sz w:val="19"/>
                <w:szCs w:val="19"/>
                <w:color w:val="auto"/>
              </w:rPr>
            </w:pPr>
          </w:p>
        </w:tc>
      </w:tr>
      <w:tr>
        <w:trPr>
          <w:trHeight w:val="412"/>
        </w:trPr>
        <w:tc>
          <w:tcPr>
            <w:tcW w:w="1360" w:type="dxa"/>
            <w:vAlign w:val="bottom"/>
          </w:tcPr>
          <w:p>
            <w:pPr>
              <w:ind w:left="460"/>
              <w:spacing w:after="0"/>
              <w:rPr>
                <w:sz w:val="20"/>
                <w:szCs w:val="20"/>
                <w:color w:val="auto"/>
              </w:rPr>
            </w:pPr>
            <w:r>
              <w:rPr>
                <w:rFonts w:ascii="Arial" w:cs="Arial" w:eastAsia="Arial" w:hAnsi="Arial"/>
                <w:sz w:val="18"/>
                <w:szCs w:val="18"/>
                <w:color w:val="auto"/>
              </w:rPr>
              <w:t>1.01(e)</w:t>
            </w:r>
          </w:p>
        </w:tc>
        <w:tc>
          <w:tcPr>
            <w:tcW w:w="5020" w:type="dxa"/>
            <w:vAlign w:val="bottom"/>
          </w:tcPr>
          <w:p>
            <w:pPr>
              <w:ind w:left="26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1.01(m)</w:t>
            </w:r>
          </w:p>
        </w:tc>
        <w:tc>
          <w:tcPr>
            <w:tcW w:w="5020" w:type="dxa"/>
            <w:vAlign w:val="bottom"/>
          </w:tcPr>
          <w:p>
            <w:pPr>
              <w:ind w:left="260"/>
              <w:spacing w:after="0"/>
              <w:rPr>
                <w:sz w:val="20"/>
                <w:szCs w:val="20"/>
                <w:color w:val="auto"/>
              </w:rPr>
            </w:pPr>
            <w:r>
              <w:rPr>
                <w:rFonts w:ascii="Arial" w:cs="Arial" w:eastAsia="Arial" w:hAnsi="Arial"/>
                <w:sz w:val="18"/>
                <w:szCs w:val="18"/>
                <w:color w:val="auto"/>
              </w:rPr>
              <w:t>Mandatory Cost Formulae</w:t>
            </w: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2.01</w:t>
            </w:r>
          </w:p>
        </w:tc>
        <w:tc>
          <w:tcPr>
            <w:tcW w:w="5020" w:type="dxa"/>
            <w:vAlign w:val="bottom"/>
          </w:tcPr>
          <w:p>
            <w:pPr>
              <w:ind w:left="260"/>
              <w:spacing w:after="0"/>
              <w:rPr>
                <w:sz w:val="20"/>
                <w:szCs w:val="20"/>
                <w:color w:val="auto"/>
              </w:rPr>
            </w:pPr>
            <w:r>
              <w:rPr>
                <w:rFonts w:ascii="Arial" w:cs="Arial" w:eastAsia="Arial" w:hAnsi="Arial"/>
                <w:sz w:val="18"/>
                <w:szCs w:val="18"/>
                <w:color w:val="auto"/>
              </w:rPr>
              <w:t>Commitments and Applicable Percentages</w:t>
            </w: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5.06</w:t>
            </w:r>
          </w:p>
        </w:tc>
        <w:tc>
          <w:tcPr>
            <w:tcW w:w="5020" w:type="dxa"/>
            <w:vAlign w:val="bottom"/>
          </w:tcPr>
          <w:p>
            <w:pPr>
              <w:ind w:left="260"/>
              <w:spacing w:after="0"/>
              <w:rPr>
                <w:sz w:val="20"/>
                <w:szCs w:val="20"/>
                <w:color w:val="auto"/>
              </w:rPr>
            </w:pPr>
            <w:r>
              <w:rPr>
                <w:rFonts w:ascii="Arial" w:cs="Arial" w:eastAsia="Arial" w:hAnsi="Arial"/>
                <w:sz w:val="18"/>
                <w:szCs w:val="18"/>
                <w:color w:val="auto"/>
              </w:rPr>
              <w:t>Litigation</w:t>
            </w: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5.09</w:t>
            </w:r>
          </w:p>
        </w:tc>
        <w:tc>
          <w:tcPr>
            <w:tcW w:w="5020" w:type="dxa"/>
            <w:vAlign w:val="bottom"/>
          </w:tcPr>
          <w:p>
            <w:pPr>
              <w:ind w:left="260"/>
              <w:spacing w:after="0"/>
              <w:rPr>
                <w:sz w:val="20"/>
                <w:szCs w:val="20"/>
                <w:color w:val="auto"/>
              </w:rPr>
            </w:pPr>
            <w:r>
              <w:rPr>
                <w:rFonts w:ascii="Arial" w:cs="Arial" w:eastAsia="Arial" w:hAnsi="Arial"/>
                <w:sz w:val="18"/>
                <w:szCs w:val="18"/>
                <w:color w:val="auto"/>
              </w:rPr>
              <w:t>Environmental Matters</w:t>
            </w: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5.10</w:t>
            </w:r>
          </w:p>
        </w:tc>
        <w:tc>
          <w:tcPr>
            <w:tcW w:w="5020" w:type="dxa"/>
            <w:vAlign w:val="bottom"/>
          </w:tcPr>
          <w:p>
            <w:pPr>
              <w:ind w:left="260"/>
              <w:spacing w:after="0"/>
              <w:rPr>
                <w:sz w:val="20"/>
                <w:szCs w:val="20"/>
                <w:color w:val="auto"/>
              </w:rPr>
            </w:pPr>
            <w:r>
              <w:rPr>
                <w:rFonts w:ascii="Arial" w:cs="Arial" w:eastAsia="Arial" w:hAnsi="Arial"/>
                <w:sz w:val="18"/>
                <w:szCs w:val="18"/>
                <w:color w:val="auto"/>
              </w:rPr>
              <w:t>Insurance Matters</w:t>
            </w: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5.12</w:t>
            </w:r>
          </w:p>
        </w:tc>
        <w:tc>
          <w:tcPr>
            <w:tcW w:w="5020" w:type="dxa"/>
            <w:vAlign w:val="bottom"/>
          </w:tcPr>
          <w:p>
            <w:pPr>
              <w:ind w:left="260"/>
              <w:spacing w:after="0"/>
              <w:rPr>
                <w:sz w:val="20"/>
                <w:szCs w:val="20"/>
                <w:color w:val="auto"/>
              </w:rPr>
            </w:pPr>
            <w:r>
              <w:rPr>
                <w:rFonts w:ascii="Arial" w:cs="Arial" w:eastAsia="Arial" w:hAnsi="Arial"/>
                <w:sz w:val="18"/>
                <w:szCs w:val="18"/>
                <w:color w:val="auto"/>
              </w:rPr>
              <w:t>ERISA Matters</w:t>
            </w: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5.13</w:t>
            </w:r>
          </w:p>
        </w:tc>
        <w:tc>
          <w:tcPr>
            <w:tcW w:w="5020" w:type="dxa"/>
            <w:vAlign w:val="bottom"/>
          </w:tcPr>
          <w:p>
            <w:pPr>
              <w:ind w:left="260"/>
              <w:spacing w:after="0"/>
              <w:rPr>
                <w:sz w:val="20"/>
                <w:szCs w:val="20"/>
                <w:color w:val="auto"/>
              </w:rPr>
            </w:pPr>
            <w:r>
              <w:rPr>
                <w:rFonts w:ascii="Arial" w:cs="Arial" w:eastAsia="Arial" w:hAnsi="Arial"/>
                <w:sz w:val="18"/>
                <w:szCs w:val="18"/>
                <w:color w:val="auto"/>
                <w:w w:val="88"/>
              </w:rPr>
              <w:t>Subsidiaries and Other Equity Investments; Equity Interests in Toro</w:t>
            </w: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5.19</w:t>
            </w:r>
          </w:p>
        </w:tc>
        <w:tc>
          <w:tcPr>
            <w:tcW w:w="5020" w:type="dxa"/>
            <w:vAlign w:val="bottom"/>
          </w:tcPr>
          <w:p>
            <w:pPr>
              <w:ind w:left="260"/>
              <w:spacing w:after="0"/>
              <w:rPr>
                <w:sz w:val="20"/>
                <w:szCs w:val="20"/>
                <w:color w:val="auto"/>
              </w:rPr>
            </w:pPr>
            <w:r>
              <w:rPr>
                <w:rFonts w:ascii="Arial" w:cs="Arial" w:eastAsia="Arial" w:hAnsi="Arial"/>
                <w:sz w:val="18"/>
                <w:szCs w:val="18"/>
                <w:color w:val="auto"/>
              </w:rPr>
              <w:t>Identification Numbers for Foreign Obligors</w:t>
            </w: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7.01</w:t>
            </w:r>
          </w:p>
        </w:tc>
        <w:tc>
          <w:tcPr>
            <w:tcW w:w="5020" w:type="dxa"/>
            <w:vAlign w:val="bottom"/>
          </w:tcPr>
          <w:p>
            <w:pPr>
              <w:ind w:left="260"/>
              <w:spacing w:after="0"/>
              <w:rPr>
                <w:sz w:val="20"/>
                <w:szCs w:val="20"/>
                <w:color w:val="auto"/>
              </w:rPr>
            </w:pPr>
            <w:r>
              <w:rPr>
                <w:rFonts w:ascii="Arial" w:cs="Arial" w:eastAsia="Arial" w:hAnsi="Arial"/>
                <w:sz w:val="18"/>
                <w:szCs w:val="18"/>
                <w:color w:val="auto"/>
              </w:rPr>
              <w:t>Existing Liens</w:t>
            </w:r>
          </w:p>
        </w:tc>
      </w:tr>
      <w:tr>
        <w:trPr>
          <w:trHeight w:val="222"/>
        </w:trPr>
        <w:tc>
          <w:tcPr>
            <w:tcW w:w="1360" w:type="dxa"/>
            <w:vAlign w:val="bottom"/>
          </w:tcPr>
          <w:p>
            <w:pPr>
              <w:ind w:left="460"/>
              <w:spacing w:after="0"/>
              <w:rPr>
                <w:sz w:val="20"/>
                <w:szCs w:val="20"/>
                <w:color w:val="auto"/>
              </w:rPr>
            </w:pPr>
            <w:r>
              <w:rPr>
                <w:rFonts w:ascii="Arial" w:cs="Arial" w:eastAsia="Arial" w:hAnsi="Arial"/>
                <w:sz w:val="18"/>
                <w:szCs w:val="18"/>
                <w:color w:val="auto"/>
              </w:rPr>
              <w:t>11.02</w:t>
            </w:r>
          </w:p>
        </w:tc>
        <w:tc>
          <w:tcPr>
            <w:tcW w:w="5020" w:type="dxa"/>
            <w:vAlign w:val="bottom"/>
          </w:tcPr>
          <w:p>
            <w:pPr>
              <w:ind w:left="260"/>
              <w:spacing w:after="0"/>
              <w:rPr>
                <w:sz w:val="20"/>
                <w:szCs w:val="20"/>
                <w:color w:val="auto"/>
              </w:rPr>
            </w:pPr>
            <w:r>
              <w:rPr>
                <w:rFonts w:ascii="Arial" w:cs="Arial" w:eastAsia="Arial" w:hAnsi="Arial"/>
                <w:sz w:val="18"/>
                <w:szCs w:val="18"/>
                <w:color w:val="auto"/>
                <w:w w:val="98"/>
              </w:rPr>
              <w:t>Administrative Agent’s Office; Certain Addresses for Notices</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of</w:t>
      </w:r>
    </w:p>
    <w:p>
      <w:pPr>
        <w:spacing w:after="0" w:line="212" w:lineRule="exact"/>
        <w:rPr>
          <w:sz w:val="20"/>
          <w:szCs w:val="20"/>
          <w:color w:val="auto"/>
        </w:rPr>
      </w:pPr>
    </w:p>
    <w:p>
      <w:pPr>
        <w:ind w:left="1620" w:hanging="1153"/>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15" w:lineRule="exact"/>
        <w:rPr>
          <w:sz w:val="20"/>
          <w:szCs w:val="20"/>
          <w:color w:val="auto"/>
        </w:rPr>
      </w:pPr>
    </w:p>
    <w:p>
      <w:pPr>
        <w:ind w:left="1620" w:hanging="1153"/>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Swing Line Loan Notice</w:t>
      </w:r>
    </w:p>
    <w:p>
      <w:pPr>
        <w:spacing w:after="0" w:line="9" w:lineRule="exact"/>
        <w:rPr>
          <w:sz w:val="20"/>
          <w:szCs w:val="20"/>
          <w:color w:val="auto"/>
        </w:rPr>
      </w:pPr>
    </w:p>
    <w:p>
      <w:pPr>
        <w:ind w:left="1620" w:hanging="1153"/>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Note for Toro</w:t>
      </w:r>
    </w:p>
    <w:p>
      <w:pPr>
        <w:spacing w:after="0" w:line="9" w:lineRule="exact"/>
        <w:rPr>
          <w:sz w:val="20"/>
          <w:szCs w:val="20"/>
          <w:color w:val="auto"/>
        </w:rPr>
      </w:pPr>
    </w:p>
    <w:p>
      <w:pPr>
        <w:ind w:left="1620" w:hanging="1153"/>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E-1</w:t>
            </w:r>
          </w:p>
        </w:tc>
        <w:tc>
          <w:tcPr>
            <w:tcW w:w="2540" w:type="dxa"/>
            <w:vAlign w:val="bottom"/>
          </w:tcPr>
          <w:p>
            <w:pPr>
              <w:ind w:left="440"/>
              <w:spacing w:after="0"/>
              <w:rPr>
                <w:sz w:val="20"/>
                <w:szCs w:val="20"/>
                <w:color w:val="auto"/>
              </w:rPr>
            </w:pPr>
            <w:r>
              <w:rPr>
                <w:rFonts w:ascii="Arial" w:cs="Arial" w:eastAsia="Arial" w:hAnsi="Arial"/>
                <w:sz w:val="18"/>
                <w:szCs w:val="18"/>
                <w:color w:val="auto"/>
                <w:w w:val="91"/>
              </w:rPr>
              <w:t>Assignment and Assumption</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E-2</w:t>
            </w:r>
          </w:p>
        </w:tc>
        <w:tc>
          <w:tcPr>
            <w:tcW w:w="2540" w:type="dxa"/>
            <w:vAlign w:val="bottom"/>
          </w:tcPr>
          <w:p>
            <w:pPr>
              <w:ind w:left="440"/>
              <w:spacing w:after="0"/>
              <w:rPr>
                <w:sz w:val="20"/>
                <w:szCs w:val="20"/>
                <w:color w:val="auto"/>
              </w:rPr>
            </w:pPr>
            <w:r>
              <w:rPr>
                <w:rFonts w:ascii="Arial" w:cs="Arial" w:eastAsia="Arial" w:hAnsi="Arial"/>
                <w:sz w:val="18"/>
                <w:szCs w:val="18"/>
                <w:color w:val="auto"/>
                <w:w w:val="90"/>
              </w:rPr>
              <w:t>Administrative Questionnaire</w:t>
            </w:r>
          </w:p>
        </w:tc>
      </w:tr>
    </w:tbl>
    <w:p>
      <w:pPr>
        <w:ind w:left="1620" w:hanging="1153"/>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Opinion Matters</w:t>
      </w:r>
    </w:p>
    <w:p>
      <w:pPr>
        <w:spacing w:after="0" w:line="9" w:lineRule="exact"/>
        <w:rPr>
          <w:sz w:val="20"/>
          <w:szCs w:val="20"/>
          <w:color w:val="auto"/>
        </w:rPr>
      </w:pPr>
    </w:p>
    <w:p>
      <w:pPr>
        <w:ind w:left="1620" w:hanging="1153"/>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Designated Borrower Request and Assumption Agreement</w:t>
      </w:r>
    </w:p>
    <w:p>
      <w:pPr>
        <w:spacing w:after="0" w:line="9" w:lineRule="exact"/>
        <w:rPr>
          <w:sz w:val="20"/>
          <w:szCs w:val="20"/>
          <w:color w:val="auto"/>
        </w:rPr>
      </w:pPr>
    </w:p>
    <w:p>
      <w:pPr>
        <w:ind w:left="1620" w:hanging="1153"/>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Designated Borrower Notice</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274" w:right="1440"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w:t>
      </w:r>
    </w:p>
    <w:p>
      <w:pPr>
        <w:spacing w:after="0" w:line="17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This CREDIT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is entered into as of July 28, 2011, among </w:t>
      </w:r>
      <w:r>
        <w:rPr>
          <w:rFonts w:ascii="Arial" w:cs="Arial" w:eastAsia="Arial" w:hAnsi="Arial"/>
          <w:sz w:val="16"/>
          <w:szCs w:val="16"/>
          <w:b w:val="1"/>
          <w:bCs w:val="1"/>
          <w:color w:val="auto"/>
        </w:rPr>
        <w:t>THE TORO COMPANY</w:t>
      </w:r>
      <w:r>
        <w:rPr>
          <w:rFonts w:ascii="Arial" w:cs="Arial" w:eastAsia="Arial" w:hAnsi="Arial"/>
          <w:sz w:val="16"/>
          <w:szCs w:val="16"/>
          <w:color w:val="auto"/>
        </w:rPr>
        <w:t>, a Delaware corporation (“</w:t>
      </w:r>
      <w:r>
        <w:rPr>
          <w:rFonts w:ascii="Arial" w:cs="Arial" w:eastAsia="Arial" w:hAnsi="Arial"/>
          <w:sz w:val="16"/>
          <w:szCs w:val="16"/>
          <w:u w:val="single" w:color="auto"/>
          <w:color w:val="auto"/>
        </w:rPr>
        <w:t>Toro</w:t>
      </w:r>
      <w:r>
        <w:rPr>
          <w:rFonts w:ascii="Arial" w:cs="Arial" w:eastAsia="Arial" w:hAnsi="Arial"/>
          <w:sz w:val="16"/>
          <w:szCs w:val="16"/>
          <w:color w:val="auto"/>
        </w:rPr>
        <w:t xml:space="preserve">”), </w:t>
      </w:r>
      <w:r>
        <w:rPr>
          <w:rFonts w:ascii="Arial" w:cs="Arial" w:eastAsia="Arial" w:hAnsi="Arial"/>
          <w:sz w:val="16"/>
          <w:szCs w:val="16"/>
          <w:b w:val="1"/>
          <w:bCs w:val="1"/>
          <w:color w:val="auto"/>
        </w:rPr>
        <w:t>TORO MANUFACTURING LLC</w:t>
      </w:r>
      <w:r>
        <w:rPr>
          <w:rFonts w:ascii="Arial" w:cs="Arial" w:eastAsia="Arial" w:hAnsi="Arial"/>
          <w:sz w:val="16"/>
          <w:szCs w:val="16"/>
          <w:color w:val="auto"/>
        </w:rPr>
        <w:t>, a Delaware limited liability company (“</w:t>
      </w:r>
      <w:r>
        <w:rPr>
          <w:rFonts w:ascii="Arial" w:cs="Arial" w:eastAsia="Arial" w:hAnsi="Arial"/>
          <w:sz w:val="16"/>
          <w:szCs w:val="16"/>
          <w:u w:val="single" w:color="auto"/>
          <w:color w:val="auto"/>
        </w:rPr>
        <w:t>Manufacturing</w:t>
      </w:r>
      <w:r>
        <w:rPr>
          <w:rFonts w:ascii="Arial" w:cs="Arial" w:eastAsia="Arial" w:hAnsi="Arial"/>
          <w:sz w:val="16"/>
          <w:szCs w:val="16"/>
          <w:color w:val="auto"/>
        </w:rPr>
        <w:t>”),</w:t>
      </w:r>
      <w:r>
        <w:rPr>
          <w:rFonts w:ascii="Arial" w:cs="Arial" w:eastAsia="Arial" w:hAnsi="Arial"/>
          <w:sz w:val="16"/>
          <w:szCs w:val="16"/>
          <w:b w:val="1"/>
          <w:bCs w:val="1"/>
          <w:color w:val="auto"/>
        </w:rPr>
        <w:t xml:space="preserve"> EXMARK MANUFACTURING COMPANY INCORPORATED</w:t>
      </w:r>
      <w:r>
        <w:rPr>
          <w:rFonts w:ascii="Arial" w:cs="Arial" w:eastAsia="Arial" w:hAnsi="Arial"/>
          <w:sz w:val="16"/>
          <w:szCs w:val="16"/>
          <w:color w:val="auto"/>
        </w:rPr>
        <w:t>, a Nebraska corporation (“</w:t>
      </w:r>
      <w:r>
        <w:rPr>
          <w:rFonts w:ascii="Arial" w:cs="Arial" w:eastAsia="Arial" w:hAnsi="Arial"/>
          <w:sz w:val="16"/>
          <w:szCs w:val="16"/>
          <w:u w:val="single" w:color="auto"/>
          <w:color w:val="auto"/>
        </w:rPr>
        <w:t>Exmark</w:t>
      </w:r>
      <w:r>
        <w:rPr>
          <w:rFonts w:ascii="Arial" w:cs="Arial" w:eastAsia="Arial" w:hAnsi="Arial"/>
          <w:sz w:val="16"/>
          <w:szCs w:val="16"/>
          <w:color w:val="auto"/>
        </w:rPr>
        <w:t>”), and</w:t>
      </w:r>
      <w:r>
        <w:rPr>
          <w:rFonts w:ascii="Arial" w:cs="Arial" w:eastAsia="Arial" w:hAnsi="Arial"/>
          <w:sz w:val="16"/>
          <w:szCs w:val="16"/>
          <w:b w:val="1"/>
          <w:bCs w:val="1"/>
          <w:color w:val="auto"/>
        </w:rPr>
        <w:t xml:space="preserve"> TORO INTERNATIONAL COMPANY</w:t>
      </w:r>
      <w:r>
        <w:rPr>
          <w:rFonts w:ascii="Arial" w:cs="Arial" w:eastAsia="Arial" w:hAnsi="Arial"/>
          <w:sz w:val="16"/>
          <w:szCs w:val="16"/>
          <w:color w:val="auto"/>
        </w:rPr>
        <w:t>, a Minnesota corporation (“</w:t>
      </w:r>
      <w:r>
        <w:rPr>
          <w:rFonts w:ascii="Arial" w:cs="Arial" w:eastAsia="Arial" w:hAnsi="Arial"/>
          <w:sz w:val="16"/>
          <w:szCs w:val="16"/>
          <w:u w:val="single" w:color="auto"/>
          <w:color w:val="auto"/>
        </w:rPr>
        <w:t>TIC</w:t>
      </w:r>
      <w:r>
        <w:rPr>
          <w:rFonts w:ascii="Arial" w:cs="Arial" w:eastAsia="Arial" w:hAnsi="Arial"/>
          <w:sz w:val="16"/>
          <w:szCs w:val="16"/>
          <w:color w:val="auto"/>
        </w:rPr>
        <w:t>”), certain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Subsidiaries of Toro party hereto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Designated Borrower</w:t>
      </w:r>
      <w:r>
        <w:rPr>
          <w:rFonts w:ascii="Arial" w:cs="Arial" w:eastAsia="Arial" w:hAnsi="Arial"/>
          <w:sz w:val="16"/>
          <w:szCs w:val="16"/>
          <w:color w:val="auto"/>
        </w:rPr>
        <w:t>” and, together with Manufacturing, Exmark and TIC, the “</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Borrowers</w:t>
      </w:r>
      <w:r>
        <w:rPr>
          <w:rFonts w:ascii="Arial" w:cs="Arial" w:eastAsia="Arial" w:hAnsi="Arial"/>
          <w:sz w:val="16"/>
          <w:szCs w:val="16"/>
          <w:color w:val="auto"/>
        </w:rPr>
        <w:t>” and, together with Toro,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each lender from time to time party 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individually, a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and </w:t>
      </w:r>
      <w:r>
        <w:rPr>
          <w:rFonts w:ascii="Arial" w:cs="Arial" w:eastAsia="Arial" w:hAnsi="Arial"/>
          <w:sz w:val="16"/>
          <w:szCs w:val="16"/>
          <w:b w:val="1"/>
          <w:bCs w:val="1"/>
          <w:color w:val="auto"/>
        </w:rPr>
        <w:t>BANK OF AMERICA, N.A.,</w:t>
      </w:r>
      <w:r>
        <w:rPr>
          <w:rFonts w:ascii="Arial" w:cs="Arial" w:eastAsia="Arial" w:hAnsi="Arial"/>
          <w:sz w:val="16"/>
          <w:szCs w:val="16"/>
          <w:color w:val="auto"/>
        </w:rPr>
        <w:t xml:space="preserve"> as Administrative Agent, Swing Line Lender and L/C Issuer.</w:t>
      </w:r>
    </w:p>
    <w:p>
      <w:pPr>
        <w:spacing w:after="0" w:line="11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Borrowers have requested that the Lenders provide a $150,000,000 revolving credit facility with a letter of credit subfacility and a swing line subfacility, and the Lenders are willing to do so on the terms and conditions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DEFINITIONS AND ACCOUNTING TERMS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1.01 Defined Terms. </w:t>
      </w:r>
      <w:r>
        <w:rPr>
          <w:rFonts w:ascii="Arial" w:cs="Arial" w:eastAsia="Arial" w:hAnsi="Arial"/>
          <w:sz w:val="18"/>
          <w:szCs w:val="18"/>
          <w:color w:val="auto"/>
        </w:rPr>
        <w:t>As used in this Agreement, the following terms shall have the meanings set forth below:</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investment which involves a transaction or series of related transactions for the purpose of or resulting, directly or indirectly, in</w:t>
      </w:r>
    </w:p>
    <w:p>
      <w:pPr>
        <w:spacing w:after="0" w:line="38" w:lineRule="exact"/>
        <w:rPr>
          <w:sz w:val="20"/>
          <w:szCs w:val="20"/>
          <w:color w:val="auto"/>
        </w:rPr>
      </w:pPr>
    </w:p>
    <w:p>
      <w:pPr>
        <w:jc w:val="both"/>
        <w:ind w:right="280" w:firstLine="8"/>
        <w:spacing w:after="0" w:line="302" w:lineRule="auto"/>
        <w:tabs>
          <w:tab w:leader="none" w:pos="23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means Bank of America in its capacity as administrative agent under any of the Loan Documents, or any successor administrative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Toro and the Lenders.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any other form approved by the Administrative Agent.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490" w:right="359" w:bottom="1440" w:gutter="0" w:footer="0" w:header="0"/>
        </w:sectPr>
      </w:pPr>
    </w:p>
    <w:bookmarkStart w:id="12" w:name="page13"/>
    <w:bookmarkEnd w:id="12"/>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Commitments</w:t>
      </w:r>
      <w:r>
        <w:rPr>
          <w:rFonts w:ascii="Arial" w:cs="Arial" w:eastAsia="Arial" w:hAnsi="Arial"/>
          <w:sz w:val="16"/>
          <w:szCs w:val="16"/>
          <w:color w:val="auto"/>
        </w:rPr>
        <w:t>” means the Commitments of all the Lenders. As of the Closing Date, the Aggregate Commitments are $150,000,000.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means each of Euro, Sterling, Australian Dollar, and each other currency (other than Dollars) that is approved in accordance with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Equivalent</w:t>
      </w:r>
      <w:r>
        <w:rPr>
          <w:rFonts w:ascii="Arial" w:cs="Arial" w:eastAsia="Arial" w:hAnsi="Arial"/>
          <w:sz w:val="18"/>
          <w:szCs w:val="18"/>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If the commitment of each Lender to make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from time to time, the following percentages per annum, based upon (i) the ratio of (A) total Indebtedness to (B) the sum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for such period, and (ii) the Debt Rating as set forth below:</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Rate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Eurocurrency</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Pricing</w:t>
            </w:r>
          </w:p>
        </w:tc>
        <w:tc>
          <w:tcPr>
            <w:tcW w:w="49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Rate Margin</w:t>
            </w: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7"/>
              </w:rPr>
              <w:t>Base</w:t>
            </w:r>
          </w:p>
        </w:tc>
        <w:tc>
          <w:tcPr>
            <w:tcW w:w="0" w:type="dxa"/>
            <w:vAlign w:val="bottom"/>
          </w:tcPr>
          <w:p>
            <w:pPr>
              <w:spacing w:after="0"/>
              <w:rPr>
                <w:sz w:val="1"/>
                <w:szCs w:val="1"/>
                <w:color w:val="auto"/>
              </w:rPr>
            </w:pPr>
          </w:p>
        </w:tc>
      </w:tr>
      <w:tr>
        <w:trPr>
          <w:trHeight w:val="135"/>
        </w:trPr>
        <w:tc>
          <w:tcPr>
            <w:tcW w:w="740" w:type="dxa"/>
            <w:vAlign w:val="bottom"/>
            <w:gridSpan w:val="2"/>
            <w:vMerge w:val="continue"/>
          </w:tcPr>
          <w:p>
            <w:pPr>
              <w:spacing w:after="0"/>
              <w:rPr>
                <w:sz w:val="11"/>
                <w:szCs w:val="11"/>
                <w:color w:val="auto"/>
              </w:rPr>
            </w:pPr>
          </w:p>
        </w:tc>
        <w:tc>
          <w:tcPr>
            <w:tcW w:w="4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Debt Ratings</w:t>
            </w:r>
          </w:p>
        </w:tc>
        <w:tc>
          <w:tcPr>
            <w:tcW w:w="9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1"/>
              </w:rPr>
              <w:t>Facility</w:t>
            </w:r>
          </w:p>
        </w:tc>
        <w:tc>
          <w:tcPr>
            <w:tcW w:w="13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8"/>
              </w:rPr>
              <w:t>and Letters of</w:t>
            </w: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175"/>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300" w:type="dxa"/>
            <w:vAlign w:val="bottom"/>
            <w:tcBorders>
              <w:bottom w:val="single" w:sz="8" w:color="CCEEFF"/>
            </w:tcBorders>
          </w:tcPr>
          <w:p>
            <w:pPr>
              <w:spacing w:after="0"/>
              <w:rPr>
                <w:sz w:val="15"/>
                <w:szCs w:val="15"/>
                <w:color w:val="auto"/>
              </w:rPr>
            </w:pPr>
          </w:p>
        </w:tc>
        <w:tc>
          <w:tcPr>
            <w:tcW w:w="4900" w:type="dxa"/>
            <w:vAlign w:val="bottom"/>
            <w:tcBorders>
              <w:bottom w:val="single" w:sz="8" w:color="auto"/>
            </w:tcBorders>
          </w:tcPr>
          <w:p>
            <w:pPr>
              <w:jc w:val="center"/>
              <w:ind w:left="1255"/>
              <w:spacing w:after="0"/>
              <w:rPr>
                <w:sz w:val="20"/>
                <w:szCs w:val="20"/>
                <w:color w:val="auto"/>
              </w:rPr>
            </w:pPr>
            <w:r>
              <w:rPr>
                <w:rFonts w:ascii="Arial" w:cs="Arial" w:eastAsia="Arial" w:hAnsi="Arial"/>
                <w:sz w:val="14"/>
                <w:szCs w:val="14"/>
                <w:b w:val="1"/>
                <w:bCs w:val="1"/>
                <w:color w:val="auto"/>
                <w:w w:val="87"/>
              </w:rPr>
              <w:t>Total Indebtedness to Consolidated EBITDA Ratio</w:t>
            </w:r>
          </w:p>
        </w:tc>
        <w:tc>
          <w:tcPr>
            <w:tcW w:w="136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S&amp;P/Moody’s</w:t>
            </w:r>
          </w:p>
        </w:tc>
        <w:tc>
          <w:tcPr>
            <w:tcW w:w="3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Fee</w:t>
            </w:r>
          </w:p>
        </w:tc>
        <w:tc>
          <w:tcPr>
            <w:tcW w:w="5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Credit Rate</w:t>
            </w:r>
          </w:p>
        </w:tc>
        <w:tc>
          <w:tcPr>
            <w:tcW w:w="5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Margin</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00" w:type="dxa"/>
            <w:vAlign w:val="bottom"/>
            <w:shd w:val="clear" w:color="auto" w:fill="CCEEFF"/>
          </w:tcPr>
          <w:p>
            <w:pPr>
              <w:spacing w:after="0"/>
              <w:rPr>
                <w:sz w:val="18"/>
                <w:szCs w:val="18"/>
                <w:color w:val="auto"/>
              </w:rPr>
            </w:pPr>
          </w:p>
        </w:tc>
        <w:tc>
          <w:tcPr>
            <w:tcW w:w="4900" w:type="dxa"/>
            <w:vAlign w:val="bottom"/>
            <w:shd w:val="clear" w:color="auto" w:fill="CCEEFF"/>
          </w:tcPr>
          <w:p>
            <w:pPr>
              <w:jc w:val="center"/>
              <w:ind w:left="1275"/>
              <w:spacing w:after="0"/>
              <w:rPr>
                <w:sz w:val="20"/>
                <w:szCs w:val="20"/>
                <w:color w:val="auto"/>
              </w:rPr>
            </w:pPr>
            <w:r>
              <w:rPr>
                <w:rFonts w:ascii="Arial" w:cs="Arial" w:eastAsia="Arial" w:hAnsi="Arial"/>
                <w:sz w:val="18"/>
                <w:szCs w:val="18"/>
                <w:color w:val="auto"/>
                <w:w w:val="87"/>
              </w:rPr>
              <w:t>Less than or equal to 0.25x</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³ A-/A3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0.175%</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0.825%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0.000%</w:t>
            </w:r>
          </w:p>
        </w:tc>
        <w:tc>
          <w:tcPr>
            <w:tcW w:w="0" w:type="dxa"/>
            <w:vAlign w:val="bottom"/>
          </w:tcPr>
          <w:p>
            <w:pPr>
              <w:spacing w:after="0"/>
              <w:rPr>
                <w:sz w:val="1"/>
                <w:szCs w:val="1"/>
                <w:color w:val="auto"/>
              </w:rPr>
            </w:pPr>
          </w:p>
        </w:tc>
      </w:tr>
      <w:tr>
        <w:trPr>
          <w:trHeight w:val="208"/>
        </w:trPr>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18"/>
                <w:szCs w:val="18"/>
                <w:color w:val="auto"/>
              </w:rPr>
            </w:pPr>
          </w:p>
        </w:tc>
        <w:tc>
          <w:tcPr>
            <w:tcW w:w="4900" w:type="dxa"/>
            <w:vAlign w:val="bottom"/>
          </w:tcPr>
          <w:p>
            <w:pPr>
              <w:jc w:val="center"/>
              <w:ind w:left="1275"/>
              <w:spacing w:after="0"/>
              <w:rPr>
                <w:sz w:val="20"/>
                <w:szCs w:val="20"/>
                <w:color w:val="auto"/>
              </w:rPr>
            </w:pPr>
            <w:r>
              <w:rPr>
                <w:rFonts w:ascii="Arial" w:cs="Arial" w:eastAsia="Arial" w:hAnsi="Arial"/>
                <w:sz w:val="18"/>
                <w:szCs w:val="18"/>
                <w:color w:val="auto"/>
                <w:w w:val="87"/>
              </w:rPr>
              <w:t>Less than or equal to 0.50x</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4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900" w:type="dxa"/>
            <w:vAlign w:val="bottom"/>
            <w:vMerge w:val="restart"/>
          </w:tcPr>
          <w:p>
            <w:pPr>
              <w:jc w:val="center"/>
              <w:ind w:left="1275"/>
              <w:spacing w:after="0"/>
              <w:rPr>
                <w:sz w:val="20"/>
                <w:szCs w:val="20"/>
                <w:color w:val="auto"/>
              </w:rPr>
            </w:pPr>
            <w:r>
              <w:rPr>
                <w:rFonts w:ascii="Arial" w:cs="Arial" w:eastAsia="Arial" w:hAnsi="Arial"/>
                <w:sz w:val="18"/>
                <w:szCs w:val="18"/>
                <w:color w:val="auto"/>
                <w:w w:val="88"/>
              </w:rPr>
              <w:t>But greater than 0.25x</w:t>
            </w: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1"/>
              </w:rPr>
              <w:t>BBB+/Baa1</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8"/>
              </w:rPr>
              <w:t>0.200%</w:t>
            </w:r>
          </w:p>
        </w:tc>
        <w:tc>
          <w:tcPr>
            <w:tcW w:w="13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1.050%</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4"/>
              </w:rPr>
              <w:t>0.050%</w:t>
            </w: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90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shd w:val="clear" w:color="auto" w:fill="CCEEFF"/>
          </w:tcPr>
          <w:p>
            <w:pPr>
              <w:spacing w:after="0"/>
              <w:rPr>
                <w:sz w:val="18"/>
                <w:szCs w:val="18"/>
                <w:color w:val="auto"/>
              </w:rPr>
            </w:pPr>
          </w:p>
        </w:tc>
        <w:tc>
          <w:tcPr>
            <w:tcW w:w="4900" w:type="dxa"/>
            <w:vAlign w:val="bottom"/>
            <w:shd w:val="clear" w:color="auto" w:fill="CCEEFF"/>
          </w:tcPr>
          <w:p>
            <w:pPr>
              <w:jc w:val="center"/>
              <w:ind w:left="1275"/>
              <w:spacing w:after="0"/>
              <w:rPr>
                <w:sz w:val="20"/>
                <w:szCs w:val="20"/>
                <w:color w:val="auto"/>
              </w:rPr>
            </w:pPr>
            <w:r>
              <w:rPr>
                <w:rFonts w:ascii="Arial" w:cs="Arial" w:eastAsia="Arial" w:hAnsi="Arial"/>
                <w:sz w:val="18"/>
                <w:szCs w:val="18"/>
                <w:color w:val="auto"/>
                <w:w w:val="87"/>
              </w:rPr>
              <w:t>Less than or equal to 1.50x but greater than 0.50x</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BBB/Baa2</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0.225%</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0.225%</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00" w:type="dxa"/>
            <w:vAlign w:val="bottom"/>
          </w:tcPr>
          <w:p>
            <w:pPr>
              <w:spacing w:after="0"/>
              <w:rPr>
                <w:sz w:val="18"/>
                <w:szCs w:val="18"/>
                <w:color w:val="auto"/>
              </w:rPr>
            </w:pPr>
          </w:p>
        </w:tc>
        <w:tc>
          <w:tcPr>
            <w:tcW w:w="4900" w:type="dxa"/>
            <w:vAlign w:val="bottom"/>
          </w:tcPr>
          <w:p>
            <w:pPr>
              <w:jc w:val="center"/>
              <w:ind w:left="1275"/>
              <w:spacing w:after="0"/>
              <w:rPr>
                <w:sz w:val="20"/>
                <w:szCs w:val="20"/>
                <w:color w:val="auto"/>
              </w:rPr>
            </w:pPr>
            <w:r>
              <w:rPr>
                <w:rFonts w:ascii="Arial" w:cs="Arial" w:eastAsia="Arial" w:hAnsi="Arial"/>
                <w:sz w:val="18"/>
                <w:szCs w:val="18"/>
                <w:color w:val="auto"/>
                <w:w w:val="87"/>
              </w:rPr>
              <w:t>Less than or equal to 2.00x but greater than 1.50x</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BBB-/Baa3</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0.250%</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1.500%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0.500%</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00" w:type="dxa"/>
            <w:vAlign w:val="bottom"/>
            <w:shd w:val="clear" w:color="auto" w:fill="CCEEFF"/>
          </w:tcPr>
          <w:p>
            <w:pPr>
              <w:spacing w:after="0"/>
              <w:rPr>
                <w:sz w:val="18"/>
                <w:szCs w:val="18"/>
                <w:color w:val="auto"/>
              </w:rPr>
            </w:pPr>
          </w:p>
        </w:tc>
        <w:tc>
          <w:tcPr>
            <w:tcW w:w="4900" w:type="dxa"/>
            <w:vAlign w:val="bottom"/>
            <w:shd w:val="clear" w:color="auto" w:fill="CCEEFF"/>
          </w:tcPr>
          <w:p>
            <w:pPr>
              <w:jc w:val="center"/>
              <w:ind w:left="1275"/>
              <w:spacing w:after="0"/>
              <w:rPr>
                <w:sz w:val="20"/>
                <w:szCs w:val="20"/>
                <w:color w:val="auto"/>
              </w:rPr>
            </w:pPr>
            <w:r>
              <w:rPr>
                <w:rFonts w:ascii="Arial" w:cs="Arial" w:eastAsia="Arial" w:hAnsi="Arial"/>
                <w:sz w:val="18"/>
                <w:szCs w:val="18"/>
                <w:color w:val="auto"/>
                <w:w w:val="86"/>
              </w:rPr>
              <w:t>Greater than 2.00x</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 BB+/Ba1</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0.300%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0.700%</w:t>
            </w:r>
          </w:p>
        </w:tc>
        <w:tc>
          <w:tcPr>
            <w:tcW w:w="0" w:type="dxa"/>
            <w:vAlign w:val="bottom"/>
          </w:tcPr>
          <w:p>
            <w:pPr>
              <w:spacing w:after="0"/>
              <w:rPr>
                <w:sz w:val="1"/>
                <w:szCs w:val="1"/>
                <w:color w:val="auto"/>
              </w:rPr>
            </w:pPr>
          </w:p>
        </w:tc>
      </w:tr>
      <w:tr>
        <w:trPr>
          <w:trHeight w:val="363"/>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360" w:type="dxa"/>
            <w:vAlign w:val="bottom"/>
          </w:tcPr>
          <w:p>
            <w:pPr>
              <w:jc w:val="right"/>
              <w:ind w:right="1152"/>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4" w:right="239" w:bottom="1440" w:gutter="0" w:footer="0" w:header="0"/>
        </w:sectPr>
      </w:pPr>
    </w:p>
    <w:bookmarkStart w:id="13" w:name="page14"/>
    <w:bookmarkEnd w:id="13"/>
    <w:p>
      <w:pPr>
        <w:ind w:left="460" w:firstLine="43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of any date of determination, the rating as determined by either S&amp;P or Moody’s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 xml:space="preserve">”) of Toro’s non-credit-enhanced, senior unsecured long-term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Debt Rating is issued by each of the foregoing rating agencies and such Debt Ratings differ, then the higher of such Debt Ratings shall apply (with the Debt Rating for Pricing Level 1 being the highest and the Debt Rating for Pricing Level 5 being the lowest), unless there is a split in Debt Ratings of more than one level, in which case the Pricing Level that is one level higher than the Pricing Level of the lower Debt Rating shall apply.</w:t>
      </w:r>
    </w:p>
    <w:p>
      <w:pPr>
        <w:spacing w:after="0" w:line="14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Initially, the Applicable Rate will be determined based upon the Debt Rating as specified in the certificate delivered pursuant to </w:t>
      </w:r>
      <w:r>
        <w:rPr>
          <w:rFonts w:ascii="Arial" w:cs="Arial" w:eastAsia="Arial" w:hAnsi="Arial"/>
          <w:sz w:val="16"/>
          <w:szCs w:val="16"/>
          <w:u w:val="single" w:color="auto"/>
          <w:color w:val="auto"/>
        </w:rPr>
        <w:t>Section 4.01(a)(viii)</w:t>
      </w:r>
      <w:r>
        <w:rPr>
          <w:rFonts w:ascii="Arial" w:cs="Arial" w:eastAsia="Arial" w:hAnsi="Arial"/>
          <w:sz w:val="16"/>
          <w:szCs w:val="16"/>
          <w:color w:val="auto"/>
        </w:rPr>
        <w:t xml:space="preserve">. If, as of any date of determination, the ratio of (A) total Indebtedness to (B) the sum Consolidated EBIT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depreciation and amortization expense for such period corresponds to a Pricing Level different than that Pricing Level corresponding to the Debt Rating issued at the time of calculation of such ratio, then the lower of such two Pricing Levels (with Pricing Level 1 being the lowest and the Pricing Level 5 being the highest) will apply, unless there is a split of more than one level in corresponding Pricing Levels, in which case the Pricing Level that is one level higher than the lower Pricing Level will apply. Thereafter, each change in the Applicable Rate resulting from a publicly announced change in the Debt Rating will be effective during the period commencing on the date of the public announcement thereof and ending on the date immediately preceding the effective date of the next such change, and any change in the Applicable Rate resulting from a change in the ratio of (A) total Indebtedness to (B) the sum Consolidated EBIT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depreciation and amortization expense for such period will become effective as of the first Business Day after the date on which such Compliance Certificate is delivered pursuant to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 Compliance Certificate is not delivered when due in accordance with such Section, then Pricing Level 5 will be the applicable Pricing Level corresponding to such ratio for determination as set forth above of the Applicable Rate as of the first Business Day after the date on which such Compliance Certificate was required to have been delivered. In the event that a Debt Rating has not been issued as of any date of determination, the Pricing Level corresponding to the ratio of (A) total Indebtedness to (B) the sum Consolidated EBIT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depreciation and amortization expense for such period as of such date of determination shall apply. In the event that only one Debt Rating has been issued as of any date of determination, that Debt Rating shall apply.</w:t>
      </w:r>
    </w:p>
    <w:p>
      <w:pPr>
        <w:spacing w:after="0" w:line="12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For the purposes of calculating total Indebtedness for use in calculating the ratio of (A) total Indebtedness to (B) the sum 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for such period for the determination of “Applicable Rate”, the Outstanding Amount of all Loans and L/C Obligations shall be calculated as an average of the daily Outstanding Amount for the twelve month period most recently completed prior to the date of determination for which financial statements have been delivered to the Lenders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MLPFS and WFS, in their capacities as joint lead arrangers and joint book managers.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any other form approved by the Administrative Agent.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and includes all reasonable fees and disbursements of any law firm or other external counsel.</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Toro and its Subsidiaries for the fiscal year ended October 31, 2010, and the related consolidated statements of income or operations, shareholders’ equity and cash flows for such fiscal year of Toro and its Subsidiaries, including the notes thereto.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w:t>
      </w:r>
      <w:r>
        <w:rPr>
          <w:rFonts w:ascii="Arial" w:cs="Arial" w:eastAsia="Arial" w:hAnsi="Arial"/>
          <w:sz w:val="18"/>
          <w:szCs w:val="18"/>
          <w:color w:val="auto"/>
        </w:rPr>
        <w:t>” or “</w:t>
      </w:r>
      <w:r>
        <w:rPr>
          <w:rFonts w:ascii="Arial" w:cs="Arial" w:eastAsia="Arial" w:hAnsi="Arial"/>
          <w:sz w:val="18"/>
          <w:szCs w:val="18"/>
          <w:u w:val="single" w:color="auto"/>
          <w:color w:val="auto"/>
        </w:rPr>
        <w:t>Aus $</w:t>
      </w:r>
      <w:r>
        <w:rPr>
          <w:rFonts w:ascii="Arial" w:cs="Arial" w:eastAsia="Arial" w:hAnsi="Arial"/>
          <w:sz w:val="18"/>
          <w:szCs w:val="18"/>
          <w:color w:val="auto"/>
        </w:rPr>
        <w:t>” means the lawful currency of Australia.</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fluctuating rate per annum equal to the highest of (a) the Federal Funds Rate plus 1/2 of 1%, (b) the rate of interest in effect for such day as publicly announced from time to time by Bank of America as its “prime rate,” and (c) the Eurocurrency Rate plus 1.00%. The “prime rate” is a rate set by Bank of America based upon various factors including Bank of America’s costs and desired return, general economic conditions and other factors, and is used as a reference point for pricing some loans, which may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4" w:right="259" w:bottom="1440" w:gutter="0" w:footer="0" w:header="0"/>
        </w:sectPr>
      </w:pPr>
    </w:p>
    <w:bookmarkStart w:id="15" w:name="page16"/>
    <w:bookmarkEnd w:id="1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priced at, above, or below such announced rate. Any change in such prime rate announced by Bank of America shall take effect at the opening of business on the day specified in the public announcement of such change.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Committed Loan</w:t>
      </w:r>
      <w:r>
        <w:rPr>
          <w:rFonts w:ascii="Arial" w:cs="Arial" w:eastAsia="Arial" w:hAnsi="Arial"/>
          <w:sz w:val="18"/>
          <w:szCs w:val="18"/>
          <w:color w:val="auto"/>
        </w:rPr>
        <w:t>” means a Committed Loan that is a Base Rate Loan.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 All Base Rate Loans shall be denominated in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BofA Fee Letter</w:t>
      </w:r>
      <w:r>
        <w:rPr>
          <w:rFonts w:ascii="Arial" w:cs="Arial" w:eastAsia="Arial" w:hAnsi="Arial"/>
          <w:sz w:val="16"/>
          <w:szCs w:val="16"/>
          <w:color w:val="auto"/>
        </w:rPr>
        <w:t>” means that certain letter agreement, dated June 30, 2011 among Toro, TIC, Manufacturing, Exmark, the Administrative Agent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MLPFS.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Committed Borrowing or a Swing Line Borrowing, as the context may require.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4" w:lineRule="exact"/>
        <w:rPr>
          <w:sz w:val="20"/>
          <w:szCs w:val="20"/>
          <w:color w:val="auto"/>
        </w:rPr>
      </w:pPr>
    </w:p>
    <w:p>
      <w:pPr>
        <w:ind w:left="460" w:right="140" w:firstLine="443"/>
        <w:spacing w:after="0" w:line="259" w:lineRule="auto"/>
        <w:tabs>
          <w:tab w:leader="none" w:pos="11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London Banking Day;</w:t>
      </w:r>
    </w:p>
    <w:p>
      <w:pPr>
        <w:spacing w:after="0" w:line="59"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pacing w:after="0" w:line="59" w:lineRule="exact"/>
        <w:rPr>
          <w:rFonts w:ascii="Arial" w:cs="Arial" w:eastAsia="Arial" w:hAnsi="Arial"/>
          <w:sz w:val="18"/>
          <w:szCs w:val="18"/>
          <w:color w:val="auto"/>
        </w:rPr>
      </w:pPr>
    </w:p>
    <w:p>
      <w:pPr>
        <w:jc w:val="both"/>
        <w:ind w:left="460" w:right="140" w:firstLine="443"/>
        <w:spacing w:after="0" w:line="259" w:lineRule="auto"/>
        <w:tabs>
          <w:tab w:leader="none" w:pos="11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59" w:lineRule="exact"/>
        <w:rPr>
          <w:rFonts w:ascii="Arial" w:cs="Arial" w:eastAsia="Arial" w:hAnsi="Arial"/>
          <w:sz w:val="18"/>
          <w:szCs w:val="18"/>
          <w:color w:val="auto"/>
        </w:rPr>
      </w:pPr>
    </w:p>
    <w:p>
      <w:pPr>
        <w:ind w:left="460" w:right="440" w:firstLine="443"/>
        <w:spacing w:after="0" w:line="306" w:lineRule="auto"/>
        <w:tabs>
          <w:tab w:leader="none" w:pos="11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day on which banks are open for foreign exchange business in the principal financial center of the country of such currency.</w:t>
      </w:r>
    </w:p>
    <w:p>
      <w:pPr>
        <w:spacing w:after="0" w:line="171"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Collateralize</w:t>
      </w:r>
      <w:r>
        <w:rPr>
          <w:rFonts w:ascii="Arial" w:cs="Arial" w:eastAsia="Arial" w:hAnsi="Arial"/>
          <w:sz w:val="15"/>
          <w:szCs w:val="15"/>
          <w:color w:val="auto"/>
        </w:rPr>
        <w:t>” means to pledge to and deposit with or deliver to the Administrative Agent, for the benefit of the Administrative Agent, L/C Issuer or Swing Line Lender (as applicable) and the Lenders, as collateral for L/C Obligations, Obligations in respect of Swing Line Loans, or obligations of Lenders to fund participations in respect of either thereof (as the context may require), cash or deposit account balances or, if the L/C Issuer or Swing Line Lender benefitting from such collateral shall agree in its sole discretion, other credit support, in each case pursuant to documentation in form and substance satisfactory to</w:t>
      </w:r>
    </w:p>
    <w:p>
      <w:pPr>
        <w:spacing w:after="0" w:line="3" w:lineRule="exact"/>
        <w:rPr>
          <w:sz w:val="20"/>
          <w:szCs w:val="20"/>
          <w:color w:val="auto"/>
        </w:rPr>
      </w:pPr>
    </w:p>
    <w:p>
      <w:pPr>
        <w:ind w:right="60" w:firstLine="8"/>
        <w:spacing w:after="0" w:line="261" w:lineRule="auto"/>
        <w:tabs>
          <w:tab w:leader="none" w:pos="2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Administrative Agent and (b) the L/C Issuer or the Swing Line Lender (as applicable). “Cash Collateral” shall have a meaning correlative to the foregoing and shall include the proceeds of such cash collateral and other credit support.</w:t>
      </w:r>
    </w:p>
    <w:p>
      <w:pPr>
        <w:spacing w:after="0" w:line="13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means an event or series of events by which (i) any Person or group within the meaning of Section 13(d)(3) of the Exchange Act and the rules and regulations promulgated thereunder, shall, after the Closing Date, acquire beneficial ownership (within the meaning of Rule 13d-3 of the Exchange Act), directly or indirectly, of securities of Toro (or other securities convertible into such securities) representing thirty percent (30%) of the combined voting power of all securities of Toro entitled to vote in the election of directors, other than securities having such power only by reason of the happening of a contingency (hereinafter called a “Controlling Person”); or (ii) Toro shall cease to own, directly or indirectly, 100% of all of each other Borrower’s issued and outstanding shares of common stock (except for any outstanding qualifying director shares); or (iii) a majority of the Board of Directors of Toro shall cease for any reason to consist of (A) individuals who on the Closing Date were serving as directors of Toro and (B) individuals who subsequently become members of the Board if such individuals’ nomination for election or election to the Board is recommended or approved by a majority of the Board of Directors of Toro; or (iv) a default or the happening of any event shall occur under any charter, indenture, agreement or other instrument in connection with which any preferred stock of Toro may be issued, and as a result of such default or event the holders of such preferred stock shall designate or elect members of the Board of Directors of Toro. For purposes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 Person or group shall not be a Controlling Person if such Person or group holds voting power in good faith and not for the purpose of circumventing </w:t>
      </w:r>
      <w:r>
        <w:rPr>
          <w:rFonts w:ascii="Arial" w:cs="Arial" w:eastAsia="Arial" w:hAnsi="Arial"/>
          <w:sz w:val="16"/>
          <w:szCs w:val="16"/>
          <w:u w:val="single" w:color="auto"/>
          <w:color w:val="auto"/>
        </w:rPr>
        <w:t>Section 8.01(l)</w:t>
      </w:r>
      <w:r>
        <w:rPr>
          <w:rFonts w:ascii="Arial" w:cs="Arial" w:eastAsia="Arial" w:hAnsi="Arial"/>
          <w:sz w:val="16"/>
          <w:szCs w:val="16"/>
          <w:color w:val="auto"/>
        </w:rPr>
        <w:t xml:space="preserve"> as an agent, bank, broker, nominee, trustee, or holder of revocable proxies given in response to 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7" w:name="page18"/>
    <w:bookmarkEnd w:id="1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solicitation pursuant to the Exchange Act, for one or more beneficial owners who do not individually, or, if they are a group acting in concert, as a group, have the voting power specified in </w:t>
      </w:r>
      <w:r>
        <w:rPr>
          <w:rFonts w:ascii="Arial" w:cs="Arial" w:eastAsia="Arial" w:hAnsi="Arial"/>
          <w:sz w:val="18"/>
          <w:szCs w:val="18"/>
          <w:u w:val="single" w:color="auto"/>
          <w:color w:val="auto"/>
        </w:rPr>
        <w:t>clause (i)</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as to each Lender, its obligation to (a) make Committed Loans to the Borrowers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 as such amount may be adjusted from time to time in accordance with this Agreement.</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Borrowing</w:t>
      </w:r>
      <w:r>
        <w:rPr>
          <w:rFonts w:ascii="Arial" w:cs="Arial" w:eastAsia="Arial" w:hAnsi="Arial"/>
          <w:sz w:val="18"/>
          <w:szCs w:val="18"/>
          <w:color w:val="auto"/>
        </w:rPr>
        <w:t xml:space="preserve">” means a borrowing consisting of simultaneous Committed Loans of the same Type, in the same currency and, in the case of Eurocurrency Rate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Committed Loan Notice</w:t>
      </w:r>
      <w:r>
        <w:rPr>
          <w:rFonts w:ascii="Arial" w:cs="Arial" w:eastAsia="Arial" w:hAnsi="Arial"/>
          <w:sz w:val="16"/>
          <w:szCs w:val="16"/>
          <w:color w:val="auto"/>
        </w:rPr>
        <w:t xml:space="preserve">” means a notice of (a) a Committed Borrowing, (b) a conversion of Committed Loans from one Type to the other, or (c) a continuation of Eurocurrency Rate Loans, pursuant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which, if in writing,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w:t>
      </w:r>
      <w:r>
        <w:rPr>
          <w:rFonts w:ascii="Arial" w:cs="Arial" w:eastAsia="Arial" w:hAnsi="Arial"/>
          <w:sz w:val="16"/>
          <w:szCs w:val="16"/>
          <w:color w:val="auto"/>
        </w:rPr>
        <w:t xml:space="preserve">” means, for any period, for Toro and its Subsidiaries on a consolidated basis, an amount equal to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following to the extent deducted in calculating such Consolidated Net Income: (i) Consolidated Interest Charges for such period and (ii) the provision for Federal, state, local and foreign income taxes payable by Toro and its Subsidiaries for such period.</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Charges</w:t>
      </w:r>
      <w:r>
        <w:rPr>
          <w:rFonts w:ascii="Arial" w:cs="Arial" w:eastAsia="Arial" w:hAnsi="Arial"/>
          <w:sz w:val="16"/>
          <w:szCs w:val="16"/>
          <w:color w:val="auto"/>
        </w:rPr>
        <w:t>” means, for any period, for Toro and its Subsidiaries on a consolidated basis, the sum of (a) all interest, discounts, premium payments, commissions, fees (other than fees incurred hereunder or in connection herewith), charges and related expenses of Toro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Toro and its Subsidiaries with respect to such period under capital leases that is treated as interest in accordance with GAAP.</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means, as of any date of determination, the ratio of (a) Consolidated EBIT for the period of the four prior fiscal quarters ending on such date to (b) Consolidated Interest Charges for such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8" w:name="page19"/>
    <w:bookmarkEnd w:id="18"/>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for Toro and its Subsidiaries on a consolidated basis, the net income of Toro and its Subsidiaries for that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Contingent Obligation</w:t>
      </w:r>
      <w:r>
        <w:rPr>
          <w:rFonts w:ascii="Arial" w:cs="Arial" w:eastAsia="Arial" w:hAnsi="Arial"/>
          <w:sz w:val="16"/>
          <w:szCs w:val="16"/>
          <w:color w:val="auto"/>
        </w:rPr>
        <w:t>” means, as to any Person, any direct or indirect liability of that Person, whether or not contingent, with or without recourse,</w:t>
      </w:r>
    </w:p>
    <w:p>
      <w:pPr>
        <w:spacing w:after="0" w:line="38" w:lineRule="exact"/>
        <w:rPr>
          <w:sz w:val="20"/>
          <w:szCs w:val="20"/>
          <w:color w:val="auto"/>
        </w:rPr>
      </w:pPr>
    </w:p>
    <w:p>
      <w:pPr>
        <w:ind w:right="40" w:firstLine="8"/>
        <w:spacing w:after="0" w:line="281" w:lineRule="auto"/>
        <w:tabs>
          <w:tab w:leader="none" w:pos="2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w:t>
      </w:r>
      <w:r>
        <w:rPr>
          <w:rFonts w:ascii="Arial" w:cs="Arial" w:eastAsia="Arial" w:hAnsi="Arial"/>
          <w:sz w:val="16"/>
          <w:szCs w:val="16"/>
          <w:u w:val="single" w:color="auto"/>
          <w:color w:val="auto"/>
        </w:rPr>
        <w:t>Guaranty Obligation</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firstLine="8"/>
        <w:spacing w:after="0" w:line="287"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 respect to any Surety Instrument issued for the account of that Person or as to which that Person is otherwise liable for reimbursement of drawings or payments;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 which is not a Permitted Swap Obligation. The amount of any Contingent Obligation shall, in the case of Guaranty Obligations, be deemed equal to the stated or determinable amount of the primary obligation in respect of which such Guaranty Obligation is made or, if not stated or if indeterminable, the maximum reasonably anticipated liability in respect thereof, and in the case of other Contingent Obligations other than in respect of Swap Contracts, shall be equal to the maximum reasonably anticipated liability in respect thereof and, in the case of Contingent Obligations in respect of Swap Contracts which are not Permitted Swap Obligations, shall be equal to the Swap Termination Value at any time of determination.</w:t>
      </w:r>
    </w:p>
    <w:p>
      <w:pPr>
        <w:spacing w:after="0" w:line="12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Person</w:t>
      </w:r>
      <w:r>
        <w:rPr>
          <w:rFonts w:ascii="Arial" w:cs="Arial" w:eastAsia="Arial" w:hAnsi="Arial"/>
          <w:sz w:val="18"/>
          <w:szCs w:val="18"/>
          <w:color w:val="auto"/>
        </w:rPr>
        <w:t>” has the meaning set forth in the definition of Change of Control.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has the meaning specified in the definition of “Applicable Rate.”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4" w:right="239" w:bottom="1440" w:gutter="0" w:footer="0" w:header="0"/>
        </w:sectPr>
      </w:pPr>
    </w:p>
    <w:bookmarkStart w:id="19" w:name="page20"/>
    <w:bookmarkEnd w:id="19"/>
    <w:p>
      <w:pPr>
        <w:jc w:val="both"/>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Letter of Credit Fees,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Eurocurrency Rate Loan, the Default Rate shall be an interest rate equal to the interest rate (including any Applicable Rate applicable to Eurocurrency Rate Loans and any Mandatory Cost) otherwise applicable to such Loan plus 2% per annum, and (b) when used with respect to Letter of Credit Fees, a rate equal to the Applicable Rate applicable to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2.16(b)</w:t>
      </w:r>
      <w:r>
        <w:rPr>
          <w:rFonts w:ascii="Arial" w:cs="Arial" w:eastAsia="Arial" w:hAnsi="Arial"/>
          <w:sz w:val="16"/>
          <w:szCs w:val="16"/>
          <w:color w:val="auto"/>
        </w:rPr>
        <w:t>, any Lender that, as determined by the Administrative Agent, (a) has failed to perform any of its funding obligations hereunder, including in respect of its Loans or participations in respect of Letters of Credit or Swing Line Loans, within three Business Days of the date required to be funded by it hereunder unless such Lender notifies the Administrative Agent and Toro in writing that such failure is the result of such Lender’s determination that one or more conditions precedent to funding (each of which conditions precedent, together with any applicable default, shall be specifically identified in writing) has not been satisfied, (b) has notified the Borrowers or the Administrative Agent that it does not intend to comply with its funding obligations or has made a public statement to that effect with respect to its funding obligations hereunder or under other agreements in which it commits to extend credit, (c) has failed, within three Business Days after request by the Administrative Agent, to confirm in a manner satisfactory to the Administrative Agent that it will comply with its funding obligations,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provided that a Lender shall not be a Defaulting Lender solely by virtue of the ownership or acquisition of any equity interest in that Lender or any direct or indirect parent company thereof by a Governmental Authority.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0" w:name="page21"/>
    <w:bookmarkEnd w:id="2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40"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Distributor Subsidiary</w:t>
      </w:r>
      <w:r>
        <w:rPr>
          <w:rFonts w:ascii="Arial" w:cs="Arial" w:eastAsia="Arial" w:hAnsi="Arial"/>
          <w:sz w:val="18"/>
          <w:szCs w:val="18"/>
          <w:color w:val="auto"/>
        </w:rPr>
        <w:t>” means a Subsidiary of Toro which is a distributor of products manufactured by Toro or one of its Subsidiaries which has been acquired by Toro or one of its Subsidiaries under extraordinary circumstances, not in the ordinary course of business, with a view toward divestiture at some future time and to facilitate the orderly distribution of such products. Such definition shall not apply to Subsidiaries organized or acquired with a view toward discontinuing or modifying Toro’s historical system of independent distributors.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means the economic and monetary union in accordance with the Treaty of Rome 1957, as amended by the Single European Act 1986, the Maastricht Treaty of 1992 and the Amsterdam Treaty of 1998.</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End-User Financing Arrangements</w:t>
      </w:r>
      <w:r>
        <w:rPr>
          <w:rFonts w:ascii="Arial" w:cs="Arial" w:eastAsia="Arial" w:hAnsi="Arial"/>
          <w:sz w:val="18"/>
          <w:szCs w:val="18"/>
          <w:color w:val="auto"/>
        </w:rPr>
        <w:t>” has the meaning specified in the definition of “Indebtedness”.</w:t>
      </w:r>
    </w:p>
    <w:p>
      <w:pPr>
        <w:spacing w:after="0" w:line="171"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Laws</w:t>
      </w:r>
      <w:r>
        <w:rPr>
          <w:rFonts w:ascii="Arial" w:cs="Arial" w:eastAsia="Arial" w:hAnsi="Arial"/>
          <w:sz w:val="15"/>
          <w:szCs w:val="15"/>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8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any Borrower, any other Loan Party or any of their respective Subsidiaries directly or indirectly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1" w:name="page22"/>
    <w:bookmarkEnd w:id="21"/>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71"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any Borrower within the meaning of Section 414(b) or (c) of the Code (and Sections 414(m) and (o) of the Code for purposes of provisions relating to Section 412 of the Code).</w:t>
      </w:r>
    </w:p>
    <w:p>
      <w:pPr>
        <w:spacing w:after="0" w:line="85"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w:t>
      </w:r>
    </w:p>
    <w:p>
      <w:pPr>
        <w:spacing w:after="0" w:line="2" w:lineRule="exact"/>
        <w:rPr>
          <w:sz w:val="20"/>
          <w:szCs w:val="20"/>
          <w:color w:val="auto"/>
        </w:rPr>
      </w:pPr>
    </w:p>
    <w:p>
      <w:pPr>
        <w:ind w:right="260" w:firstLine="8"/>
        <w:spacing w:after="0" w:line="295" w:lineRule="auto"/>
        <w:tabs>
          <w:tab w:leader="none" w:pos="21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any Borrower or any ERISA Affiliate.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EUR</w:t>
      </w:r>
      <w:r>
        <w:rPr>
          <w:rFonts w:ascii="Arial" w:cs="Arial" w:eastAsia="Arial" w:hAnsi="Arial"/>
          <w:sz w:val="18"/>
          <w:szCs w:val="18"/>
          <w:color w:val="auto"/>
        </w:rPr>
        <w:t>” mean the lawful currency of the Participating Member States introduced in accordance with the EMU Legislation.</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(a) for any Interest Period with respect to a Eurocurrency Rate Loan, the rate per annum equal to the British Bankers Association LIBOR Rate (“</w:t>
      </w:r>
      <w:r>
        <w:rPr>
          <w:rFonts w:ascii="Arial" w:cs="Arial" w:eastAsia="Arial" w:hAnsi="Arial"/>
          <w:sz w:val="18"/>
          <w:szCs w:val="18"/>
          <w:u w:val="single" w:color="auto"/>
          <w:color w:val="auto"/>
        </w:rPr>
        <w:t>BBA LIBOR</w:t>
      </w:r>
      <w:r>
        <w:rPr>
          <w:rFonts w:ascii="Arial" w:cs="Arial" w:eastAsia="Arial" w:hAnsi="Arial"/>
          <w:sz w:val="18"/>
          <w:szCs w:val="18"/>
          <w:color w:val="auto"/>
        </w:rPr>
        <w:t>”), as published by Reuters (or other commercially available source providing quotations of BBA LIBOR as designated by the Administrative Agent from time to time) at approximately 11:00 a.m., London time, two Business Days prior to the commencement of such Interest Period,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2" w:name="page23"/>
    <w:bookmarkEnd w:id="22"/>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deposits in the relevant currency (for delivery on the first day of such Interest Period) with a term equivalent to such Interest Period. If such rate is not available at such time for any reason, then the “Eurocurrency Rate” for such Interest Period shall be the rate per annum determined by the Administrative Agent to be the rate at which deposits in the relevant currency for delivery on the first day of such Interest Period in Same Day Funds in the approximate amount of the Eurocurrency Rate Loan being made, continued or converted and with a term equivalent to such Interest Period would be offered by Bank of America’s London Branch (or other Bank of America branch or Affiliate) to major banks in the London or other offshore interbank market for such currency at their request at approximately 11:00 a.m. (London time) two Business Days prior to the commencement of such Interest Period; and</w:t>
      </w:r>
    </w:p>
    <w:p>
      <w:pPr>
        <w:spacing w:after="0" w:line="120" w:lineRule="exact"/>
        <w:rPr>
          <w:sz w:val="20"/>
          <w:szCs w:val="20"/>
          <w:color w:val="auto"/>
        </w:rPr>
      </w:pPr>
    </w:p>
    <w:p>
      <w:pPr>
        <w:ind w:right="60" w:firstLine="464"/>
        <w:spacing w:after="0" w:line="291"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on any date, the rate per annum equal to (i) BBA LIBOR, at approximately 11:00 a.m., London time determined two London Banking Days prior to such date for Dollar deposits being delivered in the London interbank market for a term of one month commencing that day or (ii) if such published rate is not available at such time for any reason, the rate per annum determined by the Administrative Agent to be the rate at which deposits in Dollars for delivery on the date of determination in same day funds in the approximate amount of the Base Rate Loan being made or maintained and with a term equal to one month would be offered by Bank of America’s London Branch to major banks in the London interbank Eurodollar market at their request at the date and time of determination.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xml:space="preserve">” means a Committed Loan that bears interest at a rate based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“Eurocurrency Rate.” Eurocurrency Rate Loans may be denominated in Dollars or in an Alternative Currency. All Committed Loans denominated in an Alternative Currency must be Eurocurrency Rate Loans.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regulations promulgated thereunder.</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the L/C Issuer or any other recipient of any payment to be made by or on account of any obligation of any Borrower hereunder, (a) taxes imposed on or measured by its overall net income (however denominated), and franchise taxes imposed on it (in lieu of net income taxes or by reason of its existence),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or any similar tax imposed by any other jurisdiction in which such Borrower is located, (c) any backup withholding tax that is required by the Code to be withheld from amounts payable to a Lender that has failed to comply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3.01(e)(ii)</w:t>
      </w:r>
      <w:r>
        <w:rPr>
          <w:rFonts w:ascii="Arial" w:cs="Arial" w:eastAsia="Arial" w:hAnsi="Arial"/>
          <w:sz w:val="16"/>
          <w:szCs w:val="16"/>
          <w:color w:val="auto"/>
        </w:rPr>
        <w:t xml:space="preserve">, (d) except as provided in the following sentence, in the case of a Foreign Lender (other than an assignee pursuant to a request by Toro under </w:t>
      </w:r>
      <w:r>
        <w:rPr>
          <w:rFonts w:ascii="Arial" w:cs="Arial" w:eastAsia="Arial" w:hAnsi="Arial"/>
          <w:sz w:val="16"/>
          <w:szCs w:val="16"/>
          <w:u w:val="single" w:color="auto"/>
          <w:color w:val="auto"/>
        </w:rPr>
        <w:t>Section 11.13</w:t>
      </w:r>
      <w:r>
        <w:rPr>
          <w:rFonts w:ascii="Arial" w:cs="Arial" w:eastAsia="Arial" w:hAnsi="Arial"/>
          <w:sz w:val="16"/>
          <w:szCs w:val="16"/>
          <w:color w:val="auto"/>
        </w:rPr>
        <w:t>), any United States withholding tax that (i) is required to be imposed on amounts payable to such Foreign Lender pursuant to the Laws in force at the time such Foreign Lender becomes a party hereto (or designates a new Lending Office) or (ii) is attributable to such Foreign Lender’s failure or inability (other than as a</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3" w:name="page24"/>
    <w:bookmarkEnd w:id="2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result of a Change in Law) to comply with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3.01(e)(ii)</w:t>
      </w:r>
      <w:r>
        <w:rPr>
          <w:rFonts w:ascii="Arial" w:cs="Arial" w:eastAsia="Arial" w:hAnsi="Arial"/>
          <w:sz w:val="16"/>
          <w:szCs w:val="16"/>
          <w:color w:val="auto"/>
        </w:rPr>
        <w:t xml:space="preserve">, except to the extent that such Foreign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16"/>
          <w:szCs w:val="16"/>
          <w:u w:val="single" w:color="auto"/>
          <w:color w:val="auto"/>
        </w:rPr>
        <w:t>Section 3.01(a)(i)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(e) any U.S. federal withholding Taxes imposed under FATCA. Notwithstanding anything to the contrary contained in this definition, “Excluded Taxes” shall not include any withholding tax imposed at any time on payments made by or on behalf of a Foreign Obligor to any Lender hereunder or under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have complied with </w:t>
      </w:r>
      <w:r>
        <w:rPr>
          <w:rFonts w:ascii="Arial" w:cs="Arial" w:eastAsia="Arial" w:hAnsi="Arial"/>
          <w:sz w:val="16"/>
          <w:szCs w:val="16"/>
          <w:u w:val="single" w:color="auto"/>
          <w:color w:val="auto"/>
        </w:rPr>
        <w:t>Section 3.01(e)(i)</w:t>
      </w:r>
      <w:r>
        <w:rPr>
          <w:rFonts w:ascii="Arial" w:cs="Arial" w:eastAsia="Arial" w:hAnsi="Arial"/>
          <w:sz w:val="16"/>
          <w:szCs w:val="16"/>
          <w:color w:val="auto"/>
        </w:rPr>
        <w:t>.</w:t>
      </w:r>
    </w:p>
    <w:p>
      <w:pPr>
        <w:spacing w:after="0" w:line="116" w:lineRule="exact"/>
        <w:rPr>
          <w:sz w:val="20"/>
          <w:szCs w:val="20"/>
          <w:color w:val="auto"/>
        </w:rPr>
      </w:pPr>
    </w:p>
    <w:p>
      <w:pPr>
        <w:ind w:right="10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means that certain Credit Agreement dated as of September 8, 2004, as heretofore amended, among Toro, TCC, Manufacturing, Exmark, TIC, the other borrowers party thereto, Bank of America, N.A., as administrative agent, and a syndicate of lenders.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those letters of credit set forth on </w:t>
      </w:r>
      <w:r>
        <w:rPr>
          <w:rFonts w:ascii="Arial" w:cs="Arial" w:eastAsia="Arial" w:hAnsi="Arial"/>
          <w:sz w:val="18"/>
          <w:szCs w:val="18"/>
          <w:u w:val="single" w:color="auto"/>
          <w:color w:val="auto"/>
        </w:rPr>
        <w:t>Schedule 1.01(e)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Liens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Exmark</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the BofA Fee Letter and the Wells Fargo Fee Letter.</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any Lender that is organized under the Laws of a jurisdiction other than that in which such Borrower is resident for tax purposes (including such a Lender when acting in the capacity of the L/C Issuer). For purposes of this definition, the United States, each State thereof and the District of Columbia shall be deemed to constitute a single jurisdiction.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a Foreign Subsidiary.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4" w:name="page25"/>
    <w:bookmarkEnd w:id="24"/>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a State thereof or the District of Columbia.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any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5" w:name="page26"/>
    <w:bookmarkEnd w:id="25"/>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Toro in favor of the Administrative Agent and the Lenders,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Obligation</w:t>
      </w:r>
      <w:r>
        <w:rPr>
          <w:rFonts w:ascii="Arial" w:cs="Arial" w:eastAsia="Arial" w:hAnsi="Arial"/>
          <w:sz w:val="18"/>
          <w:szCs w:val="18"/>
          <w:color w:val="auto"/>
        </w:rPr>
        <w:t>” has the meaning specified in the definition of “Contingent Obligation.”</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1.03(d)</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1" w:lineRule="exact"/>
        <w:rPr>
          <w:sz w:val="20"/>
          <w:szCs w:val="20"/>
          <w:color w:val="auto"/>
        </w:rPr>
      </w:pPr>
    </w:p>
    <w:p>
      <w:pPr>
        <w:ind w:left="460" w:right="100" w:firstLine="443"/>
        <w:spacing w:after="0" w:line="268" w:lineRule="auto"/>
        <w:tabs>
          <w:tab w:leader="none" w:pos="11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50"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$20,000,000;</w:t>
      </w:r>
    </w:p>
    <w:p>
      <w:pPr>
        <w:spacing w:after="0" w:line="62" w:lineRule="exact"/>
        <w:rPr>
          <w:rFonts w:ascii="Arial" w:cs="Arial" w:eastAsia="Arial" w:hAnsi="Arial"/>
          <w:sz w:val="18"/>
          <w:szCs w:val="18"/>
          <w:color w:val="auto"/>
        </w:rPr>
      </w:pPr>
    </w:p>
    <w:p>
      <w:pPr>
        <w:ind w:left="460" w:right="100" w:firstLine="443"/>
        <w:spacing w:after="0" w:line="268" w:lineRule="auto"/>
        <w:tabs>
          <w:tab w:leader="none" w:pos="11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trade accounts payable in the ordinary course of business);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leases and Synthetic Lease Obligations;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6" w:name="page27"/>
    <w:bookmarkEnd w:id="26"/>
    <w:p>
      <w:pPr>
        <w:jc w:val="both"/>
        <w:ind w:left="460" w:right="40" w:firstLine="443"/>
        <w:spacing w:after="0" w:line="256" w:lineRule="auto"/>
        <w:tabs>
          <w:tab w:leader="none" w:pos="1117"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obligations of such Person to purchase, redeem, retire, defease or otherwise make any payment in respect of any Equity Interest in such Person or any other Person (other than obligations of Toro or a Subsidiary of Toro to Red Iron under the terms of the Red Iron LLC Agreement (as in effect on the Closing Date)),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w:t>
      </w:r>
    </w:p>
    <w:p>
      <w:pPr>
        <w:spacing w:after="0" w:line="62" w:lineRule="exact"/>
        <w:rPr>
          <w:rFonts w:ascii="Arial" w:cs="Arial" w:eastAsia="Arial" w:hAnsi="Arial"/>
          <w:sz w:val="18"/>
          <w:szCs w:val="18"/>
          <w:color w:val="auto"/>
        </w:rPr>
      </w:pPr>
    </w:p>
    <w:p>
      <w:pPr>
        <w:ind w:left="460" w:firstLine="443"/>
        <w:spacing w:after="0" w:line="306" w:lineRule="auto"/>
        <w:tabs>
          <w:tab w:leader="none" w:pos="1147"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w:t>
      </w:r>
      <w:r>
        <w:rPr>
          <w:rFonts w:ascii="Arial" w:cs="Arial" w:eastAsia="Arial" w:hAnsi="Arial"/>
          <w:sz w:val="16"/>
          <w:szCs w:val="16"/>
          <w:u w:val="single" w:color="auto"/>
          <w:color w:val="auto"/>
        </w:rPr>
        <w:t>clause (h)</w:t>
      </w:r>
      <w:r>
        <w:rPr>
          <w:rFonts w:ascii="Arial" w:cs="Arial" w:eastAsia="Arial" w:hAnsi="Arial"/>
          <w:sz w:val="16"/>
          <w:szCs w:val="16"/>
          <w:color w:val="auto"/>
        </w:rPr>
        <w:t>, at any time outstanding not to exceed $20,000,000; and</w:t>
      </w:r>
    </w:p>
    <w:p>
      <w:pPr>
        <w:spacing w:after="0" w:line="25" w:lineRule="exact"/>
        <w:rPr>
          <w:rFonts w:ascii="Arial" w:cs="Arial" w:eastAsia="Arial" w:hAnsi="Arial"/>
          <w:sz w:val="16"/>
          <w:szCs w:val="16"/>
          <w:color w:val="auto"/>
        </w:rPr>
      </w:pPr>
    </w:p>
    <w:p>
      <w:pPr>
        <w:ind w:left="460" w:right="180" w:firstLine="443"/>
        <w:spacing w:after="0" w:line="284" w:lineRule="auto"/>
        <w:tabs>
          <w:tab w:leader="none" w:pos="1147"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Guarantees of such Person in respect of any of the foregoing, except to the extent (i) issued as a means of providing assurance of payment of amounts due by purchasers or lessees of the products or services of such Person or Affiliates of such Person to obligees providing financing for or purchasing obligations related to the acquisition or lease of such products or services (the “</w:t>
      </w:r>
      <w:r>
        <w:rPr>
          <w:rFonts w:ascii="Arial" w:cs="Arial" w:eastAsia="Arial" w:hAnsi="Arial"/>
          <w:sz w:val="16"/>
          <w:szCs w:val="16"/>
          <w:u w:val="single" w:color="auto"/>
          <w:color w:val="auto"/>
        </w:rPr>
        <w:t>End-User Financing Arrangements</w:t>
      </w:r>
      <w:r>
        <w:rPr>
          <w:rFonts w:ascii="Arial" w:cs="Arial" w:eastAsia="Arial" w:hAnsi="Arial"/>
          <w:sz w:val="16"/>
          <w:szCs w:val="16"/>
          <w:color w:val="auto"/>
        </w:rPr>
        <w:t>”); or, without duplication,</w:t>
      </w:r>
    </w:p>
    <w:p>
      <w:pPr>
        <w:spacing w:after="0" w:line="1" w:lineRule="exact"/>
        <w:rPr>
          <w:rFonts w:ascii="Arial" w:cs="Arial" w:eastAsia="Arial" w:hAnsi="Arial"/>
          <w:sz w:val="16"/>
          <w:szCs w:val="16"/>
          <w:color w:val="auto"/>
        </w:rPr>
      </w:pPr>
    </w:p>
    <w:p>
      <w:pPr>
        <w:jc w:val="both"/>
        <w:ind w:left="460" w:right="100" w:firstLine="4"/>
        <w:spacing w:after="0" w:line="254" w:lineRule="auto"/>
        <w:tabs>
          <w:tab w:leader="none" w:pos="7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assurance of payments of amounts due Red Iron or TCF Canada in the ordinary course of Red Iron’s or TCF Canada’s business of financing purchases by distributors and dealers or products and services of such Person or an Affiliate of such Person (the “</w:t>
      </w:r>
      <w:r>
        <w:rPr>
          <w:rFonts w:ascii="Arial" w:cs="Arial" w:eastAsia="Arial" w:hAnsi="Arial"/>
          <w:sz w:val="18"/>
          <w:szCs w:val="18"/>
          <w:u w:val="single" w:color="auto"/>
          <w:color w:val="auto"/>
        </w:rPr>
        <w:t>Red Iron/TCF Repurchase Obligations</w:t>
      </w:r>
      <w:r>
        <w:rPr>
          <w:rFonts w:ascii="Arial" w:cs="Arial" w:eastAsia="Arial" w:hAnsi="Arial"/>
          <w:sz w:val="18"/>
          <w:szCs w:val="18"/>
          <w:color w:val="auto"/>
        </w:rPr>
        <w:t xml:space="preserve">”), in an aggregate stated or principal amount, when taken together with amounts subject to the exception set forth in the preceding </w:t>
      </w:r>
      <w:r>
        <w:rPr>
          <w:rFonts w:ascii="Arial" w:cs="Arial" w:eastAsia="Arial" w:hAnsi="Arial"/>
          <w:sz w:val="18"/>
          <w:szCs w:val="18"/>
          <w:u w:val="single" w:color="auto"/>
          <w:color w:val="auto"/>
        </w:rPr>
        <w:t>clause (g)</w:t>
      </w:r>
      <w:r>
        <w:rPr>
          <w:rFonts w:ascii="Arial" w:cs="Arial" w:eastAsia="Arial" w:hAnsi="Arial"/>
          <w:sz w:val="18"/>
          <w:szCs w:val="18"/>
          <w:color w:val="auto"/>
        </w:rPr>
        <w:t>, at any time outstanding not to exceed $20,000,000;</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capital lease or Synthetic Lease Obligation as of any date shall be deemed to be the amount of Attributable Indebtedness in respect thereof as of such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Proceeding</w:t>
      </w:r>
      <w:r>
        <w:rPr>
          <w:rFonts w:ascii="Arial" w:cs="Arial" w:eastAsia="Arial" w:hAnsi="Arial"/>
          <w:sz w:val="16"/>
          <w:szCs w:val="16"/>
          <w:color w:val="auto"/>
        </w:rPr>
        <w:t>” means, with respect to any Person, (a) any case, action or proceeding with respect to such Person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 of the United States.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7" w:name="page28"/>
    <w:bookmarkEnd w:id="27"/>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Loan other than a Base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Eurocurrency Rate Loan, the period commencing on the date such Eurocurrency Rate Loan is disbursed or converted to or continued as a Eurocurrency Rate Loan and ending on the date fourteen days or one, two, three or six months thereafter, as selected by Toro in its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59" w:lineRule="exact"/>
        <w:rPr>
          <w:sz w:val="20"/>
          <w:szCs w:val="20"/>
          <w:color w:val="auto"/>
        </w:rPr>
      </w:pPr>
    </w:p>
    <w:p>
      <w:pPr>
        <w:ind w:left="460" w:right="300" w:firstLine="443"/>
        <w:spacing w:after="0" w:line="332" w:lineRule="auto"/>
        <w:tabs>
          <w:tab w:leader="none" w:pos="11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4" w:lineRule="exact"/>
        <w:rPr>
          <w:rFonts w:ascii="Arial" w:cs="Arial" w:eastAsia="Arial" w:hAnsi="Arial"/>
          <w:sz w:val="16"/>
          <w:szCs w:val="16"/>
          <w:color w:val="auto"/>
        </w:rPr>
      </w:pPr>
    </w:p>
    <w:p>
      <w:pPr>
        <w:ind w:left="460" w:right="120" w:firstLine="443"/>
        <w:spacing w:after="0" w:line="332" w:lineRule="auto"/>
        <w:tabs>
          <w:tab w:leader="none" w:pos="115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3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L/C Issuer and the L/C Parties or in favor of the L/C Issuer and relating to any such Letter of Credit.</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corporation, partnership, limited liability company, joint venture or other similar legal arrangement (whether created by contract or conducted through a separate legal entity) now or hereafter formed or entered into by any of the Borrowers or any of their Subsidiaries with another Person or in which the Borrowers or any of their Subsidiaries may invest in order to conduct or further a common venture or enterprise with such Person, the investment in which does not constitute an Acquisition.</w:t>
      </w:r>
    </w:p>
    <w:p>
      <w:pPr>
        <w:spacing w:after="0" w:line="143"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permits of, and agreements with, any Governmental Authority, in each case whether or not having the force of law.</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 All L/C Advances shall be denominated in Dollars.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Committed Borrowing. All L/C Borrowings shall be denominated in Dollars, and in regards to Letters of Credit issued in an Alternative Currency, shall be the Dollar Equivalent thereof.</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Issuer</w:t>
      </w:r>
      <w:r>
        <w:rPr>
          <w:rFonts w:ascii="Arial" w:cs="Arial" w:eastAsia="Arial" w:hAnsi="Arial"/>
          <w:sz w:val="16"/>
          <w:szCs w:val="16"/>
          <w:color w:val="auto"/>
        </w:rPr>
        <w:t>” means Bank of America in its capacity as issuer of Letters of Credit hereunder, or any successor issuer of Letters of Credit hereunder.</w:t>
      </w:r>
    </w:p>
    <w:p>
      <w:pPr>
        <w:spacing w:after="0" w:line="19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xml:space="preserve">” means, as at any date of determination, the aggregate amount available to be drawn under all outstanding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Parties</w:t>
      </w:r>
      <w:r>
        <w:rPr>
          <w:rFonts w:ascii="Arial" w:cs="Arial" w:eastAsia="Arial" w:hAnsi="Arial"/>
          <w:sz w:val="18"/>
          <w:szCs w:val="18"/>
          <w:color w:val="auto"/>
        </w:rPr>
        <w:t>” means, collectively, Toro and its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as the context requires, includes the Swing Line Lender.</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Toro and the Administrative Agent.</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 and shall include the Existing Letters of Credit. Letters of Credit may be issued in Dollars or in an Alternative Currency.</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9" w:name="page30"/>
    <w:bookmarkEnd w:id="29"/>
    <w:p>
      <w:pPr>
        <w:ind w:right="7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$20,000,000. The Letter of Credit Sublimit is part of, and not in addition to, the Aggregate Commitments.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a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Committed Loan or a Swing Line Loan.</w:t>
      </w:r>
    </w:p>
    <w:p>
      <w:pPr>
        <w:spacing w:after="0" w:line="171"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means this Agreement, each Designated Borrower Request and Assumption Agreement, each Note, each Issuer Document, any agreement creating or perfecting rights in Cash Collateral pursuant to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this Agreement and the Fee Letters.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Toro and each Subsidiary Borrower.</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Cost</w:t>
      </w:r>
      <w:r>
        <w:rPr>
          <w:rFonts w:ascii="Arial" w:cs="Arial" w:eastAsia="Arial" w:hAnsi="Arial"/>
          <w:sz w:val="18"/>
          <w:szCs w:val="18"/>
          <w:color w:val="auto"/>
        </w:rPr>
        <w:t xml:space="preserve">” means, with respect to any period, the percentage rate per annum determined in accordance with </w:t>
      </w:r>
      <w:r>
        <w:rPr>
          <w:rFonts w:ascii="Arial" w:cs="Arial" w:eastAsia="Arial" w:hAnsi="Arial"/>
          <w:sz w:val="18"/>
          <w:szCs w:val="18"/>
          <w:u w:val="single" w:color="auto"/>
          <w:color w:val="auto"/>
        </w:rPr>
        <w:t>Schedule 1.01(m)</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Manufacturing</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such term is defined in Regulation T, U or X of the FRB.</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 a material impairment of the ability of any Loan Party to perform its obligations under any Loan Document to which it is a party, (b) a material adverse effect upon the legality, validity, binding effect or enforceability against any Loan Party of any Loan Document to which it is a party, or (c) solely with respect to the provisions of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and the representations and warranties to be made on the Closing Date, a material adverse change in, or a material adverse effect on, the operations, business, assets, or condition (financial or otherwise) of Toro or Toro and its subsidiaries, taken as a whole.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1.03(e)</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xml:space="preserve">” means, at any time of determination, (a) any Subsidiary (other than a Distributor Subsidiary) having at such time either (i) total (gross) revenues for the preceding four fiscal quarter period in excess $25,000,000 or (ii) total assets, as of the last day of the preceding fiscal quarter, having a net book value in excess of $25,000,000, in each case, based upon Toro’s most recent annual or quarterly financial statements delivered to the Lenders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any Distributor Subsidiary having total assets, as of the last day of the preceding quarter, having a net book value in excess of $25,000,000 based upon Toro’s most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recent annual or quarterly financial statements delivered to the Administrative Agent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July 28, 2015; provided, however, that if such date is not a Business Day, the Maturity Date shall be the next preceding Business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MLPFS</w:t>
      </w:r>
      <w:r>
        <w:rPr>
          <w:rFonts w:ascii="Arial" w:cs="Arial" w:eastAsia="Arial" w:hAnsi="Arial"/>
          <w:sz w:val="18"/>
          <w:szCs w:val="18"/>
          <w:color w:val="auto"/>
        </w:rPr>
        <w:t>” means Merrill Lynch, Pierce, Fenner &amp; Smith Incorporated and its successors.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any Borrower or any ERISA Affiliate makes or is obligated to make contributions, or during the preceding five plan years, has made or been obligated to make contributions.</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any Borrower or any ERISA Affiliate) at least two of whom are not under common control, as such a plan is described in Section 4064 of ERISA.</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a Borrower in favor of a Lender evidencing Loans made by such Lender to such Borrower,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4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Originators</w:t>
      </w:r>
      <w:r>
        <w:rPr>
          <w:rFonts w:ascii="Arial" w:cs="Arial" w:eastAsia="Arial" w:hAnsi="Arial"/>
          <w:sz w:val="16"/>
          <w:szCs w:val="16"/>
          <w:color w:val="auto"/>
        </w:rPr>
        <w:t>” means any Borrower and/or any of its domestic Wholly-Owned Subsidiaries in their respective capacities as parties to any documents related to any Receivables Purchase Facility, as sellers or transferors of any Receivables and related security in connection with a Permitted Receivables Transfer.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31" w:name="page32"/>
    <w:bookmarkEnd w:id="31"/>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(i) with respect to Committed Loans on any date, the Dollar Equivalent amount of the aggregate outstanding principal amount thereof after giving effect to any borrowings and prepayments or repayments of such Committed Loans occurring on such date; (ii) with respect to Swing Line Loans on any date, the aggregate outstanding principal amount thereof after giving effect to any borrowings and prepayments or repayments of such Swing Line Loans occurring on such date; and (iii)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any Borrower of Unreimbursed Amounts.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Rate</w:t>
      </w:r>
      <w:r>
        <w:rPr>
          <w:rFonts w:ascii="Arial" w:cs="Arial" w:eastAsia="Arial" w:hAnsi="Arial"/>
          <w:sz w:val="16"/>
          <w:szCs w:val="16"/>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each state so described in any EMU Legislation.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171"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Pension Funding Rules</w:t>
      </w:r>
      <w:r>
        <w:rPr>
          <w:rFonts w:ascii="Arial" w:cs="Arial" w:eastAsia="Arial" w:hAnsi="Arial"/>
          <w:sz w:val="15"/>
          <w:szCs w:val="15"/>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88"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any Borrower or any ERISA Affiliate and is either covered by Title IV of ERISA or is subject to the minimum funding standards under Section 412 of the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2" w:name="page33"/>
    <w:bookmarkEnd w:id="32"/>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Permitted Receivables Transfer</w:t>
      </w:r>
      <w:r>
        <w:rPr>
          <w:rFonts w:ascii="Arial" w:cs="Arial" w:eastAsia="Arial" w:hAnsi="Arial"/>
          <w:sz w:val="18"/>
          <w:szCs w:val="18"/>
          <w:color w:val="auto"/>
        </w:rPr>
        <w:t xml:space="preserve">” means (i) a sale or other transfer by an Originator to an SPV of Receivables for fair market value and without recourse (except for limited recourse typical of such structured finance transactions), and/or (ii) a sale or other transfer by an SPV to (a) purchasers of or other investors in such Receivables and related security or (b) any other Person (including an SPV) in a transaction in which purchasers or other investors purchase or are otherwise transferred such Receivables and related security, in the case of either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pursuant to and in accordance with the terms of the documents related to any Receivables Purchase Facility.</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Swap Obligation</w:t>
      </w:r>
      <w:r>
        <w:rPr>
          <w:rFonts w:ascii="Arial" w:cs="Arial" w:eastAsia="Arial" w:hAnsi="Arial"/>
          <w:sz w:val="16"/>
          <w:szCs w:val="16"/>
          <w:color w:val="auto"/>
        </w:rPr>
        <w:t>” means all obligations (contingent or otherwise) of any Borrower or any Subsidiary existing or arising under Swap Contracts, provided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any provision (“walk-away” provision) exonerating the non-defaulting party from its obligation to make payments on outstanding transactions to the defaulting party.</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any Borrower or any ERISA Affiliate or any such Plan to which any Borrower or any ERISA Affiliate is required to contribute on behalf of any of its employees.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w:t>
      </w:r>
      <w:r>
        <w:rPr>
          <w:rFonts w:ascii="Arial" w:cs="Arial" w:eastAsia="Arial" w:hAnsi="Arial"/>
          <w:sz w:val="16"/>
          <w:szCs w:val="16"/>
          <w:color w:val="auto"/>
        </w:rPr>
        <w:t>” shall mean,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Purchase Facility</w:t>
      </w:r>
      <w:r>
        <w:rPr>
          <w:rFonts w:ascii="Arial" w:cs="Arial" w:eastAsia="Arial" w:hAnsi="Arial"/>
          <w:sz w:val="18"/>
          <w:szCs w:val="18"/>
          <w:color w:val="auto"/>
        </w:rPr>
        <w:t>” shall mean any agreement of any Originator, approved by the Administrative Agent (such approval not to be unreasonably withheld), providing for sales, transfers or conveyances of Receivables of such Originator purporting to be sales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33" w:name="page34"/>
    <w:bookmarkEnd w:id="33"/>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means, for any Receivable, all contracts, books, records and other documents or information (including computer programs, tapes, disks, software and related property and rights) relating to such Receivable or the related obligor.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 Iron</w:t>
      </w:r>
      <w:r>
        <w:rPr>
          <w:rFonts w:ascii="Arial" w:cs="Arial" w:eastAsia="Arial" w:hAnsi="Arial"/>
          <w:sz w:val="18"/>
          <w:szCs w:val="18"/>
          <w:color w:val="auto"/>
        </w:rPr>
        <w:t>” means Red Iron Acceptance, LLC, a Delaware limited liability company.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 Iron LLC Agreement</w:t>
      </w:r>
      <w:r>
        <w:rPr>
          <w:rFonts w:ascii="Arial" w:cs="Arial" w:eastAsia="Arial" w:hAnsi="Arial"/>
          <w:sz w:val="18"/>
          <w:szCs w:val="18"/>
          <w:color w:val="auto"/>
        </w:rPr>
        <w:t>” means that certain limited liability company agreement of Red Iron Acceptance, LLC, dated as of August 12, 2009 and as amended as of May 31, 2011, by and among Red Iron Holding Corporation, a Delaware corporation and a Subsidiary of Toro, and TCFIF Joint Venture I, LLC, a Minnesota limited liability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 Iron/TCF Repurchase Obligations</w:t>
      </w:r>
      <w:r>
        <w:rPr>
          <w:rFonts w:ascii="Arial" w:cs="Arial" w:eastAsia="Arial" w:hAnsi="Arial"/>
          <w:sz w:val="18"/>
          <w:szCs w:val="18"/>
          <w:color w:val="auto"/>
        </w:rPr>
        <w:t>” has the meaning specified in the definition of “Indebtedness”.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 waived.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Request for Credit Extension</w:t>
      </w:r>
      <w:r>
        <w:rPr>
          <w:rFonts w:ascii="Arial" w:cs="Arial" w:eastAsia="Arial" w:hAnsi="Arial"/>
          <w:sz w:val="16"/>
          <w:szCs w:val="16"/>
          <w:color w:val="auto"/>
        </w:rPr>
        <w:t>” means (a) with respect to a Borrowing, conversion or continuation of Committed Loans, a Committed Loan Notice,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 with respect to an L/C Credit Extension, a Letter of Credit Application, and (c) with respect to a Swing Line Loan, a Swing Line Loan Notice.</w:t>
      </w:r>
    </w:p>
    <w:p>
      <w:pPr>
        <w:spacing w:after="0" w:line="18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as of any date of determination, Lenders having more than 50% of the Aggregate Commitments or, if the commitment of each Lender to make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 of, and the portion of the Total Outstandings held or deemed held by, any Defaulting Lender shall be excluded for purposes of making a determination of Required Lenders.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the secretary of a Loan Party, or any other officer having substantially the same authority and responsibility; or, with respect to compliance with financial covenants, the chief financial officer or the treasurer of a Loan Party, or any other officer having</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80" w:right="319" w:bottom="1440" w:gutter="0" w:footer="0" w:header="0"/>
        </w:sectPr>
      </w:pPr>
    </w:p>
    <w:bookmarkStart w:id="34" w:name="page35"/>
    <w:bookmarkEnd w:id="3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substantially the same authority and responsibility.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17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and</w:t>
      </w:r>
    </w:p>
    <w:p>
      <w:pPr>
        <w:ind w:firstLine="8"/>
        <w:spacing w:after="0" w:line="253" w:lineRule="auto"/>
        <w:tabs>
          <w:tab w:leader="none" w:pos="3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the L/C Issuer under any Letter of Credit denominated in an Alternative Currency, and (iv) such additional dates as the Administrative Agent or the L/C Issuer shall determine or the Required Lenders shall require.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L/C Issuer may use such spot rate quoted on the date as of which</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foreign exchange computation is made in the case of any Letter of Credit denominated in an Alternative Currency.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SPV</w:t>
      </w:r>
      <w:r>
        <w:rPr>
          <w:rFonts w:ascii="Arial" w:cs="Arial" w:eastAsia="Arial" w:hAnsi="Arial"/>
          <w:sz w:val="16"/>
          <w:szCs w:val="16"/>
          <w:color w:val="auto"/>
        </w:rPr>
        <w:t>” means any special purpose entity established for the purpose of purchasing receivables in connection with a Receivables Purchase Facility.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Toro.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Borrowers</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Surety Instruments</w:t>
      </w:r>
      <w:r>
        <w:rPr>
          <w:rFonts w:ascii="Arial" w:cs="Arial" w:eastAsia="Arial" w:hAnsi="Arial"/>
          <w:sz w:val="18"/>
          <w:szCs w:val="18"/>
          <w:color w:val="auto"/>
        </w:rPr>
        <w:t>” means all standby letters of credit, banker’s acceptances and bank guaranties not attributable to the purchase of supplies and inventory in the ordinary course of business and shipside bonds, surety bonds and similar instruments.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Swing Line</w:t>
      </w:r>
      <w:r>
        <w:rPr>
          <w:rFonts w:ascii="Arial" w:cs="Arial" w:eastAsia="Arial" w:hAnsi="Arial"/>
          <w:sz w:val="18"/>
          <w:szCs w:val="18"/>
          <w:color w:val="auto"/>
        </w:rPr>
        <w:t xml:space="preserve">” means the revolving credit facility made available by the Swing Line Lender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Lender</w:t>
      </w:r>
      <w:r>
        <w:rPr>
          <w:rFonts w:ascii="Arial" w:cs="Arial" w:eastAsia="Arial" w:hAnsi="Arial"/>
          <w:sz w:val="16"/>
          <w:szCs w:val="16"/>
          <w:color w:val="auto"/>
        </w:rPr>
        <w:t>” means Bank of America in its capacity as provider of Swing Line Loans, or any successor swing line lender 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$20,000,000 and (b) the Aggregate Commitments. The Swing Line Sublimit is part of, and not in addition to, the Aggregate Commitments.</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TCC</w:t>
      </w:r>
      <w:r>
        <w:rPr>
          <w:rFonts w:ascii="Arial" w:cs="Arial" w:eastAsia="Arial" w:hAnsi="Arial"/>
          <w:sz w:val="18"/>
          <w:szCs w:val="18"/>
          <w:color w:val="auto"/>
        </w:rPr>
        <w:t>” means Toro Credit Company, a Minnesota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TCF Canada</w:t>
      </w:r>
      <w:r>
        <w:rPr>
          <w:rFonts w:ascii="Arial" w:cs="Arial" w:eastAsia="Arial" w:hAnsi="Arial"/>
          <w:sz w:val="18"/>
          <w:szCs w:val="18"/>
          <w:color w:val="auto"/>
        </w:rPr>
        <w:t>” means TCF Commercial Finance Canada, Inc., a Canada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TIC</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Committed Loan, its character as a Base Rate Loan or a Eurocurrency Rate Loan.</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in accordance with the assumptions used for funding the Pension Plan pursuant to Section 412 of the Code for the applicable plan year.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Wells Fargo Fee Letter</w:t>
      </w:r>
      <w:r>
        <w:rPr>
          <w:rFonts w:ascii="Arial" w:cs="Arial" w:eastAsia="Arial" w:hAnsi="Arial"/>
          <w:sz w:val="16"/>
          <w:szCs w:val="16"/>
          <w:color w:val="auto"/>
        </w:rPr>
        <w:t>” means that certain letter agreement, dated June 30, 2011 among Toro, TIC, Manufacturing, Exmark, Wells Fargo and WFS.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WFS</w:t>
      </w:r>
      <w:r>
        <w:rPr>
          <w:rFonts w:ascii="Arial" w:cs="Arial" w:eastAsia="Arial" w:hAnsi="Arial"/>
          <w:sz w:val="18"/>
          <w:szCs w:val="18"/>
          <w:color w:val="auto"/>
        </w:rPr>
        <w:t>” means Wells Fargo Securities, LLC and its successors.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Wholly-Owned Subsidiary</w:t>
      </w:r>
      <w:r>
        <w:rPr>
          <w:rFonts w:ascii="Arial" w:cs="Arial" w:eastAsia="Arial" w:hAnsi="Arial"/>
          <w:sz w:val="16"/>
          <w:szCs w:val="16"/>
          <w:color w:val="auto"/>
        </w:rPr>
        <w:t>” means any corporation, limited liability company, partnership or other business association or entity organized under the laws of the United States or other country in which Toro or any of its Subsidiaries conducts business in which (other than directors’ qualifying shares required by law) 100% of the capital stock, membership interests, partnership interests or other equity interests, as applicable, of each class having ordinary voting power, and 100% of the capital stock, membership interests, partnership interests or other equity interests, as applicable, of every other class, in each case, at the time as of which any determination is being made, is owned, beneficially and of record, by (i) one of the Borrowers, or by one or more of the other Wholly-Owned Subsidiaries, or both, and (ii) directly or indirectly by Toro.</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1.02 Other Interpretive Provisions. </w:t>
      </w:r>
      <w:r>
        <w:rPr>
          <w:rFonts w:ascii="Arial" w:cs="Arial" w:eastAsia="Arial" w:hAnsi="Arial"/>
          <w:sz w:val="16"/>
          <w:szCs w:val="16"/>
          <w:color w:val="auto"/>
        </w:rPr>
        <w:t>With reference to this Agreement and each other Loan Document, unless otherwise specified herein or in such other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Loan Document:</w:t>
      </w:r>
    </w:p>
    <w:p>
      <w:pPr>
        <w:spacing w:after="0" w:line="84" w:lineRule="exact"/>
        <w:rPr>
          <w:sz w:val="20"/>
          <w:szCs w:val="20"/>
          <w:color w:val="auto"/>
        </w:rPr>
      </w:pPr>
    </w:p>
    <w:p>
      <w:pPr>
        <w:ind w:left="460" w:firstLine="443"/>
        <w:spacing w:after="0" w:line="301" w:lineRule="auto"/>
        <w:tabs>
          <w:tab w:leader="none" w:pos="1137" w:val="left"/>
        </w:tabs>
        <w:numPr>
          <w:ilvl w:val="1"/>
          <w:numId w:val="21"/>
        </w:numPr>
        <w:rPr>
          <w:rFonts w:ascii="Arial" w:cs="Arial" w:eastAsia="Arial" w:hAnsi="Arial"/>
          <w:sz w:val="15"/>
          <w:szCs w:val="15"/>
          <w:color w:val="auto"/>
        </w:rPr>
      </w:pPr>
      <w:r>
        <w:rPr>
          <w:rFonts w:ascii="Arial" w:cs="Arial" w:eastAsia="Arial" w:hAnsi="Arial"/>
          <w:sz w:val="15"/>
          <w:szCs w:val="15"/>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5"/>
          <w:szCs w:val="15"/>
          <w:u w:val="single" w:color="auto"/>
          <w:color w:val="auto"/>
        </w:rPr>
        <w:t>include</w:t>
      </w:r>
      <w:r>
        <w:rPr>
          <w:rFonts w:ascii="Arial" w:cs="Arial" w:eastAsia="Arial" w:hAnsi="Arial"/>
          <w:sz w:val="15"/>
          <w:szCs w:val="15"/>
          <w:color w:val="auto"/>
        </w:rPr>
        <w:t>,” “</w:t>
      </w:r>
      <w:r>
        <w:rPr>
          <w:rFonts w:ascii="Arial" w:cs="Arial" w:eastAsia="Arial" w:hAnsi="Arial"/>
          <w:sz w:val="15"/>
          <w:szCs w:val="15"/>
          <w:u w:val="single" w:color="auto"/>
          <w:color w:val="auto"/>
        </w:rPr>
        <w:t>includes</w:t>
      </w:r>
      <w:r>
        <w:rPr>
          <w:rFonts w:ascii="Arial" w:cs="Arial" w:eastAsia="Arial" w:hAnsi="Arial"/>
          <w:sz w:val="15"/>
          <w:szCs w:val="15"/>
          <w:color w:val="auto"/>
        </w:rPr>
        <w:t>” and “</w:t>
      </w:r>
      <w:r>
        <w:rPr>
          <w:rFonts w:ascii="Arial" w:cs="Arial" w:eastAsia="Arial" w:hAnsi="Arial"/>
          <w:sz w:val="15"/>
          <w:szCs w:val="15"/>
          <w:u w:val="single" w:color="auto"/>
          <w:color w:val="auto"/>
        </w:rPr>
        <w:t>including</w:t>
      </w:r>
      <w:r>
        <w:rPr>
          <w:rFonts w:ascii="Arial" w:cs="Arial" w:eastAsia="Arial" w:hAnsi="Arial"/>
          <w:sz w:val="15"/>
          <w:szCs w:val="15"/>
          <w:color w:val="auto"/>
        </w:rPr>
        <w:t>” shall be deemed to be followed by the phrase “without limitation.” The word “</w:t>
      </w:r>
      <w:r>
        <w:rPr>
          <w:rFonts w:ascii="Arial" w:cs="Arial" w:eastAsia="Arial" w:hAnsi="Arial"/>
          <w:sz w:val="15"/>
          <w:szCs w:val="15"/>
          <w:u w:val="single" w:color="auto"/>
          <w:color w:val="auto"/>
        </w:rPr>
        <w:t>will</w:t>
      </w:r>
      <w:r>
        <w:rPr>
          <w:rFonts w:ascii="Arial" w:cs="Arial" w:eastAsia="Arial" w:hAnsi="Arial"/>
          <w:sz w:val="15"/>
          <w:szCs w:val="15"/>
          <w:color w:val="auto"/>
        </w:rPr>
        <w:t>” shall be construed to have the same meaning and effect as the word “</w:t>
      </w:r>
      <w:r>
        <w:rPr>
          <w:rFonts w:ascii="Arial" w:cs="Arial" w:eastAsia="Arial" w:hAnsi="Arial"/>
          <w:sz w:val="15"/>
          <w:szCs w:val="15"/>
          <w:u w:val="single" w:color="auto"/>
          <w:color w:val="auto"/>
        </w:rPr>
        <w:t>shall</w:t>
      </w:r>
      <w:r>
        <w:rPr>
          <w:rFonts w:ascii="Arial" w:cs="Arial" w:eastAsia="Arial" w:hAnsi="Arial"/>
          <w:sz w:val="15"/>
          <w:szCs w:val="15"/>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5"/>
          <w:szCs w:val="15"/>
          <w:u w:val="single" w:color="auto"/>
          <w:color w:val="auto"/>
        </w:rPr>
        <w:t>hereto</w:t>
      </w:r>
      <w:r>
        <w:rPr>
          <w:rFonts w:ascii="Arial" w:cs="Arial" w:eastAsia="Arial" w:hAnsi="Arial"/>
          <w:sz w:val="15"/>
          <w:szCs w:val="15"/>
          <w:color w:val="auto"/>
        </w:rPr>
        <w:t>,” “</w:t>
      </w:r>
      <w:r>
        <w:rPr>
          <w:rFonts w:ascii="Arial" w:cs="Arial" w:eastAsia="Arial" w:hAnsi="Arial"/>
          <w:sz w:val="15"/>
          <w:szCs w:val="15"/>
          <w:u w:val="single" w:color="auto"/>
          <w:color w:val="auto"/>
        </w:rPr>
        <w:t>herein</w:t>
      </w:r>
      <w:r>
        <w:rPr>
          <w:rFonts w:ascii="Arial" w:cs="Arial" w:eastAsia="Arial" w:hAnsi="Arial"/>
          <w:sz w:val="15"/>
          <w:szCs w:val="15"/>
          <w:color w:val="auto"/>
        </w:rPr>
        <w:t>,” “</w:t>
      </w:r>
      <w:r>
        <w:rPr>
          <w:rFonts w:ascii="Arial" w:cs="Arial" w:eastAsia="Arial" w:hAnsi="Arial"/>
          <w:sz w:val="15"/>
          <w:szCs w:val="15"/>
          <w:u w:val="single" w:color="auto"/>
          <w:color w:val="auto"/>
        </w:rPr>
        <w:t>hereof</w:t>
      </w:r>
      <w:r>
        <w:rPr>
          <w:rFonts w:ascii="Arial" w:cs="Arial" w:eastAsia="Arial" w:hAnsi="Arial"/>
          <w:sz w:val="15"/>
          <w:szCs w:val="15"/>
          <w:color w:val="auto"/>
        </w:rPr>
        <w:t>” and “</w:t>
      </w:r>
      <w:r>
        <w:rPr>
          <w:rFonts w:ascii="Arial" w:cs="Arial" w:eastAsia="Arial" w:hAnsi="Arial"/>
          <w:sz w:val="15"/>
          <w:szCs w:val="15"/>
          <w:u w:val="single" w:color="auto"/>
          <w:color w:val="auto"/>
        </w:rPr>
        <w:t>hereunder</w:t>
      </w:r>
      <w:r>
        <w:rPr>
          <w:rFonts w:ascii="Arial" w:cs="Arial" w:eastAsia="Arial" w:hAnsi="Arial"/>
          <w:sz w:val="15"/>
          <w:szCs w:val="15"/>
          <w:color w:val="auto"/>
        </w:rPr>
        <w:t>,” and words of similar import when used in any Loan Document, shall be construed to refer to such Loan Document in its entirety and not to any particular provision thereof,</w:t>
      </w:r>
    </w:p>
    <w:p>
      <w:pPr>
        <w:spacing w:after="0" w:line="4" w:lineRule="exact"/>
        <w:rPr>
          <w:rFonts w:ascii="Arial" w:cs="Arial" w:eastAsia="Arial" w:hAnsi="Arial"/>
          <w:sz w:val="15"/>
          <w:szCs w:val="15"/>
          <w:color w:val="auto"/>
        </w:rPr>
      </w:pPr>
    </w:p>
    <w:p>
      <w:pPr>
        <w:ind w:left="460" w:firstLine="4"/>
        <w:spacing w:after="0" w:line="302" w:lineRule="auto"/>
        <w:tabs>
          <w:tab w:leader="none" w:pos="75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8" w:name="page39"/>
    <w:bookmarkEnd w:id="38"/>
    <w:p>
      <w:pPr>
        <w:ind w:left="4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59" w:lineRule="exact"/>
        <w:rPr>
          <w:sz w:val="20"/>
          <w:szCs w:val="20"/>
          <w:color w:val="auto"/>
        </w:rPr>
      </w:pPr>
    </w:p>
    <w:p>
      <w:pPr>
        <w:ind w:left="460" w:right="40" w:firstLine="443"/>
        <w:spacing w:after="0" w:line="268" w:lineRule="auto"/>
        <w:tabs>
          <w:tab w:leader="none" w:pos="11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26"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b w:val="1"/>
          <w:bCs w:val="1"/>
          <w:color w:val="auto"/>
        </w:rPr>
        <w:t xml:space="preserve">1.03 Accounting Terms.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Generally</w:t>
      </w:r>
      <w:r>
        <w:rPr>
          <w:rFonts w:ascii="Arial" w:cs="Arial" w:eastAsia="Arial" w:hAnsi="Arial"/>
          <w:sz w:val="16"/>
          <w:szCs w:val="16"/>
          <w:color w:val="auto"/>
        </w:rPr>
        <w:t>. All accounting terms not specifically or completely defined herein shall be construed in conformity with,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Indebtedness of Toro and its Subsidiaries shall be deemed to be carried at 100% of the outstanding principal amount thereof, and the effects of FASB ASC 825 on financial liabilities shall be disregarded.</w:t>
      </w:r>
    </w:p>
    <w:p>
      <w:pPr>
        <w:spacing w:after="0" w:line="117" w:lineRule="exact"/>
        <w:rPr>
          <w:sz w:val="20"/>
          <w:szCs w:val="20"/>
          <w:color w:val="auto"/>
        </w:rPr>
      </w:pPr>
    </w:p>
    <w:p>
      <w:pPr>
        <w:ind w:right="20" w:firstLine="464"/>
        <w:spacing w:after="0" w:line="291" w:lineRule="auto"/>
        <w:tabs>
          <w:tab w:leader="none" w:pos="70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Changes in GAAP</w:t>
      </w:r>
      <w:r>
        <w:rPr>
          <w:rFonts w:ascii="Arial" w:cs="Arial" w:eastAsia="Arial" w:hAnsi="Arial"/>
          <w:sz w:val="16"/>
          <w:szCs w:val="16"/>
          <w:color w:val="auto"/>
        </w:rPr>
        <w:t xml:space="preserve">. If at any time any change in GAAP would affect the computation of any financial ratio or requirement set forth in any Loan Document, and either Toro or the Required Lenders shall so request, the Administrative Agent, the Lenders and Toro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 that</w:t>
      </w:r>
      <w:r>
        <w:rPr>
          <w:rFonts w:ascii="Arial" w:cs="Arial" w:eastAsia="Arial" w:hAnsi="Arial"/>
          <w:sz w:val="16"/>
          <w:szCs w:val="16"/>
          <w:color w:val="auto"/>
        </w:rPr>
        <w:t>, until so amended, (i) such ratio or requirement shall continue to be computed in accordance with GAAP prior to such change therein and (ii) Toro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20" w:lineRule="exact"/>
        <w:rPr>
          <w:rFonts w:ascii="Arial" w:cs="Arial" w:eastAsia="Arial" w:hAnsi="Arial"/>
          <w:sz w:val="16"/>
          <w:szCs w:val="16"/>
          <w:color w:val="auto"/>
        </w:rPr>
      </w:pPr>
    </w:p>
    <w:p>
      <w:pPr>
        <w:ind w:left="700" w:hanging="23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References herein to “fiscal year” and “fiscal quarter” refer to such fiscal periods of the Borrowers.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any Acquisition consummated on or after the Closing Date, the following shall apply:</w:t>
      </w:r>
    </w:p>
    <w:p>
      <w:pPr>
        <w:spacing w:after="0" w:line="90" w:lineRule="exact"/>
        <w:rPr>
          <w:rFonts w:ascii="Arial" w:cs="Arial" w:eastAsia="Arial" w:hAnsi="Arial"/>
          <w:sz w:val="18"/>
          <w:szCs w:val="18"/>
          <w:color w:val="auto"/>
        </w:rPr>
      </w:pPr>
    </w:p>
    <w:p>
      <w:pPr>
        <w:ind w:left="460" w:firstLine="443"/>
        <w:spacing w:after="0" w:line="259" w:lineRule="auto"/>
        <w:tabs>
          <w:tab w:leader="none" w:pos="11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 each period of four fiscal quarters of Toro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 and reasonably satisfactory to the Administrative Agent;</w:t>
      </w:r>
    </w:p>
    <w:p>
      <w:pPr>
        <w:spacing w:after="0" w:line="90" w:lineRule="exact"/>
        <w:rPr>
          <w:sz w:val="20"/>
          <w:szCs w:val="20"/>
          <w:color w:val="auto"/>
        </w:rPr>
      </w:pPr>
    </w:p>
    <w:p>
      <w:pPr>
        <w:ind w:left="460" w:right="60" w:firstLine="443"/>
        <w:spacing w:after="0" w:line="309" w:lineRule="auto"/>
        <w:tabs>
          <w:tab w:leader="none" w:pos="1157" w:val="left"/>
        </w:tabs>
        <w:numPr>
          <w:ilvl w:val="1"/>
          <w:numId w:val="25"/>
        </w:numPr>
        <w:rPr>
          <w:rFonts w:ascii="Arial" w:cs="Arial" w:eastAsia="Arial" w:hAnsi="Arial"/>
          <w:sz w:val="15"/>
          <w:szCs w:val="15"/>
          <w:color w:val="auto"/>
        </w:rPr>
      </w:pPr>
      <w:r>
        <w:rPr>
          <w:rFonts w:ascii="Arial" w:cs="Arial" w:eastAsia="Arial" w:hAnsi="Arial"/>
          <w:sz w:val="15"/>
          <w:szCs w:val="15"/>
          <w:color w:val="auto"/>
        </w:rPr>
        <w:t>For each period of four fiscal quarters of Toro and its Subsidiaries ending next following the date of each Acquisition, Consolidated Interest Charges shall include the results of operations of the Person or assets so acquired, which amounts shall be determined on a historical pro forma basis; provided, however, Consolidated Interest Charges shall be adjusted on a historical pro forma basis to (A) eliminate interest expense accrued during such period on any Indebtedness repaid in connection with such Acquisition and (B) include interest expense on any Indebtedness (including Indebtedness hereunder) incurred, acquired or assumed in connection with such Acquisition (“</w:t>
      </w:r>
      <w:r>
        <w:rPr>
          <w:rFonts w:ascii="Arial" w:cs="Arial" w:eastAsia="Arial" w:hAnsi="Arial"/>
          <w:sz w:val="15"/>
          <w:szCs w:val="15"/>
          <w:u w:val="single" w:color="auto"/>
          <w:color w:val="auto"/>
        </w:rPr>
        <w:t>Incremental Debt</w:t>
      </w:r>
      <w:r>
        <w:rPr>
          <w:rFonts w:ascii="Arial" w:cs="Arial" w:eastAsia="Arial" w:hAnsi="Arial"/>
          <w:sz w:val="15"/>
          <w:szCs w:val="15"/>
          <w:color w:val="auto"/>
        </w:rPr>
        <w:t>”) calculated (I) as if all such Incremental Debt had been incurred as of the first day of such four-quarter period and (II) at the following interest rates: (x) 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108" w:lineRule="exact"/>
        <w:rPr>
          <w:rFonts w:ascii="Arial" w:cs="Arial" w:eastAsia="Arial" w:hAnsi="Arial"/>
          <w:sz w:val="15"/>
          <w:szCs w:val="15"/>
          <w:color w:val="auto"/>
        </w:rPr>
      </w:pPr>
    </w:p>
    <w:p>
      <w:pPr>
        <w:ind w:left="700" w:hanging="23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any Material Disposition consummated on or after the Closing Date:</w:t>
      </w:r>
    </w:p>
    <w:p>
      <w:pPr>
        <w:spacing w:after="0" w:line="90" w:lineRule="exact"/>
        <w:rPr>
          <w:rFonts w:ascii="Arial" w:cs="Arial" w:eastAsia="Arial" w:hAnsi="Arial"/>
          <w:sz w:val="18"/>
          <w:szCs w:val="18"/>
          <w:color w:val="auto"/>
        </w:rPr>
      </w:pPr>
    </w:p>
    <w:p>
      <w:pPr>
        <w:ind w:left="460" w:firstLine="443"/>
        <w:spacing w:after="0" w:line="256" w:lineRule="auto"/>
        <w:tabs>
          <w:tab w:leader="none" w:pos="11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 each period of four fiscal quarters of Toro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62" w:lineRule="exact"/>
        <w:rPr>
          <w:sz w:val="20"/>
          <w:szCs w:val="20"/>
          <w:color w:val="auto"/>
        </w:rPr>
      </w:pPr>
    </w:p>
    <w:p>
      <w:pPr>
        <w:ind w:left="460" w:right="20" w:firstLine="443"/>
        <w:spacing w:after="0" w:line="255" w:lineRule="auto"/>
        <w:tabs>
          <w:tab w:leader="none" w:pos="11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each period of four fiscal quarters of Toro and its Subsidiaries ending next following the date of such Material Disposition, Consolidated Interest Charges shall be reduced by an amount equal to the Consolidated Interest Charges incurred by the applicable Borrower or Subsidiary in connection with Indebtedness which is either (x) repaid with the proceeds received by the applicable Borrower or Subsidiary in connection with such Material Disposition or (y) assigned or transferred to, and assumed by, the Person to whom the Material Disposition is made by the applicable Borrower or Subsidiary.</w:t>
      </w:r>
    </w:p>
    <w:p>
      <w:pPr>
        <w:spacing w:after="0" w:line="14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For the purposes of this paragraph, “</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means any Disposition, or series of related Dispositions, by Toro and its Subsidiaries of real or personal property that has a gross book value, as determined in accordance with GAAP, equal to or greater than 5% of consolidated total assets of Toro and its Subsidiaries determined as of the last day of the immediately preceding fiscal quarter of Toro, and “Disposition” means the sale, transfer, license or other disposition (including any sale and leaseback transaction) of any property by any Person, other than pursuant to or in connection with a Receivables Purchase Facility.</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40" w:name="page41"/>
    <w:bookmarkEnd w:id="40"/>
    <w:p>
      <w:pPr>
        <w:ind w:right="40" w:firstLine="464"/>
        <w:spacing w:after="0" w:line="306" w:lineRule="auto"/>
        <w:tabs>
          <w:tab w:leader="none" w:pos="67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Consolidation of Variable Interest Entities</w:t>
      </w:r>
      <w:r>
        <w:rPr>
          <w:rFonts w:ascii="Arial" w:cs="Arial" w:eastAsia="Arial" w:hAnsi="Arial"/>
          <w:sz w:val="16"/>
          <w:szCs w:val="16"/>
          <w:color w:val="auto"/>
        </w:rPr>
        <w:t>. All references herein to consolidated financial statements of Toro and its Subsidiaries or to the determination of any amount for Toro and its Subsidiaries on a consolidated basis or any similar reference shall, in each case, be deemed to include each variable interest entity that Toro or a Subsidiary is required to consolidate pursuant to FASB ASC 810 as if such variable interest entity were a Subsidiary as defined herein.</w:t>
      </w:r>
    </w:p>
    <w:p>
      <w:pPr>
        <w:spacing w:after="0" w:line="10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1.04 Exchange Rates; Currency Equivalents. </w:t>
      </w:r>
      <w:r>
        <w:rPr>
          <w:rFonts w:ascii="Arial" w:cs="Arial" w:eastAsia="Arial" w:hAnsi="Arial"/>
          <w:sz w:val="16"/>
          <w:szCs w:val="16"/>
          <w:color w:val="auto"/>
        </w:rPr>
        <w:t>(a) The Administrative Agent or the L/C Issuer, as applicable, shall determine the Spot Rates as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17" w:lineRule="exact"/>
        <w:rPr>
          <w:sz w:val="20"/>
          <w:szCs w:val="20"/>
          <w:color w:val="auto"/>
        </w:rPr>
      </w:pPr>
    </w:p>
    <w:p>
      <w:pPr>
        <w:ind w:right="60" w:firstLine="464"/>
        <w:spacing w:after="0" w:line="255"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Wherever in this Agreement in connection with a Committed Borrowing, conversion, continuation or prepayment of a Eurocurrency Rate Loan or the issuance, amendment or extension of a Letter of Credit, an amount, such as a required minimum or multiple amount, is expressed in Dollars, but such Committed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3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1.05 Additional Alternative Currencies. </w:t>
      </w:r>
      <w:r>
        <w:rPr>
          <w:rFonts w:ascii="Arial" w:cs="Arial" w:eastAsia="Arial" w:hAnsi="Arial"/>
          <w:sz w:val="16"/>
          <w:szCs w:val="16"/>
          <w:color w:val="auto"/>
        </w:rPr>
        <w:t>(a) Toro may from time to time request that Eurocurrency Rate Loans be made and/or Letters of Credit be issued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 currency other than those specifically listed in the definition of “Alternative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requested currency is a lawful currency (other than Dollars) that is readily available and freely transferable and convertible into Dollars. In the case of any such request with respect to the making of Eurocurrency Rate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14" w:lineRule="exact"/>
        <w:rPr>
          <w:sz w:val="20"/>
          <w:szCs w:val="20"/>
          <w:color w:val="auto"/>
        </w:rPr>
      </w:pPr>
    </w:p>
    <w:p>
      <w:pPr>
        <w:ind w:right="100" w:firstLine="464"/>
        <w:spacing w:after="0" w:line="291"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such request shall be made to the Administrative Agent not later than 11:00 a.m.,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Lender thereof; and in the case of any such request pertaining to Letters of Credit, the Administrative Agent shall promptly notify the L/C Issuer thereof. Each Lender (in the case of any such request pertaining to Eurocurrency Rate Loans) or the L/C Issuer (in the case of a request pertaining to Letters of Credit) shall notify the Administrative Agent, not later than 11:00 a.m., ten Business Days after receipt of such request whether it consents, in its sole discretion,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making of Eurocurrency Rate Loans or the issuance of Letters of Credit, as the case may be, in such requested currency.</w:t>
      </w:r>
    </w:p>
    <w:p>
      <w:pPr>
        <w:spacing w:after="0" w:line="171" w:lineRule="exact"/>
        <w:rPr>
          <w:sz w:val="20"/>
          <w:szCs w:val="20"/>
          <w:color w:val="auto"/>
        </w:rPr>
      </w:pPr>
    </w:p>
    <w:p>
      <w:pPr>
        <w:ind w:firstLine="464"/>
        <w:spacing w:after="0" w:line="289"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Any failure by a Lender or the L/C Issuer, as the case may be, to respond to such request within the time period specified in the last sentence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shall be deemed to be a refusal by such Lender or the L/C Issuer, as the case may be, to permit Eurocurrency Rate Loans to be made or Letters of Credit to be issued in such requested currency. If the Administrative Agent and all the Lenders consent to making Eurocurrency Rate Loans in such requested currency, the Administrative Agent shall so notify Toro and such currency shall thereupon be deemed for all purposes to be an Alternative Currency hereunder for purposes of any Committed Borrowings of Eurocurrency Rate Loans; and if the Administrative Agent and the L/C Issuer consent to the issuance of Letters of Credit in such requested currency, the Administrative Agent shall so notify Toro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6"/>
          <w:szCs w:val="16"/>
          <w:u w:val="single" w:color="auto"/>
          <w:color w:val="auto"/>
        </w:rPr>
        <w:t>Section 1.05</w:t>
      </w:r>
      <w:r>
        <w:rPr>
          <w:rFonts w:ascii="Arial" w:cs="Arial" w:eastAsia="Arial" w:hAnsi="Arial"/>
          <w:sz w:val="16"/>
          <w:szCs w:val="16"/>
          <w:color w:val="auto"/>
        </w:rPr>
        <w:t>, the Administrative Agent shall promptly so notify Toro.</w:t>
      </w:r>
    </w:p>
    <w:p>
      <w:pPr>
        <w:spacing w:after="0" w:line="11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1.06 Change of Currency. </w:t>
      </w:r>
      <w:r>
        <w:rPr>
          <w:rFonts w:ascii="Arial" w:cs="Arial" w:eastAsia="Arial" w:hAnsi="Arial"/>
          <w:sz w:val="16"/>
          <w:szCs w:val="16"/>
          <w:color w:val="auto"/>
        </w:rPr>
        <w:t>(a) Each obligation of the Borrowers to make a payment denominated in the national currency unit of any member state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Committed Borrowing in the currency of such member state is outstanding immediately prior to such date, such replacement shall take effect, with respect to such Committed Borrowing, at the end of the then current Interest Period.</w:t>
      </w:r>
    </w:p>
    <w:p>
      <w:pPr>
        <w:spacing w:after="0" w:line="119" w:lineRule="exact"/>
        <w:rPr>
          <w:sz w:val="20"/>
          <w:szCs w:val="20"/>
          <w:color w:val="auto"/>
        </w:rPr>
      </w:pPr>
    </w:p>
    <w:p>
      <w:pPr>
        <w:ind w:right="20" w:firstLine="464"/>
        <w:spacing w:after="0" w:line="259"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40" w:lineRule="exact"/>
        <w:rPr>
          <w:rFonts w:ascii="Arial" w:cs="Arial" w:eastAsia="Arial" w:hAnsi="Arial"/>
          <w:sz w:val="18"/>
          <w:szCs w:val="18"/>
          <w:color w:val="auto"/>
        </w:rPr>
      </w:pPr>
    </w:p>
    <w:p>
      <w:pPr>
        <w:ind w:right="80" w:firstLine="464"/>
        <w:spacing w:after="0" w:line="370" w:lineRule="auto"/>
        <w:tabs>
          <w:tab w:leader="none" w:pos="695" w:val="left"/>
        </w:tabs>
        <w:numPr>
          <w:ilvl w:val="0"/>
          <w:numId w:val="32"/>
        </w:numPr>
        <w:rPr>
          <w:rFonts w:ascii="Arial" w:cs="Arial" w:eastAsia="Arial" w:hAnsi="Arial"/>
          <w:sz w:val="15"/>
          <w:szCs w:val="15"/>
          <w:color w:val="auto"/>
        </w:rPr>
      </w:pPr>
      <w:r>
        <w:rPr>
          <w:rFonts w:ascii="Arial" w:cs="Arial" w:eastAsia="Arial" w:hAnsi="Arial"/>
          <w:sz w:val="15"/>
          <w:szCs w:val="15"/>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56"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b w:val="1"/>
          <w:bCs w:val="1"/>
          <w:color w:val="auto"/>
        </w:rPr>
        <w:t xml:space="preserve">1.07 Times of Day. </w:t>
      </w:r>
      <w:r>
        <w:rPr>
          <w:rFonts w:ascii="Arial" w:cs="Arial" w:eastAsia="Arial" w:hAnsi="Arial"/>
          <w:sz w:val="18"/>
          <w:szCs w:val="18"/>
          <w:color w:val="auto"/>
        </w:rPr>
        <w:t>Unless otherwise specified, all references herein to times of day shall be references to Central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1.08 Letter of Credit Amounts. </w:t>
      </w:r>
      <w:r>
        <w:rPr>
          <w:rFonts w:ascii="Arial" w:cs="Arial" w:eastAsia="Arial" w:hAnsi="Arial"/>
          <w:sz w:val="18"/>
          <w:szCs w:val="18"/>
          <w:color w:val="auto"/>
        </w:rPr>
        <w:t>Unless otherwise specified herein, the amount of a Letter of Credit at any time shall be deemed to be the Dollar</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of the stated amount of such Letter of Credit in effect at such time; provided, however, that with respect to any Letter of Credit that, by its terms or the terms of any Issuer Document related thereto, provides for one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42" w:name="page43"/>
    <w:bookmarkEnd w:id="42"/>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79"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1.09 Rounding. </w:t>
      </w:r>
      <w:r>
        <w:rPr>
          <w:rFonts w:ascii="Arial" w:cs="Arial" w:eastAsia="Arial" w:hAnsi="Arial"/>
          <w:sz w:val="18"/>
          <w:szCs w:val="18"/>
          <w:color w:val="auto"/>
        </w:rPr>
        <w:t>Any financial ratios required to be maintained by the Borrowers pursuant to this Agreement shall be calculated by dividing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COMMITMENTS AND CREDIT EXTENSIONS</w:t>
      </w:r>
    </w:p>
    <w:p>
      <w:pPr>
        <w:spacing w:after="0" w:line="159"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b w:val="1"/>
          <w:bCs w:val="1"/>
          <w:color w:val="auto"/>
        </w:rPr>
        <w:t xml:space="preserve">2.01 Committed Loans. </w:t>
      </w:r>
      <w:r>
        <w:rPr>
          <w:rFonts w:ascii="Arial" w:cs="Arial" w:eastAsia="Arial" w:hAnsi="Arial"/>
          <w:sz w:val="16"/>
          <w:szCs w:val="16"/>
          <w:color w:val="auto"/>
        </w:rPr>
        <w:t>Subject to the terms and conditions set forth herein, each Lender severally agrees to make loans (each such loan, a “</w:t>
      </w:r>
      <w:r>
        <w:rPr>
          <w:rFonts w:ascii="Arial" w:cs="Arial" w:eastAsia="Arial" w:hAnsi="Arial"/>
          <w:sz w:val="16"/>
          <w:szCs w:val="16"/>
          <w:u w:val="single" w:color="auto"/>
          <w:color w:val="auto"/>
        </w:rPr>
        <w:t>Committed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to any of the Borrowers in Dollars or in one or more Alternative Currencies from time to time, on any Business Day during the Availability Period, the aggregate Dollar Equivalent of which does not exceed at any time outstanding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Committed Borrowing, (i) the Total Outstandings shall not exceed the Aggregate Commitments, and (ii) the aggregate Outstanding Amount of the Committed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Swing Line Loans shall not exceed such Lender’s Commitment. Within the limits of each Lender’s Commitment, and subject to the other terms and conditions hereof, the Borrowers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Committed Loans may be Base Rate Loans or Eurocurrency Rate Loans, as further provided herein.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 Borrowings, Conversions and Continuations of Committed Loans.</w:t>
      </w:r>
    </w:p>
    <w:p>
      <w:pPr>
        <w:spacing w:after="0" w:line="177" w:lineRule="exact"/>
        <w:rPr>
          <w:sz w:val="20"/>
          <w:szCs w:val="20"/>
          <w:color w:val="auto"/>
        </w:rPr>
      </w:pPr>
    </w:p>
    <w:p>
      <w:pPr>
        <w:ind w:firstLine="464"/>
        <w:spacing w:after="0" w:line="288"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Each Committed Borrowing, each conversion of Committed Loans from one Type to the other, and each continuation of Eurocurrency Rate Loans shall be made upon Toro’s irrevocable notice to the Administrative Agent, which may be given by telephone. Each such notice must be received by the Administrative Agent not later than 11:00 a.m. (i) three Business Days prior to the requested date of any Borrowing of, conversion to or continuation of Eurocurrency Rate Loans denominated in Dollars or of any conversion of Eurocurrency Rate Loans denominated in Dollars to Base Rate Committed Loans, (ii) four Business Days (or five Business Days in the case of a Special Notice Currency) prior to the requested date of any Borrowing or continuation of Eurocurrency Rate Loans denominated in Alternative Currencies, and (iii) on the requested date of any Borrowing of Base Rate Committed Loans. Each telephonic notice by Toro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Committed Loan Notice, appropriately completed and signed by a Responsible Officer of Toro. Each Borrowing of, conversion to or continuation of Eurocurrency Rate Loans shall be in a principal amount of $5,000,000 or a whole multiple of $1,000,000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43" w:name="page44"/>
    <w:bookmarkEnd w:id="4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Committed Borrowing of or conversion to Base Rate Committed Loans shall be in a principal amount of $500,000 or a whole multiple of $100,000 in excess thereof. Each Committed Loan Notice (whether telephonic or written) shall specify (i) whether Toro (for itself or on behalf of a Subsidiary Borrower) is requesting a Committed Borrowing, a conversion of Committed Loans from one Type to the other, or a continuation of Eurocurrency Rate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the currency of the Committed Loans to be borrowed, and (vii) the applicable Borrower for which the Loan is being requested. If Toro fails to specify a currency in a Committed Loan Notice requesting a Borrowing, then the Committed Loans so requested shall be made in Dollars. If Toro fails to specify a Type of Committed Loan in a Committed Loan Notice or if Toro fails to give a timely notice requesting a conversion or continuation, then the applicable Committed Loans shall be made as, or converted to,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failure to timely request a continuation of Committed Loans denominated in an Alternative Currency, such Loans shall be continued as Eurocurrency Rate Loans in their original currency with an Interest Period of one month. Any automatic conversion to Base Rate Loans shall be effective as of the last day of the Interest Period then in effect with respect to the applicable Eurocurrency Rate Loans. If Toro requests a Borrowing of, conversion to, or continuation of Eurocurrency Rate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126" w:lineRule="exact"/>
        <w:rPr>
          <w:sz w:val="20"/>
          <w:szCs w:val="20"/>
          <w:color w:val="auto"/>
        </w:rPr>
      </w:pPr>
    </w:p>
    <w:p>
      <w:pPr>
        <w:ind w:firstLine="464"/>
        <w:spacing w:after="0" w:line="286"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(and currency) of its Applicable Percentage of the applicable Committed Loans, and if no timely notice of a conversion or continuation is provided by Toro, the Administrative Agent shall notify each Lender of the details of any automatic conversion to Base Rate Loans or continuation of Committed Loans denominated in a currency other than Dollars, in each case as described in the preceding subsection. In the case of a Committed Borrowing, each Lender shall make the amount of its Committed Loan available to the Administrative Agent in Same Day Funds at the Administrative Agent’s Office for the applicable currency not later than 1:00 p.m.,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Administrative Agent shall make all funds so received available to the applicable Borrower identified in the Committed Loan Notice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such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on the date the Committed Loan Notice with respect to such Borrowing denominated in Dollars is given to the Administrative Agent by such Borrower, there are L/C Borrowings outstanding owing by the same such applicable Borrower, then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44" w:name="page45"/>
    <w:bookmarkEnd w:id="44"/>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proceeds of such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applicable Borrower as provided above.</w:t>
      </w:r>
    </w:p>
    <w:p>
      <w:pPr>
        <w:spacing w:after="0" w:line="132" w:lineRule="exact"/>
        <w:rPr>
          <w:sz w:val="20"/>
          <w:szCs w:val="20"/>
          <w:color w:val="auto"/>
        </w:rPr>
      </w:pPr>
    </w:p>
    <w:p>
      <w:pPr>
        <w:ind w:right="80" w:firstLine="464"/>
        <w:spacing w:after="0" w:line="294" w:lineRule="auto"/>
        <w:tabs>
          <w:tab w:leader="none" w:pos="6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Except as otherwise provided herein, a Eurocurrency Rate Loan may be continued or converted only on the last day of an Interest Period for such Eurocurrency Rate Loan. During the existence of a Default, no Loans may be requested as, converted to or continued as Eurocurrency Rate Loans (whether in Dollars or any Alternative Currency) without the consent of the Required Lenders, and the Required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w:t>
      </w:r>
    </w:p>
    <w:p>
      <w:pPr>
        <w:spacing w:after="0" w:line="115" w:lineRule="exact"/>
        <w:rPr>
          <w:rFonts w:ascii="Arial" w:cs="Arial" w:eastAsia="Arial" w:hAnsi="Arial"/>
          <w:sz w:val="16"/>
          <w:szCs w:val="16"/>
          <w:color w:val="auto"/>
        </w:rPr>
      </w:pPr>
    </w:p>
    <w:p>
      <w:pPr>
        <w:ind w:right="20" w:firstLine="464"/>
        <w:spacing w:after="0" w:line="306" w:lineRule="auto"/>
        <w:tabs>
          <w:tab w:leader="none" w:pos="7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Administrative Agent shall promptly notify Toro and the Lenders of the interest rate applicable to any Interest Period for Eurocurrency Rate Loans upon determination of such interest rate. At any time that Base Rate Loans are outstanding, the Administrative Agent shall notify Toro and the Lenders of any change in Bank of America’s prime rate used in determining the Base Rate promptly following the public announcement of such change.</w:t>
      </w:r>
    </w:p>
    <w:p>
      <w:pPr>
        <w:spacing w:after="0" w:line="106" w:lineRule="exact"/>
        <w:rPr>
          <w:rFonts w:ascii="Arial" w:cs="Arial" w:eastAsia="Arial" w:hAnsi="Arial"/>
          <w:sz w:val="16"/>
          <w:szCs w:val="16"/>
          <w:color w:val="auto"/>
        </w:rPr>
      </w:pPr>
    </w:p>
    <w:p>
      <w:pPr>
        <w:ind w:right="120" w:firstLine="464"/>
        <w:spacing w:after="0" w:line="332" w:lineRule="auto"/>
        <w:tabs>
          <w:tab w:leader="none" w:pos="6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After giving effect to all Committed Borrowings, all conversions of Committed Loans from one Type to the other, and all continuations of Committed Loans as the same Type, there shall not be more than eight Interest Periods in effect with respect to Committed Loans.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2.03 Letters of Credit.</w:t>
      </w:r>
    </w:p>
    <w:p>
      <w:pPr>
        <w:spacing w:after="0" w:line="177" w:lineRule="exact"/>
        <w:rPr>
          <w:sz w:val="20"/>
          <w:szCs w:val="20"/>
          <w:color w:val="auto"/>
        </w:rPr>
      </w:pPr>
    </w:p>
    <w:p>
      <w:pPr>
        <w:ind w:left="700" w:hanging="23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306" w:lineRule="auto"/>
        <w:tabs>
          <w:tab w:leader="none" w:pos="1108" w:val="left"/>
        </w:tabs>
        <w:numPr>
          <w:ilvl w:val="1"/>
          <w:numId w:val="36"/>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set forth herein, (A) the L/C Issuer agrees, in reliance upon the agreements of the Lenders set forth in this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(1) from time to time on any Business Day during the period from the Closing Date until the Letter of Credit Expiration Date, to issue Letters of Credit denominated in Dollars or in one or more Alternative Currencies for the account of an L/C Party, and to amend or extend Letters of Credit previously issued by it, in accordance with </w:t>
      </w:r>
      <w:r>
        <w:rPr>
          <w:rFonts w:ascii="Arial" w:cs="Arial" w:eastAsia="Arial" w:hAnsi="Arial"/>
          <w:sz w:val="15"/>
          <w:szCs w:val="15"/>
          <w:u w:val="single" w:color="auto"/>
          <w:color w:val="auto"/>
        </w:rPr>
        <w:t>subsection (b)</w:t>
      </w:r>
      <w:r>
        <w:rPr>
          <w:rFonts w:ascii="Arial" w:cs="Arial" w:eastAsia="Arial" w:hAnsi="Arial"/>
          <w:sz w:val="15"/>
          <w:szCs w:val="15"/>
          <w:color w:val="auto"/>
        </w:rPr>
        <w:t xml:space="preserve"> below, and (2) to honor drawings under the Letters of Credit; and (B) the Lenders severally agree to participate in Letters of Credit issued for the account of any L/C Party and any drawings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after giving effect to any L/C Credit Extension with respect to any Letter of Credit, (x) the Total Outstandings shall not exceed the Aggregate Commitments, (y) the aggregate Outstanding Amount of the Committed Loans of any Lender,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such Lender’s Applicable Percentage of the Outstanding Amount of all L/C Obligations,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such Lender’s Applicable Percentage of the Outstanding Amount of all Swing Line Loans shall not exceed such Lender’s Commitment, and (z) the Outstanding Amount of the L/C Obligations shall not exceed the Letter of Credit Sublimit. Each request by an L/C Party for the issuance or amendment of a Letter of Credit shall be deemed to be a representation by such L/C Party that the L/C Credit Extension so requested complies with the conditions set forth in the provisos to the preceding sentence. Within the foregoing limits, and subject to the terms and conditions hereof, each L/C Party’s ability to obtain Letters of Credit shall be fully revolving, and accordingly each L/C Party may, during the foregoing period, obtain Letters of Credit to replace Letters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45" w:name="page46"/>
    <w:bookmarkEnd w:id="4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51" w:lineRule="exact"/>
        <w:rPr>
          <w:sz w:val="20"/>
          <w:szCs w:val="20"/>
          <w:color w:val="auto"/>
        </w:rPr>
      </w:pPr>
    </w:p>
    <w:p>
      <w:pPr>
        <w:ind w:left="700" w:hanging="257"/>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90" w:lineRule="exact"/>
        <w:rPr>
          <w:rFonts w:ascii="Arial" w:cs="Arial" w:eastAsia="Arial" w:hAnsi="Arial"/>
          <w:sz w:val="18"/>
          <w:szCs w:val="18"/>
          <w:color w:val="auto"/>
        </w:rPr>
      </w:pPr>
    </w:p>
    <w:p>
      <w:pPr>
        <w:ind w:left="460" w:right="340" w:firstLine="421"/>
        <w:spacing w:after="0" w:line="268" w:lineRule="auto"/>
        <w:tabs>
          <w:tab w:leader="none" w:pos="11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thirty months after the date of issuance or last extension, unless the Required Lenders have approved such expiry date; or</w:t>
      </w:r>
    </w:p>
    <w:p>
      <w:pPr>
        <w:spacing w:after="0" w:line="50" w:lineRule="exact"/>
        <w:rPr>
          <w:rFonts w:ascii="Arial" w:cs="Arial" w:eastAsia="Arial" w:hAnsi="Arial"/>
          <w:sz w:val="18"/>
          <w:szCs w:val="18"/>
          <w:color w:val="auto"/>
        </w:rPr>
      </w:pPr>
    </w:p>
    <w:p>
      <w:pPr>
        <w:ind w:left="460" w:right="480" w:firstLine="421"/>
        <w:spacing w:after="0" w:line="268" w:lineRule="auto"/>
        <w:tabs>
          <w:tab w:leader="none" w:pos="115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Lenders have approved such expiry date.</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90" w:lineRule="exact"/>
        <w:rPr>
          <w:rFonts w:ascii="Arial" w:cs="Arial" w:eastAsia="Arial" w:hAnsi="Arial"/>
          <w:sz w:val="18"/>
          <w:szCs w:val="18"/>
          <w:color w:val="auto"/>
        </w:rPr>
      </w:pPr>
    </w:p>
    <w:p>
      <w:pPr>
        <w:ind w:left="460" w:firstLine="421"/>
        <w:spacing w:after="0" w:line="253" w:lineRule="auto"/>
        <w:tabs>
          <w:tab w:leader="none" w:pos="11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66" w:lineRule="exact"/>
        <w:rPr>
          <w:rFonts w:ascii="Arial" w:cs="Arial" w:eastAsia="Arial" w:hAnsi="Arial"/>
          <w:sz w:val="18"/>
          <w:szCs w:val="18"/>
          <w:color w:val="auto"/>
        </w:rPr>
      </w:pPr>
    </w:p>
    <w:p>
      <w:pPr>
        <w:ind w:left="1160" w:hanging="279"/>
        <w:spacing w:after="0"/>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the L/C Issuer applicable to letters of credit generally;</w:t>
      </w:r>
    </w:p>
    <w:p>
      <w:pPr>
        <w:spacing w:after="0" w:line="113" w:lineRule="exact"/>
        <w:rPr>
          <w:rFonts w:ascii="Arial" w:cs="Arial" w:eastAsia="Arial" w:hAnsi="Arial"/>
          <w:sz w:val="16"/>
          <w:szCs w:val="16"/>
          <w:color w:val="auto"/>
        </w:rPr>
      </w:pPr>
    </w:p>
    <w:p>
      <w:pPr>
        <w:ind w:left="460" w:right="20" w:firstLine="421"/>
        <w:spacing w:after="0" w:line="268" w:lineRule="auto"/>
        <w:tabs>
          <w:tab w:leader="none" w:pos="1158"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 Issuer, such Letter of Credit is in an initial stated amount less than the Dollar Equivalent of $1,000,000;</w:t>
      </w:r>
    </w:p>
    <w:p>
      <w:pPr>
        <w:spacing w:after="0" w:line="50" w:lineRule="exact"/>
        <w:rPr>
          <w:rFonts w:ascii="Arial" w:cs="Arial" w:eastAsia="Arial" w:hAnsi="Arial"/>
          <w:sz w:val="18"/>
          <w:szCs w:val="18"/>
          <w:color w:val="auto"/>
        </w:rPr>
      </w:pPr>
    </w:p>
    <w:p>
      <w:pPr>
        <w:ind w:left="460" w:right="80" w:firstLine="421"/>
        <w:spacing w:after="0" w:line="268" w:lineRule="auto"/>
        <w:tabs>
          <w:tab w:leader="none" w:pos="11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 Issuer, such Letter of Credit is to be denominated in a currency other than Dollars or an Alternative Currency;</w:t>
      </w:r>
    </w:p>
    <w:p>
      <w:pPr>
        <w:spacing w:after="0" w:line="50" w:lineRule="exact"/>
        <w:rPr>
          <w:rFonts w:ascii="Arial" w:cs="Arial" w:eastAsia="Arial" w:hAnsi="Arial"/>
          <w:sz w:val="18"/>
          <w:szCs w:val="18"/>
          <w:color w:val="auto"/>
        </w:rPr>
      </w:pPr>
    </w:p>
    <w:p>
      <w:pPr>
        <w:ind w:left="1140" w:hanging="259"/>
        <w:spacing w:after="0"/>
        <w:tabs>
          <w:tab w:leader="none" w:pos="1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L/C Issuer does not as of the issuance date of such requested Letter of Credit issue Letters of Credit in the requested currency; or</w:t>
      </w:r>
    </w:p>
    <w:p>
      <w:pPr>
        <w:spacing w:after="0" w:line="113" w:lineRule="exact"/>
        <w:rPr>
          <w:rFonts w:ascii="Arial" w:cs="Arial" w:eastAsia="Arial" w:hAnsi="Arial"/>
          <w:sz w:val="16"/>
          <w:szCs w:val="16"/>
          <w:color w:val="auto"/>
        </w:rPr>
      </w:pPr>
    </w:p>
    <w:p>
      <w:pPr>
        <w:ind w:left="460" w:right="40" w:firstLine="421"/>
        <w:spacing w:after="0" w:line="259" w:lineRule="auto"/>
        <w:tabs>
          <w:tab w:leader="none" w:pos="11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Lender is at that time a Defaulting Lender, unless the L/C Issuer has entered into arrangements, including the delivery of Cash Collateral, satisfactory to the L/C Issuer (in its sole discretion) with the L/C Parties or such Defaulting Lender to eliminate the L/C Issuer’s actual or potential Fronting</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700" w:top="280" w:right="279" w:bottom="1440" w:gutter="0" w:footer="0" w:header="0"/>
        </w:sectPr>
      </w:pPr>
    </w:p>
    <w:bookmarkStart w:id="46" w:name="page47"/>
    <w:bookmarkEnd w:id="46"/>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Exposure (after giving effect to </w:t>
      </w:r>
      <w:r>
        <w:rPr>
          <w:rFonts w:ascii="Arial" w:cs="Arial" w:eastAsia="Arial" w:hAnsi="Arial"/>
          <w:sz w:val="18"/>
          <w:szCs w:val="18"/>
          <w:u w:val="single" w:color="auto"/>
          <w:color w:val="auto"/>
        </w:rPr>
        <w:t>Section 2.16(a)(iv</w:t>
      </w:r>
      <w:r>
        <w:rPr>
          <w:rFonts w:ascii="Arial" w:cs="Arial" w:eastAsia="Arial" w:hAnsi="Arial"/>
          <w:sz w:val="18"/>
          <w:szCs w:val="18"/>
          <w:color w:val="auto"/>
        </w:rPr>
        <w:t>)) with respect to such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59" w:lineRule="exact"/>
        <w:rPr>
          <w:sz w:val="20"/>
          <w:szCs w:val="20"/>
          <w:color w:val="auto"/>
        </w:rPr>
      </w:pPr>
    </w:p>
    <w:p>
      <w:pPr>
        <w:ind w:left="1160" w:hanging="279"/>
        <w:spacing w:after="0"/>
        <w:tabs>
          <w:tab w:leader="none" w:pos="1160" w:val="left"/>
        </w:tabs>
        <w:numPr>
          <w:ilvl w:val="2"/>
          <w:numId w:val="38"/>
        </w:numPr>
        <w:rPr>
          <w:rFonts w:ascii="Arial" w:cs="Arial" w:eastAsia="Arial" w:hAnsi="Arial"/>
          <w:sz w:val="16"/>
          <w:szCs w:val="16"/>
          <w:color w:val="auto"/>
        </w:rPr>
      </w:pPr>
      <w:r>
        <w:rPr>
          <w:rFonts w:ascii="Arial" w:cs="Arial" w:eastAsia="Arial" w:hAnsi="Arial"/>
          <w:sz w:val="16"/>
          <w:szCs w:val="16"/>
          <w:color w:val="auto"/>
        </w:rPr>
        <w:t>such Letter of Credit contains any provisions for automatic reinstatement of the stated amount after any drawing thereunder.</w:t>
      </w:r>
    </w:p>
    <w:p>
      <w:pPr>
        <w:spacing w:after="0" w:line="113" w:lineRule="exact"/>
        <w:rPr>
          <w:rFonts w:ascii="Arial" w:cs="Arial" w:eastAsia="Arial" w:hAnsi="Arial"/>
          <w:sz w:val="16"/>
          <w:szCs w:val="16"/>
          <w:color w:val="auto"/>
        </w:rPr>
      </w:pPr>
    </w:p>
    <w:p>
      <w:pPr>
        <w:ind w:right="360" w:firstLine="443"/>
        <w:spacing w:after="0" w:line="268" w:lineRule="auto"/>
        <w:tabs>
          <w:tab w:leader="none" w:pos="7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such Letter of Credit in its amended form under the terms hereof.</w:t>
      </w:r>
    </w:p>
    <w:p>
      <w:pPr>
        <w:spacing w:after="0" w:line="50" w:lineRule="exact"/>
        <w:rPr>
          <w:rFonts w:ascii="Arial" w:cs="Arial" w:eastAsia="Arial" w:hAnsi="Arial"/>
          <w:sz w:val="18"/>
          <w:szCs w:val="18"/>
          <w:color w:val="auto"/>
        </w:rPr>
      </w:pPr>
    </w:p>
    <w:p>
      <w:pPr>
        <w:ind w:firstLine="443"/>
        <w:spacing w:after="0" w:line="259" w:lineRule="auto"/>
        <w:tabs>
          <w:tab w:leader="none" w:pos="68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59" w:lineRule="exact"/>
        <w:rPr>
          <w:rFonts w:ascii="Arial" w:cs="Arial" w:eastAsia="Arial" w:hAnsi="Arial"/>
          <w:sz w:val="18"/>
          <w:szCs w:val="18"/>
          <w:color w:val="auto"/>
        </w:rPr>
      </w:pPr>
    </w:p>
    <w:p>
      <w:pPr>
        <w:ind w:right="180" w:firstLine="443"/>
        <w:spacing w:after="0" w:line="255" w:lineRule="auto"/>
        <w:tabs>
          <w:tab w:leader="none" w:pos="7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142" w:lineRule="exact"/>
        <w:rPr>
          <w:rFonts w:ascii="Arial" w:cs="Arial" w:eastAsia="Arial" w:hAnsi="Arial"/>
          <w:sz w:val="18"/>
          <w:szCs w:val="18"/>
          <w:color w:val="auto"/>
        </w:rPr>
      </w:pPr>
    </w:p>
    <w:p>
      <w:pPr>
        <w:ind w:left="260" w:hanging="256"/>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443"/>
        <w:spacing w:after="0" w:line="301" w:lineRule="auto"/>
        <w:tabs>
          <w:tab w:leader="none" w:pos="648" w:val="left"/>
        </w:tabs>
        <w:numPr>
          <w:ilvl w:val="1"/>
          <w:numId w:val="40"/>
        </w:numPr>
        <w:rPr>
          <w:rFonts w:ascii="Arial" w:cs="Arial" w:eastAsia="Arial" w:hAnsi="Arial"/>
          <w:sz w:val="15"/>
          <w:szCs w:val="15"/>
          <w:color w:val="auto"/>
        </w:rPr>
      </w:pPr>
      <w:r>
        <w:rPr>
          <w:rFonts w:ascii="Arial" w:cs="Arial" w:eastAsia="Arial" w:hAnsi="Arial"/>
          <w:sz w:val="15"/>
          <w:szCs w:val="15"/>
          <w:color w:val="auto"/>
        </w:rPr>
        <w:t>Each Letter of Credit shall be issued or amended, as the case may be, upon the request of Toro delivered to the L/C Issuer (with a copy to the Administrative Agent) in the form of a Letter of Credit Application, appropriately completed and signed by a Responsible Officer of Toro.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(G) the applicable L/C Party for which such Letter of Credit is requested to be issued; (H) the purpose and nature of the requested Letter of Credit; and</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 such other matters as the L/C Issuer may require. In the case of a request for an amendment of any</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700" w:top="280" w:right="239" w:bottom="1440" w:gutter="0" w:footer="0" w:header="0"/>
        </w:sectPr>
      </w:pPr>
    </w:p>
    <w:bookmarkStart w:id="47" w:name="page48"/>
    <w:bookmarkEnd w:id="4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Toro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62" w:lineRule="exact"/>
        <w:rPr>
          <w:sz w:val="20"/>
          <w:szCs w:val="20"/>
          <w:color w:val="auto"/>
        </w:rPr>
      </w:pPr>
    </w:p>
    <w:p>
      <w:pPr>
        <w:ind w:firstLine="443"/>
        <w:spacing w:after="0" w:line="288" w:lineRule="auto"/>
        <w:tabs>
          <w:tab w:leader="none" w:pos="697"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L/C Issuer will confirm with the Administrative Agent (by telephone or in writing) that the Administrative Agent has received a copy of such Letter of Credit Application from Toro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then be satisfied, then, subject to the terms and conditions hereof, the L/C Issuer shall, on the requested date, issue a Letter of Credit for the account of the applicable L/C Party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Letter of Credit.</w:t>
      </w:r>
    </w:p>
    <w:p>
      <w:pPr>
        <w:spacing w:after="0" w:line="38" w:lineRule="exact"/>
        <w:rPr>
          <w:rFonts w:ascii="Arial" w:cs="Arial" w:eastAsia="Arial" w:hAnsi="Arial"/>
          <w:sz w:val="16"/>
          <w:szCs w:val="16"/>
          <w:color w:val="auto"/>
        </w:rPr>
      </w:pPr>
    </w:p>
    <w:p>
      <w:pPr>
        <w:ind w:firstLine="443"/>
        <w:spacing w:after="0" w:line="286" w:lineRule="auto"/>
        <w:tabs>
          <w:tab w:leader="none" w:pos="74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Toro so requests in any applicable Letter of Credit Application, the L/C Issuer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L/C Issuer, neither Toro nor the applicable L/C Party shall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Lender or any Loan Party that one or more of the applicable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700" w:top="28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the L/C Issuer not to permit such extension.</w:t>
      </w:r>
    </w:p>
    <w:p>
      <w:pPr>
        <w:spacing w:after="0" w:line="90" w:lineRule="exact"/>
        <w:rPr>
          <w:sz w:val="20"/>
          <w:szCs w:val="20"/>
          <w:color w:val="auto"/>
        </w:rPr>
      </w:pPr>
    </w:p>
    <w:p>
      <w:pPr>
        <w:ind w:right="280" w:firstLine="443"/>
        <w:spacing w:after="0" w:line="259" w:lineRule="auto"/>
        <w:tabs>
          <w:tab w:leader="none" w:pos="736"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applicable L/C Party and the Administrative Agent a true and complete copy of such Letter of Credit or amendment.</w:t>
      </w:r>
    </w:p>
    <w:p>
      <w:pPr>
        <w:spacing w:after="0" w:line="140" w:lineRule="exact"/>
        <w:rPr>
          <w:rFonts w:ascii="Arial" w:cs="Arial" w:eastAsia="Arial" w:hAnsi="Arial"/>
          <w:sz w:val="18"/>
          <w:szCs w:val="18"/>
          <w:color w:val="auto"/>
        </w:rPr>
      </w:pPr>
    </w:p>
    <w:p>
      <w:pPr>
        <w:ind w:left="240" w:hanging="236"/>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4" w:lineRule="auto"/>
        <w:tabs>
          <w:tab w:leader="none" w:pos="648" w:val="left"/>
        </w:tabs>
        <w:numPr>
          <w:ilvl w:val="1"/>
          <w:numId w:val="43"/>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L/C Issuer shall notify the applicable L/C Party and the Administrative Agent thereof. In the case of a Letter of Credit denominated in an Alternative Currency, such L/C Party shall reimburse the L/C Issuer in such Alternative Currency, unless (A) the L/C Issuer (at its option) shall have specified in such notice that it will require reimbursement in Dollars, or (B) in the absence of any such requirement for reimbursement in Dollars, such L/C Party shall have notified the L/C Issuer promptly following receipt of the notice of drawing that the L/C Party will reimburse the L/C Issuer in Dollars. In the case of any such reimbursement in Dollars of a drawing under a Letter of Credit denominated in an Alternative Currency, the L/C Issuer shall notify the applicable L/C Party of the Dollar Equivalent of the amount of the drawing promptly following the determination thereof. Not later than 11:00 a.m. on the date of any payment by the L/C Issuer under a Letter of Credit to be reimbursed in Dollars, or the Applicable Time on the date of any payment by the L/C Issuer under a Letter of Credit to be reimbursed in an Alternative Currency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applicable L/C Party shall reimburse the L/C Issuer through the Administrative Agent in an amount equal to the amount of such drawing and in the applicable currency. If the applicable L/C Party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Lender’s Applicable Percentage thereof. In such event, the applicable L/C Party shall be deemed to have requested a Committed Borrowing of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51" w:lineRule="exact"/>
        <w:rPr>
          <w:rFonts w:ascii="Arial" w:cs="Arial" w:eastAsia="Arial" w:hAnsi="Arial"/>
          <w:sz w:val="16"/>
          <w:szCs w:val="16"/>
          <w:color w:val="auto"/>
        </w:rPr>
      </w:pPr>
    </w:p>
    <w:p>
      <w:pPr>
        <w:ind w:right="100" w:firstLine="443"/>
        <w:spacing w:after="0" w:line="259" w:lineRule="auto"/>
        <w:tabs>
          <w:tab w:leader="none" w:pos="6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Each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(and the Administrative Agent may apply Cash Collateral provided for this purpose) for the account of the L/C Issuer, in Dollars, at the Administrative Agent’s Office for Dollar-denominated payments in an amount equal to its Applicable Percentage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80" w:right="239" w:bottom="1440" w:gutter="0" w:footer="0" w:header="0"/>
        </w:sectPr>
      </w:pPr>
    </w:p>
    <w:bookmarkStart w:id="49" w:name="page50"/>
    <w:bookmarkEnd w:id="49"/>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Unreimbursed Amount not later than 1:00 p.m. on the Business Day specified in such notice by the Administrative Agent, whereupon, subject to the provisions of </w:t>
      </w:r>
      <w:r>
        <w:rPr>
          <w:rFonts w:ascii="Arial" w:cs="Arial" w:eastAsia="Arial" w:hAnsi="Arial"/>
          <w:sz w:val="16"/>
          <w:szCs w:val="16"/>
          <w:u w:val="single" w:color="auto"/>
          <w:color w:val="auto"/>
        </w:rPr>
        <w:t>Section 2.03(c)(iii)</w:t>
      </w:r>
      <w:r>
        <w:rPr>
          <w:rFonts w:ascii="Arial" w:cs="Arial" w:eastAsia="Arial" w:hAnsi="Arial"/>
          <w:sz w:val="16"/>
          <w:szCs w:val="16"/>
          <w:color w:val="auto"/>
        </w:rPr>
        <w:t>, each Lender that so makes funds available shall be deemed to have made a Base Rate Committed Loan to the applicable L/C Party in such amount. The Administrative Agent shall remit the funds so received to the L/C Issuer in Dollars.</w:t>
      </w:r>
    </w:p>
    <w:p>
      <w:pPr>
        <w:spacing w:after="0" w:line="26" w:lineRule="exact"/>
        <w:rPr>
          <w:sz w:val="20"/>
          <w:szCs w:val="20"/>
          <w:color w:val="auto"/>
        </w:rPr>
      </w:pPr>
    </w:p>
    <w:p>
      <w:pPr>
        <w:ind w:right="20" w:firstLine="443"/>
        <w:spacing w:after="0" w:line="291" w:lineRule="auto"/>
        <w:tabs>
          <w:tab w:leader="none" w:pos="7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Committed Borrowing of Base Rate Loans because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cannot be satisfied or for any other reason, the applicable L/C Party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right="80" w:firstLine="443"/>
        <w:spacing w:after="0" w:line="332" w:lineRule="auto"/>
        <w:tabs>
          <w:tab w:leader="none" w:pos="736"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Until each Lender funds its Committed Loan or L/C Advance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to reimburse the L/C Issuer for any amount drawn under any Letter of Credit, interest in respect of such Lender’s Applicable Percentage of such amount shall be solely for the account of the L/C Issuer.</w:t>
      </w:r>
    </w:p>
    <w:p>
      <w:pPr>
        <w:spacing w:after="0" w:line="4" w:lineRule="exact"/>
        <w:rPr>
          <w:rFonts w:ascii="Arial" w:cs="Arial" w:eastAsia="Arial" w:hAnsi="Arial"/>
          <w:sz w:val="16"/>
          <w:szCs w:val="16"/>
          <w:color w:val="auto"/>
        </w:rPr>
      </w:pPr>
    </w:p>
    <w:p>
      <w:pPr>
        <w:ind w:right="40" w:firstLine="443"/>
        <w:spacing w:after="0" w:line="289" w:lineRule="auto"/>
        <w:tabs>
          <w:tab w:leader="none" w:pos="687"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Each Lender’s obligation to make Committed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L/C Issuer, either L/C Party, any Subsidiary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Committed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an L/C Party of a Committed Loan Notice). No such making of an L/C Advance shall relieve or otherwise impair the obligation of the applicable L/C Party to reimburse the L/C Issuer for the amount of any payment made by the L/C Issuer under any Letter of Credit, together with interest as provided herein.</w:t>
      </w:r>
    </w:p>
    <w:p>
      <w:pPr>
        <w:spacing w:after="0" w:line="37" w:lineRule="exact"/>
        <w:rPr>
          <w:rFonts w:ascii="Arial" w:cs="Arial" w:eastAsia="Arial" w:hAnsi="Arial"/>
          <w:sz w:val="16"/>
          <w:szCs w:val="16"/>
          <w:color w:val="auto"/>
        </w:rPr>
      </w:pPr>
    </w:p>
    <w:p>
      <w:pPr>
        <w:ind w:firstLine="443"/>
        <w:spacing w:after="0" w:line="253" w:lineRule="auto"/>
        <w:tabs>
          <w:tab w:leader="none" w:pos="7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Committed Loan</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80" w:right="239" w:bottom="1440" w:gutter="0" w:footer="0" w:header="0"/>
        </w:sectPr>
      </w:pPr>
    </w:p>
    <w:bookmarkStart w:id="50" w:name="page51"/>
    <w:bookmarkEnd w:id="50"/>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included in the relevant Committed Borrowing or L/C Advance in respect of the relevant L/C Borrowing, as the case may be. A certificate of the L/C Issuer submitted to any Lender (through the Administrative Agent) with respect to any amounts owing under this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shall be conclusive absent manifest error.</w:t>
      </w:r>
    </w:p>
    <w:p>
      <w:pPr>
        <w:spacing w:after="0" w:line="140" w:lineRule="exact"/>
        <w:rPr>
          <w:sz w:val="20"/>
          <w:szCs w:val="20"/>
          <w:color w:val="auto"/>
        </w:rPr>
      </w:pPr>
    </w:p>
    <w:p>
      <w:pPr>
        <w:ind w:left="700" w:hanging="25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right="100" w:firstLine="443"/>
        <w:spacing w:after="0" w:line="294" w:lineRule="auto"/>
        <w:tabs>
          <w:tab w:leader="none" w:pos="1088"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6"/>
          <w:szCs w:val="16"/>
          <w:u w:val="single" w:color="auto"/>
          <w:color w:val="auto"/>
        </w:rPr>
        <w:t>Section 2.03(c)</w:t>
      </w:r>
      <w:r>
        <w:rPr>
          <w:rFonts w:ascii="Arial" w:cs="Arial" w:eastAsia="Arial" w:hAnsi="Arial"/>
          <w:sz w:val="16"/>
          <w:szCs w:val="16"/>
          <w:color w:val="auto"/>
        </w:rPr>
        <w:t>, if the Administrative Agent receives for the account of the L/C Issuer any payment in respect of the related Unreimbursed Amount or interest thereon (whether directly from the applicable L/C Party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34" w:lineRule="exact"/>
        <w:rPr>
          <w:rFonts w:ascii="Arial" w:cs="Arial" w:eastAsia="Arial" w:hAnsi="Arial"/>
          <w:sz w:val="16"/>
          <w:szCs w:val="16"/>
          <w:color w:val="auto"/>
        </w:rPr>
      </w:pPr>
    </w:p>
    <w:p>
      <w:pPr>
        <w:ind w:left="440" w:right="200" w:firstLine="443"/>
        <w:spacing w:after="0" w:line="254" w:lineRule="auto"/>
        <w:tabs>
          <w:tab w:leader="none" w:pos="11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44" w:lineRule="exact"/>
        <w:rPr>
          <w:rFonts w:ascii="Arial" w:cs="Arial" w:eastAsia="Arial" w:hAnsi="Arial"/>
          <w:sz w:val="18"/>
          <w:szCs w:val="18"/>
          <w:color w:val="auto"/>
        </w:rPr>
      </w:pPr>
    </w:p>
    <w:p>
      <w:pPr>
        <w:ind w:left="-20" w:right="140" w:firstLine="464"/>
        <w:spacing w:after="0" w:line="259" w:lineRule="auto"/>
        <w:tabs>
          <w:tab w:leader="none" w:pos="67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each L/C Party to reimburse the L/C Issuer for each drawing under each Letter of Credit issued for its account and to repay each related L/C Borrowing shall be absolute, unconditional and irrevocable, and shall be paid strictly in accordance with the terms of this Agreement under all circumstances, including the following:</w:t>
      </w:r>
    </w:p>
    <w:p>
      <w:pPr>
        <w:spacing w:after="0" w:line="59" w:lineRule="exact"/>
        <w:rPr>
          <w:rFonts w:ascii="Arial" w:cs="Arial" w:eastAsia="Arial" w:hAnsi="Arial"/>
          <w:sz w:val="18"/>
          <w:szCs w:val="18"/>
          <w:color w:val="auto"/>
        </w:rPr>
      </w:pPr>
    </w:p>
    <w:p>
      <w:pPr>
        <w:ind w:left="1100" w:hanging="217"/>
        <w:spacing w:after="0"/>
        <w:tabs>
          <w:tab w:leader="none" w:pos="11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90" w:lineRule="exact"/>
        <w:rPr>
          <w:rFonts w:ascii="Arial" w:cs="Arial" w:eastAsia="Arial" w:hAnsi="Arial"/>
          <w:sz w:val="18"/>
          <w:szCs w:val="18"/>
          <w:color w:val="auto"/>
        </w:rPr>
      </w:pPr>
    </w:p>
    <w:p>
      <w:pPr>
        <w:ind w:left="440" w:firstLine="443"/>
        <w:spacing w:after="0" w:line="256" w:lineRule="auto"/>
        <w:tabs>
          <w:tab w:leader="none" w:pos="11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any L/C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62" w:lineRule="exact"/>
        <w:rPr>
          <w:rFonts w:ascii="Arial" w:cs="Arial" w:eastAsia="Arial" w:hAnsi="Arial"/>
          <w:sz w:val="18"/>
          <w:szCs w:val="18"/>
          <w:color w:val="auto"/>
        </w:rPr>
      </w:pPr>
    </w:p>
    <w:p>
      <w:pPr>
        <w:ind w:left="440" w:right="80" w:firstLine="443"/>
        <w:spacing w:after="0" w:line="259" w:lineRule="auto"/>
        <w:tabs>
          <w:tab w:leader="none" w:pos="118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60" w:top="280" w:right="239" w:bottom="1440" w:gutter="0" w:footer="0" w:header="0"/>
        </w:sectPr>
      </w:pPr>
    </w:p>
    <w:bookmarkStart w:id="51" w:name="page52"/>
    <w:bookmarkEnd w:id="51"/>
    <w:p>
      <w:pPr>
        <w:ind w:left="460" w:right="60" w:firstLine="443"/>
        <w:spacing w:after="0" w:line="298" w:lineRule="auto"/>
        <w:tabs>
          <w:tab w:leader="none" w:pos="1196"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31"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applicable L/C Party or any Subsidiary or in the relevant currency markets generally; or</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L/C Parties or any Subsidiary.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applicable L/C Party shall promptly examine a copy of each Letter of Credit and each amendment thereto that is delivered to it and, in the event of any claim of noncompliance with Toro’s instructions or other irregularity, the applicable L/C Party will immediately notify the L/C Issuer. The applicable L/C Party shall be conclusively deemed to have waived any such claim against the L/C Issuer and its correspondents unless such notice is given as aforesaid.</w:t>
      </w:r>
    </w:p>
    <w:p>
      <w:pPr>
        <w:spacing w:after="0" w:line="107" w:lineRule="exact"/>
        <w:rPr>
          <w:sz w:val="20"/>
          <w:szCs w:val="20"/>
          <w:color w:val="auto"/>
        </w:rPr>
      </w:pPr>
    </w:p>
    <w:p>
      <w:pPr>
        <w:ind w:right="140" w:firstLine="464"/>
        <w:spacing w:after="0" w:line="283" w:lineRule="auto"/>
        <w:tabs>
          <w:tab w:leader="none" w:pos="676"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Each Lender and each L/C Party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w:t>
      </w:r>
    </w:p>
    <w:p>
      <w:pPr>
        <w:spacing w:after="0" w:line="2" w:lineRule="exact"/>
        <w:rPr>
          <w:rFonts w:ascii="Arial" w:cs="Arial" w:eastAsia="Arial" w:hAnsi="Arial"/>
          <w:sz w:val="16"/>
          <w:szCs w:val="16"/>
          <w:color w:val="auto"/>
        </w:rPr>
      </w:pPr>
    </w:p>
    <w:p>
      <w:pPr>
        <w:ind w:firstLine="8"/>
        <w:spacing w:after="0" w:line="286" w:lineRule="auto"/>
        <w:tabs>
          <w:tab w:leader="none" w:pos="21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Each L/C Party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applicable L/C Party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applicable L/C Party may have a claim against the L/C Issuer, and the L/C Issuer may be liable to the applicable L/C Party, to the extent, but only to the extent, of any direct, as opposed to consequential or exemplary, damages suffered by the applicable L/C Party which such L/C Party proves were caused by the L/C Issuer’s willful misconduct or gross negligence or the L/C Issuer’s willful failure to pay under any Letter of Credit issued for the account of such L/C Party after the presentation to it by the beneficiary of a sight draft and certificate(s) strictly complying with the terms and conditions of a Letter of Credit.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52" w:name="page53"/>
    <w:bookmarkEnd w:id="52"/>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43" w:lineRule="exact"/>
        <w:rPr>
          <w:sz w:val="20"/>
          <w:szCs w:val="20"/>
          <w:color w:val="auto"/>
        </w:rPr>
      </w:pPr>
    </w:p>
    <w:p>
      <w:pPr>
        <w:ind w:right="520" w:firstLine="464"/>
        <w:spacing w:after="0" w:line="332"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Applicability of ISP</w:t>
      </w:r>
      <w:r>
        <w:rPr>
          <w:rFonts w:ascii="Arial" w:cs="Arial" w:eastAsia="Arial" w:hAnsi="Arial"/>
          <w:sz w:val="16"/>
          <w:szCs w:val="16"/>
          <w:color w:val="auto"/>
        </w:rPr>
        <w:t>. Unless otherwise expressly agreed by the L/C Issuer and Toro or the applicable L/C Party when a Letter of Credit is issued (including any such agreement applicable to an Existing Letter of Credit), the rules of the ISP shall apply to each standby Letter of Credit.</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L/C Parties shall pay to the Administrative Agent for the account of each Lender in accordance with its Applicable</w:t>
      </w:r>
    </w:p>
    <w:p>
      <w:pPr>
        <w:spacing w:after="0" w:line="38"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Percentage, in Dollars,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Dollar Equivalent of the daily amount available to be drawn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any Letter of Credit Fees otherwise payable for the account of a Defaulting Lender with respect to any Letter of Credit as to which such Defaulting Lender has not provided Cash Collateral satisfactory to the L/C Issuer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payable, to the maximum extent permitted by applicable Law, to the other Lenders in accordance with the upward adjustments in their respective Applicable Percentages allocable to such Letter of Credit pursuant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exists, all Letter of Credit Fees shall accrue at the Default Rate.</w:t>
      </w:r>
    </w:p>
    <w:p>
      <w:pPr>
        <w:spacing w:after="0" w:line="126" w:lineRule="exact"/>
        <w:rPr>
          <w:rFonts w:ascii="Arial" w:cs="Arial" w:eastAsia="Arial" w:hAnsi="Arial"/>
          <w:sz w:val="16"/>
          <w:szCs w:val="16"/>
          <w:color w:val="auto"/>
        </w:rPr>
      </w:pPr>
    </w:p>
    <w:p>
      <w:pPr>
        <w:ind w:firstLine="464"/>
        <w:spacing w:after="0" w:line="289" w:lineRule="auto"/>
        <w:tabs>
          <w:tab w:leader="none" w:pos="66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xml:space="preserve">. The L/C Parties shall pay directly to the L/C Issuer for its own account, in Dollars, a fronting fee with respect to each Letter of Credit, at the rate per annum specified in the BofA Fee Letter, computed on the Dollar Equivalent of the daily amount available to be drawn under such Letter of Credit on a quarterly basis in arrears. Such fronting fee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 In addition, the L/C Parties shall pay directly to the L/C Issuer for its own account, in Dollars, the customary issuance, presentation, amendment and other processing fees, and other standard costs and charges, of the L/C Issuer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53" w:name="page54"/>
    <w:bookmarkEnd w:id="53"/>
    <w:p>
      <w:pPr>
        <w:ind w:right="8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letters of credit as from time to time in effect. Such customary fees and standard costs and charges are due and payable on demand and are nonrefundable.</w:t>
      </w:r>
    </w:p>
    <w:p>
      <w:pPr>
        <w:spacing w:after="0" w:line="132" w:lineRule="exact"/>
        <w:rPr>
          <w:sz w:val="20"/>
          <w:szCs w:val="20"/>
          <w:color w:val="auto"/>
        </w:rPr>
      </w:pPr>
    </w:p>
    <w:p>
      <w:pPr>
        <w:ind w:left="680" w:hanging="216"/>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 shall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2.04 Swing Line Loans.</w:t>
      </w:r>
    </w:p>
    <w:p>
      <w:pPr>
        <w:spacing w:after="0" w:line="177" w:lineRule="exact"/>
        <w:rPr>
          <w:sz w:val="20"/>
          <w:szCs w:val="20"/>
          <w:color w:val="auto"/>
        </w:rPr>
      </w:pPr>
    </w:p>
    <w:p>
      <w:pPr>
        <w:ind w:firstLine="464"/>
        <w:spacing w:after="0" w:line="286"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may in its sole discretion, make loans in Dollars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Toro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Total Outstandings shall not exceed the Aggregate Commitments, and (ii) the aggregate Outstanding Amount of the Committed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Swing Line Loans shall not exceed such Lender’s Commitment. Within the foregoing limits, and subject to the other terms and conditions hereof, Toro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Swing Line Loan shall bear interest at (x)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for Base Rate Loans or (y) such other rate quoted to Toro by the Swing Line Lender on the date any Swing Line Loan shall be requested.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120" w:lineRule="exact"/>
        <w:rPr>
          <w:rFonts w:ascii="Arial" w:cs="Arial" w:eastAsia="Arial" w:hAnsi="Arial"/>
          <w:sz w:val="16"/>
          <w:szCs w:val="16"/>
          <w:color w:val="auto"/>
        </w:rPr>
      </w:pPr>
    </w:p>
    <w:p>
      <w:pPr>
        <w:ind w:right="120" w:firstLine="464"/>
        <w:spacing w:after="0" w:line="286" w:lineRule="auto"/>
        <w:tabs>
          <w:tab w:leader="none" w:pos="70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the irrevocable notice by Toro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$500,000,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Toro.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280" w:right="31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then satisfied, then, subject to the terms and conditions hereof, the Swing Line Lender will, not later than 3:00 p.m. on the borrowing date specified in such Swing Line Loan Notice, make the amount of its Swing Line Loan available to Toro at its office by crediting the account of Toro on the books of the Swing Line Lender in Same Day Funds.</w:t>
      </w:r>
    </w:p>
    <w:p>
      <w:pPr>
        <w:spacing w:after="0" w:line="140" w:lineRule="exact"/>
        <w:rPr>
          <w:sz w:val="20"/>
          <w:szCs w:val="20"/>
          <w:color w:val="auto"/>
        </w:rPr>
      </w:pPr>
    </w:p>
    <w:p>
      <w:pPr>
        <w:ind w:left="700" w:hanging="23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43"/>
        <w:spacing w:after="0" w:line="286" w:lineRule="auto"/>
        <w:tabs>
          <w:tab w:leader="none" w:pos="1108"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and absolute discretion may request, on behalf of Toro (which hereby irrevocably authorizes the Swing Line Lender to so request on its behalf), that each Lender make a Base Rate Committed Loan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Toro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Base Rate Committed Loan to Toro in such amount. The Administrative Agent shall remit the funds so received to the Swing Line Lender.</w:t>
      </w:r>
    </w:p>
    <w:p>
      <w:pPr>
        <w:spacing w:after="0" w:line="43" w:lineRule="exact"/>
        <w:rPr>
          <w:rFonts w:ascii="Arial" w:cs="Arial" w:eastAsia="Arial" w:hAnsi="Arial"/>
          <w:sz w:val="16"/>
          <w:szCs w:val="16"/>
          <w:color w:val="auto"/>
        </w:rPr>
      </w:pPr>
    </w:p>
    <w:p>
      <w:pPr>
        <w:ind w:left="460" w:right="160" w:firstLine="443"/>
        <w:spacing w:after="0" w:line="298" w:lineRule="auto"/>
        <w:tabs>
          <w:tab w:leader="none" w:pos="1157"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Committed Borrowing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Base Rate Committed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31" w:lineRule="exact"/>
        <w:rPr>
          <w:rFonts w:ascii="Arial" w:cs="Arial" w:eastAsia="Arial" w:hAnsi="Arial"/>
          <w:sz w:val="16"/>
          <w:szCs w:val="16"/>
          <w:color w:val="auto"/>
        </w:rPr>
      </w:pPr>
    </w:p>
    <w:p>
      <w:pPr>
        <w:ind w:left="460" w:right="40" w:firstLine="443"/>
        <w:spacing w:after="0" w:line="253" w:lineRule="auto"/>
        <w:tabs>
          <w:tab w:leader="none" w:pos="12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2.04(c)(i)</w:t>
      </w:r>
      <w:r>
        <w:rPr>
          <w:rFonts w:ascii="Arial" w:cs="Arial" w:eastAsia="Arial" w:hAnsi="Arial"/>
          <w:sz w:val="18"/>
          <w:szCs w:val="18"/>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Committed Loan included in the relevant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55" w:name="page56"/>
    <w:bookmarkEnd w:id="55"/>
    <w:p>
      <w:pPr>
        <w:ind w:left="460"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Committed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shall be conclusive absent manifest error.</w:t>
      </w:r>
    </w:p>
    <w:p>
      <w:pPr>
        <w:spacing w:after="0" w:line="4" w:lineRule="exact"/>
        <w:rPr>
          <w:sz w:val="20"/>
          <w:szCs w:val="20"/>
          <w:color w:val="auto"/>
        </w:rPr>
      </w:pPr>
    </w:p>
    <w:p>
      <w:pPr>
        <w:ind w:left="460" w:right="20" w:firstLine="443"/>
        <w:spacing w:after="0" w:line="291" w:lineRule="auto"/>
        <w:tabs>
          <w:tab w:leader="none" w:pos="1196"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Each Lender’s obligation to make Committed Loans or to purchase and fund risk participations in Swing Line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Swing Line Lender, Toro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Committed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No such funding of risk participations shall relieve or otherwise impair the obligation of Toro to repay Swing Line Loans, together with interest as provided herein.</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1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59" w:lineRule="exact"/>
        <w:rPr>
          <w:rFonts w:ascii="Arial" w:cs="Arial" w:eastAsia="Arial" w:hAnsi="Arial"/>
          <w:sz w:val="18"/>
          <w:szCs w:val="18"/>
          <w:color w:val="auto"/>
        </w:rPr>
      </w:pPr>
    </w:p>
    <w:p>
      <w:pPr>
        <w:ind w:left="460" w:firstLine="443"/>
        <w:spacing w:after="0" w:line="291" w:lineRule="auto"/>
        <w:tabs>
          <w:tab w:leader="none" w:pos="1157"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20" w:lineRule="exact"/>
        <w:rPr>
          <w:rFonts w:ascii="Arial" w:cs="Arial" w:eastAsia="Arial" w:hAnsi="Arial"/>
          <w:sz w:val="16"/>
          <w:szCs w:val="16"/>
          <w:color w:val="auto"/>
        </w:rPr>
      </w:pPr>
    </w:p>
    <w:p>
      <w:pPr>
        <w:ind w:right="120" w:firstLine="464"/>
        <w:spacing w:after="0" w:line="306"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Interest for Account of Swing Line Lender</w:t>
      </w:r>
      <w:r>
        <w:rPr>
          <w:rFonts w:ascii="Arial" w:cs="Arial" w:eastAsia="Arial" w:hAnsi="Arial"/>
          <w:sz w:val="16"/>
          <w:szCs w:val="16"/>
          <w:color w:val="auto"/>
        </w:rPr>
        <w:t xml:space="preserve">. The Swing Line Lender shall be responsible for invoicing Toro for interest on the Swing Line Loans. Until each Lender funds its Base Rate Committed Loan or risk participation pursuant to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to refinance such Lender’s Applicable Percentage of any Swing Line Loan, interest in respect of such Applicable Percentage shall be solely for the account of the Swing Line Lender.</w:t>
      </w:r>
    </w:p>
    <w:p>
      <w:pPr>
        <w:spacing w:after="0" w:line="106" w:lineRule="exact"/>
        <w:rPr>
          <w:rFonts w:ascii="Arial" w:cs="Arial" w:eastAsia="Arial" w:hAnsi="Arial"/>
          <w:sz w:val="16"/>
          <w:szCs w:val="16"/>
          <w:color w:val="auto"/>
        </w:rPr>
      </w:pPr>
    </w:p>
    <w:p>
      <w:pPr>
        <w:ind w:right="460" w:firstLine="464"/>
        <w:spacing w:after="0" w:line="268" w:lineRule="auto"/>
        <w:tabs>
          <w:tab w:leader="none" w:pos="67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Toro shall make all payments of principal and interest in respect of the Swing Line Loans directly to the Swing Line Lender.</w:t>
      </w:r>
    </w:p>
    <w:p>
      <w:pPr>
        <w:spacing w:after="0" w:line="126"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 xml:space="preserve">2.05 Prepayments. </w:t>
      </w:r>
      <w:r>
        <w:rPr>
          <w:rFonts w:ascii="Arial" w:cs="Arial" w:eastAsia="Arial" w:hAnsi="Arial"/>
          <w:sz w:val="18"/>
          <w:szCs w:val="18"/>
          <w:color w:val="auto"/>
        </w:rPr>
        <w:t>(a) Each Borrower may, upon notice from Toro to the Administrative Agent, at any time or from time to time voluntarily prepay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Committed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not later than 11:00 a.m. (A) three Business Days prior to any date of prepayment of Eurocurrency Rate Loans denominated in Dollars,</w:t>
      </w:r>
    </w:p>
    <w:p>
      <w:pPr>
        <w:spacing w:after="0" w:line="38" w:lineRule="exact"/>
        <w:rPr>
          <w:sz w:val="20"/>
          <w:szCs w:val="20"/>
          <w:color w:val="auto"/>
        </w:rPr>
      </w:pPr>
    </w:p>
    <w:p>
      <w:pPr>
        <w:ind w:right="20" w:firstLine="8"/>
        <w:spacing w:after="0" w:line="285" w:lineRule="auto"/>
        <w:tabs>
          <w:tab w:leader="none" w:pos="278"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four Business Days (or five, in the case of prepayment of Loans denominated in Special Notice Currencies) prior to any date of prepayment of Eurocurrency Rate Loans denominated in Alternative Currencies, and (C) on the date of prepayment of Base Rate Committed Loans; (ii) any prepayment of Eurocurrency Rate Loans denominated in Dollars shall be in a principal amount of $5,000,000 or a whole multiple of $1,000,000 in excess thereof; (iii) any prepayment of Eurocurrency Rate Loans denominated in Alternative Currencies shall be in a minimum principal Dollar Equivalent amount of $5,000,000 or a whole multiple of $1,000,000 in excess thereof; and (iv) any prepayment of Base Rate Committed Loans shall be in a principal amount of $500,000 or a whole multiple of $100,000 in excess thereof or, in each case, if less, the entire principal amount thereof then outstanding. Each such notice shall specify the date and amount of such prepayment and the Type(s) of Committed Loans to be prepaid and, if Eurocurrency Rate Loans are to be prepaid, the Interest Period(s) of such Loans. The Administrative Agent will promptly notify each Lender of its receipt of each such notice, and of the amount of such Lender’s Applicable Percentage of such prepayment. Once such notice is given by Toro, the applicable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each such prepayment shall be applied to the Committed Loans of the Lenders in accordance with their respective Applicable Percentages.</w:t>
      </w:r>
    </w:p>
    <w:p>
      <w:pPr>
        <w:spacing w:after="0" w:line="126" w:lineRule="exact"/>
        <w:rPr>
          <w:rFonts w:ascii="Arial" w:cs="Arial" w:eastAsia="Arial" w:hAnsi="Arial"/>
          <w:sz w:val="16"/>
          <w:szCs w:val="16"/>
          <w:color w:val="auto"/>
        </w:rPr>
      </w:pPr>
    </w:p>
    <w:p>
      <w:pPr>
        <w:ind w:firstLine="464"/>
        <w:spacing w:after="0" w:line="294" w:lineRule="auto"/>
        <w:tabs>
          <w:tab w:leader="none" w:pos="705"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Toro may, upon notice to the Swing Line Lender (with a copy to the Administrative Agent), at any time or from time to time, voluntarily prepay Swing Line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Swing Line Lender and the Administrative Agent not later than 1:00 p.m. on the date of the prepayment, and (ii) any such prepayment shall be in a minimum principal amount of $100,000. Each such notice shall specify the date and amount of such prepayment. Once such notice is given by Toro, Toro shall make such prepayment and the payment amount specified in such notice shall be due and payable on the date specified therein.</w:t>
      </w:r>
    </w:p>
    <w:p>
      <w:pPr>
        <w:spacing w:after="0" w:line="115" w:lineRule="exact"/>
        <w:rPr>
          <w:rFonts w:ascii="Arial" w:cs="Arial" w:eastAsia="Arial" w:hAnsi="Arial"/>
          <w:sz w:val="16"/>
          <w:szCs w:val="16"/>
          <w:color w:val="auto"/>
        </w:rPr>
      </w:pPr>
    </w:p>
    <w:p>
      <w:pPr>
        <w:ind w:firstLine="464"/>
        <w:spacing w:after="0" w:line="290" w:lineRule="auto"/>
        <w:tabs>
          <w:tab w:leader="none" w:pos="695"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If the Administrative Agent notifies Toro at any time that the Total Outstandings at such time exceed an amount equal to the Aggregate Commitments then in effect, then, within two Business Days after receipt of such notice, the Borrowers shall prepay Loans and/or Toro shall Cash Collateralize the L/C Obligations in an aggregate amount sufficient to reduce such Outstanding Amount as of such date of payment to an amount not to exceed the Aggregate Commitments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the provisions of </w:t>
      </w:r>
      <w:r>
        <w:rPr>
          <w:rFonts w:ascii="Arial" w:cs="Arial" w:eastAsia="Arial" w:hAnsi="Arial"/>
          <w:sz w:val="16"/>
          <w:szCs w:val="16"/>
          <w:u w:val="single" w:color="auto"/>
          <w:color w:val="auto"/>
        </w:rPr>
        <w:t>Section 2.15(a)(ii)</w:t>
      </w:r>
      <w:r>
        <w:rPr>
          <w:rFonts w:ascii="Arial" w:cs="Arial" w:eastAsia="Arial" w:hAnsi="Arial"/>
          <w:sz w:val="16"/>
          <w:szCs w:val="16"/>
          <w:color w:val="auto"/>
        </w:rPr>
        <w:t xml:space="preserve">, Toro shall not be required to Cash Collateralize the L/C Obligations pursuant to this </w:t>
      </w:r>
      <w:r>
        <w:rPr>
          <w:rFonts w:ascii="Arial" w:cs="Arial" w:eastAsia="Arial" w:hAnsi="Arial"/>
          <w:sz w:val="16"/>
          <w:szCs w:val="16"/>
          <w:u w:val="single" w:color="auto"/>
          <w:color w:val="auto"/>
        </w:rPr>
        <w:t>Section 2.05(c)</w:t>
      </w:r>
      <w:r>
        <w:rPr>
          <w:rFonts w:ascii="Arial" w:cs="Arial" w:eastAsia="Arial" w:hAnsi="Arial"/>
          <w:sz w:val="16"/>
          <w:szCs w:val="16"/>
          <w:color w:val="auto"/>
        </w:rPr>
        <w:t xml:space="preserve"> unless after the prepayment in full of the Loans the Total Outstandings exceed the Aggregate Commitments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112" w:lineRule="exact"/>
        <w:rPr>
          <w:sz w:val="20"/>
          <w:szCs w:val="20"/>
          <w:color w:val="auto"/>
        </w:rPr>
      </w:pPr>
    </w:p>
    <w:p>
      <w:pPr>
        <w:ind w:right="580" w:firstLine="456"/>
        <w:spacing w:after="0" w:line="339" w:lineRule="auto"/>
        <w:rPr>
          <w:sz w:val="20"/>
          <w:szCs w:val="20"/>
          <w:color w:val="auto"/>
        </w:rPr>
      </w:pPr>
      <w:r>
        <w:rPr>
          <w:rFonts w:ascii="Arial" w:cs="Arial" w:eastAsia="Arial" w:hAnsi="Arial"/>
          <w:sz w:val="16"/>
          <w:szCs w:val="16"/>
          <w:b w:val="1"/>
          <w:bCs w:val="1"/>
          <w:color w:val="auto"/>
        </w:rPr>
        <w:t xml:space="preserve">2.06 Termination or Reduction of Commitments. </w:t>
      </w:r>
      <w:r>
        <w:rPr>
          <w:rFonts w:ascii="Arial" w:cs="Arial" w:eastAsia="Arial" w:hAnsi="Arial"/>
          <w:sz w:val="16"/>
          <w:szCs w:val="16"/>
          <w:color w:val="auto"/>
        </w:rPr>
        <w:t>The Borrowers may, upon notice by Toro to the Administrative Agent, terminate the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Commitments, or from time to time permanently reduce the Aggregate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57" w:name="page58"/>
    <w:bookmarkEnd w:id="57"/>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received by the Administrative Agent not later than 11:00 a.m. five Business Days prior to the date of termination or reduction, (ii) any such partial reduction shall be in an aggregate amount of $10,000,000 or any whole multiple of $1,000,000 in excess thereof, (iii) the Borrowers shall not terminate or reduce the Aggregate Commitments if, after giving effect thereto and to any concurrent prepayments hereunder, the Total Outstandings would exceed the Aggregate Commitments, and (iv) if, after giving effect to any reduction of the Aggregate Commitments, the Letter of Credit Sublimit or the Swing Line Sublimit exceeds the amount of the Aggregate Commitments, such Sublimit shall be automatically reduced by the amount of such excess. The Administrative Agent will promptly notify the Lenders of any such notice of termination or reduction of the Aggregate Commitments. The amount of any such Aggregate Commitment reduction shall not be applied to the Letter of Credit Sublimit unless otherwise specified by Toro.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1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2.07 Repayment of Loans. </w:t>
      </w:r>
      <w:r>
        <w:rPr>
          <w:rFonts w:ascii="Arial" w:cs="Arial" w:eastAsia="Arial" w:hAnsi="Arial"/>
          <w:sz w:val="18"/>
          <w:szCs w:val="18"/>
          <w:color w:val="auto"/>
        </w:rPr>
        <w:t>(a) Each Borrower shall repay to the Lenders on the Maturity Date the aggregate principal amount of Committed Loans made</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Borrower outstanding on such date.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Toro shall repay each Swing Line Loan on the earlier to occur of (i) the Maturity Date and (ii) the date of demand by the Swing Line Lender.</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2.08 Interest. </w:t>
      </w:r>
      <w:r>
        <w:rPr>
          <w:rFonts w:ascii="Arial" w:cs="Arial" w:eastAsia="Arial" w:hAnsi="Arial"/>
          <w:sz w:val="16"/>
          <w:szCs w:val="16"/>
          <w:color w:val="auto"/>
        </w:rPr>
        <w:t>(a) Subject to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 (b)</w:t>
      </w:r>
      <w:r>
        <w:rPr>
          <w:rFonts w:ascii="Arial" w:cs="Arial" w:eastAsia="Arial" w:hAnsi="Arial"/>
          <w:sz w:val="16"/>
          <w:szCs w:val="16"/>
          <w:b w:val="1"/>
          <w:bCs w:val="1"/>
          <w:color w:val="auto"/>
        </w:rPr>
        <w:t xml:space="preserve"> </w:t>
      </w:r>
      <w:r>
        <w:rPr>
          <w:rFonts w:ascii="Arial" w:cs="Arial" w:eastAsia="Arial" w:hAnsi="Arial"/>
          <w:sz w:val="16"/>
          <w:szCs w:val="16"/>
          <w:color w:val="auto"/>
        </w:rPr>
        <w:t>below, (i) each Eurocurrency Rate Loan shall bear interest on the outstanding principal amount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thereof for each Interest Period at a rate per annum equal to the Eurocurrency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 the case of a Eurocurrency Rate Loan of any Lender which is lent from a Lending Office in the United Kingdom or a Participating Member State) the Mandatory Cost;</w:t>
      </w:r>
    </w:p>
    <w:p>
      <w:pPr>
        <w:spacing w:after="0" w:line="1" w:lineRule="exact"/>
        <w:rPr>
          <w:sz w:val="20"/>
          <w:szCs w:val="20"/>
          <w:color w:val="auto"/>
        </w:rPr>
      </w:pPr>
    </w:p>
    <w:p>
      <w:pPr>
        <w:ind w:right="80" w:firstLine="8"/>
        <w:spacing w:after="0" w:line="254" w:lineRule="auto"/>
        <w:tabs>
          <w:tab w:leader="none" w:pos="2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each Base Rate Committed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and (iii) each Swing Line Loan shall bear interest on the outstanding principal amount thereof from the applicable borrowing date at a rate per annum equal to (x)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Base Rate Loans or (y) the rate quoted to Toro by the Swing Line Lender on the date any Swing Line Loan shall be requested.</w:t>
      </w:r>
    </w:p>
    <w:p>
      <w:pPr>
        <w:spacing w:after="0" w:line="143" w:lineRule="exact"/>
        <w:rPr>
          <w:rFonts w:ascii="Arial" w:cs="Arial" w:eastAsia="Arial" w:hAnsi="Arial"/>
          <w:sz w:val="18"/>
          <w:szCs w:val="18"/>
          <w:color w:val="auto"/>
        </w:rPr>
      </w:pPr>
    </w:p>
    <w:p>
      <w:pPr>
        <w:ind w:right="360" w:firstLine="464"/>
        <w:spacing w:after="0" w:line="259" w:lineRule="auto"/>
        <w:tabs>
          <w:tab w:leader="none" w:pos="705" w:val="left"/>
        </w:tabs>
        <w:numPr>
          <w:ilvl w:val="1"/>
          <w:numId w:val="56"/>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59" w:lineRule="exact"/>
        <w:rPr>
          <w:rFonts w:ascii="Arial" w:cs="Arial" w:eastAsia="Arial" w:hAnsi="Arial"/>
          <w:sz w:val="18"/>
          <w:szCs w:val="18"/>
          <w:color w:val="auto"/>
        </w:rPr>
      </w:pPr>
    </w:p>
    <w:p>
      <w:pPr>
        <w:ind w:left="460" w:right="200" w:firstLine="443"/>
        <w:spacing w:after="0" w:line="335" w:lineRule="auto"/>
        <w:tabs>
          <w:tab w:leader="none" w:pos="1157" w:val="left"/>
        </w:tabs>
        <w:numPr>
          <w:ilvl w:val="2"/>
          <w:numId w:val="56"/>
        </w:numPr>
        <w:rPr>
          <w:rFonts w:ascii="Arial" w:cs="Arial" w:eastAsia="Arial" w:hAnsi="Arial"/>
          <w:sz w:val="15"/>
          <w:szCs w:val="15"/>
          <w:color w:val="auto"/>
        </w:rPr>
      </w:pPr>
      <w:r>
        <w:rPr>
          <w:rFonts w:ascii="Arial" w:cs="Arial" w:eastAsia="Arial" w:hAnsi="Arial"/>
          <w:sz w:val="15"/>
          <w:szCs w:val="15"/>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8" w:name="page59"/>
    <w:bookmarkEnd w:id="58"/>
    <w:p>
      <w:pPr>
        <w:ind w:left="460" w:right="60" w:firstLine="443"/>
        <w:spacing w:after="0" w:line="259" w:lineRule="auto"/>
        <w:tabs>
          <w:tab w:leader="none" w:pos="1205" w:val="left"/>
        </w:tabs>
        <w:numPr>
          <w:ilvl w:val="1"/>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194" w:lineRule="exact"/>
        <w:rPr>
          <w:rFonts w:ascii="Arial" w:cs="Arial" w:eastAsia="Arial" w:hAnsi="Arial"/>
          <w:sz w:val="16"/>
          <w:szCs w:val="16"/>
          <w:color w:val="auto"/>
        </w:rPr>
      </w:pPr>
    </w:p>
    <w:p>
      <w:pPr>
        <w:ind w:right="20" w:firstLine="464"/>
        <w:spacing w:after="0" w:line="259"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2.09 Fees. </w:t>
      </w:r>
      <w:r>
        <w:rPr>
          <w:rFonts w:ascii="Arial" w:cs="Arial" w:eastAsia="Arial" w:hAnsi="Arial"/>
          <w:sz w:val="18"/>
          <w:szCs w:val="18"/>
          <w:color w:val="auto"/>
        </w:rPr>
        <w:t>In addition to certain fees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subsections (h)</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77" w:lineRule="exact"/>
        <w:rPr>
          <w:sz w:val="20"/>
          <w:szCs w:val="20"/>
          <w:color w:val="auto"/>
        </w:rPr>
      </w:pPr>
    </w:p>
    <w:p>
      <w:pPr>
        <w:ind w:firstLine="464"/>
        <w:spacing w:after="0" w:line="288"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Facility Fee</w:t>
      </w:r>
      <w:r>
        <w:rPr>
          <w:rFonts w:ascii="Arial" w:cs="Arial" w:eastAsia="Arial" w:hAnsi="Arial"/>
          <w:sz w:val="16"/>
          <w:szCs w:val="16"/>
          <w:color w:val="auto"/>
        </w:rPr>
        <w:t xml:space="preserve">. The Borrowers shall pay to the Administrative Agent for the account of each Lender in accordance with its Applicable Percentage, a facility fee in Dollars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actual daily amount of the Aggregate Commitments (or, if the Aggregate Commitments have terminated, on the Outstanding Amount of all Committed Loans, Swing Line Loans and L/C Obligations), regardless of usage, subject to adjustment as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 facility fee shall accrue at all times during the Availability Period (and thereafter so long as any Committed Loans, Swing Line Loans or L/C Obligations remain outstanding), including at any time during which one or more of the conditions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19" w:lineRule="exact"/>
        <w:rPr>
          <w:rFonts w:ascii="Arial" w:cs="Arial" w:eastAsia="Arial" w:hAnsi="Arial"/>
          <w:sz w:val="16"/>
          <w:szCs w:val="16"/>
          <w:color w:val="auto"/>
        </w:rPr>
      </w:pPr>
    </w:p>
    <w:p>
      <w:pPr>
        <w:ind w:right="20" w:firstLine="464"/>
        <w:spacing w:after="0" w:line="332"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Other Fees</w:t>
      </w:r>
      <w:r>
        <w:rPr>
          <w:rFonts w:ascii="Arial" w:cs="Arial" w:eastAsia="Arial" w:hAnsi="Arial"/>
          <w:sz w:val="16"/>
          <w:szCs w:val="16"/>
          <w:color w:val="auto"/>
        </w:rPr>
        <w:t>. (i) Toro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85" w:lineRule="exact"/>
        <w:rPr>
          <w:sz w:val="20"/>
          <w:szCs w:val="20"/>
          <w:color w:val="auto"/>
        </w:rPr>
      </w:pPr>
    </w:p>
    <w:p>
      <w:pPr>
        <w:ind w:right="260" w:firstLine="464"/>
        <w:spacing w:after="0" w:line="268" w:lineRule="auto"/>
        <w:tabs>
          <w:tab w:leader="none" w:pos="7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Toro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26" w:lineRule="exact"/>
        <w:rPr>
          <w:sz w:val="20"/>
          <w:szCs w:val="20"/>
          <w:color w:val="auto"/>
        </w:rPr>
      </w:pPr>
    </w:p>
    <w:p>
      <w:pPr>
        <w:jc w:val="both"/>
        <w:ind w:right="160" w:firstLine="456"/>
        <w:spacing w:after="0" w:line="310" w:lineRule="auto"/>
        <w:rPr>
          <w:sz w:val="20"/>
          <w:szCs w:val="20"/>
          <w:color w:val="auto"/>
        </w:rPr>
      </w:pPr>
      <w:r>
        <w:rPr>
          <w:rFonts w:ascii="Arial" w:cs="Arial" w:eastAsia="Arial" w:hAnsi="Arial"/>
          <w:sz w:val="16"/>
          <w:szCs w:val="16"/>
          <w:b w:val="1"/>
          <w:bCs w:val="1"/>
          <w:color w:val="auto"/>
        </w:rPr>
        <w:t xml:space="preserve">2.10 Computation of Interest and Fees; Retroactive Adjustments of Applicable Rate. </w:t>
      </w:r>
      <w:r>
        <w:rPr>
          <w:rFonts w:ascii="Arial" w:cs="Arial" w:eastAsia="Arial" w:hAnsi="Arial"/>
          <w:sz w:val="16"/>
          <w:szCs w:val="16"/>
          <w:color w:val="auto"/>
        </w:rPr>
        <w:t>(a) All computations of interest for Base Rate Loans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9" w:name="page60"/>
    <w:bookmarkEnd w:id="59"/>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more fees or interest, as applicable, being paid than if computed on the basis of a 365-day year), or, in the case of interest in respect of Committed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116" w:lineRule="exact"/>
        <w:rPr>
          <w:sz w:val="20"/>
          <w:szCs w:val="20"/>
          <w:color w:val="auto"/>
        </w:rPr>
      </w:pPr>
    </w:p>
    <w:p>
      <w:pPr>
        <w:ind w:firstLine="464"/>
        <w:spacing w:after="0" w:line="288"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If, as a result of any restatement of or other adjustment to the financial statements of the Borrowers or for any other reason, the Borrowers or the Lenders determine that (i) the Consolidated Leverage Ratio as calculated by the Borrowers as of any applicable date was inaccurate and (ii) a proper calculation of the Consolidated Leverage Ratio would have resulted in higher pricing for such period, each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6"/>
          <w:szCs w:val="16"/>
          <w:u w:val="single" w:color="auto"/>
          <w:color w:val="auto"/>
        </w:rPr>
        <w:t>Section 2.03(c)(iii)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or under </w:t>
      </w:r>
      <w:r>
        <w:rPr>
          <w:rFonts w:ascii="Arial" w:cs="Arial" w:eastAsia="Arial" w:hAnsi="Arial"/>
          <w:sz w:val="16"/>
          <w:szCs w:val="16"/>
          <w:u w:val="single" w:color="auto"/>
          <w:color w:val="auto"/>
        </w:rPr>
        <w:t>Article VIII</w:t>
      </w:r>
      <w:r>
        <w:rPr>
          <w:rFonts w:ascii="Arial" w:cs="Arial" w:eastAsia="Arial" w:hAnsi="Arial"/>
          <w:sz w:val="16"/>
          <w:szCs w:val="16"/>
          <w:color w:val="auto"/>
        </w:rPr>
        <w:t>. The Borrower’s obligations under this paragraph shall survive the termination of the Aggregate Commitments and the repayment of all other Obligations hereunder.</w:t>
      </w:r>
    </w:p>
    <w:p>
      <w:pPr>
        <w:spacing w:after="0" w:line="11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2.11 Evidence of Debt. </w:t>
      </w:r>
      <w:r>
        <w:rPr>
          <w:rFonts w:ascii="Arial" w:cs="Arial" w:eastAsia="Arial" w:hAnsi="Arial"/>
          <w:sz w:val="16"/>
          <w:szCs w:val="16"/>
          <w:color w:val="auto"/>
        </w:rPr>
        <w:t>(a) The Credit Extensions made by each Lender shall be evidenced by one or more accounts or records maintained by such Lender</w:t>
      </w:r>
      <w:r>
        <w:rPr>
          <w:rFonts w:ascii="Arial" w:cs="Arial" w:eastAsia="Arial" w:hAnsi="Arial"/>
          <w:sz w:val="16"/>
          <w:szCs w:val="16"/>
          <w:b w:val="1"/>
          <w:bCs w:val="1"/>
          <w:color w:val="auto"/>
        </w:rPr>
        <w:t xml:space="preserve"> </w:t>
      </w:r>
      <w:r>
        <w:rPr>
          <w:rFonts w:ascii="Arial" w:cs="Arial" w:eastAsia="Arial" w:hAnsi="Arial"/>
          <w:sz w:val="16"/>
          <w:szCs w:val="16"/>
          <w:color w:val="auto"/>
        </w:rPr>
        <w:t>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19" w:lineRule="exact"/>
        <w:rPr>
          <w:sz w:val="20"/>
          <w:szCs w:val="20"/>
          <w:color w:val="auto"/>
        </w:rPr>
      </w:pPr>
    </w:p>
    <w:p>
      <w:pPr>
        <w:ind w:right="80" w:firstLine="464"/>
        <w:spacing w:after="0" w:line="306" w:lineRule="auto"/>
        <w:tabs>
          <w:tab w:leader="none" w:pos="70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In addition to the accounts and records referred to in </w:t>
      </w:r>
      <w:r>
        <w:rPr>
          <w:rFonts w:ascii="Arial" w:cs="Arial" w:eastAsia="Arial" w:hAnsi="Arial"/>
          <w:sz w:val="16"/>
          <w:szCs w:val="16"/>
          <w:u w:val="single" w:color="auto"/>
          <w:color w:val="auto"/>
        </w:rPr>
        <w:t>subsection (a)</w:t>
      </w:r>
      <w:r>
        <w:rPr>
          <w:rFonts w:ascii="Arial" w:cs="Arial" w:eastAsia="Arial" w:hAnsi="Arial"/>
          <w:sz w:val="16"/>
          <w:szCs w:val="16"/>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matters, the accounts and records of the Administrative Agent shall control in the absence of manifest error.</w:t>
      </w:r>
    </w:p>
    <w:p>
      <w:pPr>
        <w:spacing w:after="0" w:line="16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color w:val="auto"/>
        </w:rPr>
        <w:t xml:space="preserve">2.12 Payments Generally; Administrative Agent’s Clawback.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Borrowers shall be made without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(as determined by the Administrative Agent)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30" w:lineRule="exact"/>
        <w:rPr>
          <w:sz w:val="20"/>
          <w:szCs w:val="20"/>
          <w:color w:val="auto"/>
        </w:rPr>
      </w:pPr>
    </w:p>
    <w:p>
      <w:pPr>
        <w:ind w:firstLine="464"/>
        <w:spacing w:after="0" w:line="287" w:lineRule="auto"/>
        <w:tabs>
          <w:tab w:leader="none" w:pos="70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Committed Borrowing of Eurocurrency Rate Loans (or, in the case of any Committed Borrowing of Base Rate Loans, prior to 12:00 noon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Committed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61" w:name="page62"/>
    <w:bookmarkEnd w:id="61"/>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Committed Borrowing to the Administrative Agent, then the amount so paid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120" w:lineRule="exact"/>
        <w:rPr>
          <w:sz w:val="20"/>
          <w:szCs w:val="20"/>
          <w:color w:val="auto"/>
        </w:rPr>
      </w:pPr>
    </w:p>
    <w:p>
      <w:pPr>
        <w:ind w:firstLine="464"/>
        <w:spacing w:after="0" w:line="290" w:lineRule="auto"/>
        <w:tabs>
          <w:tab w:leader="none" w:pos="71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Payments by Borrowers; Presumptions by Administrative Agent</w:t>
      </w:r>
      <w:r>
        <w:rPr>
          <w:rFonts w:ascii="Arial" w:cs="Arial" w:eastAsia="Arial" w:hAnsi="Arial"/>
          <w:sz w:val="16"/>
          <w:szCs w:val="16"/>
          <w:color w:val="auto"/>
        </w:rPr>
        <w:t>.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A notice of the Administrative Agent to any Lender or any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132" w:lineRule="exact"/>
        <w:rPr>
          <w:sz w:val="20"/>
          <w:szCs w:val="20"/>
          <w:color w:val="auto"/>
        </w:rPr>
      </w:pPr>
    </w:p>
    <w:p>
      <w:pPr>
        <w:ind w:right="180" w:firstLine="464"/>
        <w:spacing w:after="0" w:line="298"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such Borrower by the Administrative Agent because the conditions to the applicable Credit Extension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112" w:lineRule="exact"/>
        <w:rPr>
          <w:rFonts w:ascii="Arial" w:cs="Arial" w:eastAsia="Arial" w:hAnsi="Arial"/>
          <w:sz w:val="16"/>
          <w:szCs w:val="16"/>
          <w:color w:val="auto"/>
        </w:rPr>
      </w:pPr>
    </w:p>
    <w:p>
      <w:pPr>
        <w:ind w:right="80" w:firstLine="464"/>
        <w:spacing w:after="0" w:line="255"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Committed Loans, to fund participations in Letters of Credit and Swing 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Committed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right="560" w:firstLine="464"/>
        <w:spacing w:after="0" w:line="268"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Funding Source</w:t>
      </w:r>
      <w:r>
        <w:rPr>
          <w:rFonts w:ascii="Arial" w:cs="Arial" w:eastAsia="Arial" w:hAnsi="Arial"/>
          <w:sz w:val="18"/>
          <w:szCs w:val="18"/>
          <w:color w:val="auto"/>
        </w:rPr>
        <w:t>. Nothing herein shall be deemed to obligate any Lender to obtain the funds for any Loan in any particular place or manner or to constitute a representation by 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 that it has obtained or will obtain the funds for any Loan in any particular place or manner.</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2.13 Sharing of Payments by Lenders. </w:t>
      </w:r>
      <w:r>
        <w:rPr>
          <w:rFonts w:ascii="Arial" w:cs="Arial" w:eastAsia="Arial" w:hAnsi="Arial"/>
          <w:sz w:val="16"/>
          <w:szCs w:val="16"/>
          <w:color w:val="auto"/>
        </w:rPr>
        <w:t>If any Lender shall, by exercising any right of setoff or counterclaim or otherwise, obtain payment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principal of or interest on any of the Committed Loans made by it, or the participations in L/C Obligations or in Swing Line Loans held by it resulting in such Lender’s receiving payment of a proportion of the aggregate amount of such Committed Loans or participations and accrued interest thereon greater than its </w:t>
      </w:r>
      <w:r>
        <w:rPr>
          <w:rFonts w:ascii="Arial" w:cs="Arial" w:eastAsia="Arial" w:hAnsi="Arial"/>
          <w:sz w:val="16"/>
          <w:szCs w:val="16"/>
          <w:u w:val="single" w:color="auto"/>
          <w:color w:val="auto"/>
        </w:rPr>
        <w:t>pro</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rata</w:t>
      </w:r>
      <w:r>
        <w:rPr>
          <w:rFonts w:ascii="Arial" w:cs="Arial" w:eastAsia="Arial" w:hAnsi="Arial"/>
          <w:sz w:val="16"/>
          <w:szCs w:val="16"/>
          <w:color w:val="auto"/>
        </w:rPr>
        <w:t xml:space="preserve"> share thereof as provided herein, then the Lender receiving such greater proportion shall (a) 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8" w:lineRule="exact"/>
        <w:rPr>
          <w:sz w:val="20"/>
          <w:szCs w:val="20"/>
          <w:color w:val="auto"/>
        </w:rPr>
      </w:pPr>
    </w:p>
    <w:p>
      <w:pPr>
        <w:ind w:left="460" w:right="780" w:firstLine="443"/>
        <w:spacing w:after="0" w:line="332" w:lineRule="auto"/>
        <w:tabs>
          <w:tab w:leader="none" w:pos="1108"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4" w:lineRule="exact"/>
        <w:rPr>
          <w:rFonts w:ascii="Arial" w:cs="Arial" w:eastAsia="Arial" w:hAnsi="Arial"/>
          <w:sz w:val="16"/>
          <w:szCs w:val="16"/>
          <w:color w:val="auto"/>
        </w:rPr>
      </w:pPr>
    </w:p>
    <w:p>
      <w:pPr>
        <w:ind w:left="460" w:right="140" w:firstLine="443"/>
        <w:spacing w:after="0" w:line="294" w:lineRule="auto"/>
        <w:tabs>
          <w:tab w:leader="none" w:pos="1157"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provisions of this Section shall not be construed to apply to (x) any payment made by a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6"/>
          <w:szCs w:val="16"/>
          <w:u w:val="single" w:color="auto"/>
          <w:color w:val="auto"/>
        </w:rPr>
        <w:t>Section 2.15</w:t>
      </w:r>
      <w:r>
        <w:rPr>
          <w:rFonts w:ascii="Arial" w:cs="Arial" w:eastAsia="Arial" w:hAnsi="Arial"/>
          <w:sz w:val="16"/>
          <w:szCs w:val="16"/>
          <w:color w:val="auto"/>
        </w:rPr>
        <w:t>, or (z) any payment obtained by a Lender as consideration for the assignment of or sale of a participation in any of its Committed Loans or subparticipations in L/C Obligations or Swing Line Loans to any assignee or participant, other than to Toro or any Subsidiary thereof (as to which the provisions of this Section shall apply).</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Increase in Commitments.</w:t>
      </w:r>
    </w:p>
    <w:p>
      <w:pPr>
        <w:spacing w:after="0" w:line="177" w:lineRule="exact"/>
        <w:rPr>
          <w:sz w:val="20"/>
          <w:szCs w:val="20"/>
          <w:color w:val="auto"/>
        </w:rPr>
      </w:pPr>
    </w:p>
    <w:p>
      <w:pPr>
        <w:ind w:firstLine="464"/>
        <w:spacing w:after="0" w:line="298"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Request for Increase</w:t>
      </w:r>
      <w:r>
        <w:rPr>
          <w:rFonts w:ascii="Arial" w:cs="Arial" w:eastAsia="Arial" w:hAnsi="Arial"/>
          <w:sz w:val="16"/>
          <w:szCs w:val="16"/>
          <w:color w:val="auto"/>
        </w:rPr>
        <w:t xml:space="preserve">. Provided there exists no Default, upon notice to the Administrative Agent (which shall promptly notify the Lenders), Toro may from time to time, request an increase in the Aggregate Commitments by an amount up to $100,000,000;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request for an increase shall be in a minimum amount of $25,000,000. At the time of sending such notice, Toro (in consultation with the Administrative Agent) shall specify the time period within which each Lender is requested to respond (which shall in no event be less than ten Business Days from the date of delivery of such notice to the Lenders).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63" w:name="page64"/>
    <w:bookmarkEnd w:id="63"/>
    <w:p>
      <w:pPr>
        <w:ind w:left="-40" w:right="620" w:firstLine="464"/>
        <w:spacing w:after="0" w:line="306" w:lineRule="auto"/>
        <w:tabs>
          <w:tab w:leader="none" w:pos="66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Elections to Increase</w:t>
      </w:r>
      <w:r>
        <w:rPr>
          <w:rFonts w:ascii="Arial" w:cs="Arial" w:eastAsia="Arial" w:hAnsi="Arial"/>
          <w:sz w:val="16"/>
          <w:szCs w:val="16"/>
          <w:color w:val="auto"/>
        </w:rPr>
        <w:t>. Each Lender shall notify the Administrative Agent within such time period whether or not it agrees to increase its Commitment and, if so, whether by an amount equal to, greater than, or less than its Applicable Percentage of such requested increase. Any Lender not responding within such time period shall be deemed to have declined to increase its Commitment.</w:t>
      </w:r>
    </w:p>
    <w:p>
      <w:pPr>
        <w:spacing w:after="0" w:line="106" w:lineRule="exact"/>
        <w:rPr>
          <w:rFonts w:ascii="Arial" w:cs="Arial" w:eastAsia="Arial" w:hAnsi="Arial"/>
          <w:sz w:val="16"/>
          <w:szCs w:val="16"/>
          <w:color w:val="auto"/>
        </w:rPr>
      </w:pPr>
    </w:p>
    <w:p>
      <w:pPr>
        <w:ind w:left="-40" w:right="160" w:firstLine="464"/>
        <w:spacing w:after="0" w:line="298"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Notification by Administrative Agent; Additional Lenders</w:t>
      </w:r>
      <w:r>
        <w:rPr>
          <w:rFonts w:ascii="Arial" w:cs="Arial" w:eastAsia="Arial" w:hAnsi="Arial"/>
          <w:sz w:val="16"/>
          <w:szCs w:val="16"/>
          <w:color w:val="auto"/>
        </w:rPr>
        <w:t>. The Administrative Agent shall notify Toro and each Lender of the Lenders’ responses to each request made hereunder. To achieve the full amount of a requested increase and subject to the approval of the Administrative Agent and the L/C Issuer (which approvals shall not be unreasonably withheld), Toro may also invite additional Eligible Assignees to become Lenders pursuant to a joinder agreement in form and substance satisfactory to the Administrative Agent and its counsel.</w:t>
      </w:r>
    </w:p>
    <w:p>
      <w:pPr>
        <w:spacing w:after="0" w:line="112" w:lineRule="exact"/>
        <w:rPr>
          <w:rFonts w:ascii="Arial" w:cs="Arial" w:eastAsia="Arial" w:hAnsi="Arial"/>
          <w:sz w:val="16"/>
          <w:szCs w:val="16"/>
          <w:color w:val="auto"/>
        </w:rPr>
      </w:pPr>
    </w:p>
    <w:p>
      <w:pPr>
        <w:ind w:left="-40" w:firstLine="464"/>
        <w:spacing w:after="0" w:line="259" w:lineRule="auto"/>
        <w:tabs>
          <w:tab w:leader="none" w:pos="66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If the Aggregate Commitments are increased in accordance with this Section, the Administrative Agent and Toro shall determine the effective date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and the final allocation of such increase. The Administrative Agent shall promptly notify Toro and the Lenders of the final allocation of such increase and the Increase Effective Date.</w:t>
      </w:r>
    </w:p>
    <w:p>
      <w:pPr>
        <w:spacing w:after="0" w:line="140" w:lineRule="exact"/>
        <w:rPr>
          <w:rFonts w:ascii="Arial" w:cs="Arial" w:eastAsia="Arial" w:hAnsi="Arial"/>
          <w:sz w:val="18"/>
          <w:szCs w:val="18"/>
          <w:color w:val="auto"/>
        </w:rPr>
      </w:pPr>
    </w:p>
    <w:p>
      <w:pPr>
        <w:ind w:left="-40" w:right="140" w:firstLine="464"/>
        <w:spacing w:after="0" w:line="287"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xml:space="preserve">. As a condition precedent to such increase, Toro shall deliver to the Administrative Agent a certificate of each Loan Party dated as of the Increase Effective Date (in sufficient copies for each Lender) signed by a Responsible Officer of such Loan Party (i) certifying and attaching the resolutions adopted by such Loan Party approving or consenting to such increase, and (ii) certifying that, before and after giving effect to such increase, (A)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no Default exists. The Borrowers shall prepay any Committed Loans outstanding on the Increase Effective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to the extent necessary to keep the outstanding Committed Loans ratable with any revised Applicable Percentages arising from any nonratable increase in the Commitments under this Section.</w:t>
      </w:r>
    </w:p>
    <w:p>
      <w:pPr>
        <w:spacing w:after="0" w:line="122" w:lineRule="exact"/>
        <w:rPr>
          <w:rFonts w:ascii="Arial" w:cs="Arial" w:eastAsia="Arial" w:hAnsi="Arial"/>
          <w:sz w:val="16"/>
          <w:szCs w:val="16"/>
          <w:color w:val="auto"/>
        </w:rPr>
      </w:pPr>
    </w:p>
    <w:p>
      <w:pPr>
        <w:ind w:left="640" w:hanging="2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Sections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2.15 Cash Collateral.</w:t>
      </w:r>
    </w:p>
    <w:p>
      <w:pPr>
        <w:spacing w:after="0" w:line="177" w:lineRule="exact"/>
        <w:rPr>
          <w:sz w:val="20"/>
          <w:szCs w:val="20"/>
          <w:color w:val="auto"/>
        </w:rPr>
      </w:pPr>
    </w:p>
    <w:p>
      <w:pPr>
        <w:ind w:left="-40" w:right="180" w:firstLine="464"/>
        <w:spacing w:after="0" w:line="256"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(i) Upon the request of the Administrative Agent or the L/C Issuer (A) if the L/C Issuer has honored any full or partial drawing request under any Letter of Credit and such drawing has resulted in an L/C Borrowing, or (B) if, as of the Letter of Credit Expiration Date, any L/C Obligation for any reason remains outstanding, the Borrowers shall, in each case, immediately Cash Collateralize the then Outstanding Amount of all L/C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80" w:top="334" w:right="259" w:bottom="1440" w:gutter="0" w:footer="0" w:header="0"/>
        </w:sectPr>
      </w:pPr>
    </w:p>
    <w:bookmarkStart w:id="64" w:name="page65"/>
    <w:bookmarkEnd w:id="64"/>
    <w:p>
      <w:pPr>
        <w:ind w:left="440" w:right="200" w:firstLine="443"/>
        <w:spacing w:after="0" w:line="259" w:lineRule="auto"/>
        <w:tabs>
          <w:tab w:leader="none" w:pos="1137"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At any time that there shall exist a Defaulting Lender, immediately upon the request of the Administrative Agent, the L/C Issuer or the Swing Line Lender, the Borrowers shall deliver to the Administrative Agent Cash Collateral in an amount sufficient to cover all Fronting Exposure (after giving effect to </w:t>
      </w:r>
      <w:r>
        <w:rPr>
          <w:rFonts w:ascii="Arial" w:cs="Arial" w:eastAsia="Arial" w:hAnsi="Arial"/>
          <w:sz w:val="18"/>
          <w:szCs w:val="18"/>
          <w:u w:val="single" w:color="auto"/>
          <w:color w:val="auto"/>
        </w:rPr>
        <w:t>Section 2.16(a)(iv)</w:t>
      </w:r>
      <w:r>
        <w:rPr>
          <w:rFonts w:ascii="Arial" w:cs="Arial" w:eastAsia="Arial" w:hAnsi="Arial"/>
          <w:sz w:val="18"/>
          <w:szCs w:val="18"/>
          <w:color w:val="auto"/>
        </w:rPr>
        <w:t xml:space="preserve"> and any Cash Collateral provided by the Defaulting Lender).</w:t>
      </w:r>
    </w:p>
    <w:p>
      <w:pPr>
        <w:spacing w:after="0" w:line="59" w:lineRule="exact"/>
        <w:rPr>
          <w:rFonts w:ascii="Arial" w:cs="Arial" w:eastAsia="Arial" w:hAnsi="Arial"/>
          <w:sz w:val="18"/>
          <w:szCs w:val="18"/>
          <w:color w:val="auto"/>
        </w:rPr>
      </w:pPr>
    </w:p>
    <w:p>
      <w:pPr>
        <w:ind w:left="440" w:right="160" w:firstLine="443"/>
        <w:spacing w:after="0" w:line="256" w:lineRule="auto"/>
        <w:tabs>
          <w:tab w:leader="none" w:pos="1185"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addition, if the Administrative Agent notifies the Borrowers at any time that the Outstanding Amount of all L/C Obligations at such time exceeds 105% of the Letter of Credit Sublimit then in effect, then, within two Business Days after receipt of such notice, the Borrowers shall Cash Collateralize the L/C Obligations in an amount equal to the amount by which the Outstanding Amount of all L/C Obligations exceeds the Letter of Credit Sublimit.</w:t>
      </w:r>
    </w:p>
    <w:p>
      <w:pPr>
        <w:spacing w:after="0" w:line="143" w:lineRule="exact"/>
        <w:rPr>
          <w:rFonts w:ascii="Arial" w:cs="Arial" w:eastAsia="Arial" w:hAnsi="Arial"/>
          <w:sz w:val="18"/>
          <w:szCs w:val="18"/>
          <w:color w:val="auto"/>
        </w:rPr>
      </w:pPr>
    </w:p>
    <w:p>
      <w:pPr>
        <w:ind w:left="-20" w:firstLine="464"/>
        <w:spacing w:after="0" w:line="288" w:lineRule="auto"/>
        <w:tabs>
          <w:tab w:leader="none" w:pos="68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All Cash Collateral (other than credit support not constituting funds subject to deposit) shall be maintained in blocked, non-interest bearing deposit accounts at Bank of America. The Borrowers, and to the extent provided by any Lender, such Lender, hereby grants to (and subjects to the control of) the Administrative Agent, for the benefit of the Administrative Agent, the L/C Issuer and the Lenders (including the Swing Line Lender), and agrees to maintain, a first priority security interest in all such cash and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2.15(c)</w:t>
      </w:r>
      <w:r>
        <w:rPr>
          <w:rFonts w:ascii="Arial" w:cs="Arial" w:eastAsia="Arial" w:hAnsi="Arial"/>
          <w:sz w:val="16"/>
          <w:szCs w:val="16"/>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(including by reason of exchange rate fluctuations), the Borrowers or the relevant Defaulting Lender will, promptly upon demand by the Administrative Agent, pay or provide to the Administrative Agent additional Cash Collateral in an amount sufficient to eliminate such deficiency.</w:t>
      </w:r>
    </w:p>
    <w:p>
      <w:pPr>
        <w:spacing w:after="0" w:line="119" w:lineRule="exact"/>
        <w:rPr>
          <w:rFonts w:ascii="Arial" w:cs="Arial" w:eastAsia="Arial" w:hAnsi="Arial"/>
          <w:sz w:val="16"/>
          <w:szCs w:val="16"/>
          <w:color w:val="auto"/>
        </w:rPr>
      </w:pPr>
    </w:p>
    <w:p>
      <w:pPr>
        <w:ind w:left="-20" w:right="60" w:firstLine="464"/>
        <w:spacing w:after="0" w:line="298" w:lineRule="auto"/>
        <w:tabs>
          <w:tab w:leader="none" w:pos="67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8.02</w:t>
      </w:r>
      <w:r>
        <w:rPr>
          <w:rFonts w:ascii="Arial" w:cs="Arial" w:eastAsia="Arial" w:hAnsi="Arial"/>
          <w:sz w:val="16"/>
          <w:szCs w:val="16"/>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Cash Collateral as may be provided for herein.</w:t>
      </w:r>
    </w:p>
    <w:p>
      <w:pPr>
        <w:spacing w:after="0" w:line="112" w:lineRule="exact"/>
        <w:rPr>
          <w:rFonts w:ascii="Arial" w:cs="Arial" w:eastAsia="Arial" w:hAnsi="Arial"/>
          <w:sz w:val="16"/>
          <w:szCs w:val="16"/>
          <w:color w:val="auto"/>
        </w:rPr>
      </w:pPr>
    </w:p>
    <w:p>
      <w:pPr>
        <w:ind w:left="-20" w:right="40" w:firstLine="464"/>
        <w:spacing w:after="0" w:line="291" w:lineRule="auto"/>
        <w:tabs>
          <w:tab w:leader="none" w:pos="68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11.06(b)(vi)</w:t>
      </w:r>
      <w:r>
        <w:rPr>
          <w:rFonts w:ascii="Arial" w:cs="Arial" w:eastAsia="Arial" w:hAnsi="Arial"/>
          <w:sz w:val="16"/>
          <w:szCs w:val="16"/>
          <w:color w:val="auto"/>
        </w:rPr>
        <w:t xml:space="preserve">)) or (ii) the Administrative Agent’s good faith determination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(x) Cash Collateral furnished by or on behalf of a Loan Party shall not be released during the continuance of a Default or Event of Default (and following application as provided in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may be otherwise applied in accordance with </w:t>
      </w:r>
      <w:r>
        <w:rPr>
          <w:rFonts w:ascii="Arial" w:cs="Arial" w:eastAsia="Arial" w:hAnsi="Arial"/>
          <w:sz w:val="16"/>
          <w:szCs w:val="16"/>
          <w:u w:val="single" w:color="auto"/>
          <w:color w:val="auto"/>
        </w:rPr>
        <w:t>Section 8.03</w:t>
      </w:r>
      <w:r>
        <w:rPr>
          <w:rFonts w:ascii="Arial" w:cs="Arial" w:eastAsia="Arial" w:hAnsi="Arial"/>
          <w:sz w:val="16"/>
          <w:szCs w:val="16"/>
          <w:color w:val="auto"/>
        </w:rPr>
        <w:t>), and (y) the Person providing Cash Collateral and the L/C Issuer or Swing Line Lender, as applicable, may agree that Cash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6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Collateral shall not be released but instead held to support future anticipated Fronting Exposure or other obligations.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2.16 Defaulting Lenders.</w:t>
      </w:r>
    </w:p>
    <w:p>
      <w:pPr>
        <w:spacing w:after="0" w:line="177" w:lineRule="exact"/>
        <w:rPr>
          <w:sz w:val="20"/>
          <w:szCs w:val="20"/>
          <w:color w:val="auto"/>
        </w:rPr>
      </w:pPr>
    </w:p>
    <w:p>
      <w:pPr>
        <w:ind w:right="160" w:firstLine="464"/>
        <w:spacing w:after="0" w:line="268"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08"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firstLine="443"/>
        <w:spacing w:after="0" w:line="284" w:lineRule="auto"/>
        <w:tabs>
          <w:tab w:leader="none" w:pos="1156"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that Defaulting Lender to the L/C Issuer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or requested by the L/C Issuer or Swing Line Lender, to be held as Cash Collateral for future funding obligations of that Defaulting Lender of any participation in any Swing Line Loan or Letter of Credit;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Toro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Toro, to be held in a non-interest bearing deposit account and released in order to satisfy obligations of that Defaulting Lender to fund Loans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 or Swing Line Lender as a result of any judgment of a court of competent jurisdiction obtained by any Lender, the L/C Issuer or Swing Line Lender against that Defaulting Lender as a result of that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Borrowers as a result of any judgment of a court of competent jurisdiction obtained by the Borrowers against that Defaulting Lender as a result of that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66" w:name="page67"/>
    <w:bookmarkEnd w:id="66"/>
    <w:p>
      <w:pPr>
        <w:ind w:lef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to post Cash Collateral pursuant to this </w:t>
      </w:r>
      <w:r>
        <w:rPr>
          <w:rFonts w:ascii="Arial" w:cs="Arial" w:eastAsia="Arial" w:hAnsi="Arial"/>
          <w:sz w:val="18"/>
          <w:szCs w:val="18"/>
          <w:u w:val="single" w:color="auto"/>
          <w:color w:val="auto"/>
        </w:rPr>
        <w:t>Section 2.16(a)(ii)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51" w:lineRule="exact"/>
        <w:rPr>
          <w:sz w:val="20"/>
          <w:szCs w:val="20"/>
          <w:color w:val="auto"/>
        </w:rPr>
      </w:pPr>
    </w:p>
    <w:p>
      <w:pPr>
        <w:ind w:left="440" w:firstLine="443"/>
        <w:spacing w:after="0" w:line="290" w:lineRule="auto"/>
        <w:tabs>
          <w:tab w:leader="none" w:pos="1185"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That Defaulting Lender (x) shall be entitled to receive any facility fee pursuant to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for any period during which that Lender is a Defaulting Lender only to extent allocable to the sum of (1) the Outstanding Amount of the Committed Loans funded by it and (2) its Applicable Percentage of the stated amount of Letters of Credit and Swing Line Loans for which it has provided Cash Collateral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2.16(a)(ii)</w:t>
      </w:r>
      <w:r>
        <w:rPr>
          <w:rFonts w:ascii="Arial" w:cs="Arial" w:eastAsia="Arial" w:hAnsi="Arial"/>
          <w:sz w:val="16"/>
          <w:szCs w:val="16"/>
          <w:color w:val="auto"/>
        </w:rPr>
        <w:t xml:space="preserve">, as applicable (and the Borrowers shall (A) be required to pay to each of the L/C Issuer and the Swing Line Lender, as applicable, the amount of such fee allocable to its Fronting Exposure arising from that Defaulting Lender and (B) not be required to pay the remaining amount of such fee that otherwise would have been required to have been paid to that Defaulting Lender) and (y) shall be limited in its right to receive Letter of Credit Fees as provided in </w:t>
      </w:r>
      <w:r>
        <w:rPr>
          <w:rFonts w:ascii="Arial" w:cs="Arial" w:eastAsia="Arial" w:hAnsi="Arial"/>
          <w:sz w:val="16"/>
          <w:szCs w:val="16"/>
          <w:u w:val="single" w:color="auto"/>
          <w:color w:val="auto"/>
        </w:rPr>
        <w:t>Section 2.03(h)</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440" w:firstLine="443"/>
        <w:spacing w:after="0" w:line="290" w:lineRule="auto"/>
        <w:tabs>
          <w:tab w:leader="none" w:pos="1175"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During any period in which there is a Defaulting Lender, for purposes of computing the amount of the obligation of each non-Defaulting Lender to acquire, refinance or fund participations in Letters of Credit or Swing Line Loans pursuant to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the “Applicable Percentage” of each non-Defaulting Lender shall be computed without giving effect to the Commitment of that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such reallocation shall be given effect only if, at the date the applicable Lender becomes a Defaulting Lender, no Default or Event of Default exists; and (ii) the aggregate obligation of each non-Defaulting Lender to acquire, refinance or fund participations in Letters of Credit and Swing Line Loans shall not exceed the positive difference, if any, of (1) the Commitment of that non-Defaulting Lender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(2) the aggregate Outstanding Amount of the Committed Loans of that Lender.</w:t>
      </w:r>
    </w:p>
    <w:p>
      <w:pPr>
        <w:spacing w:after="0" w:line="118" w:lineRule="exact"/>
        <w:rPr>
          <w:rFonts w:ascii="Arial" w:cs="Arial" w:eastAsia="Arial" w:hAnsi="Arial"/>
          <w:sz w:val="16"/>
          <w:szCs w:val="16"/>
          <w:color w:val="auto"/>
        </w:rPr>
      </w:pPr>
    </w:p>
    <w:p>
      <w:pPr>
        <w:ind w:left="-20" w:firstLine="464"/>
        <w:spacing w:after="0" w:line="309" w:lineRule="auto"/>
        <w:tabs>
          <w:tab w:leader="none" w:pos="685"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Defaulting Lender Cure</w:t>
      </w:r>
      <w:r>
        <w:rPr>
          <w:rFonts w:ascii="Arial" w:cs="Arial" w:eastAsia="Arial" w:hAnsi="Arial"/>
          <w:sz w:val="15"/>
          <w:szCs w:val="15"/>
          <w:color w:val="auto"/>
        </w:rPr>
        <w:t xml:space="preserve">. If Toro, the Administrative Agent,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5"/>
          <w:szCs w:val="15"/>
          <w:u w:val="single" w:color="auto"/>
          <w:color w:val="auto"/>
        </w:rPr>
        <w:t>Section 2.16(a)(iv)</w:t>
      </w:r>
      <w:r>
        <w:rPr>
          <w:rFonts w:ascii="Arial" w:cs="Arial" w:eastAsia="Arial" w:hAnsi="Arial"/>
          <w:sz w:val="15"/>
          <w:szCs w:val="15"/>
          <w:color w:val="auto"/>
        </w:rPr>
        <w:t>), whereupon that Lender will cease to be a Defaulting Lender; provided that no adjustments will be made retroactively with respect to fees accrued or payments made by or on behalf of any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60" w:top="280" w:right="259" w:bottom="1440" w:gutter="0" w:footer="0" w:header="0"/>
        </w:sectPr>
      </w:pPr>
    </w:p>
    <w:bookmarkStart w:id="67" w:name="page68"/>
    <w:bookmarkEnd w:id="67"/>
    <w:p>
      <w:pPr>
        <w:ind w:firstLine="456"/>
        <w:spacing w:after="0" w:line="30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2.17 Designated Borrowers. </w:t>
      </w:r>
      <w:r>
        <w:rPr>
          <w:rFonts w:ascii="Arial" w:cs="Arial" w:eastAsia="Arial" w:hAnsi="Arial"/>
          <w:sz w:val="15"/>
          <w:szCs w:val="15"/>
          <w:color w:val="auto"/>
        </w:rPr>
        <w:t>(a) Toro may at any time, upon not less than 15 Business Days’ notice from Toro to the Administrative Agent (or such shorter</w:t>
      </w:r>
      <w:r>
        <w:rPr>
          <w:rFonts w:ascii="Arial" w:cs="Arial" w:eastAsia="Arial" w:hAnsi="Arial"/>
          <w:sz w:val="15"/>
          <w:szCs w:val="15"/>
          <w:b w:val="1"/>
          <w:bCs w:val="1"/>
          <w:color w:val="auto"/>
        </w:rPr>
        <w:t xml:space="preserve"> </w:t>
      </w:r>
      <w:r>
        <w:rPr>
          <w:rFonts w:ascii="Arial" w:cs="Arial" w:eastAsia="Arial" w:hAnsi="Arial"/>
          <w:sz w:val="15"/>
          <w:szCs w:val="15"/>
          <w:color w:val="auto"/>
        </w:rPr>
        <w:t>period as may be agreed by the Administrative Agent in its sole discretion), designate any additional Subsidiary of Toro (an “</w:t>
      </w:r>
      <w:r>
        <w:rPr>
          <w:rFonts w:ascii="Arial" w:cs="Arial" w:eastAsia="Arial" w:hAnsi="Arial"/>
          <w:sz w:val="15"/>
          <w:szCs w:val="15"/>
          <w:u w:val="single" w:color="auto"/>
          <w:color w:val="auto"/>
        </w:rPr>
        <w:t>Applicant Borrower</w:t>
      </w:r>
      <w:r>
        <w:rPr>
          <w:rFonts w:ascii="Arial" w:cs="Arial" w:eastAsia="Arial" w:hAnsi="Arial"/>
          <w:sz w:val="15"/>
          <w:szCs w:val="15"/>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(a “</w:t>
      </w:r>
      <w:r>
        <w:rPr>
          <w:rFonts w:ascii="Arial" w:cs="Arial" w:eastAsia="Arial" w:hAnsi="Arial"/>
          <w:sz w:val="15"/>
          <w:szCs w:val="15"/>
          <w:u w:val="single" w:color="auto"/>
          <w:color w:val="auto"/>
        </w:rPr>
        <w:t>Designated Borrower Request and Assumption Agreement</w:t>
      </w:r>
      <w:r>
        <w:rPr>
          <w:rFonts w:ascii="Arial" w:cs="Arial" w:eastAsia="Arial" w:hAnsi="Arial"/>
          <w:sz w:val="15"/>
          <w:szCs w:val="15"/>
          <w:color w:val="auto"/>
        </w:rPr>
        <w:t xml:space="preserve">”). The parties hereto acknowledge and agree that prior to any Applicant Borrower becoming entitled to utilize the credit facilities provided for herein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or the Required Lenders in their sole discretion, and Notes signed by such new Subsidiary Borrowers to the extent any Lenders so require. If the Administrative Agent and the Required Lenders agree that an Applicant Borrower shall be entitled to receive Loans hereunder, then promptly following receipt of all such requested resolutions, incumbency certificates, opinions of counsel and other documents or information, the Administrative Agent shall send a notice in substantially the form of </w:t>
      </w:r>
      <w:r>
        <w:rPr>
          <w:rFonts w:ascii="Arial" w:cs="Arial" w:eastAsia="Arial" w:hAnsi="Arial"/>
          <w:sz w:val="15"/>
          <w:szCs w:val="15"/>
          <w:u w:val="single" w:color="auto"/>
          <w:color w:val="auto"/>
        </w:rPr>
        <w:t>Exhibit H</w:t>
      </w:r>
      <w:r>
        <w:rPr>
          <w:rFonts w:ascii="Arial" w:cs="Arial" w:eastAsia="Arial" w:hAnsi="Arial"/>
          <w:sz w:val="15"/>
          <w:szCs w:val="15"/>
          <w:color w:val="auto"/>
        </w:rPr>
        <w:t xml:space="preserve"> (a “</w:t>
      </w:r>
      <w:r>
        <w:rPr>
          <w:rFonts w:ascii="Arial" w:cs="Arial" w:eastAsia="Arial" w:hAnsi="Arial"/>
          <w:sz w:val="15"/>
          <w:szCs w:val="15"/>
          <w:u w:val="single" w:color="auto"/>
          <w:color w:val="auto"/>
        </w:rPr>
        <w:t>Designated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Borrower Notice</w:t>
      </w:r>
      <w:r>
        <w:rPr>
          <w:rFonts w:ascii="Arial" w:cs="Arial" w:eastAsia="Arial" w:hAnsi="Arial"/>
          <w:sz w:val="15"/>
          <w:szCs w:val="15"/>
          <w:color w:val="auto"/>
        </w:rPr>
        <w:t xml:space="preserve">”) to Toro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Subsidiary Borrower for all purposes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Committed Loan Notice or Letter of Credit Application may be submitted by or on behalf of such Designated Borrower until the date five Business Days after such effective date;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effective as of the date hereof, the Required Lenders agree that each of the following Subsidiaries may become a “Designated Borrower” pursuant hereto (subject to satisfaction of the other conditions set forth in this </w:t>
      </w:r>
      <w:r>
        <w:rPr>
          <w:rFonts w:ascii="Arial" w:cs="Arial" w:eastAsia="Arial" w:hAnsi="Arial"/>
          <w:sz w:val="15"/>
          <w:szCs w:val="15"/>
          <w:u w:val="single" w:color="auto"/>
          <w:color w:val="auto"/>
        </w:rPr>
        <w:t>Section 2.17</w:t>
      </w:r>
      <w:r>
        <w:rPr>
          <w:rFonts w:ascii="Arial" w:cs="Arial" w:eastAsia="Arial" w:hAnsi="Arial"/>
          <w:sz w:val="15"/>
          <w:szCs w:val="15"/>
          <w:color w:val="auto"/>
        </w:rPr>
        <w:t>) without any requirement of further written consent from the Required Lenders: Tover Overseas B.V., a Netherlands company, and Toro Factoring Company Limited, a Guernsey Channel Islands company.</w:t>
      </w:r>
    </w:p>
    <w:p>
      <w:pPr>
        <w:spacing w:after="0" w:line="334" w:lineRule="exact"/>
        <w:rPr>
          <w:sz w:val="20"/>
          <w:szCs w:val="20"/>
          <w:color w:val="auto"/>
        </w:rPr>
      </w:pPr>
    </w:p>
    <w:p>
      <w:pPr>
        <w:ind w:left="720" w:hanging="256"/>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Obligations of all Designated Borrowers shall be several in nature and shall be guaranteed by Toro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w:t>
      </w:r>
    </w:p>
    <w:p>
      <w:pPr>
        <w:spacing w:after="0" w:line="171" w:lineRule="exact"/>
        <w:rPr>
          <w:rFonts w:ascii="Arial" w:cs="Arial" w:eastAsia="Arial" w:hAnsi="Arial"/>
          <w:sz w:val="18"/>
          <w:szCs w:val="18"/>
          <w:color w:val="auto"/>
        </w:rPr>
      </w:pPr>
    </w:p>
    <w:p>
      <w:pPr>
        <w:ind w:firstLine="464"/>
        <w:spacing w:after="0" w:line="298"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Toro may from time to time, upon not less than 15 Business Days’ notice from Toro to the Administrative Agent (or such shorter period as may be agreed by the Administrative Agent in its sole discretion), terminate a Designated Borrower’s status as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28" w:right="259" w:bottom="1440" w:gutter="0" w:footer="0" w:header="0"/>
        </w:sectPr>
      </w:pPr>
    </w:p>
    <w:bookmarkStart w:id="68" w:name="page69"/>
    <w:bookmarkEnd w:id="68"/>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 Taxes.</w:t>
      </w:r>
    </w:p>
    <w:p>
      <w:pPr>
        <w:spacing w:after="0" w:line="177" w:lineRule="exact"/>
        <w:rPr>
          <w:sz w:val="20"/>
          <w:szCs w:val="20"/>
          <w:color w:val="auto"/>
        </w:rPr>
      </w:pPr>
    </w:p>
    <w:p>
      <w:pPr>
        <w:ind w:left="240" w:hanging="236"/>
        <w:spacing w:after="0"/>
        <w:tabs>
          <w:tab w:leader="none" w:pos="2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40" w:firstLine="443"/>
        <w:spacing w:after="0" w:line="255" w:lineRule="auto"/>
        <w:tabs>
          <w:tab w:leader="none" w:pos="648"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the respective Borrowers hereunder or under any other Loan Document shall to the extent permitted by applicable Laws be made free and clear of and without reduction or withholding for any Taxes. If, however, applicable Laws require any Borrower or the Administrative Agent to withhold or deduct any Tax, such Tax shall be withheld or deducted in accordance with such Laws as determined by such Borrower or the Administrative Agent, as the case may be,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61" w:lineRule="exact"/>
        <w:rPr>
          <w:rFonts w:ascii="Arial" w:cs="Arial" w:eastAsia="Arial" w:hAnsi="Arial"/>
          <w:sz w:val="18"/>
          <w:szCs w:val="18"/>
          <w:color w:val="auto"/>
        </w:rPr>
      </w:pPr>
    </w:p>
    <w:p>
      <w:pPr>
        <w:ind w:firstLine="443"/>
        <w:spacing w:after="0" w:line="289" w:lineRule="auto"/>
        <w:tabs>
          <w:tab w:leader="none" w:pos="697"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If any Borrower or the Administrative Agent or Swing Line Lender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Section) the Administrative Agent, each Lender or the L/C Issuer, as the case may be, receives an amount equal to the sum it would have received had no such withholding or deduction been made.</w:t>
      </w:r>
    </w:p>
    <w:p>
      <w:pPr>
        <w:spacing w:after="0" w:line="37" w:lineRule="exact"/>
        <w:rPr>
          <w:rFonts w:ascii="Arial" w:cs="Arial" w:eastAsia="Arial" w:hAnsi="Arial"/>
          <w:sz w:val="16"/>
          <w:szCs w:val="16"/>
          <w:color w:val="auto"/>
        </w:rPr>
      </w:pPr>
    </w:p>
    <w:p>
      <w:pPr>
        <w:ind w:right="20" w:firstLine="443"/>
        <w:spacing w:after="0" w:line="310" w:lineRule="auto"/>
        <w:tabs>
          <w:tab w:leader="none" w:pos="745" w:val="left"/>
        </w:tabs>
        <w:numPr>
          <w:ilvl w:val="1"/>
          <w:numId w:val="76"/>
        </w:numPr>
        <w:rPr>
          <w:rFonts w:ascii="Arial" w:cs="Arial" w:eastAsia="Arial" w:hAnsi="Arial"/>
          <w:sz w:val="15"/>
          <w:szCs w:val="15"/>
          <w:color w:val="auto"/>
        </w:rPr>
      </w:pPr>
      <w:r>
        <w:rPr>
          <w:rFonts w:ascii="Arial" w:cs="Arial" w:eastAsia="Arial" w:hAnsi="Arial"/>
          <w:sz w:val="15"/>
          <w:szCs w:val="15"/>
          <w:color w:val="auto"/>
        </w:rPr>
        <w:t xml:space="preserve">If any Borrower or the Administrative Agent or the Swing Line Lender shall be required by any applicable Laws other than the Code to withhold or deduct any Taxes from any payment, then (A) such Borrower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5"/>
          <w:szCs w:val="15"/>
          <w:u w:val="single" w:color="auto"/>
          <w:color w:val="auto"/>
        </w:rPr>
        <w:t>subsection (e)</w:t>
      </w:r>
      <w:r>
        <w:rPr>
          <w:rFonts w:ascii="Arial" w:cs="Arial" w:eastAsia="Arial" w:hAnsi="Arial"/>
          <w:sz w:val="15"/>
          <w:szCs w:val="15"/>
          <w:color w:val="auto"/>
        </w:rPr>
        <w:t xml:space="preserve"> below, (B) such Borrower or the Administrative Agent, to the extent required by such Laws, shall make such deductions and shall timely pay the full amount so withheld or deducted by it to the relevant Governmental Authority in accordance with such Laws,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Section) the Administrative Agent, each Lender or the L/C Issuer, as the case may be, receives an amount equal to the sum it would have received had no such withholding or deduction been made.</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700" w:top="490" w:right="239" w:bottom="1440" w:gutter="0" w:footer="0" w:header="0"/>
        </w:sectPr>
      </w:pPr>
    </w:p>
    <w:bookmarkStart w:id="69" w:name="page70"/>
    <w:bookmarkEnd w:id="69"/>
    <w:p>
      <w:pPr>
        <w:ind w:left="-20" w:right="120" w:firstLine="464"/>
        <w:spacing w:after="0" w:line="268" w:lineRule="auto"/>
        <w:tabs>
          <w:tab w:leader="none" w:pos="68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Other Taxes by the Borrowers</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each Borrower shall timely pay any Other Taxes to the relevant Governmental Authority in accordance with applicable Laws.</w:t>
      </w:r>
    </w:p>
    <w:p>
      <w:pPr>
        <w:spacing w:after="0" w:line="131" w:lineRule="exact"/>
        <w:rPr>
          <w:rFonts w:ascii="Arial" w:cs="Arial" w:eastAsia="Arial" w:hAnsi="Arial"/>
          <w:sz w:val="18"/>
          <w:szCs w:val="18"/>
          <w:color w:val="auto"/>
        </w:rPr>
      </w:pPr>
    </w:p>
    <w:p>
      <w:pPr>
        <w:ind w:left="680" w:hanging="236"/>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firstLine="443"/>
        <w:spacing w:after="0" w:line="287" w:lineRule="auto"/>
        <w:tabs>
          <w:tab w:leader="none" w:pos="1088"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each Borrower shall, and does hereby, indemnify the Administrative Agent, each Lender and the L/C Issuer, and shall make payment in respect thereof within 30 days after demand therefor, for the full amount of any Indemnified Taxes or Other Taxes (including Indemnified Taxes or Other Taxes imposed or asserted on or attributable to amounts payable under this Section) withheld or deducted by such Borrower or the Administrative Agent or paid by the Administrative Agent, such Lender or the L/C Issuer, as the case may be, and any penalties, interest and reasonable expenses arising therefrom or with respect thereto, whether or not such Indemnified Taxes or Other Taxes were correctly or legally imposed or asserted by the relevant Governmental Authority. Each Borrower shall also, and does hereby, indemnify the Administrative Agent, and shall make payment in respect thereof within 30 days after demand therefor, for any amount which a Lender or the L/C Issuer for any reason fails to pay indefeasibly to the Administrative Agent as required by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subsection. A certificate as to the amount of any such payment or liability delivered to a Borrower by a Lender or the L/C Issuer (with a copy to the Administrative Agent), or by the Administrative Agent on its own behalf or on behalf of a Lender or the L/C Issuer, shall be conclusive absent manifest error.</w:t>
      </w:r>
    </w:p>
    <w:p>
      <w:pPr>
        <w:spacing w:after="0" w:line="41" w:lineRule="exact"/>
        <w:rPr>
          <w:rFonts w:ascii="Arial" w:cs="Arial" w:eastAsia="Arial" w:hAnsi="Arial"/>
          <w:sz w:val="16"/>
          <w:szCs w:val="16"/>
          <w:color w:val="auto"/>
        </w:rPr>
      </w:pPr>
    </w:p>
    <w:p>
      <w:pPr>
        <w:ind w:left="440" w:firstLine="443"/>
        <w:spacing w:after="0" w:line="308" w:lineRule="auto"/>
        <w:tabs>
          <w:tab w:leader="none" w:pos="1137" w:val="left"/>
        </w:tabs>
        <w:numPr>
          <w:ilvl w:val="1"/>
          <w:numId w:val="77"/>
        </w:numPr>
        <w:rPr>
          <w:rFonts w:ascii="Arial" w:cs="Arial" w:eastAsia="Arial" w:hAnsi="Arial"/>
          <w:sz w:val="15"/>
          <w:szCs w:val="15"/>
          <w:color w:val="auto"/>
        </w:rPr>
      </w:pPr>
      <w:r>
        <w:rPr>
          <w:rFonts w:ascii="Arial" w:cs="Arial" w:eastAsia="Arial" w:hAnsi="Arial"/>
          <w:sz w:val="15"/>
          <w:szCs w:val="15"/>
          <w:color w:val="auto"/>
        </w:rPr>
        <w:t xml:space="preserve">Without limiting the provisions of </w:t>
      </w:r>
      <w:r>
        <w:rPr>
          <w:rFonts w:ascii="Arial" w:cs="Arial" w:eastAsia="Arial" w:hAnsi="Arial"/>
          <w:sz w:val="15"/>
          <w:szCs w:val="15"/>
          <w:u w:val="single" w:color="auto"/>
          <w:color w:val="auto"/>
        </w:rPr>
        <w:t>subsection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above, each Lender and the L/C Issuer shall, and does hereby, indemnify each Borrower and the Administrative Agent, and shall make payment in respect thereof within 30 days after demand therefor, against any and all Taxes and any and all related losses, claims, liabilities, penalties, interest and expenses (including the fees, charges and disbursements of any counsel for such Borrower or the Administrative Agent) incurred by or asserted against such Borrower or the Administrative Agent by any Governmental Authority as a result of the failure by such Lender or the L/C Issuer, as the case may be, to deliver, or as a result of the inaccuracy, inadequacy or deficiency of, any documentation required to be delivered by such Lender or the L/C Issuer, as the case may be, to such Borrower or the Administrative Agent pursuant to </w:t>
      </w:r>
      <w:r>
        <w:rPr>
          <w:rFonts w:ascii="Arial" w:cs="Arial" w:eastAsia="Arial" w:hAnsi="Arial"/>
          <w:sz w:val="15"/>
          <w:szCs w:val="15"/>
          <w:u w:val="single" w:color="auto"/>
          <w:color w:val="auto"/>
        </w:rPr>
        <w:t>subsection (e)</w:t>
      </w:r>
      <w:r>
        <w:rPr>
          <w:rFonts w:ascii="Arial" w:cs="Arial" w:eastAsia="Arial" w:hAnsi="Arial"/>
          <w:sz w:val="15"/>
          <w:szCs w:val="15"/>
          <w:color w:val="auto"/>
        </w:rPr>
        <w:t xml:space="preserve">.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The agreements in this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shall survive the resignation and/or replacement of the Administrative Agent, any assignment of rights by, or the replacement of, a Lender or the L/C Issuer, the termination of the Aggregate Commitments and the repayment, satisfaction or discharge of all other Obligations.</w:t>
      </w:r>
    </w:p>
    <w:p>
      <w:pPr>
        <w:spacing w:after="0" w:line="109" w:lineRule="exact"/>
        <w:rPr>
          <w:rFonts w:ascii="Arial" w:cs="Arial" w:eastAsia="Arial" w:hAnsi="Arial"/>
          <w:sz w:val="15"/>
          <w:szCs w:val="15"/>
          <w:color w:val="auto"/>
        </w:rPr>
      </w:pPr>
    </w:p>
    <w:p>
      <w:pPr>
        <w:ind w:left="-20" w:right="140" w:firstLine="464"/>
        <w:spacing w:after="0" w:line="259" w:lineRule="auto"/>
        <w:tabs>
          <w:tab w:leader="none" w:pos="68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a Borrower or the Administrative Agent, as the case may be, after any payment of Taxes by such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such Borrower shall deliver to the Administrative Agent or the Administrative Agent shall deliver to such Borrower, as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60" w:top="334" w:right="239" w:bottom="1440" w:gutter="0" w:footer="0" w:header="0"/>
        </w:sectPr>
      </w:pPr>
    </w:p>
    <w:bookmarkStart w:id="70" w:name="page71"/>
    <w:bookmarkEnd w:id="70"/>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85" w:lineRule="exact"/>
        <w:rPr>
          <w:sz w:val="20"/>
          <w:szCs w:val="20"/>
          <w:color w:val="auto"/>
        </w:rPr>
      </w:pPr>
    </w:p>
    <w:p>
      <w:pPr>
        <w:ind w:left="700" w:hanging="23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0" w:lineRule="auto"/>
        <w:tabs>
          <w:tab w:leader="none" w:pos="1108" w:val="left"/>
        </w:tabs>
        <w:numPr>
          <w:ilvl w:val="1"/>
          <w:numId w:val="78"/>
        </w:numPr>
        <w:rPr>
          <w:rFonts w:ascii="Arial" w:cs="Arial" w:eastAsia="Arial" w:hAnsi="Arial"/>
          <w:sz w:val="16"/>
          <w:szCs w:val="16"/>
          <w:color w:val="auto"/>
        </w:rPr>
      </w:pPr>
      <w:r>
        <w:rPr>
          <w:rFonts w:ascii="Arial" w:cs="Arial" w:eastAsia="Arial" w:hAnsi="Arial"/>
          <w:sz w:val="16"/>
          <w:szCs w:val="16"/>
          <w:color w:val="auto"/>
        </w:rPr>
        <w:t>Each Lender shall deliver to Toro and to the Administrative Agent, at the time or times prescribed by applicable Laws or when reasonably requested by Toro or the Administrative Agent, such properly completed and executed documentation prescribed by applicable Laws or by the taxing authorities of any jurisdiction and such other reasonably requested information as will permit Toro or the Administrative Agent, as the case may be, to determine (A) whether or not payments made by the respective Borrowers hereunder or under any other Loan Document are subject to Taxes, (B) if applicable, the required rate of withholding or deduction, and (C) such Lender’s entitlement to any available exemption from, or reduction of, applicable Taxes in respect of all payments to be made to such Lender by the respective Borrowers pursuant to this Agreement or otherwise to establish such Lender’s status for withholding tax purposes in the applicable jurisdictions.</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if a Borrower is resident for tax purposes in the United States,</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627" w:val="left"/>
        </w:tabs>
        <w:numPr>
          <w:ilvl w:val="2"/>
          <w:numId w:val="78"/>
        </w:numPr>
        <w:rPr>
          <w:rFonts w:ascii="Arial" w:cs="Arial" w:eastAsia="Arial" w:hAnsi="Arial"/>
          <w:sz w:val="16"/>
          <w:szCs w:val="16"/>
          <w:color w:val="auto"/>
        </w:rPr>
      </w:pPr>
      <w:r>
        <w:rPr>
          <w:rFonts w:ascii="Arial" w:cs="Arial" w:eastAsia="Arial" w:hAnsi="Arial"/>
          <w:sz w:val="16"/>
          <w:szCs w:val="16"/>
          <w:color w:val="auto"/>
        </w:rPr>
        <w:t>any Lender that is a “United States person” within the meaning of Section 7701(a)(30) of the Code shall deliver to Toro and the Administrative Agent executed originals of Internal Revenue Service Form W-9 or such other documentation or information prescribed by applicable Laws or reasonably requested by Toro or the Administrative Agent as will enable such Borrower or the Administrative Agent, as the case may be, to determine whether or not such Lender is subject to backup withholding or information reporting requirements; and</w:t>
      </w:r>
    </w:p>
    <w:p>
      <w:pPr>
        <w:spacing w:after="0" w:line="31" w:lineRule="exact"/>
        <w:rPr>
          <w:rFonts w:ascii="Arial" w:cs="Arial" w:eastAsia="Arial" w:hAnsi="Arial"/>
          <w:sz w:val="16"/>
          <w:szCs w:val="16"/>
          <w:color w:val="auto"/>
        </w:rPr>
      </w:pPr>
    </w:p>
    <w:p>
      <w:pPr>
        <w:ind w:left="920" w:right="80" w:firstLine="421"/>
        <w:spacing w:after="0" w:line="294" w:lineRule="auto"/>
        <w:tabs>
          <w:tab w:leader="none" w:pos="1618" w:val="left"/>
        </w:tabs>
        <w:numPr>
          <w:ilvl w:val="2"/>
          <w:numId w:val="78"/>
        </w:numPr>
        <w:rPr>
          <w:rFonts w:ascii="Arial" w:cs="Arial" w:eastAsia="Arial" w:hAnsi="Arial"/>
          <w:sz w:val="16"/>
          <w:szCs w:val="16"/>
          <w:color w:val="auto"/>
        </w:rPr>
      </w:pPr>
      <w:r>
        <w:rPr>
          <w:rFonts w:ascii="Arial" w:cs="Arial" w:eastAsia="Arial" w:hAnsi="Arial"/>
          <w:sz w:val="16"/>
          <w:szCs w:val="16"/>
          <w:color w:val="auto"/>
        </w:rPr>
        <w:t>each Foreign Lender that is entitled under the Code or any applicable treaty to an exemption from or reduction of withholding tax with respect to payments hereunder or under any other Loan Document shall deliver to Toro and the Administrative Agent (in such number of copies as shall be requested by the recipient) on or prior to the date on which such Foreign Lender becomes a Lender under this Agreement (and from time to time thereafter upon the request of Toro on behalf of such Borrower or the Administrative Agent, but only if such Foreign Lender is legally entitled to do so), whichever of the following is applicable:</w:t>
      </w:r>
    </w:p>
    <w:p>
      <w:pPr>
        <w:spacing w:after="0" w:line="34" w:lineRule="exact"/>
        <w:rPr>
          <w:rFonts w:ascii="Arial" w:cs="Arial" w:eastAsia="Arial" w:hAnsi="Arial"/>
          <w:sz w:val="16"/>
          <w:szCs w:val="16"/>
          <w:color w:val="auto"/>
        </w:rPr>
      </w:pPr>
    </w:p>
    <w:p>
      <w:pPr>
        <w:ind w:left="1500" w:right="60" w:firstLine="389"/>
        <w:spacing w:after="0" w:line="268" w:lineRule="auto"/>
        <w:tabs>
          <w:tab w:leader="none" w:pos="2116" w:val="left"/>
        </w:tabs>
        <w:numPr>
          <w:ilvl w:val="3"/>
          <w:numId w:val="78"/>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W-8BEN claiming eligibility for benefits of an income tax treaty to which the United States is a party,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80" w:right="279" w:bottom="1440" w:gutter="0" w:footer="0" w:header="0"/>
        </w:sectPr>
      </w:pPr>
    </w:p>
    <w:bookmarkStart w:id="71" w:name="page72"/>
    <w:bookmarkEnd w:id="71"/>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executed originals of Internal Revenue Service Form W-8ECI,</w:t>
      </w:r>
    </w:p>
    <w:p>
      <w:pPr>
        <w:spacing w:after="0" w:line="9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(III) executed originals of Internal Revenue Service Form W-8IMY and all required supporting documentation,</w:t>
      </w:r>
    </w:p>
    <w:p>
      <w:pPr>
        <w:spacing w:after="0" w:line="90" w:lineRule="exact"/>
        <w:rPr>
          <w:sz w:val="20"/>
          <w:szCs w:val="20"/>
          <w:color w:val="auto"/>
        </w:rPr>
      </w:pPr>
    </w:p>
    <w:p>
      <w:pPr>
        <w:ind w:left="1040" w:firstLine="397"/>
        <w:spacing w:after="0" w:line="298" w:lineRule="auto"/>
        <w:rPr>
          <w:sz w:val="20"/>
          <w:szCs w:val="20"/>
          <w:color w:val="auto"/>
        </w:rPr>
      </w:pPr>
      <w:r>
        <w:rPr>
          <w:rFonts w:ascii="Arial" w:cs="Arial" w:eastAsia="Arial" w:hAnsi="Arial"/>
          <w:sz w:val="16"/>
          <w:szCs w:val="16"/>
          <w:color w:val="auto"/>
        </w:rPr>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such Borrower within the meaning of section 881(c)(3)(B) of the Code, or (C) a “controlled foreign corporation” described in section 881(c)(3)(C) of the Code and (y) executed originals of Internal Revenue Service Form W-8BEN, or</w:t>
      </w:r>
    </w:p>
    <w:p>
      <w:pPr>
        <w:spacing w:after="0" w:line="32" w:lineRule="exact"/>
        <w:rPr>
          <w:sz w:val="20"/>
          <w:szCs w:val="20"/>
          <w:color w:val="auto"/>
        </w:rPr>
      </w:pPr>
    </w:p>
    <w:p>
      <w:pPr>
        <w:ind w:left="1040" w:right="120" w:firstLine="389"/>
        <w:spacing w:after="0" w:line="306" w:lineRule="auto"/>
        <w:tabs>
          <w:tab w:leader="none" w:pos="1725" w:val="left"/>
        </w:tabs>
        <w:numPr>
          <w:ilvl w:val="1"/>
          <w:numId w:val="79"/>
        </w:numPr>
        <w:rPr>
          <w:rFonts w:ascii="Arial" w:cs="Arial" w:eastAsia="Arial" w:hAnsi="Arial"/>
          <w:sz w:val="16"/>
          <w:szCs w:val="16"/>
          <w:color w:val="auto"/>
        </w:rPr>
      </w:pPr>
      <w:r>
        <w:rPr>
          <w:rFonts w:ascii="Arial" w:cs="Arial" w:eastAsia="Arial" w:hAnsi="Arial"/>
          <w:sz w:val="16"/>
          <w:szCs w:val="16"/>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such Borrower or the Administrative Agent to determine the withholding or deduction required to be made.</w:t>
      </w:r>
    </w:p>
    <w:p>
      <w:pPr>
        <w:spacing w:after="0" w:line="25" w:lineRule="exact"/>
        <w:rPr>
          <w:rFonts w:ascii="Arial" w:cs="Arial" w:eastAsia="Arial" w:hAnsi="Arial"/>
          <w:sz w:val="16"/>
          <w:szCs w:val="16"/>
          <w:color w:val="auto"/>
        </w:rPr>
      </w:pPr>
    </w:p>
    <w:p>
      <w:pPr>
        <w:ind w:right="20" w:firstLine="443"/>
        <w:spacing w:after="0" w:line="298" w:lineRule="auto"/>
        <w:tabs>
          <w:tab w:leader="none" w:pos="745"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Lender shall promptly (A) notify Toro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any Borrower or the Administrative Agent make any withholding or deduction for taxes from amounts payable to such Lender.</w:t>
      </w:r>
    </w:p>
    <w:p>
      <w:pPr>
        <w:spacing w:after="0" w:line="31" w:lineRule="exact"/>
        <w:rPr>
          <w:rFonts w:ascii="Arial" w:cs="Arial" w:eastAsia="Arial" w:hAnsi="Arial"/>
          <w:sz w:val="16"/>
          <w:szCs w:val="16"/>
          <w:color w:val="auto"/>
        </w:rPr>
      </w:pPr>
    </w:p>
    <w:p>
      <w:pPr>
        <w:ind w:right="20" w:firstLine="443"/>
        <w:spacing w:after="0" w:line="294" w:lineRule="auto"/>
        <w:tabs>
          <w:tab w:leader="none" w:pos="736"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of the Borrowers shall promptly deliver to the Administrative Agent or any Lender, as the Administrative Agent or such Lender shall reasonably request, on or prior to the Closing Date (or such later date on which it first becomes a Borrower), and in a timely fashion thereafter, such documents and forms required by any relevant taxing authorities under the Laws of any jurisdiction, duly executed and completed by such Borrower, as are required to be furnished by such Lender or the Administrative Agent under such Laws in connection with any payment by the Administrative Agent or any Lender of Taxes or Other Taxes, or otherwise in connection with the Loan Documents, with respect to such jurisdiction.</w:t>
      </w:r>
    </w:p>
    <w:p>
      <w:pPr>
        <w:spacing w:after="0" w:line="34" w:lineRule="exact"/>
        <w:rPr>
          <w:rFonts w:ascii="Arial" w:cs="Arial" w:eastAsia="Arial" w:hAnsi="Arial"/>
          <w:sz w:val="16"/>
          <w:szCs w:val="16"/>
          <w:color w:val="auto"/>
        </w:rPr>
      </w:pPr>
    </w:p>
    <w:p>
      <w:pPr>
        <w:ind w:firstLine="443"/>
        <w:spacing w:after="0" w:line="256" w:lineRule="auto"/>
        <w:tabs>
          <w:tab w:leader="none" w:pos="6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any payment made pursuant to this Agreement to any Lender, the L/C Issuer or any other recipient of any payment to be made by or on account of any obligation under this Agreement would be subject to U.S. federal withholding Tax imposed by FATCA if such recipient were to fail to comply with the applicable reporting requirements of FATCA (including those contained in Section 1471(b) or 1472(b) of the Code, as applicable), each such Lender, the L/C Issuer or other recipient shall deliver to</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40"/>
          </w:cols>
          <w:pgMar w:left="700" w:top="415" w:right="259" w:bottom="1440" w:gutter="0" w:footer="0" w:header="0"/>
        </w:sectPr>
      </w:pPr>
    </w:p>
    <w:bookmarkStart w:id="72" w:name="page73"/>
    <w:bookmarkEnd w:id="72"/>
    <w:p>
      <w:pPr>
        <w:ind w:left="460"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recipient has complied with such recipient’s obligations under FATCA or to determine the amount to deduct and withhold from such payment. Solely for purposes of this </w:t>
      </w:r>
      <w:r>
        <w:rPr>
          <w:rFonts w:ascii="Arial" w:cs="Arial" w:eastAsia="Arial" w:hAnsi="Arial"/>
          <w:sz w:val="16"/>
          <w:szCs w:val="16"/>
          <w:u w:val="single" w:color="auto"/>
          <w:color w:val="auto"/>
        </w:rPr>
        <w:t>clause (v)</w:t>
      </w:r>
      <w:r>
        <w:rPr>
          <w:rFonts w:ascii="Arial" w:cs="Arial" w:eastAsia="Arial" w:hAnsi="Arial"/>
          <w:sz w:val="16"/>
          <w:szCs w:val="16"/>
          <w:color w:val="auto"/>
        </w:rPr>
        <w:t>, “FATCA” shall include any amendments made to FATCA after the date of this Agreement.</w:t>
      </w:r>
    </w:p>
    <w:p>
      <w:pPr>
        <w:spacing w:after="0" w:line="39" w:lineRule="exact"/>
        <w:rPr>
          <w:sz w:val="20"/>
          <w:szCs w:val="20"/>
          <w:color w:val="auto"/>
        </w:rPr>
      </w:pPr>
    </w:p>
    <w:p>
      <w:pPr>
        <w:ind w:left="460" w:right="100" w:firstLine="438"/>
        <w:spacing w:after="0" w:line="306" w:lineRule="auto"/>
        <w:rPr>
          <w:sz w:val="20"/>
          <w:szCs w:val="20"/>
          <w:color w:val="auto"/>
        </w:rPr>
      </w:pPr>
      <w:r>
        <w:rPr>
          <w:rFonts w:ascii="Arial" w:cs="Arial" w:eastAsia="Arial" w:hAnsi="Arial"/>
          <w:sz w:val="16"/>
          <w:szCs w:val="16"/>
          <w:color w:val="auto"/>
        </w:rPr>
        <w:t>Each Lender, the L/C Issuer and any other recipient of any payment to be made by or on account of any obligation under this Agreement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07" w:lineRule="exact"/>
        <w:rPr>
          <w:sz w:val="20"/>
          <w:szCs w:val="20"/>
          <w:color w:val="auto"/>
        </w:rPr>
      </w:pPr>
    </w:p>
    <w:p>
      <w:pPr>
        <w:ind w:left="680" w:hanging="216"/>
        <w:spacing w:after="0"/>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Unless required by applicable Laws, at no time shall the Administrative Agent have any obligation to file for or</w:t>
      </w:r>
    </w:p>
    <w:p>
      <w:pPr>
        <w:spacing w:after="0" w:line="38" w:lineRule="exact"/>
        <w:rPr>
          <w:rFonts w:ascii="Arial" w:cs="Arial" w:eastAsia="Arial" w:hAnsi="Arial"/>
          <w:sz w:val="16"/>
          <w:szCs w:val="16"/>
          <w:color w:val="auto"/>
        </w:rPr>
      </w:pPr>
    </w:p>
    <w:p>
      <w:pPr>
        <w:ind w:right="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its sole discretion, that it has received a refund of any Taxes or Other Taxes as to which it has been indemnified by any Borrower or with respect to which any Borrower has paid additional amounts pursuant to this Section, it shall pay to such Borrower an amount equal to such refund (but only to the extent of indemnity payments made, or additional amounts paid, by such Borrower under this Section with respect to the Taxes or Other Taxes giving rise to such refund), net of all out-of-pocket expenses and net of any loss or gain realized in the conversion of such funds from or to another currency incurred by the Administrative Agent, such Lender or the L/C Issuer,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Borrower, upon the request of the Administrative Agent, such Lender or the L/C Issuer, agrees to repay the amount paid over to such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This subsection shall not be construed to require the Administrative Agent, any Lender or the L/C Issuer to make available its tax returns (or any other information relating to its taxes that it deems confidential) to any Borrower or any other Person.</w:t>
      </w:r>
    </w:p>
    <w:p>
      <w:pPr>
        <w:spacing w:after="0" w:line="12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3.02 Illegality. </w:t>
      </w:r>
      <w:r>
        <w:rPr>
          <w:rFonts w:ascii="Arial" w:cs="Arial" w:eastAsia="Arial" w:hAnsi="Arial"/>
          <w:sz w:val="16"/>
          <w:szCs w:val="16"/>
          <w:color w:val="auto"/>
        </w:rPr>
        <w:t>If any Lender determines that any Law has made it unlawful, or that any Governmental Authority has asserted that it is unlawful,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its applicable Lending Office to make, maintain or fund Eurocurrency Rate Loans (whether denominated in Dollars or an Alternative Currency), or to determine or charge interest rates based upon the Eurocurrency Rate (including in regards to the Base Rate), or any Governmental Authority has imposed material restrictions on the authority of such Lender to purchase or sell, or to take deposits of, Dollars or any Alternative Currency in the applicable interbank market, then, on notice thereof by such Lender to Toro through the Administrative Agent, (i) any obligation of</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73" w:name="page74"/>
    <w:bookmarkEnd w:id="73"/>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Lender to make or continue Eurocurrency Rate Loans in the affected currency or currencies or, in the case of Eurocurrency Rate Loans in Dollars, to convert Base Rate Committed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Toro that the circumstances giving rise to such determination no longer exist. Upon receipt of such notice, (x) the Borrowers shall, upon demand from such Lender (with a copy to the Administrative Agent), prepay or, if applicable and such Loans are denominated in Dollars, convert all such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122"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b w:val="1"/>
          <w:bCs w:val="1"/>
          <w:color w:val="auto"/>
        </w:rPr>
        <w:t xml:space="preserve">3.03 Inability to Determine Rates. </w:t>
      </w:r>
      <w:r>
        <w:rPr>
          <w:rFonts w:ascii="Arial" w:cs="Arial" w:eastAsia="Arial" w:hAnsi="Arial"/>
          <w:sz w:val="15"/>
          <w:szCs w:val="15"/>
          <w:color w:val="auto"/>
        </w:rPr>
        <w:t>If the Required Lenders determine that for any reason in connection with any request for a Eurocurrency Rate Loan or</w:t>
      </w:r>
      <w:r>
        <w:rPr>
          <w:rFonts w:ascii="Arial" w:cs="Arial" w:eastAsia="Arial" w:hAnsi="Arial"/>
          <w:sz w:val="15"/>
          <w:szCs w:val="15"/>
          <w:b w:val="1"/>
          <w:bCs w:val="1"/>
          <w:color w:val="auto"/>
        </w:rPr>
        <w:t xml:space="preserve"> </w:t>
      </w:r>
      <w:r>
        <w:rPr>
          <w:rFonts w:ascii="Arial" w:cs="Arial" w:eastAsia="Arial" w:hAnsi="Arial"/>
          <w:sz w:val="15"/>
          <w:szCs w:val="15"/>
          <w:color w:val="auto"/>
        </w:rPr>
        <w:t>a Base Rate Loan (which is determined by reference to the Eurocurrency Rate) or a conversion to or continuation thereof that (a) deposits (whether in Dollars or an Alternative Currency) are not being offered to banks in the applicable offshore interbank market for such currency for the applicable amount and Interest Period of such Eurocurrency Rate Loan or Base Rate Loan, (b) adequate and reasonable means do not exist for determining the Eurocurrency Rate for any requested Interest Period with respect to a proposed Eurocurrency Rate Loan (whether denominated in Dollars or an Alternative Currency) or in connection with an existing or proposed Base Rate Loan, or (c) the Eurocurrency Rate for any requested Interest Period with respect to a proposed Eurocurrency Rate Loan does not adequately and fairly reflect the cost to such Lenders of funding such Eurocurrency Rate Loan, the Administrative Agent will promptly so notify Toro and each Lender. Thereafter, (x) the obligation of the Lenders to make or maintain Eurocurrency Rate Loans in the affected currency or currencies shall be suspended,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Toro may revoke any pending request for a Borrowing of, conversion to or continuation of Eurocurrency Rate Loans in the affected currency or currencies or, failing that, will be deemed to have converted such request into a request for a Committed Borrowing of Base Rate Loans (determined without utilization of the Eurocurrency Rate component or Base Rate Loan) in the amount specified therein.</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3.04 Increased Costs; Reserves on Eurocurrency Rate Loans.</w:t>
      </w:r>
    </w:p>
    <w:p>
      <w:pPr>
        <w:spacing w:after="0" w:line="177" w:lineRule="exact"/>
        <w:rPr>
          <w:sz w:val="20"/>
          <w:szCs w:val="20"/>
          <w:color w:val="auto"/>
        </w:rPr>
      </w:pPr>
    </w:p>
    <w:p>
      <w:pPr>
        <w:ind w:left="700" w:hanging="23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rFonts w:ascii="Arial" w:cs="Arial" w:eastAsia="Arial" w:hAnsi="Arial"/>
          <w:sz w:val="18"/>
          <w:szCs w:val="18"/>
          <w:color w:val="auto"/>
        </w:rPr>
      </w:pPr>
    </w:p>
    <w:p>
      <w:pPr>
        <w:ind w:left="460" w:right="460" w:firstLine="443"/>
        <w:spacing w:after="0" w:line="256" w:lineRule="auto"/>
        <w:tabs>
          <w:tab w:leader="none" w:pos="1108"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xml:space="preserve"> and (B) the requirements of the Bank of England and the Financial Services Authority or the European Central Bank reflected in the Mandatory Cost, other than as set forth below) or the L/C Issuer;</w:t>
      </w:r>
    </w:p>
    <w:p>
      <w:pPr>
        <w:spacing w:after="0" w:line="62" w:lineRule="exact"/>
        <w:rPr>
          <w:rFonts w:ascii="Arial" w:cs="Arial" w:eastAsia="Arial" w:hAnsi="Arial"/>
          <w:sz w:val="18"/>
          <w:szCs w:val="18"/>
          <w:color w:val="auto"/>
        </w:rPr>
      </w:pPr>
    </w:p>
    <w:p>
      <w:pPr>
        <w:ind w:left="460" w:firstLine="443"/>
        <w:spacing w:after="0" w:line="256" w:lineRule="auto"/>
        <w:tabs>
          <w:tab w:leader="none" w:pos="1157"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subject any Lender or the L/C Issuer to any tax of any kind whatsoever with respect to this Agreement, any Letter of Credit, any participation in a Letter of Credit or any Eurocurrency Rate Loan made by it, or change the basis of taxation of payments to such Lender or the L/C Issuer in respect thereof (except for Indemnified Taxes or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imposition of, or any change in the rate of, any Excluded Tax payable by such Lender or the L/C Issuer);</w:t>
      </w:r>
    </w:p>
    <w:p>
      <w:pPr>
        <w:spacing w:after="0" w:line="62" w:lineRule="exact"/>
        <w:rPr>
          <w:rFonts w:ascii="Arial" w:cs="Arial" w:eastAsia="Arial" w:hAnsi="Arial"/>
          <w:sz w:val="18"/>
          <w:szCs w:val="18"/>
          <w:color w:val="auto"/>
        </w:rPr>
      </w:pPr>
    </w:p>
    <w:p>
      <w:pPr>
        <w:ind w:left="460" w:right="100" w:firstLine="443"/>
        <w:spacing w:after="0" w:line="259" w:lineRule="auto"/>
        <w:tabs>
          <w:tab w:leader="none" w:pos="1205"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result in the failure of the Mandatory Cost, as calculated hereunder, to represent the cost to any Lender of complying with the requirements of the Bank of England and/or the Financial Services Authority or the European Central Bank in relation to its making, funding or maintaining Eurocurrency Rate Loans; or</w:t>
      </w:r>
    </w:p>
    <w:p>
      <w:pPr>
        <w:spacing w:after="0" w:line="59" w:lineRule="exact"/>
        <w:rPr>
          <w:rFonts w:ascii="Arial" w:cs="Arial" w:eastAsia="Arial" w:hAnsi="Arial"/>
          <w:sz w:val="18"/>
          <w:szCs w:val="18"/>
          <w:color w:val="auto"/>
        </w:rPr>
      </w:pPr>
    </w:p>
    <w:p>
      <w:pPr>
        <w:ind w:left="460" w:right="580" w:firstLine="443"/>
        <w:spacing w:after="0" w:line="268" w:lineRule="auto"/>
        <w:tabs>
          <w:tab w:leader="none" w:pos="1196" w:val="left"/>
        </w:tabs>
        <w:numPr>
          <w:ilvl w:val="1"/>
          <w:numId w:val="82"/>
        </w:numPr>
        <w:rPr>
          <w:rFonts w:ascii="Arial" w:cs="Arial" w:eastAsia="Arial" w:hAnsi="Arial"/>
          <w:sz w:val="18"/>
          <w:szCs w:val="18"/>
          <w:color w:val="auto"/>
        </w:rPr>
      </w:pPr>
      <w:r>
        <w:rPr>
          <w:rFonts w:ascii="Arial" w:cs="Arial" w:eastAsia="Arial" w:hAnsi="Arial"/>
          <w:sz w:val="18"/>
          <w:szCs w:val="18"/>
          <w:color w:val="auto"/>
        </w:rPr>
        <w:t>impose on any Lender or the L/C Issuer or the London interbank market any other condition, cost or expense affecting this Agreement or Eurocurrency Rate Loans made by such Lender or any Letter of Credit or participation therein;</w:t>
      </w:r>
    </w:p>
    <w:p>
      <w:pPr>
        <w:spacing w:after="0" w:line="13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and the result of any of the foregoing shall be to increase the cost to such Lender of making or maintaining any Eurocurrency Rate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Toro will pay (or cause the applicable Borrower to pay) to such Lender or the L/C Issuer, as the case may be, such additional amount or amounts as will compensate such Lender or the L/C Issuer, as the case may be, for such additional costs incurred or reduction suffered.</w:t>
      </w:r>
    </w:p>
    <w:p>
      <w:pPr>
        <w:spacing w:after="0" w:line="120" w:lineRule="exact"/>
        <w:rPr>
          <w:sz w:val="20"/>
          <w:szCs w:val="20"/>
          <w:color w:val="auto"/>
        </w:rPr>
      </w:pPr>
    </w:p>
    <w:p>
      <w:pPr>
        <w:ind w:right="80" w:firstLine="464"/>
        <w:spacing w:after="0" w:line="254"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the L/C Issuer determines that any Change in Law affecting such Lender or the L/C Issuer or any Lending Office of such Lender or such Lender’s or the L/C Issuer’s holding company, if any, regarding capital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328" w:right="259" w:bottom="1440" w:gutter="0" w:footer="0" w:header="0"/>
        </w:sectPr>
      </w:pPr>
    </w:p>
    <w:bookmarkStart w:id="75" w:name="page76"/>
    <w:bookmarkEnd w:id="75"/>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or the L/C Issuer’s policies and the policies of such Lender’s or the L/C Issuer’s holding company with respect to capital adequacy), then from time to time Toro will pay (or cause the applicable Borrower to pay) to such Lender or the L/C Issuer, as the case may be, such additional amount or amounts as will compensate such Lender or the L/C Issuer or such Lender’s or the L/C Issuer’s holding company for any such reduction suffered.</w:t>
      </w:r>
    </w:p>
    <w:p>
      <w:pPr>
        <w:spacing w:after="0" w:line="107" w:lineRule="exact"/>
        <w:rPr>
          <w:sz w:val="20"/>
          <w:szCs w:val="20"/>
          <w:color w:val="auto"/>
        </w:rPr>
      </w:pPr>
    </w:p>
    <w:p>
      <w:pPr>
        <w:ind w:right="20" w:firstLine="464"/>
        <w:spacing w:after="0" w:line="256"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or the L/C Issuer setting forth the amount or amounts necessary to compensate such Lender or the L/C Issuer or its holding company, as the case may be, as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delivered to Toro shall be conclusive absent manifest error. Toro shall pay (or cause the applicable Borrower to pay) such Lender or the L/C Issuer, as the case may be, the amount shown as due on any such certificate within 10 days after receipt thereof.</w:t>
      </w:r>
    </w:p>
    <w:p>
      <w:pPr>
        <w:spacing w:after="0" w:line="143" w:lineRule="exact"/>
        <w:rPr>
          <w:rFonts w:ascii="Arial" w:cs="Arial" w:eastAsia="Arial" w:hAnsi="Arial"/>
          <w:sz w:val="18"/>
          <w:szCs w:val="18"/>
          <w:color w:val="auto"/>
        </w:rPr>
      </w:pPr>
    </w:p>
    <w:p>
      <w:pPr>
        <w:ind w:right="40" w:firstLine="464"/>
        <w:spacing w:after="0" w:line="291"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or the L/C Issuer pursuant to the foregoing provisions of this Section for any increased costs incurred or reductions suffered more than nine months prior to the date that such Lender or the L/C Issuer, as the case may be, notifies Toro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20" w:lineRule="exact"/>
        <w:rPr>
          <w:rFonts w:ascii="Arial" w:cs="Arial" w:eastAsia="Arial" w:hAnsi="Arial"/>
          <w:sz w:val="16"/>
          <w:szCs w:val="16"/>
          <w:color w:val="auto"/>
        </w:rPr>
      </w:pPr>
    </w:p>
    <w:p>
      <w:pPr>
        <w:ind w:firstLine="464"/>
        <w:spacing w:after="0" w:line="308" w:lineRule="auto"/>
        <w:tabs>
          <w:tab w:leader="none" w:pos="695"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Additional Reserve Requirements</w:t>
      </w:r>
      <w:r>
        <w:rPr>
          <w:rFonts w:ascii="Arial" w:cs="Arial" w:eastAsia="Arial" w:hAnsi="Arial"/>
          <w:sz w:val="15"/>
          <w:szCs w:val="15"/>
          <w:color w:val="auto"/>
        </w:rPr>
        <w:t xml:space="preserve">. Toro shall pay (or cause the applicable Borrower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Toro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03"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 xml:space="preserve">3.05 Compensation for Losses. </w:t>
      </w:r>
      <w:r>
        <w:rPr>
          <w:rFonts w:ascii="Arial" w:cs="Arial" w:eastAsia="Arial" w:hAnsi="Arial"/>
          <w:sz w:val="18"/>
          <w:szCs w:val="18"/>
          <w:color w:val="auto"/>
        </w:rPr>
        <w:t>Upon demand of any Lender (with a copy to the Administrative Agent) from time to time, Toro shall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(or cause the applicable Borrower to compensate) such Lender for and hold such Lender harmless from any loss, cost or expense incurred by it as a result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76" w:name="page77"/>
    <w:bookmarkEnd w:id="76"/>
    <w:p>
      <w:pPr>
        <w:ind w:firstLine="464"/>
        <w:spacing w:after="0" w:line="268"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continuation, conversion, payment or prepayment of any Loan other than a Base Rate Loan on a day other than the last day of the Interest Period for such Loan (whether voluntary, mandatory, automatic, by reason of acceleration, or otherwise);</w:t>
      </w:r>
    </w:p>
    <w:p>
      <w:pPr>
        <w:spacing w:after="0" w:line="13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failure by any Borrower (for a reason other than the failure of such Lender to make a Loan) to prepay, borrow, continue or convert any Loan other than a Base Rate Loan on the date or in the amount notified by Toro;</w:t>
      </w:r>
    </w:p>
    <w:p>
      <w:pPr>
        <w:spacing w:after="0" w:line="131" w:lineRule="exact"/>
        <w:rPr>
          <w:rFonts w:ascii="Arial" w:cs="Arial" w:eastAsia="Arial" w:hAnsi="Arial"/>
          <w:sz w:val="18"/>
          <w:szCs w:val="18"/>
          <w:color w:val="auto"/>
        </w:rPr>
      </w:pPr>
    </w:p>
    <w:p>
      <w:pPr>
        <w:ind w:right="820" w:firstLine="464"/>
        <w:spacing w:after="0" w:line="268"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13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any assignment of a Eurocurrency Rate Loan on a day other than the last day of the Interest Period therefor as a result of a request by Toro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Toro shall also pay (or cause the applicable Borrower to pay) any customary administrative fees charged by such Lender in connection with the foregoing.</w:t>
      </w:r>
    </w:p>
    <w:p>
      <w:pPr>
        <w:spacing w:after="0" w:line="14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 xml:space="preserve">For purposes of calculating amounts payable by the Borrowers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Eurocurrency Rate Loan made by it at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3.06 Mitigation Obligations; Replacement of Lenders.</w:t>
      </w:r>
    </w:p>
    <w:p>
      <w:pPr>
        <w:spacing w:after="0" w:line="177" w:lineRule="exact"/>
        <w:rPr>
          <w:sz w:val="20"/>
          <w:szCs w:val="20"/>
          <w:color w:val="auto"/>
        </w:rPr>
      </w:pPr>
    </w:p>
    <w:p>
      <w:pPr>
        <w:ind w:right="60" w:firstLine="464"/>
        <w:spacing w:after="0" w:line="288"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any Borrower is required to pay any additional amount to any Lender, the L/C Issuer or any Governmental Authority for the account of any Lender or the L/C Issuer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the L/C Issuer, as the case may be, to any unreimbursed cost or expense and would not otherwise be disadvantageous to such Lender or the L/C Issuer, as the case may be. Toro hereby agrees to pay (or cause the applicable Borrower to pay) all reasonable costs and expenses incurred by any Lender or the L/C Issuer in connection with any such designation or assignment.</w:t>
      </w:r>
    </w:p>
    <w:p>
      <w:pPr>
        <w:spacing w:after="0" w:line="119" w:lineRule="exact"/>
        <w:rPr>
          <w:rFonts w:ascii="Arial" w:cs="Arial" w:eastAsia="Arial" w:hAnsi="Arial"/>
          <w:sz w:val="16"/>
          <w:szCs w:val="16"/>
          <w:color w:val="auto"/>
        </w:rPr>
      </w:pPr>
    </w:p>
    <w:p>
      <w:pPr>
        <w:ind w:right="180" w:firstLine="464"/>
        <w:spacing w:after="0" w:line="268"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or if any Borrower is required to pay any additional amount to any Lender or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Toro may replace such Lender in accordance with </w:t>
      </w:r>
      <w:r>
        <w:rPr>
          <w:rFonts w:ascii="Arial" w:cs="Arial" w:eastAsia="Arial" w:hAnsi="Arial"/>
          <w:sz w:val="16"/>
          <w:szCs w:val="16"/>
          <w:u w:val="single" w:color="auto"/>
          <w:color w:val="auto"/>
        </w:rPr>
        <w:t>Section 11.13</w:t>
      </w:r>
      <w:r>
        <w:rPr>
          <w:rFonts w:ascii="Arial" w:cs="Arial" w:eastAsia="Arial" w:hAnsi="Arial"/>
          <w:sz w:val="16"/>
          <w:szCs w:val="16"/>
          <w:color w:val="auto"/>
        </w:rPr>
        <w:t>.</w:t>
      </w:r>
    </w:p>
    <w:p>
      <w:pPr>
        <w:spacing w:after="0" w:line="18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 xml:space="preserve">3.07 Survival. </w:t>
      </w:r>
      <w:r>
        <w:rPr>
          <w:rFonts w:ascii="Arial" w:cs="Arial" w:eastAsia="Arial" w:hAnsi="Arial"/>
          <w:sz w:val="18"/>
          <w:szCs w:val="18"/>
          <w:color w:val="auto"/>
        </w:rPr>
        <w:t>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 and resignation of the Administrative Agent.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15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4.01 Conditions of Initial Credit Extension. </w:t>
      </w:r>
      <w:r>
        <w:rPr>
          <w:rFonts w:ascii="Arial" w:cs="Arial" w:eastAsia="Arial" w:hAnsi="Arial"/>
          <w:sz w:val="18"/>
          <w:szCs w:val="18"/>
          <w:color w:val="auto"/>
        </w:rPr>
        <w:t>The obligation of the L/C Issuer and each Lender to make its initial Credit Extension hereunder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the following conditions precedent:</w:t>
      </w:r>
    </w:p>
    <w:p>
      <w:pPr>
        <w:spacing w:after="0" w:line="126" w:lineRule="exact"/>
        <w:rPr>
          <w:sz w:val="20"/>
          <w:szCs w:val="20"/>
          <w:color w:val="auto"/>
        </w:rPr>
      </w:pPr>
    </w:p>
    <w:p>
      <w:pPr>
        <w:ind w:right="120" w:firstLine="464"/>
        <w:spacing w:after="0" w:line="306"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25" w:lineRule="exact"/>
        <w:rPr>
          <w:rFonts w:ascii="Arial" w:cs="Arial" w:eastAsia="Arial" w:hAnsi="Arial"/>
          <w:sz w:val="16"/>
          <w:szCs w:val="16"/>
          <w:color w:val="auto"/>
        </w:rPr>
      </w:pPr>
    </w:p>
    <w:p>
      <w:pPr>
        <w:ind w:left="1120" w:hanging="217"/>
        <w:spacing w:after="0"/>
        <w:tabs>
          <w:tab w:leader="none" w:pos="11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executed counterparts of this Agreement, sufficient in number for distribution to the Administrative Agent, each Lender and Toro;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Notes executed by the Borrowers in favor of each Lender requesting Notes;</w:t>
      </w:r>
    </w:p>
    <w:p>
      <w:pPr>
        <w:spacing w:after="0" w:line="90" w:lineRule="exact"/>
        <w:rPr>
          <w:rFonts w:ascii="Arial" w:cs="Arial" w:eastAsia="Arial" w:hAnsi="Arial"/>
          <w:sz w:val="18"/>
          <w:szCs w:val="18"/>
          <w:color w:val="auto"/>
        </w:rPr>
      </w:pPr>
    </w:p>
    <w:p>
      <w:pPr>
        <w:ind w:left="460" w:firstLine="443"/>
        <w:spacing w:after="0" w:line="306" w:lineRule="auto"/>
        <w:tabs>
          <w:tab w:leader="none" w:pos="1205" w:val="left"/>
        </w:tabs>
        <w:numPr>
          <w:ilvl w:val="1"/>
          <w:numId w:val="87"/>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25" w:lineRule="exact"/>
        <w:rPr>
          <w:rFonts w:ascii="Arial" w:cs="Arial" w:eastAsia="Arial" w:hAnsi="Arial"/>
          <w:sz w:val="16"/>
          <w:szCs w:val="16"/>
          <w:color w:val="auto"/>
        </w:rPr>
      </w:pPr>
    </w:p>
    <w:p>
      <w:pPr>
        <w:ind w:left="460" w:right="200" w:firstLine="443"/>
        <w:spacing w:after="0" w:line="256" w:lineRule="auto"/>
        <w:tabs>
          <w:tab w:leader="none" w:pos="1196" w:val="left"/>
        </w:tabs>
        <w:numPr>
          <w:ilvl w:val="1"/>
          <w:numId w:val="87"/>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is duly organized or formed, and that each of the Borrowers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such financial information as the Administrative Agent may request;</w:t>
      </w:r>
    </w:p>
    <w:p>
      <w:pPr>
        <w:spacing w:after="0" w:line="90" w:lineRule="exact"/>
        <w:rPr>
          <w:rFonts w:ascii="Arial" w:cs="Arial" w:eastAsia="Arial" w:hAnsi="Arial"/>
          <w:sz w:val="18"/>
          <w:szCs w:val="18"/>
          <w:color w:val="auto"/>
        </w:rPr>
      </w:pPr>
    </w:p>
    <w:p>
      <w:pPr>
        <w:ind w:left="460" w:right="200" w:firstLine="443"/>
        <w:spacing w:after="0" w:line="259" w:lineRule="auto"/>
        <w:tabs>
          <w:tab w:leader="none" w:pos="1196"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a favorable opinion of Oppenheimer, Wolff &amp; Donnelly LLP, counsel to the Loan Parties, addressed to the Administrative Agent and each Lender, as to the matters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and such other matters concerning the Loan Parties and the Loan Documents as the Required Lenders may reasonably request;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78" w:name="page79"/>
    <w:bookmarkEnd w:id="78"/>
    <w:p>
      <w:pPr>
        <w:jc w:val="center"/>
        <w:ind w:left="460" w:firstLine="443"/>
        <w:spacing w:after="0" w:line="335" w:lineRule="auto"/>
        <w:tabs>
          <w:tab w:leader="none" w:pos="1244" w:val="left"/>
        </w:tabs>
        <w:numPr>
          <w:ilvl w:val="1"/>
          <w:numId w:val="8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7" w:lineRule="exact"/>
        <w:rPr>
          <w:rFonts w:ascii="Arial" w:cs="Arial" w:eastAsia="Arial" w:hAnsi="Arial"/>
          <w:sz w:val="15"/>
          <w:szCs w:val="15"/>
          <w:color w:val="auto"/>
        </w:rPr>
      </w:pPr>
    </w:p>
    <w:p>
      <w:pPr>
        <w:jc w:val="both"/>
        <w:ind w:left="460" w:right="20" w:firstLine="443"/>
        <w:spacing w:after="0" w:line="302" w:lineRule="auto"/>
        <w:tabs>
          <w:tab w:leader="none" w:pos="1293" w:val="left"/>
        </w:tabs>
        <w:numPr>
          <w:ilvl w:val="1"/>
          <w:numId w:val="88"/>
        </w:numPr>
        <w:rPr>
          <w:rFonts w:ascii="Arial" w:cs="Arial" w:eastAsia="Arial" w:hAnsi="Arial"/>
          <w:sz w:val="15"/>
          <w:szCs w:val="15"/>
          <w:color w:val="auto"/>
        </w:rPr>
      </w:pPr>
      <w:r>
        <w:rPr>
          <w:rFonts w:ascii="Arial" w:cs="Arial" w:eastAsia="Arial" w:hAnsi="Arial"/>
          <w:sz w:val="15"/>
          <w:szCs w:val="15"/>
          <w:color w:val="auto"/>
        </w:rPr>
        <w:t xml:space="preserve">a certificate signed by a Responsible Officer of Toro certifying (A) that the conditions specified in </w:t>
      </w:r>
      <w:r>
        <w:rPr>
          <w:rFonts w:ascii="Arial" w:cs="Arial" w:eastAsia="Arial" w:hAnsi="Arial"/>
          <w:sz w:val="15"/>
          <w:szCs w:val="15"/>
          <w:u w:val="single" w:color="auto"/>
          <w:color w:val="auto"/>
        </w:rPr>
        <w:t>Sections 4.02(a)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have been satisfied, and (B) that there has been no event or circumstance since the date of the Audited Financial Statements that has resulted or could reasonably be expected to result in, either individually or in the aggregate, a Material Adverse Effect; (C) there does not exist any pending or threatened action, suit, investigation or proceeding in any court or before any arbitrator or Governmental Authority that purports (x) to materially and adversely affect Toro or its Subsidiaries or</w:t>
      </w:r>
    </w:p>
    <w:p>
      <w:pPr>
        <w:spacing w:after="0" w:line="2" w:lineRule="exact"/>
        <w:rPr>
          <w:rFonts w:ascii="Arial" w:cs="Arial" w:eastAsia="Arial" w:hAnsi="Arial"/>
          <w:sz w:val="15"/>
          <w:szCs w:val="15"/>
          <w:color w:val="auto"/>
        </w:rPr>
      </w:pPr>
    </w:p>
    <w:p>
      <w:pPr>
        <w:ind w:left="460" w:right="80" w:firstLine="4"/>
        <w:spacing w:after="0" w:line="261" w:lineRule="auto"/>
        <w:tabs>
          <w:tab w:leader="none" w:pos="70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affect any transaction contemplated under this Agreement or any Loan Document or the ability of any Borrower to perform its respective obligations under this Agreement or any Loan Document; and (D) the current Debt Ratings;</w:t>
      </w:r>
    </w:p>
    <w:p>
      <w:pPr>
        <w:spacing w:after="0" w:line="56" w:lineRule="exact"/>
        <w:rPr>
          <w:rFonts w:ascii="Arial" w:cs="Arial" w:eastAsia="Arial" w:hAnsi="Arial"/>
          <w:sz w:val="18"/>
          <w:szCs w:val="18"/>
          <w:color w:val="auto"/>
        </w:rPr>
      </w:pPr>
    </w:p>
    <w:p>
      <w:pPr>
        <w:ind w:left="460" w:right="120" w:firstLine="443"/>
        <w:spacing w:after="0" w:line="268" w:lineRule="auto"/>
        <w:tabs>
          <w:tab w:leader="none" w:pos="1196"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duly completed Compliance Certificate as of the last day of the fiscal quarter of Toro most recently ended prior to the Closing Date, signed by a Responsible Officer of Toro;</w:t>
      </w:r>
    </w:p>
    <w:p>
      <w:pPr>
        <w:spacing w:after="0" w:line="5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evidence that the Existing Credit Agreement has been or concurrently with the Closing Date is being terminated, all indebtedness thereunder has been paid and satisfied in full and all Liens if any securing obligations under the Existing Credit Agreement have been or concurrently with the Closing Date are being released;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96"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the L/C Issuer, the Swing Line Lender or the Required Lenders reasonably may require.</w:t>
      </w:r>
    </w:p>
    <w:p>
      <w:pPr>
        <w:spacing w:after="0" w:line="132" w:lineRule="exact"/>
        <w:rPr>
          <w:sz w:val="20"/>
          <w:szCs w:val="20"/>
          <w:color w:val="auto"/>
        </w:rPr>
      </w:pPr>
    </w:p>
    <w:p>
      <w:pPr>
        <w:ind w:left="720" w:hanging="256"/>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fees required to be paid on or before the Closing Date shall have been paid.</w:t>
      </w:r>
    </w:p>
    <w:p>
      <w:pPr>
        <w:spacing w:after="0" w:line="171" w:lineRule="exact"/>
        <w:rPr>
          <w:rFonts w:ascii="Arial" w:cs="Arial" w:eastAsia="Arial" w:hAnsi="Arial"/>
          <w:sz w:val="18"/>
          <w:szCs w:val="18"/>
          <w:color w:val="auto"/>
        </w:rPr>
      </w:pPr>
    </w:p>
    <w:p>
      <w:pPr>
        <w:ind w:right="160" w:firstLine="464"/>
        <w:spacing w:after="0" w:line="298"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Unless waived by the Administrative Agent, Toro shall have paid all fees, charges and disbursements of counsel (directly to such counsel if requested by the Administrative Agent) to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Toro and the Administrative Agent).</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79" w:name="page80"/>
    <w:bookmarkEnd w:id="79"/>
    <w:p>
      <w:pPr>
        <w:ind w:right="4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4.02 Conditions to all Credit Extensions. </w:t>
      </w:r>
      <w:r>
        <w:rPr>
          <w:rFonts w:ascii="Arial" w:cs="Arial" w:eastAsia="Arial" w:hAnsi="Arial"/>
          <w:sz w:val="18"/>
          <w:szCs w:val="18"/>
          <w:color w:val="auto"/>
        </w:rPr>
        <w:t>The obligation of each Lender to honor any Request for Credit Extension (other than a Committed Loan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requesting only a conversion of Committed Loans to the other Type, or a continuation of Eurocurrency Rate Loans) is subject to the following conditions precedent:</w:t>
      </w:r>
    </w:p>
    <w:p>
      <w:pPr>
        <w:spacing w:after="0" w:line="138" w:lineRule="exact"/>
        <w:rPr>
          <w:sz w:val="20"/>
          <w:szCs w:val="20"/>
          <w:color w:val="auto"/>
        </w:rPr>
      </w:pPr>
    </w:p>
    <w:p>
      <w:pPr>
        <w:ind w:firstLine="464"/>
        <w:spacing w:after="0" w:line="294"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(i) the Borrowers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(ii) each Loan Party contained in each other Loan Document or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the application of the proceeds thereof.</w:t>
      </w:r>
    </w:p>
    <w:p>
      <w:pPr>
        <w:spacing w:after="0" w:line="171" w:lineRule="exact"/>
        <w:rPr>
          <w:rFonts w:ascii="Arial" w:cs="Arial" w:eastAsia="Arial" w:hAnsi="Arial"/>
          <w:sz w:val="18"/>
          <w:szCs w:val="18"/>
          <w:color w:val="auto"/>
        </w:rPr>
      </w:pPr>
    </w:p>
    <w:p>
      <w:pPr>
        <w:ind w:right="60" w:firstLine="464"/>
        <w:spacing w:after="0" w:line="268"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131" w:lineRule="exact"/>
        <w:rPr>
          <w:rFonts w:ascii="Arial" w:cs="Arial" w:eastAsia="Arial" w:hAnsi="Arial"/>
          <w:sz w:val="18"/>
          <w:szCs w:val="18"/>
          <w:color w:val="auto"/>
        </w:rPr>
      </w:pPr>
    </w:p>
    <w:p>
      <w:pPr>
        <w:ind w:right="280" w:firstLine="464"/>
        <w:spacing w:after="0" w:line="298" w:lineRule="auto"/>
        <w:tabs>
          <w:tab w:leader="none" w:pos="705"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Each Request for Credit Extension (other than a Committed Loan Notice requesting only a conversion of Committed Loans to the other Type or a continuation of Eurocurrency Rate Loans) submitted by Toro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5.18</w:t>
      </w:r>
      <w:r>
        <w:rPr>
          <w:rFonts w:ascii="Arial" w:cs="Arial" w:eastAsia="Arial" w:hAnsi="Arial"/>
          <w:sz w:val="18"/>
          <w:szCs w:val="18"/>
          <w:color w:val="auto"/>
        </w:rPr>
        <w:t>, each Borrower represents and warrants to the Administrative Agent and the Lenders that:</w:t>
      </w:r>
    </w:p>
    <w:p>
      <w:pPr>
        <w:spacing w:after="0" w:line="165"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 xml:space="preserve">5.01 Existence, Qualification and Power. </w:t>
      </w:r>
      <w:r>
        <w:rPr>
          <w:rFonts w:ascii="Arial" w:cs="Arial" w:eastAsia="Arial" w:hAnsi="Arial"/>
          <w:sz w:val="16"/>
          <w:szCs w:val="16"/>
          <w:color w:val="auto"/>
        </w:rPr>
        <w:t>Each Loan Party and each Subsidiary thereof (a) is duly organized or formed, validly existing and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standing under the Laws of the jurisdiction of its incorporation or organization, (b) has all requisite power and authority and all requisite governmental licenses, authorizations, consents and approvals to (i) own its assets and carry on its business and (ii) execute, deliver and perform its obligations under the Loan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328" w:right="259" w:bottom="1440" w:gutter="0" w:footer="0" w:header="0"/>
        </w:sectPr>
      </w:pPr>
    </w:p>
    <w:bookmarkStart w:id="80" w:name="page81"/>
    <w:bookmarkEnd w:id="80"/>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to the extent that failure to do so could not reasonably be expected to have a Material Adverse Effect.</w:t>
      </w:r>
    </w:p>
    <w:p>
      <w:pPr>
        <w:spacing w:after="0" w:line="134"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b w:val="1"/>
          <w:bCs w:val="1"/>
          <w:color w:val="auto"/>
        </w:rPr>
        <w:t xml:space="preserve">5.02 Authorization; No Contravention. </w:t>
      </w:r>
      <w:r>
        <w:rPr>
          <w:rFonts w:ascii="Arial" w:cs="Arial" w:eastAsia="Arial" w:hAnsi="Arial"/>
          <w:sz w:val="15"/>
          <w:szCs w:val="15"/>
          <w:color w:val="auto"/>
        </w:rPr>
        <w:t>The execution, delivery and performance by each Loan Party of each Loan Document to which such Person is</w:t>
      </w:r>
      <w:r>
        <w:rPr>
          <w:rFonts w:ascii="Arial" w:cs="Arial" w:eastAsia="Arial" w:hAnsi="Arial"/>
          <w:sz w:val="15"/>
          <w:szCs w:val="15"/>
          <w:b w:val="1"/>
          <w:bCs w:val="1"/>
          <w:color w:val="auto"/>
        </w:rPr>
        <w:t xml:space="preserve"> </w:t>
      </w:r>
      <w:r>
        <w:rPr>
          <w:rFonts w:ascii="Arial" w:cs="Arial" w:eastAsia="Arial" w:hAnsi="Arial"/>
          <w:sz w:val="15"/>
          <w:szCs w:val="15"/>
          <w:color w:val="auto"/>
        </w:rPr>
        <w:t>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w:t>
      </w:r>
    </w:p>
    <w:p>
      <w:pPr>
        <w:spacing w:after="0" w:line="1" w:lineRule="exact"/>
        <w:rPr>
          <w:sz w:val="20"/>
          <w:szCs w:val="20"/>
          <w:color w:val="auto"/>
        </w:rPr>
      </w:pPr>
    </w:p>
    <w:p>
      <w:pPr>
        <w:jc w:val="both"/>
        <w:ind w:right="40" w:firstLine="8"/>
        <w:spacing w:after="0" w:line="254" w:lineRule="auto"/>
        <w:tabs>
          <w:tab w:leader="none" w:pos="21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Each Loan Party and each Subsidiary thereof is in compliance with all Contractual Obligations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except to the extent that failure to do so could not reasonably be expected to have a Material Adverse Effect.</w:t>
      </w:r>
    </w:p>
    <w:p>
      <w:pPr>
        <w:spacing w:after="0" w:line="138"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 xml:space="preserve">5.03 Governmental Authorization; Other Consents. </w:t>
      </w:r>
      <w:r>
        <w:rPr>
          <w:rFonts w:ascii="Arial" w:cs="Arial" w:eastAsia="Arial" w:hAnsi="Arial"/>
          <w:sz w:val="18"/>
          <w:szCs w:val="18"/>
          <w:color w:val="auto"/>
        </w:rPr>
        <w:t>No approval, consent, exemption, authorization, or other action by, or notice to, or filing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or any other Person is necessary or required in connection with the execution, delivery or performance by, or enforcement against, any Loan Party of this Agreement or any other Loan Document.</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5.04 Binding Effect. </w:t>
      </w:r>
      <w:r>
        <w:rPr>
          <w:rFonts w:ascii="Arial" w:cs="Arial" w:eastAsia="Arial" w:hAnsi="Arial"/>
          <w:sz w:val="16"/>
          <w:szCs w:val="16"/>
          <w:color w:val="auto"/>
        </w:rPr>
        <w:t>This Agreement has been, and each other Loan Document, when delivered hereunder, will have been, duly executed and delivered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5.05 Financial Statements; No Material Adverse Effect.</w:t>
      </w:r>
    </w:p>
    <w:p>
      <w:pPr>
        <w:spacing w:after="0" w:line="177" w:lineRule="exact"/>
        <w:rPr>
          <w:sz w:val="20"/>
          <w:szCs w:val="20"/>
          <w:color w:val="auto"/>
        </w:rPr>
      </w:pPr>
    </w:p>
    <w:p>
      <w:pPr>
        <w:ind w:firstLine="464"/>
        <w:spacing w:after="0" w:line="284" w:lineRule="auto"/>
        <w:tabs>
          <w:tab w:leader="none" w:pos="695"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Audited Financial Statements (i) were prepared in accordance with GAAP consistently applied throughout the period covered thereby, except as otherwise expressly noted therein; (ii) fairly present the financial condition of Toro and its Subsidiaries as of the date thereof and their results of operations for the period covered thereby in accordance with GAAP consistently applied throughout the period covered thereby, except as otherwise expressly noted therein; and</w:t>
      </w:r>
    </w:p>
    <w:p>
      <w:pPr>
        <w:spacing w:after="0" w:line="1" w:lineRule="exact"/>
        <w:rPr>
          <w:rFonts w:ascii="Arial" w:cs="Arial" w:eastAsia="Arial" w:hAnsi="Arial"/>
          <w:sz w:val="16"/>
          <w:szCs w:val="16"/>
          <w:color w:val="auto"/>
        </w:rPr>
      </w:pPr>
    </w:p>
    <w:p>
      <w:pPr>
        <w:ind w:right="280" w:firstLine="8"/>
        <w:spacing w:after="0" w:line="281" w:lineRule="auto"/>
        <w:tabs>
          <w:tab w:leader="none" w:pos="307" w:val="left"/>
        </w:tabs>
        <w:numPr>
          <w:ilvl w:val="0"/>
          <w:numId w:val="94"/>
        </w:numPr>
        <w:rPr>
          <w:rFonts w:ascii="Arial" w:cs="Arial" w:eastAsia="Arial" w:hAnsi="Arial"/>
          <w:sz w:val="16"/>
          <w:szCs w:val="16"/>
          <w:color w:val="auto"/>
        </w:rPr>
      </w:pPr>
      <w:r>
        <w:rPr>
          <w:rFonts w:ascii="Arial" w:cs="Arial" w:eastAsia="Arial" w:hAnsi="Arial"/>
          <w:sz w:val="16"/>
          <w:szCs w:val="16"/>
          <w:color w:val="auto"/>
        </w:rPr>
        <w:t>show all material indebtedness and other liabilities, direct or contingent, of Toro and its Subsidiaries as of the date thereof, including liabilities for taxes, material commitments and Indebtedness where (i) the possible liability to any Borrower exceeds $25,000,000 for any one of such obligations or liabilities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possible liability to any or all of the Borrowers exceeds $50,000,000 in the aggregate for one or more of such obligations or liabilities.</w:t>
      </w:r>
    </w:p>
    <w:p>
      <w:pPr>
        <w:spacing w:after="0" w:line="164" w:lineRule="exact"/>
        <w:rPr>
          <w:rFonts w:ascii="Arial" w:cs="Arial" w:eastAsia="Arial" w:hAnsi="Arial"/>
          <w:sz w:val="18"/>
          <w:szCs w:val="18"/>
          <w:color w:val="auto"/>
        </w:rPr>
      </w:pPr>
    </w:p>
    <w:p>
      <w:pPr>
        <w:ind w:right="340" w:firstLine="464"/>
        <w:spacing w:after="0" w:line="259" w:lineRule="auto"/>
        <w:tabs>
          <w:tab w:leader="none" w:pos="705"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unaudited consolidated balance sheet of Toro and its Subsidiaries dated April 30, 2011 (including the footnotes thereto), and the related consolidated statements of income or operations, shareholders’ equity and cash flows for the fiscal quarter ended on that date (i) were prepared in accordance with GAAP consistently applied throughout the period covered thereby,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81" w:name="page82"/>
    <w:bookmarkEnd w:id="8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expressly noted therein, and (ii) fairly present the financial condition of Toro and its Subsidiaries as of the date thereof and their results of operations for the period covered thereby, and (iii) reflect all material indebtedness and other liabilities, direct or contingent, of Toro and its consolidated Subsidiaries as of the date thereof, including liabilities for taxes, material commitments and Contingent Obligations where (i) the possible liability to any Borrower exceeds $25,000,000 for any one of such obligations or liabilities and (ii) the possible liability to any or all of the Borrowers exceeds $50,000,000 in the aggregate for one or more of such obligations or liabilities.</w:t>
      </w:r>
    </w:p>
    <w:p>
      <w:pPr>
        <w:spacing w:after="0" w:line="143" w:lineRule="exact"/>
        <w:rPr>
          <w:sz w:val="20"/>
          <w:szCs w:val="20"/>
          <w:color w:val="auto"/>
        </w:rPr>
      </w:pPr>
    </w:p>
    <w:p>
      <w:pPr>
        <w:ind w:right="420" w:firstLine="464"/>
        <w:spacing w:after="0" w:line="268"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2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5.06 Litigation. </w:t>
      </w:r>
      <w:r>
        <w:rPr>
          <w:rFonts w:ascii="Arial" w:cs="Arial" w:eastAsia="Arial" w:hAnsi="Arial"/>
          <w:sz w:val="16"/>
          <w:szCs w:val="16"/>
          <w:color w:val="auto"/>
        </w:rPr>
        <w:t>There are no actions, suits, proceedings, claims or disputes pending or, to the best knowledge of the Borrowers after due and diligent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investigation, threatened or contemplated, at law, in equity, in arbitration or before any Governmental Authority, by or against the Borrowers or any of its Subsidiaries or against any of their properties or revenues that (a) purport to affect or pertain to this Agreement or any other Loan Document, or any of the transactions contemplated hereby, or (b) except as specifically disclosed in </w:t>
      </w:r>
      <w:r>
        <w:rPr>
          <w:rFonts w:ascii="Arial" w:cs="Arial" w:eastAsia="Arial" w:hAnsi="Arial"/>
          <w:sz w:val="16"/>
          <w:szCs w:val="16"/>
          <w:u w:val="single" w:color="auto"/>
          <w:color w:val="auto"/>
        </w:rPr>
        <w:t>Schedule 5.06</w:t>
      </w:r>
      <w:r>
        <w:rPr>
          <w:rFonts w:ascii="Arial" w:cs="Arial" w:eastAsia="Arial" w:hAnsi="Arial"/>
          <w:sz w:val="16"/>
          <w:szCs w:val="16"/>
          <w:color w:val="auto"/>
        </w:rPr>
        <w:t xml:space="preserve">, either individually or in the aggregate, if determined adversely, could reasonably be expected to have a Material Adverse Effect, and there has been no adverse change in the status, or financial effect on any Loan Party or any Subsidiary thereof, of the matters described on </w:t>
      </w:r>
      <w:r>
        <w:rPr>
          <w:rFonts w:ascii="Arial" w:cs="Arial" w:eastAsia="Arial" w:hAnsi="Arial"/>
          <w:sz w:val="16"/>
          <w:szCs w:val="16"/>
          <w:u w:val="single" w:color="auto"/>
          <w:color w:val="auto"/>
        </w:rPr>
        <w:t>Schedule 5.06</w:t>
      </w:r>
      <w:r>
        <w:rPr>
          <w:rFonts w:ascii="Arial" w:cs="Arial" w:eastAsia="Arial" w:hAnsi="Arial"/>
          <w:sz w:val="16"/>
          <w:szCs w:val="16"/>
          <w:color w:val="auto"/>
        </w:rPr>
        <w: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12"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5.07 No Default. </w:t>
      </w:r>
      <w:r>
        <w:rPr>
          <w:rFonts w:ascii="Arial" w:cs="Arial" w:eastAsia="Arial" w:hAnsi="Arial"/>
          <w:sz w:val="18"/>
          <w:szCs w:val="18"/>
          <w:color w:val="auto"/>
        </w:rPr>
        <w:t>Neither any Borrower nor any Subsidiary thereof is in default under or with respect to any Contractual Obligation that could, either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3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5.08 Ownership of Property; Liens. </w:t>
      </w:r>
      <w:r>
        <w:rPr>
          <w:rFonts w:ascii="Arial" w:cs="Arial" w:eastAsia="Arial" w:hAnsi="Arial"/>
          <w:sz w:val="18"/>
          <w:szCs w:val="18"/>
          <w:color w:val="auto"/>
        </w:rPr>
        <w:t>Each Borrower and each Subsidiary has good record and marketable title in fee simple to, or valid leasehold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all real property necessary or used in the ordinary conduct of its business, except for such defects in title as could not, individually or in the aggregate, reasonably be expected to have a Material Adverse Effect. The property of the Borrowers and their Subsidiaries is subject to no Liens, other than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5.09 Environmental Compliance. </w:t>
      </w:r>
      <w:r>
        <w:rPr>
          <w:rFonts w:ascii="Arial" w:cs="Arial" w:eastAsia="Arial" w:hAnsi="Arial"/>
          <w:sz w:val="16"/>
          <w:szCs w:val="16"/>
          <w:color w:val="auto"/>
        </w:rPr>
        <w:t>Each Borrower and its Subsidiaries conduct in the ordinary course of business a review of the effect of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Laws and claims alleging potential liability or responsibility for violation of any Environmental Law on their respective businesses, operations and properties, and as a result thereof the Borrowers have reasonably concluded that</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specifically disclosed in </w:t>
      </w:r>
      <w:r>
        <w:rPr>
          <w:rFonts w:ascii="Arial" w:cs="Arial" w:eastAsia="Arial" w:hAnsi="Arial"/>
          <w:sz w:val="16"/>
          <w:szCs w:val="16"/>
          <w:u w:val="single" w:color="auto"/>
          <w:color w:val="auto"/>
        </w:rPr>
        <w:t>Schedule 5.09</w:t>
      </w:r>
      <w:r>
        <w:rPr>
          <w:rFonts w:ascii="Arial" w:cs="Arial" w:eastAsia="Arial" w:hAnsi="Arial"/>
          <w:sz w:val="16"/>
          <w:szCs w:val="16"/>
          <w:color w:val="auto"/>
        </w:rPr>
        <w:t>, such Environmental Laws and claims could not, individually or in the aggregate, reasonably be expected to have a Material Adverse Effect.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82" w:name="page83"/>
    <w:bookmarkEnd w:id="82"/>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5.10 Insurance. </w:t>
      </w:r>
      <w:r>
        <w:rPr>
          <w:rFonts w:ascii="Arial" w:cs="Arial" w:eastAsia="Arial" w:hAnsi="Arial"/>
          <w:sz w:val="16"/>
          <w:szCs w:val="16"/>
          <w:color w:val="auto"/>
        </w:rPr>
        <w:t>Except as specifically disclosed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5.10</w:t>
      </w:r>
      <w:r>
        <w:rPr>
          <w:rFonts w:ascii="Arial" w:cs="Arial" w:eastAsia="Arial" w:hAnsi="Arial"/>
          <w:sz w:val="16"/>
          <w:szCs w:val="16"/>
          <w:color w:val="auto"/>
        </w:rPr>
        <w:t>, the properties of each Borrower and its Subsidiaries are insured with financially sound</w:t>
      </w:r>
      <w:r>
        <w:rPr>
          <w:rFonts w:ascii="Arial" w:cs="Arial" w:eastAsia="Arial" w:hAnsi="Arial"/>
          <w:sz w:val="16"/>
          <w:szCs w:val="16"/>
          <w:b w:val="1"/>
          <w:bCs w:val="1"/>
          <w:color w:val="auto"/>
        </w:rPr>
        <w:t xml:space="preserve"> </w:t>
      </w:r>
      <w:r>
        <w:rPr>
          <w:rFonts w:ascii="Arial" w:cs="Arial" w:eastAsia="Arial" w:hAnsi="Arial"/>
          <w:sz w:val="16"/>
          <w:szCs w:val="16"/>
          <w:color w:val="auto"/>
        </w:rPr>
        <w:t>and reputable insurance companies not Affiliates of Toro, in such amounts, with such deductibles and covering such risks as are customarily carried by companies engaged in similar businesses and owning similar properties in localities where such Borrower or the applicable Subsidiary operates.</w:t>
      </w:r>
    </w:p>
    <w:p>
      <w:pPr>
        <w:spacing w:after="0" w:line="97"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5.11 Taxes. </w:t>
      </w:r>
      <w:r>
        <w:rPr>
          <w:rFonts w:ascii="Arial" w:cs="Arial" w:eastAsia="Arial" w:hAnsi="Arial"/>
          <w:sz w:val="16"/>
          <w:szCs w:val="16"/>
          <w:color w:val="auto"/>
        </w:rPr>
        <w:t>Toro and its Subsidiaries have filed all Federal, state and other material tax returns and reports required to be filed, and have paid all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Borrower or any Subsidiary that would, if made, have a Material Adverse Effect. Neither any Borrower nor any Subsidiary thereof is party to any tax sharing agreement.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5.12 ERISA Compliance.</w:t>
      </w:r>
    </w:p>
    <w:p>
      <w:pPr>
        <w:spacing w:after="0" w:line="177" w:lineRule="exact"/>
        <w:rPr>
          <w:sz w:val="20"/>
          <w:szCs w:val="20"/>
          <w:color w:val="auto"/>
        </w:rPr>
      </w:pPr>
    </w:p>
    <w:p>
      <w:pPr>
        <w:ind w:right="40" w:firstLine="464"/>
        <w:spacing w:after="0" w:line="294"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Borrowers, nothing has occurred that would prevent or cause the loss of such tax-qualified status.</w:t>
      </w:r>
    </w:p>
    <w:p>
      <w:pPr>
        <w:spacing w:after="0" w:line="115" w:lineRule="exact"/>
        <w:rPr>
          <w:rFonts w:ascii="Arial" w:cs="Arial" w:eastAsia="Arial" w:hAnsi="Arial"/>
          <w:sz w:val="16"/>
          <w:szCs w:val="16"/>
          <w:color w:val="auto"/>
        </w:rPr>
      </w:pPr>
    </w:p>
    <w:p>
      <w:pPr>
        <w:ind w:right="20" w:firstLine="464"/>
        <w:spacing w:after="0" w:line="306"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There are no pending or, to the best knowledge of each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06" w:lineRule="exact"/>
        <w:rPr>
          <w:rFonts w:ascii="Arial" w:cs="Arial" w:eastAsia="Arial" w:hAnsi="Arial"/>
          <w:sz w:val="16"/>
          <w:szCs w:val="16"/>
          <w:color w:val="auto"/>
        </w:rPr>
      </w:pPr>
    </w:p>
    <w:p>
      <w:pPr>
        <w:ind w:right="40" w:firstLine="464"/>
        <w:spacing w:after="0" w:line="288"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color w:val="auto"/>
        </w:rPr>
        <w:t>(i) No ERISA Event has occurred, and neither any Borrower nor any ERISA Affiliate is aware of any fact, event or circumstance that could reasonably be expected to constitute or result in an ERISA Event with respect to any Pension Plan; (ii) each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any Borrower nor any ERISA Affiliate knows of any facts or circumstances that could reasonably be expected to cause the funding target attainment percentage for any such plan to drop below 60% as of the most recent valuation date; (iv) neither any Borrower nor any ERISA Affiliate has incurred any liability to the PBGC other than for the payment of premiums, and there are no premium payments which have become due that are unpaid; (v) neither any Borrower nor any ERISA Affiliate has engaged in a transaction that could be subject to Section 4069 or Section 4212(c) of ERISA; and (vi) no Pension Plan has been terminated by the plan administrator thereof or by the PBGC, and no event or circumstance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occurred or exists that could reasonably be expected to cause the PBGC to institute proceedings under Title IV of ERISA to terminate any Pension Plan.</w:t>
      </w:r>
    </w:p>
    <w:p>
      <w:pPr>
        <w:spacing w:after="0" w:line="188"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 xml:space="preserve">5.13 Subsidiaries; Equity Interests. </w:t>
      </w:r>
      <w:r>
        <w:rPr>
          <w:rFonts w:ascii="Arial" w:cs="Arial" w:eastAsia="Arial" w:hAnsi="Arial"/>
          <w:sz w:val="16"/>
          <w:szCs w:val="16"/>
          <w:color w:val="auto"/>
        </w:rPr>
        <w:t>As of the Closing Date, the Borrowers have no Subsidiaries other than those specifically disclosed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Part (a)</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and all of the outstanding Equity Interests in such Subsidiaries have been validly issued, are fully paid and nonassessable and are owned directly or indirectly by a Loan Party (other than directors’ qualifying shares required by law) in the amounts specified on Part (a)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free and clear of all Liens. Toro has no equity investments in any other corporation or entity other than those specifically disclosed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5.13</w:t>
      </w:r>
      <w:r>
        <w:rPr>
          <w:rFonts w:ascii="Arial" w:cs="Arial" w:eastAsia="Arial" w:hAnsi="Arial"/>
          <w:sz w:val="16"/>
          <w:szCs w:val="16"/>
          <w:color w:val="auto"/>
        </w:rPr>
        <w: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5.14 Margin Regulations; Investment Company Act.</w:t>
      </w:r>
    </w:p>
    <w:p>
      <w:pPr>
        <w:spacing w:after="0" w:line="177" w:lineRule="exact"/>
        <w:rPr>
          <w:sz w:val="20"/>
          <w:szCs w:val="20"/>
          <w:color w:val="auto"/>
        </w:rPr>
      </w:pPr>
    </w:p>
    <w:p>
      <w:pPr>
        <w:ind w:right="20" w:firstLine="464"/>
        <w:spacing w:after="0" w:line="294" w:lineRule="auto"/>
        <w:tabs>
          <w:tab w:leader="none" w:pos="695"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No Borrower is engaged or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applicable Borrower only or of Toro and its Subsidiaries on a consolidated basis) subject to the provisions 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or subject to any restriction contained in any agreement or instrument between any Borrower and any Lender or any Affiliate of any Lender relating to Indebtedness will be margin stock.</w:t>
      </w:r>
    </w:p>
    <w:p>
      <w:pPr>
        <w:spacing w:after="0" w:line="115"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None of the Borrowers, any Person Controlling any Borrower, or any Subsidiary is or is required to be registered as an “investment company” under the Investment Company Act of 1940.</w:t>
      </w:r>
    </w:p>
    <w:p>
      <w:pPr>
        <w:spacing w:after="0" w:line="126"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b w:val="1"/>
          <w:bCs w:val="1"/>
          <w:color w:val="auto"/>
        </w:rPr>
        <w:t xml:space="preserve">5.15 Copyrights, Patents, Trademarks and Licenses, Etc. </w:t>
      </w:r>
      <w:r>
        <w:rPr>
          <w:rFonts w:ascii="Arial" w:cs="Arial" w:eastAsia="Arial" w:hAnsi="Arial"/>
          <w:sz w:val="15"/>
          <w:szCs w:val="15"/>
          <w:color w:val="auto"/>
        </w:rPr>
        <w:t>Each of the Borrowers and their Subsidiaries own or are licensed or otherwise have the right to</w:t>
      </w:r>
      <w:r>
        <w:rPr>
          <w:rFonts w:ascii="Arial" w:cs="Arial" w:eastAsia="Arial" w:hAnsi="Arial"/>
          <w:sz w:val="15"/>
          <w:szCs w:val="15"/>
          <w:b w:val="1"/>
          <w:bCs w:val="1"/>
          <w:color w:val="auto"/>
        </w:rPr>
        <w:t xml:space="preserve"> </w:t>
      </w:r>
      <w:r>
        <w:rPr>
          <w:rFonts w:ascii="Arial" w:cs="Arial" w:eastAsia="Arial" w:hAnsi="Arial"/>
          <w:sz w:val="15"/>
          <w:szCs w:val="15"/>
          <w:color w:val="auto"/>
        </w:rPr>
        <w:t>use all of the patents, trademarks, service marks, trade names, copyrights, contractual franchises, authorizations and other rights that are reasonably necessary in the best business judgment of the Borrowers for the operation of their respective businesses, without conflict with the rights of any other Person. To the best knowledge of the Borrowers, as of the date hereof, no slogan or other advertising device, product, process, method, substance, part or other material now employed, or now contemplated to be employed, by the Borrowers or any Subsidiary infringes upon any rights held by any other Person and no claim or litigation regarding any of the foregoing is pending or threatened, and no patent, invention, device, application, principle or any statute, law, rule, regulation, standard or code is pending or, to the knowledge of the Borrowers, proposed, which, in any case, could reasonably be expected to have a Material Adverse Effect.</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5.16 Disclosure. </w:t>
      </w:r>
      <w:r>
        <w:rPr>
          <w:rFonts w:ascii="Arial" w:cs="Arial" w:eastAsia="Arial" w:hAnsi="Arial"/>
          <w:sz w:val="18"/>
          <w:szCs w:val="18"/>
          <w:color w:val="auto"/>
        </w:rPr>
        <w:t>Each Borrower has disclosed to the Administrative Agent and the Lenders all agreements, instruments and corporate or other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it or any of its Subsidiaries is subject, and all other matters known to it, that, individually or in the aggregate, could reasonably be expected to result in a Material Adverse Effect. No report, financial statement, certificate or other information furnished (in writing) by or on behalf of any Loan Party to the Administrative Agent or any Lender in connection with the transactions contemplated hereby and the negotiation of this Agreement or delivered hereunder or under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84" w:name="page85"/>
    <w:bookmarkEnd w:id="84"/>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Toro represents only that such information was prepared in good faith based upon assumptions believed to be reasonable at the time.</w:t>
      </w:r>
    </w:p>
    <w:p>
      <w:pPr>
        <w:spacing w:after="0" w:line="137"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5.17 Compliance with Laws. </w:t>
      </w:r>
      <w:r>
        <w:rPr>
          <w:rFonts w:ascii="Arial" w:cs="Arial" w:eastAsia="Arial" w:hAnsi="Arial"/>
          <w:sz w:val="16"/>
          <w:szCs w:val="16"/>
          <w:color w:val="auto"/>
        </w:rPr>
        <w:t>Each of the Borrowers and each Subsidiary thereof is in compliance in all material respects with the requirements of all</w:t>
      </w:r>
      <w:r>
        <w:rPr>
          <w:rFonts w:ascii="Arial" w:cs="Arial" w:eastAsia="Arial" w:hAnsi="Arial"/>
          <w:sz w:val="16"/>
          <w:szCs w:val="16"/>
          <w:b w:val="1"/>
          <w:bCs w:val="1"/>
          <w:color w:val="auto"/>
        </w:rPr>
        <w:t xml:space="preserve"> </w:t>
      </w:r>
      <w:r>
        <w:rPr>
          <w:rFonts w:ascii="Arial" w:cs="Arial" w:eastAsia="Arial" w:hAnsi="Arial"/>
          <w:sz w:val="16"/>
          <w:szCs w:val="16"/>
          <w:color w:val="auto"/>
        </w:rPr>
        <w:t>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5.18 Representations as to Foreign Obligors. </w:t>
      </w:r>
      <w:r>
        <w:rPr>
          <w:rFonts w:ascii="Arial" w:cs="Arial" w:eastAsia="Arial" w:hAnsi="Arial"/>
          <w:sz w:val="16"/>
          <w:szCs w:val="16"/>
          <w:color w:val="auto"/>
        </w:rPr>
        <w:t>Each of Toro and each Foreign Obligor represents and warrants to the Administrative Agent and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165" w:lineRule="exact"/>
        <w:rPr>
          <w:sz w:val="20"/>
          <w:szCs w:val="20"/>
          <w:color w:val="auto"/>
        </w:rPr>
      </w:pPr>
    </w:p>
    <w:p>
      <w:pPr>
        <w:ind w:right="80" w:firstLine="464"/>
        <w:spacing w:after="0" w:line="291" w:lineRule="auto"/>
        <w:tabs>
          <w:tab w:leader="none" w:pos="695"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Such Foreign Obligor is subject to civil and commercial Laws with respect to its obligations under this Agreement and the other Loan Documents to which it is a party (collectively as to such Foreign Obligor, the “</w:t>
      </w:r>
      <w:r>
        <w:rPr>
          <w:rFonts w:ascii="Arial" w:cs="Arial" w:eastAsia="Arial" w:hAnsi="Arial"/>
          <w:sz w:val="16"/>
          <w:szCs w:val="16"/>
          <w:u w:val="single" w:color="auto"/>
          <w:color w:val="auto"/>
        </w:rPr>
        <w:t>Applicable Foreign Obligor Documents</w:t>
      </w:r>
      <w:r>
        <w:rPr>
          <w:rFonts w:ascii="Arial" w:cs="Arial" w:eastAsia="Arial" w:hAnsi="Arial"/>
          <w:sz w:val="16"/>
          <w:szCs w:val="16"/>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20" w:lineRule="exact"/>
        <w:rPr>
          <w:rFonts w:ascii="Arial" w:cs="Arial" w:eastAsia="Arial" w:hAnsi="Arial"/>
          <w:sz w:val="16"/>
          <w:szCs w:val="16"/>
          <w:color w:val="auto"/>
        </w:rPr>
      </w:pPr>
    </w:p>
    <w:p>
      <w:pPr>
        <w:ind w:firstLine="464"/>
        <w:spacing w:after="0" w:line="289" w:lineRule="auto"/>
        <w:tabs>
          <w:tab w:leader="none" w:pos="70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18" w:lineRule="exact"/>
        <w:rPr>
          <w:rFonts w:ascii="Arial" w:cs="Arial" w:eastAsia="Arial" w:hAnsi="Arial"/>
          <w:sz w:val="16"/>
          <w:szCs w:val="16"/>
          <w:color w:val="auto"/>
        </w:rPr>
      </w:pPr>
    </w:p>
    <w:p>
      <w:pPr>
        <w:ind w:right="20" w:firstLine="464"/>
        <w:spacing w:after="0" w:line="259"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280" w:right="31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made by such Foreign Obligor pursuant to the Applicable Foreign Obligor Documents, except as has been disclosed to the Administrative Agent.</w:t>
      </w:r>
    </w:p>
    <w:p>
      <w:pPr>
        <w:spacing w:after="0" w:line="194" w:lineRule="exact"/>
        <w:rPr>
          <w:sz w:val="20"/>
          <w:szCs w:val="20"/>
          <w:color w:val="auto"/>
        </w:rPr>
      </w:pPr>
    </w:p>
    <w:p>
      <w:pPr>
        <w:ind w:firstLine="464"/>
        <w:spacing w:after="0" w:line="286" w:lineRule="auto"/>
        <w:tabs>
          <w:tab w:leader="none" w:pos="70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w:t>
      </w:r>
    </w:p>
    <w:p>
      <w:pPr>
        <w:ind w:right="220" w:firstLine="8"/>
        <w:spacing w:after="0" w:line="261" w:lineRule="auto"/>
        <w:tabs>
          <w:tab w:leader="none" w:pos="21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as have been made or obtained or (ii) such as cannot be made or obtained until a later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notification or authorization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be made or obtained as soon as is reasonably practicable).</w:t>
      </w:r>
    </w:p>
    <w:p>
      <w:pPr>
        <w:spacing w:after="0" w:line="132"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 xml:space="preserve">5.19 Taxpayer Identification Number; Other Identifying Information. </w:t>
      </w:r>
      <w:r>
        <w:rPr>
          <w:rFonts w:ascii="Arial" w:cs="Arial" w:eastAsia="Arial" w:hAnsi="Arial"/>
          <w:sz w:val="16"/>
          <w:szCs w:val="16"/>
          <w:color w:val="auto"/>
        </w:rPr>
        <w:t>The true and correct U.S. taxpayer identification number of each Borrower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 not a Foreign Obligor is set forth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The true and correct unique identification number of each Foreign Obligor that is a party hereto on the Closing Date that has been issued by its jurisdiction of organization and the name of such jurisdiction are set forth on </w:t>
      </w:r>
      <w:r>
        <w:rPr>
          <w:rFonts w:ascii="Arial" w:cs="Arial" w:eastAsia="Arial" w:hAnsi="Arial"/>
          <w:sz w:val="16"/>
          <w:szCs w:val="16"/>
          <w:u w:val="single" w:color="auto"/>
          <w:color w:val="auto"/>
        </w:rPr>
        <w:t>Schedule 5.19</w:t>
      </w:r>
      <w:r>
        <w:rPr>
          <w:rFonts w:ascii="Arial" w:cs="Arial" w:eastAsia="Arial" w:hAnsi="Arial"/>
          <w:sz w:val="16"/>
          <w:szCs w:val="16"/>
          <w:color w:val="auto"/>
        </w:rPr>
        <w:t>.</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AFFIRMATIVE COVENANTS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So long as any Lender shall have any Commitment hereunder, any Loan or other Obligation hereunder shall remain unpaid or unsatisfied, or any Letter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Credit shall remain outstanding, Toro shall, and shall (except in the case of the covenants set forth in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6.03</w:t>
      </w:r>
      <w:r>
        <w:rPr>
          <w:rFonts w:ascii="Arial" w:cs="Arial" w:eastAsia="Arial" w:hAnsi="Arial"/>
          <w:sz w:val="16"/>
          <w:szCs w:val="16"/>
          <w:color w:val="auto"/>
        </w:rPr>
        <w:t>) cause each Subsidiary to:</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6.01 Financial Statements. </w:t>
      </w:r>
      <w:r>
        <w:rPr>
          <w:rFonts w:ascii="Arial" w:cs="Arial" w:eastAsia="Arial" w:hAnsi="Arial"/>
          <w:sz w:val="16"/>
          <w:szCs w:val="16"/>
          <w:color w:val="auto"/>
        </w:rPr>
        <w:t>Deliver to the Administrative Agent and each Lender, in form and detail satisfactory to the Administrative Agent and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Required Lenders:</w:t>
      </w:r>
    </w:p>
    <w:p>
      <w:pPr>
        <w:spacing w:after="0" w:line="165" w:lineRule="exact"/>
        <w:rPr>
          <w:sz w:val="20"/>
          <w:szCs w:val="20"/>
          <w:color w:val="auto"/>
        </w:rPr>
      </w:pPr>
    </w:p>
    <w:p>
      <w:pPr>
        <w:ind w:right="40" w:firstLine="464"/>
        <w:spacing w:after="0" w:line="291" w:lineRule="auto"/>
        <w:tabs>
          <w:tab w:leader="none" w:pos="69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as soon as available, but in any event within 120 days after the end of each fiscal year of Toro, a consolidated balance sheet of Toro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20" w:lineRule="exact"/>
        <w:rPr>
          <w:rFonts w:ascii="Arial" w:cs="Arial" w:eastAsia="Arial" w:hAnsi="Arial"/>
          <w:sz w:val="16"/>
          <w:szCs w:val="16"/>
          <w:color w:val="auto"/>
        </w:rPr>
      </w:pPr>
    </w:p>
    <w:p>
      <w:pPr>
        <w:ind w:right="40" w:firstLine="464"/>
        <w:spacing w:after="0" w:line="255"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soon as available, but in any event within 50 days after the end of each of the first three fiscal quarters of each fiscal year of Toro, a consolidated balance sheet of Toro and its Subsidiaries as at the end of such fiscal quarter, and the related consolidated statements of income or operations, stockholders’ equity and cash flows for such fiscal quarter and for the portion of Toro’s fiscal year then ended, setting forth in each case in comparative form the figures for the corresponding fiscal quarter of the previous fiscal year and the corresponding portion of the previous fiscal year, all in reasonable detail, such consolidated statements to be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80" w:right="279" w:bottom="1440" w:gutter="0" w:footer="0" w:header="0"/>
        </w:sectPr>
      </w:pPr>
    </w:p>
    <w:bookmarkStart w:id="86" w:name="page87"/>
    <w:bookmarkEnd w:id="86"/>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certified by a Responsible Officer of Toro as fairly presenting the financial condition, results of operations, stockholders’ equity and cash flows of Toro and its Subsidiaries in accordance with GAAP, subject only to normal year-end audit adjustments and the absence of footnotes.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to any information contained in materials furnished pursuant to </w:t>
      </w:r>
      <w:r>
        <w:rPr>
          <w:rFonts w:ascii="Arial" w:cs="Arial" w:eastAsia="Arial" w:hAnsi="Arial"/>
          <w:sz w:val="16"/>
          <w:szCs w:val="16"/>
          <w:u w:val="single" w:color="auto"/>
          <w:color w:val="auto"/>
        </w:rPr>
        <w:t>Section 6.02(c)</w:t>
      </w:r>
      <w:r>
        <w:rPr>
          <w:rFonts w:ascii="Arial" w:cs="Arial" w:eastAsia="Arial" w:hAnsi="Arial"/>
          <w:sz w:val="16"/>
          <w:szCs w:val="16"/>
          <w:color w:val="auto"/>
        </w:rPr>
        <w:t xml:space="preserve">, Toro shall not be separately required to furnish such information under </w:t>
      </w:r>
      <w:r>
        <w:rPr>
          <w:rFonts w:ascii="Arial" w:cs="Arial" w:eastAsia="Arial" w:hAnsi="Arial"/>
          <w:sz w:val="16"/>
          <w:szCs w:val="16"/>
          <w:u w:val="single" w:color="auto"/>
          <w:color w:val="auto"/>
        </w:rPr>
        <w:t>clause</w:t>
      </w:r>
    </w:p>
    <w:p>
      <w:pPr>
        <w:spacing w:after="0" w:line="38" w:lineRule="exact"/>
        <w:rPr>
          <w:sz w:val="20"/>
          <w:szCs w:val="20"/>
          <w:color w:val="auto"/>
        </w:rPr>
      </w:pPr>
    </w:p>
    <w:p>
      <w:pPr>
        <w:ind w:left="240" w:hanging="232"/>
        <w:spacing w:after="0"/>
        <w:tabs>
          <w:tab w:leader="none" w:pos="240" w:val="left"/>
        </w:tabs>
        <w:numPr>
          <w:ilvl w:val="0"/>
          <w:numId w:val="103"/>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but the foregoing shall not be in derogation of the obligation of Toro to furnish the information and materials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w:t>
      </w:r>
    </w:p>
    <w:p>
      <w:pPr>
        <w:spacing w:after="0" w:line="32" w:lineRule="exact"/>
        <w:rPr>
          <w:rFonts w:ascii="Arial" w:cs="Arial" w:eastAsia="Arial" w:hAnsi="Arial"/>
          <w:sz w:val="16"/>
          <w:szCs w:val="16"/>
          <w:u w:val="single" w:color="auto"/>
          <w:color w:val="auto"/>
        </w:rPr>
      </w:pPr>
    </w:p>
    <w:p>
      <w:pPr>
        <w:ind w:left="260" w:hanging="252"/>
        <w:spacing w:after="0"/>
        <w:tabs>
          <w:tab w:leader="none" w:pos="260" w:val="left"/>
        </w:tabs>
        <w:numPr>
          <w:ilvl w:val="0"/>
          <w:numId w:val="103"/>
        </w:numPr>
        <w:rPr>
          <w:rFonts w:ascii="Arial" w:cs="Arial" w:eastAsia="Arial" w:hAnsi="Arial"/>
          <w:sz w:val="18"/>
          <w:szCs w:val="18"/>
          <w:u w:val="single" w:color="auto"/>
          <w:color w:val="auto"/>
        </w:rPr>
      </w:pPr>
      <w:r>
        <w:rPr>
          <w:rFonts w:ascii="Arial" w:cs="Arial" w:eastAsia="Arial" w:hAnsi="Arial"/>
          <w:sz w:val="18"/>
          <w:szCs w:val="18"/>
          <w:color w:val="auto"/>
        </w:rPr>
        <w:t>above at the times specified therein.</w:t>
      </w:r>
    </w:p>
    <w:p>
      <w:pPr>
        <w:spacing w:after="0" w:line="159"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6.02 Certificates; Other Information. </w:t>
      </w:r>
      <w:r>
        <w:rPr>
          <w:rFonts w:ascii="Arial" w:cs="Arial" w:eastAsia="Arial" w:hAnsi="Arial"/>
          <w:sz w:val="18"/>
          <w:szCs w:val="18"/>
          <w:color w:val="auto"/>
        </w:rPr>
        <w:t>Deliver to the Administrative Agent and each Lender, in form and detail satisfactory to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Required Lenders:</w:t>
      </w:r>
    </w:p>
    <w:p>
      <w:pPr>
        <w:spacing w:after="0" w:line="126" w:lineRule="exact"/>
        <w:rPr>
          <w:sz w:val="20"/>
          <w:szCs w:val="20"/>
          <w:color w:val="auto"/>
        </w:rPr>
      </w:pPr>
    </w:p>
    <w:p>
      <w:pPr>
        <w:ind w:right="180" w:firstLine="464"/>
        <w:spacing w:after="0" w:line="268"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a Responsible Officer of Toro;</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management letters or recommendations submitted to the board of directors (or the audit committee of the board of directors) of Toro by independent accountants in connection with the accounts or books of Toro or any Subsidiary, or any audit of any of them;</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promptly after the same are available, copies of each annual report, proxy or financial statement or other report or communication sent to the</w:t>
      </w:r>
    </w:p>
    <w:p>
      <w:pPr>
        <w:spacing w:after="0" w:line="38" w:lineRule="exact"/>
        <w:rPr>
          <w:rFonts w:ascii="Arial" w:cs="Arial" w:eastAsia="Arial" w:hAnsi="Arial"/>
          <w:sz w:val="16"/>
          <w:szCs w:val="16"/>
          <w:color w:val="auto"/>
        </w:rPr>
      </w:pPr>
    </w:p>
    <w:p>
      <w:pPr>
        <w:ind w:right="80"/>
        <w:spacing w:after="0" w:line="323" w:lineRule="auto"/>
        <w:rPr>
          <w:rFonts w:ascii="Arial" w:cs="Arial" w:eastAsia="Arial" w:hAnsi="Arial"/>
          <w:sz w:val="16"/>
          <w:szCs w:val="16"/>
          <w:color w:val="auto"/>
        </w:rPr>
      </w:pPr>
      <w:r>
        <w:rPr>
          <w:rFonts w:ascii="Arial" w:cs="Arial" w:eastAsia="Arial" w:hAnsi="Arial"/>
          <w:sz w:val="16"/>
          <w:szCs w:val="16"/>
          <w:color w:val="auto"/>
        </w:rPr>
        <w:t>stockholders of Toro, and copies of all annual, regular, periodic and special reports and registration statements which Toro may file or be required to file with the SEC under Section 13 or 15(d) of the Exchange Act, and not otherwise required to be delivered to the Administrative Agent pursuant hereto;</w:t>
      </w:r>
    </w:p>
    <w:p>
      <w:pPr>
        <w:spacing w:after="0" w:line="92" w:lineRule="exact"/>
        <w:rPr>
          <w:rFonts w:ascii="Arial" w:cs="Arial" w:eastAsia="Arial" w:hAnsi="Arial"/>
          <w:sz w:val="16"/>
          <w:szCs w:val="16"/>
          <w:color w:val="auto"/>
        </w:rPr>
      </w:pPr>
    </w:p>
    <w:p>
      <w:pPr>
        <w:ind w:firstLine="464"/>
        <w:spacing w:after="0" w:line="268"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concurrently with the closing of a Receivables Purchase Facility, a copy of the documentation related thereto certified by a Responsible Officer as being true, correct and complete;</w:t>
      </w:r>
    </w:p>
    <w:p>
      <w:pPr>
        <w:spacing w:after="0" w:line="131" w:lineRule="exact"/>
        <w:rPr>
          <w:rFonts w:ascii="Arial" w:cs="Arial" w:eastAsia="Arial" w:hAnsi="Arial"/>
          <w:sz w:val="18"/>
          <w:szCs w:val="18"/>
          <w:color w:val="auto"/>
        </w:rPr>
      </w:pPr>
    </w:p>
    <w:p>
      <w:pPr>
        <w:ind w:firstLine="464"/>
        <w:spacing w:after="0" w:line="298"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So long as it is not precluded from doing so by the rules of the SEC or other comparable agency, promptly, and in any event within five Business Days after receipt thereof by any Loan Party or any Subsidiary thereof, copies of each notice or other correspondence, other than routine comments on filed documents, received from the SEC (or comparable agency in any applicable non-U.S. jurisdiction) concerning any investigation (whether formal or informal) by such agency regarding financial or other operational results of any Loan Party or any Subsidiary thereof; and</w:t>
      </w:r>
    </w:p>
    <w:p>
      <w:pPr>
        <w:spacing w:after="0" w:line="112" w:lineRule="exact"/>
        <w:rPr>
          <w:rFonts w:ascii="Arial" w:cs="Arial" w:eastAsia="Arial" w:hAnsi="Arial"/>
          <w:sz w:val="16"/>
          <w:szCs w:val="16"/>
          <w:color w:val="auto"/>
        </w:rPr>
      </w:pPr>
    </w:p>
    <w:p>
      <w:pPr>
        <w:ind w:right="200" w:firstLine="464"/>
        <w:spacing w:after="0" w:line="268" w:lineRule="auto"/>
        <w:tabs>
          <w:tab w:leader="none" w:pos="67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Toro or any Subsidiary, or compliance with the terms of the Loan Documents, as the Administrative Agent or any Lender may from time to time reasonably request.</w:t>
      </w:r>
    </w:p>
    <w:p>
      <w:pPr>
        <w:spacing w:after="0" w:line="51" w:lineRule="exact"/>
        <w:rPr>
          <w:sz w:val="20"/>
          <w:szCs w:val="20"/>
          <w:color w:val="auto"/>
        </w:rPr>
      </w:pPr>
    </w:p>
    <w:p>
      <w:pPr>
        <w:ind w:left="460" w:right="320"/>
        <w:spacing w:after="0" w:line="259"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Toro posts such documents, or provides a link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87" w:name="page88"/>
    <w:bookmarkEnd w:id="87"/>
    <w:p>
      <w:pPr>
        <w:ind w:left="460" w:right="6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 Toro’s website on the Internet at the website address listed on </w:t>
      </w:r>
      <w:r>
        <w:rPr>
          <w:rFonts w:ascii="Arial" w:cs="Arial" w:eastAsia="Arial" w:hAnsi="Arial"/>
          <w:sz w:val="15"/>
          <w:szCs w:val="15"/>
          <w:u w:val="single" w:color="auto"/>
          <w:color w:val="auto"/>
        </w:rPr>
        <w:t>Schedule 11.02</w:t>
      </w:r>
      <w:r>
        <w:rPr>
          <w:rFonts w:ascii="Arial" w:cs="Arial" w:eastAsia="Arial" w:hAnsi="Arial"/>
          <w:sz w:val="15"/>
          <w:szCs w:val="15"/>
          <w:color w:val="auto"/>
        </w:rPr>
        <w:t xml:space="preserve">; or (ii) on which such documents are posted on Toro’s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Toro shall deliver paper copies of such documents to the Administrative Agent or any Lender that requests Toro to deliver such paper copies until a written request to cease delivering paper copies is given by the Administrative Agent or such Lender and (ii) Toro shall notify the Administrative Agent and each Lender (by telecopier or electronic mail) of the posting of any such documents and provide to the Administrative Agent by electronic mail electronic versions (</w:t>
      </w:r>
      <w:r>
        <w:rPr>
          <w:rFonts w:ascii="Arial" w:cs="Arial" w:eastAsia="Arial" w:hAnsi="Arial"/>
          <w:sz w:val="15"/>
          <w:szCs w:val="15"/>
          <w:u w:val="single" w:color="auto"/>
          <w:color w:val="auto"/>
        </w:rPr>
        <w:t>i.e.</w:t>
      </w:r>
      <w:r>
        <w:rPr>
          <w:rFonts w:ascii="Arial" w:cs="Arial" w:eastAsia="Arial" w:hAnsi="Arial"/>
          <w:sz w:val="15"/>
          <w:szCs w:val="15"/>
          <w:color w:val="auto"/>
        </w:rPr>
        <w:t>, soft copies) of such documents. The Administrative Agent shall have no obligation to request the delivery or to maintain copies of the documents referred to above, and in any event shall have no responsibility to monitor compliance by Toro with any such request for delivery, and each Lender shall be solely responsible for requesting delivery to it or maintaining its copies of such documents.</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Borrower hereby acknowledges that (a) the Administrative Agent and/or the Arrangers will make available to the Lenders and the L/C Issuer materials and/or information provided by or on behalf of the Borrowers hereunder (collectively, “Borrower Materials”) by posting the Borrower Materials on IntraLinks or another similar electronic system (the “Platform”)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 and the Lenders to treat such Borrower Materials as not containing any material non-public information with respect to such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11.07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6.03 Notices. </w:t>
      </w:r>
      <w:r>
        <w:rPr>
          <w:rFonts w:ascii="Arial" w:cs="Arial" w:eastAsia="Arial" w:hAnsi="Arial"/>
          <w:sz w:val="18"/>
          <w:szCs w:val="18"/>
          <w:color w:val="auto"/>
        </w:rPr>
        <w:t>Promptly notify the Administrative Agent and each Lender:</w:t>
      </w:r>
    </w:p>
    <w:p>
      <w:pPr>
        <w:spacing w:after="0" w:line="177" w:lineRule="exact"/>
        <w:rPr>
          <w:sz w:val="20"/>
          <w:szCs w:val="20"/>
          <w:color w:val="auto"/>
        </w:rPr>
      </w:pPr>
    </w:p>
    <w:p>
      <w:pPr>
        <w:ind w:right="260" w:firstLine="464"/>
        <w:spacing w:after="0" w:line="268"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and of the occurrence or existence of any event or circumstance that foreseeably will become a Default or Event of Default;</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 including (i) breach or non-performance of, or any default under, a Contractual Obligation of any Borrower or any Subsidiary; (ii) any dispute, litigation,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88" w:name="page89"/>
    <w:bookmarkEnd w:id="8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investigation, proceeding or suspension between any Borrower or any Subsidiary and any Governmental Authority; or (iii) the commencement of, or any material development in, any litigation or proceeding affecting any Borrower or any Subsidiary, including pursuant to any applicable Environmental Laws in each case under (i), (ii) or (iii) above, which (A) is reasonably likely to create liability to any Borrower in excess of $25,000,000 in any individual circumstance or in excess of $50,000,000 in the aggregate for all such circumstances, or (B) is otherwise reasonably likely to have a Material Adverse Effect and (iv) other matter that has resulted or is reasonably likely to result in a Material Adverse Effect;</w:t>
      </w:r>
    </w:p>
    <w:p>
      <w:pPr>
        <w:spacing w:after="0" w:line="116" w:lineRule="exact"/>
        <w:rPr>
          <w:sz w:val="20"/>
          <w:szCs w:val="20"/>
          <w:color w:val="auto"/>
        </w:rPr>
      </w:pPr>
    </w:p>
    <w:p>
      <w:pPr>
        <w:ind w:right="220" w:firstLine="464"/>
        <w:spacing w:after="0" w:line="306" w:lineRule="auto"/>
        <w:tabs>
          <w:tab w:leader="none" w:pos="6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of the occurrence of any of the following events affecting any Borrower or any ERISA Affiliate (but in no event more than 10 days after such event), and deliver to the Administrative Agent and each Lender a copy of any notice with respect to such event that is filed with a Governmental Authority and any notice delivered by a Governmental Authority to any of the Borrowers or any ERISA Affiliate with respect to such event:</w:t>
      </w:r>
    </w:p>
    <w:p>
      <w:pPr>
        <w:spacing w:after="0" w:line="25" w:lineRule="exact"/>
        <w:rPr>
          <w:rFonts w:ascii="Arial" w:cs="Arial" w:eastAsia="Arial" w:hAnsi="Arial"/>
          <w:sz w:val="16"/>
          <w:szCs w:val="16"/>
          <w:color w:val="auto"/>
        </w:rPr>
      </w:pPr>
    </w:p>
    <w:p>
      <w:pPr>
        <w:ind w:left="1120" w:hanging="217"/>
        <w:spacing w:after="0"/>
        <w:tabs>
          <w:tab w:leader="none" w:pos="11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 ERISA Event;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material increase in the Unfunded Pension Liability of any Pension Plan;</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adoption of, or the commencement of contributions to, any Plan subject to Section 412 of the Code by any Borrower or any ERISA Affiliate;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460" w:right="40" w:firstLine="443"/>
        <w:spacing w:after="0" w:line="268" w:lineRule="auto"/>
        <w:tabs>
          <w:tab w:leader="none" w:pos="119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adoption of any amendment to a Plan subject to Section 412 of the Code, if such amendment results in a material increase in contributions or Unfunded Pension Liability;</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of any material change in accounting policies or financial reporting practices by the Borrowers or any of their consolidated Subsidiaries, including any determination by the Borrowers referred to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in a Debt Rating.</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6.03(e</w:t>
      </w:r>
      <w:r>
        <w:rPr>
          <w:rFonts w:ascii="Arial" w:cs="Arial" w:eastAsia="Arial" w:hAnsi="Arial"/>
          <w:sz w:val="18"/>
          <w:szCs w:val="18"/>
          <w:color w:val="auto"/>
        </w:rPr>
        <w:t xml:space="preserve">) shall be accompanied by a statement of a Responsible Officer of Toro setting forth details of the occurrence referred to therein and stating what action the applicable Borrower has taken and proposes to take with respect thereto. Each notice pursuant to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shall describe with particularity any and all provisions of this Agreement and any other Loan Document that have been or foreseeably will be breached or violated.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6.04 [Intentionally Deleted.]</w:t>
      </w:r>
    </w:p>
    <w:p>
      <w:pPr>
        <w:spacing w:after="0" w:line="171"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b w:val="1"/>
          <w:bCs w:val="1"/>
          <w:color w:val="auto"/>
        </w:rPr>
        <w:t xml:space="preserve">6.05 Preservation of Existence, Etc. </w:t>
      </w:r>
      <w:r>
        <w:rPr>
          <w:rFonts w:ascii="Arial" w:cs="Arial" w:eastAsia="Arial" w:hAnsi="Arial"/>
          <w:sz w:val="18"/>
          <w:szCs w:val="18"/>
          <w:color w:val="auto"/>
        </w:rPr>
        <w:t>(a) Preserve, renew and maintain in full force and effect its legal existence and good standing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jurisdiction of its organization except in a transaction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7.03</w:t>
      </w:r>
      <w:r>
        <w:rPr>
          <w:rFonts w:ascii="Arial" w:cs="Arial" w:eastAsia="Arial" w:hAnsi="Arial"/>
          <w:sz w:val="18"/>
          <w:szCs w:val="18"/>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89" w:name="page90"/>
    <w:bookmarkEnd w:id="8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notwithstanding any of the foregoing that Toro shall be permitted to liquidate and dissolve any Subsidiary Borrower into Toro or another Subsidiary Borrower in accordance with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26"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 xml:space="preserve">6.06 Maintenance of Properties. </w:t>
      </w:r>
      <w:r>
        <w:rPr>
          <w:rFonts w:ascii="Arial" w:cs="Arial" w:eastAsia="Arial" w:hAnsi="Arial"/>
          <w:sz w:val="16"/>
          <w:szCs w:val="16"/>
          <w:color w:val="auto"/>
        </w:rPr>
        <w:t>Exercise its best business judgment to maintain and preserve all its property which is used or useful in its business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good working order and condition, ordinary wear and tear excepted; provided, however, that nothing in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shall prevent any Borrower from discontinuing the operation or maintenance of any such property if such discontinuance will not result in a Material Adverse Effect and the Board of Directors of such Borrower determines, in its best business judgment, that the continued use thereof is no longer desirable to the conduct of the business of such Borrower.</w:t>
      </w:r>
    </w:p>
    <w:p>
      <w:pPr>
        <w:spacing w:after="0" w:line="103"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6.07 Maintenance of Insurance. </w:t>
      </w:r>
      <w:r>
        <w:rPr>
          <w:rFonts w:ascii="Arial" w:cs="Arial" w:eastAsia="Arial" w:hAnsi="Arial"/>
          <w:sz w:val="16"/>
          <w:szCs w:val="16"/>
          <w:color w:val="auto"/>
        </w:rPr>
        <w:t>Maintain with financially sound and reputable insurers, insurance with respect to its properties and business against loss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damage of the kinds customarily insured against by Persons engaged in the same or similar business, of such types and in such amounts as are customarily carried under similar circumstances by such other Persons; provided, however, that nothing in this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shall be deemed to prevent the Borrowers from self insuring or insuring through a captive insurance subsidiary such risks as are customarily self insured or insured through captive insurance subsidiaries by other corporations in the same business and similarly situated in accordance with sound business practices.</w:t>
      </w:r>
    </w:p>
    <w:p>
      <w:pPr>
        <w:spacing w:after="0" w:line="108"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6.08 Compliance with Laws and Contractual Obligations. </w:t>
      </w:r>
      <w:r>
        <w:rPr>
          <w:rFonts w:ascii="Arial" w:cs="Arial" w:eastAsia="Arial" w:hAnsi="Arial"/>
          <w:sz w:val="16"/>
          <w:szCs w:val="16"/>
          <w:color w:val="auto"/>
        </w:rPr>
        <w:t>Comply, and cause each Subsidiary to comply, with all Contractual Obligations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Law of any Governmental Authority having jurisdiction over it or its business including, without limitation, all Environmental Laws except to the extent that the failure to so comply may not have a Material Adverse Effect and paying before the same become delinquent, all taxes, assessments and government charges imposed upon it or upon its property, income or assets, except those which are being contested in good faith by appropriate proceedings and for which adequate reserves have been provided in accordance with GAAP.</w:t>
      </w:r>
    </w:p>
    <w:p>
      <w:pPr>
        <w:spacing w:after="0" w:line="108" w:lineRule="exact"/>
        <w:rPr>
          <w:sz w:val="20"/>
          <w:szCs w:val="20"/>
          <w:color w:val="auto"/>
        </w:rPr>
      </w:pPr>
    </w:p>
    <w:p>
      <w:pPr>
        <w:ind w:right="440" w:firstLine="456"/>
        <w:spacing w:after="0" w:line="339" w:lineRule="auto"/>
        <w:rPr>
          <w:sz w:val="20"/>
          <w:szCs w:val="20"/>
          <w:color w:val="auto"/>
        </w:rPr>
      </w:pPr>
      <w:r>
        <w:rPr>
          <w:rFonts w:ascii="Arial" w:cs="Arial" w:eastAsia="Arial" w:hAnsi="Arial"/>
          <w:sz w:val="16"/>
          <w:szCs w:val="16"/>
          <w:b w:val="1"/>
          <w:bCs w:val="1"/>
          <w:color w:val="auto"/>
        </w:rPr>
        <w:t xml:space="preserve">6.09 Books and Records. </w:t>
      </w:r>
      <w:r>
        <w:rPr>
          <w:rFonts w:ascii="Arial" w:cs="Arial" w:eastAsia="Arial" w:hAnsi="Arial"/>
          <w:sz w:val="16"/>
          <w:szCs w:val="16"/>
          <w:color w:val="auto"/>
        </w:rPr>
        <w:t>Maintain proper books of record and account, in which full, true and correct entries in conformity with GAAP consistently</w:t>
      </w:r>
      <w:r>
        <w:rPr>
          <w:rFonts w:ascii="Arial" w:cs="Arial" w:eastAsia="Arial" w:hAnsi="Arial"/>
          <w:sz w:val="16"/>
          <w:szCs w:val="16"/>
          <w:b w:val="1"/>
          <w:bCs w:val="1"/>
          <w:color w:val="auto"/>
        </w:rPr>
        <w:t xml:space="preserve"> </w:t>
      </w:r>
      <w:r>
        <w:rPr>
          <w:rFonts w:ascii="Arial" w:cs="Arial" w:eastAsia="Arial" w:hAnsi="Arial"/>
          <w:sz w:val="16"/>
          <w:szCs w:val="16"/>
          <w:color w:val="auto"/>
        </w:rPr>
        <w:t>applied shall be made of all financial transactions and matters involving the assets and business of Toro or such Subsidiary, as the case may be.</w:t>
      </w:r>
    </w:p>
    <w:p>
      <w:pPr>
        <w:spacing w:after="0" w:line="74"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6.10 Inspection Rights. </w:t>
      </w:r>
      <w:r>
        <w:rPr>
          <w:rFonts w:ascii="Arial" w:cs="Arial" w:eastAsia="Arial" w:hAnsi="Arial"/>
          <w:sz w:val="16"/>
          <w:szCs w:val="16"/>
          <w:color w:val="auto"/>
        </w:rPr>
        <w:t>Permit representatives and independent contractors of the Administrative Agent and each Lender to visit and inspect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properties, to examine its corporate, financial and operating records, and make copies thereof or abstracts therefrom (except to the extent any of such records are proprietary in nature), and to discuss its affairs, finances and accounts with its directors, officers, and independent public accountants, all at such reasonable times during normal business hours and as often as may be reasonably desired, upon reasonable advance notice to Toro;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90" w:name="page91"/>
    <w:bookmarkEnd w:id="90"/>
    <w:p>
      <w:pPr>
        <w:ind w:firstLine="456"/>
        <w:spacing w:after="0" w:line="30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Use of Proceeds. </w:t>
      </w:r>
      <w:r>
        <w:rPr>
          <w:rFonts w:ascii="Arial" w:cs="Arial" w:eastAsia="Arial" w:hAnsi="Arial"/>
          <w:sz w:val="15"/>
          <w:szCs w:val="15"/>
          <w:color w:val="auto"/>
        </w:rPr>
        <w:t>Each Borrower shall use the proceeds of the Credit Extensions for (a) general working capital needs and capital expenditures (b)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replacement and refinancing of outstanding indebtedness under the Existing Credit Agreement, (c) subject to the proviso below, the purchase or other acquisition by Toro of shares of its capital stock and related preferred stock purchase rights to the extent permitted by </w:t>
      </w:r>
      <w:r>
        <w:rPr>
          <w:rFonts w:ascii="Arial" w:cs="Arial" w:eastAsia="Arial" w:hAnsi="Arial"/>
          <w:sz w:val="15"/>
          <w:szCs w:val="15"/>
          <w:u w:val="single" w:color="auto"/>
          <w:color w:val="auto"/>
        </w:rPr>
        <w:t>Section 7.07(c)</w:t>
      </w:r>
      <w:r>
        <w:rPr>
          <w:rFonts w:ascii="Arial" w:cs="Arial" w:eastAsia="Arial" w:hAnsi="Arial"/>
          <w:sz w:val="15"/>
          <w:szCs w:val="15"/>
          <w:color w:val="auto"/>
        </w:rPr>
        <w:t xml:space="preserve">, and (d) other lawful corporate purposes (including Acquisitions permitted by </w:t>
      </w:r>
      <w:r>
        <w:rPr>
          <w:rFonts w:ascii="Arial" w:cs="Arial" w:eastAsia="Arial" w:hAnsi="Arial"/>
          <w:sz w:val="15"/>
          <w:szCs w:val="15"/>
          <w:u w:val="single" w:color="auto"/>
          <w:color w:val="auto"/>
        </w:rPr>
        <w:t>Section 7.04(d)</w:t>
      </w:r>
      <w:r>
        <w:rPr>
          <w:rFonts w:ascii="Arial" w:cs="Arial" w:eastAsia="Arial" w:hAnsi="Arial"/>
          <w:sz w:val="15"/>
          <w:szCs w:val="15"/>
          <w:color w:val="auto"/>
        </w:rPr>
        <w:t xml:space="preserve">), other than, directly or indirectly, (i) for purposes of undertaking an Acquisition or Joint Venture in contravention of any Law or of any Loan Document, (ii) to purchase or carry Margin Stock, (iii) to repay or otherwise refinance indebtedness of any Borrower or others incurred to purchase or carry Margin Stock, (iv) to extend credit for the purpose of purchasing or carrying any Margin Stock, or (v) to acquire any security in any transaction that is subject to Section 13 or 14 of the Exchange Act;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however, that notwithstanding </w:t>
      </w:r>
      <w:r>
        <w:rPr>
          <w:rFonts w:ascii="Arial" w:cs="Arial" w:eastAsia="Arial" w:hAnsi="Arial"/>
          <w:sz w:val="15"/>
          <w:szCs w:val="15"/>
          <w:u w:val="single" w:color="auto"/>
          <w:color w:val="auto"/>
        </w:rPr>
        <w:t>clauses (ii)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(v)</w:t>
      </w:r>
      <w:r>
        <w:rPr>
          <w:rFonts w:ascii="Arial" w:cs="Arial" w:eastAsia="Arial" w:hAnsi="Arial"/>
          <w:sz w:val="15"/>
          <w:szCs w:val="15"/>
          <w:color w:val="auto"/>
        </w:rPr>
        <w:t xml:space="preserve"> above, Toro may use proceeds of Loans as described in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above so long as either (x) the Margin Stock so acquired is promptly retired following the purchase or other acquisition thereof or (y) at all times and after giving effect to each such purchase or acquisition, not more than twenty five percent (25%) of the total assets of the Borrowers and their Subsidiaries on a consolidated basis are represented by Margin Stock owned by the Borrowers and their Subsidiaries on a consolidated basis.</w:t>
      </w:r>
    </w:p>
    <w:p>
      <w:pPr>
        <w:spacing w:after="0" w:line="102"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b w:val="1"/>
          <w:bCs w:val="1"/>
          <w:color w:val="auto"/>
        </w:rPr>
        <w:t xml:space="preserve">6.12 Approvals and Authorizations. </w:t>
      </w:r>
      <w:r>
        <w:rPr>
          <w:rFonts w:ascii="Arial" w:cs="Arial" w:eastAsia="Arial" w:hAnsi="Arial"/>
          <w:sz w:val="18"/>
          <w:szCs w:val="18"/>
          <w:color w:val="auto"/>
        </w:rPr>
        <w:t>Maintain all authorizations, consents, approvals and licenses from, exemptions of, and filings and registrations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So long as any Lender shall have any Commitment hereunder, or any Loan, Swing Line Loan or other Obligation shall remain unpaid or unsatisfied, or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shall remain outstanding, unless the Required Lenders waive compliance in writing:</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7.01 Limitation on Liens</w:t>
      </w:r>
      <w:r>
        <w:rPr>
          <w:rFonts w:ascii="Arial" w:cs="Arial" w:eastAsia="Arial" w:hAnsi="Arial"/>
          <w:sz w:val="16"/>
          <w:szCs w:val="16"/>
          <w:color w:val="auto"/>
        </w:rPr>
        <w:t>. None of the Borrowers shall, or permit any Subsidiary to, directly or indirectly, make, create, incur, assume or suffer to exist 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Lien upon or with respect to any part of their respective property, whether now owned or hereafter acquired, other than the following (“</w:t>
      </w:r>
      <w:r>
        <w:rPr>
          <w:rFonts w:ascii="Arial" w:cs="Arial" w:eastAsia="Arial" w:hAnsi="Arial"/>
          <w:sz w:val="16"/>
          <w:szCs w:val="16"/>
          <w:u w:val="single" w:color="auto"/>
          <w:color w:val="auto"/>
        </w:rPr>
        <w:t>Permitted Liens</w:t>
      </w:r>
      <w:r>
        <w:rPr>
          <w:rFonts w:ascii="Arial" w:cs="Arial" w:eastAsia="Arial" w:hAnsi="Arial"/>
          <w:sz w:val="16"/>
          <w:szCs w:val="16"/>
          <w:color w:val="auto"/>
        </w:rPr>
        <w:t>”):</w:t>
      </w:r>
    </w:p>
    <w:p>
      <w:pPr>
        <w:spacing w:after="0" w:line="188" w:lineRule="exact"/>
        <w:rPr>
          <w:sz w:val="20"/>
          <w:szCs w:val="20"/>
          <w:color w:val="auto"/>
        </w:rPr>
      </w:pPr>
    </w:p>
    <w:p>
      <w:pPr>
        <w:ind w:right="100" w:firstLine="464"/>
        <w:spacing w:after="0" w:line="268"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any Lien existing on property of any Borrower or any Subsidiary on the Closing Date and set forth in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securing Indebtedness outstanding on such date (“</w:t>
      </w:r>
      <w:r>
        <w:rPr>
          <w:rFonts w:ascii="Arial" w:cs="Arial" w:eastAsia="Arial" w:hAnsi="Arial"/>
          <w:sz w:val="18"/>
          <w:szCs w:val="18"/>
          <w:u w:val="single" w:color="auto"/>
          <w:color w:val="auto"/>
        </w:rPr>
        <w:t>Existing Liens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Lien created under any Loan Document;</w:t>
      </w:r>
    </w:p>
    <w:p>
      <w:pPr>
        <w:spacing w:after="0" w:line="171" w:lineRule="exact"/>
        <w:rPr>
          <w:rFonts w:ascii="Arial" w:cs="Arial" w:eastAsia="Arial" w:hAnsi="Arial"/>
          <w:sz w:val="18"/>
          <w:szCs w:val="18"/>
          <w:color w:val="auto"/>
        </w:rPr>
      </w:pPr>
    </w:p>
    <w:p>
      <w:pPr>
        <w:ind w:right="60" w:firstLine="464"/>
        <w:spacing w:after="0" w:line="268"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governmental charges which are not delinquent or remain payable without penalty, provided that no notice of lien has been filed or recorded under the Code;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28" w:right="239" w:bottom="1440" w:gutter="0" w:footer="0" w:header="0"/>
        </w:sectPr>
      </w:pPr>
    </w:p>
    <w:bookmarkStart w:id="91" w:name="page92"/>
    <w:bookmarkEnd w:id="91"/>
    <w:p>
      <w:pPr>
        <w:ind w:right="100" w:firstLine="464"/>
        <w:spacing w:after="0" w:line="259"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140" w:lineRule="exact"/>
        <w:rPr>
          <w:rFonts w:ascii="Arial" w:cs="Arial" w:eastAsia="Arial" w:hAnsi="Arial"/>
          <w:sz w:val="18"/>
          <w:szCs w:val="18"/>
          <w:color w:val="auto"/>
        </w:rPr>
      </w:pPr>
    </w:p>
    <w:p>
      <w:pPr>
        <w:ind w:right="540" w:firstLine="464"/>
        <w:spacing w:after="0" w:line="268"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31" w:lineRule="exact"/>
        <w:rPr>
          <w:rFonts w:ascii="Arial" w:cs="Arial" w:eastAsia="Arial" w:hAnsi="Arial"/>
          <w:sz w:val="18"/>
          <w:szCs w:val="18"/>
          <w:color w:val="auto"/>
        </w:rPr>
      </w:pPr>
    </w:p>
    <w:p>
      <w:pPr>
        <w:ind w:firstLine="464"/>
        <w:spacing w:after="0" w:line="259" w:lineRule="auto"/>
        <w:tabs>
          <w:tab w:leader="none" w:pos="67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on the property of any Borrower or any of its Subsidiaries securing (i) the non-delinquent performance of bids, trade contracts (other than for borrowed money), leases, statutory obligations, (ii) contingent obligations on surety and appeal bonds, and (iii) other non-delinquent obligations of a like nature; in each case, incurred in the ordinary course of business;</w:t>
      </w:r>
    </w:p>
    <w:p>
      <w:pPr>
        <w:spacing w:after="0" w:line="140"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Borrowers and their Subsidiaries;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on property of a Person subject to an Acquisition permitted hereunder existing at the time of such Acquisition;</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Liens existing on the Closing Date on property of one or more Distributor Subsidiaries securing Indebtedness of such Distributor Subsidiaries;</w:t>
      </w:r>
    </w:p>
    <w:p>
      <w:pPr>
        <w:spacing w:after="0" w:line="194" w:lineRule="exact"/>
        <w:rPr>
          <w:rFonts w:ascii="Arial" w:cs="Arial" w:eastAsia="Arial" w:hAnsi="Arial"/>
          <w:sz w:val="16"/>
          <w:szCs w:val="16"/>
          <w:color w:val="auto"/>
        </w:rPr>
      </w:pPr>
    </w:p>
    <w:p>
      <w:pPr>
        <w:ind w:right="120" w:firstLine="464"/>
        <w:spacing w:after="0" w:line="259" w:lineRule="auto"/>
        <w:tabs>
          <w:tab w:leader="none" w:pos="66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Liens on Receivables, lease receivables and other obligations owing to any of the Borrowers or any domestic Wholly-Owned Subsidiary to the extent such Receivables, lease receivables and other obligations have been sold under a Receivables Purchase Facility permitted under </w:t>
      </w:r>
      <w:r>
        <w:rPr>
          <w:rFonts w:ascii="Arial" w:cs="Arial" w:eastAsia="Arial" w:hAnsi="Arial"/>
          <w:sz w:val="18"/>
          <w:szCs w:val="18"/>
          <w:u w:val="single" w:color="auto"/>
          <w:color w:val="auto"/>
        </w:rPr>
        <w:t>Section 7.02(d)</w:t>
      </w:r>
      <w:r>
        <w:rPr>
          <w:rFonts w:ascii="Arial" w:cs="Arial" w:eastAsia="Arial" w:hAnsi="Arial"/>
          <w:sz w:val="18"/>
          <w:szCs w:val="18"/>
          <w:color w:val="auto"/>
        </w:rPr>
        <w:t xml:space="preserve"> or sold as permitted by </w:t>
      </w:r>
      <w:r>
        <w:rPr>
          <w:rFonts w:ascii="Arial" w:cs="Arial" w:eastAsia="Arial" w:hAnsi="Arial"/>
          <w:sz w:val="18"/>
          <w:szCs w:val="18"/>
          <w:u w:val="single" w:color="auto"/>
          <w:color w:val="auto"/>
        </w:rPr>
        <w:t>Section 7.02(e)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right="20" w:firstLine="464"/>
        <w:spacing w:after="0" w:line="298" w:lineRule="auto"/>
        <w:tabs>
          <w:tab w:leader="none" w:pos="70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such deposit account is not a dedicated cash collateral account and is not subject to restrictions against access by the applicable Borrower in excess of those set forth by regulations promulgated by the FRB, and (ii) such deposit account is not intended by any Borrower or any Subsidiary to provide collateral to the depository institution; and</w:t>
      </w:r>
    </w:p>
    <w:p>
      <w:pPr>
        <w:spacing w:after="0" w:line="112" w:lineRule="exact"/>
        <w:rPr>
          <w:rFonts w:ascii="Arial" w:cs="Arial" w:eastAsia="Arial" w:hAnsi="Arial"/>
          <w:sz w:val="16"/>
          <w:szCs w:val="16"/>
          <w:color w:val="auto"/>
        </w:rPr>
      </w:pPr>
    </w:p>
    <w:p>
      <w:pPr>
        <w:jc w:val="both"/>
        <w:ind w:right="240" w:firstLine="464"/>
        <w:spacing w:after="0" w:line="306" w:lineRule="auto"/>
        <w:tabs>
          <w:tab w:leader="none" w:pos="66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Liens not otherwise permitted hereunder on any property securing Indebtedness;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amount of Indebtedness so secured together with Indebtedness permitted to be secured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above shall not exceed in the aggregate at any time outstanding 10% of the consolidated net worth of Toro and its Subsidiaries determined as of the end of the most recently ended fiscal quarter of Toro.</w:t>
      </w:r>
    </w:p>
    <w:p>
      <w:pPr>
        <w:spacing w:after="0" w:line="101"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7.02 Disposition of Assets. </w:t>
      </w:r>
      <w:r>
        <w:rPr>
          <w:rFonts w:ascii="Arial" w:cs="Arial" w:eastAsia="Arial" w:hAnsi="Arial"/>
          <w:sz w:val="18"/>
          <w:szCs w:val="18"/>
          <w:color w:val="auto"/>
        </w:rPr>
        <w:t>None of the Borrowers shall, or shall suffer or permit any Subsidiary to, directly or indirectly, sell, assign, lease, convey,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or otherwise dispose of</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00"/>
          </w:cols>
          <w:pgMar w:left="240" w:top="334" w:right="359" w:bottom="1440" w:gutter="0" w:footer="0" w:header="0"/>
        </w:sectPr>
      </w:pPr>
    </w:p>
    <w:bookmarkStart w:id="92" w:name="page93"/>
    <w:bookmarkEnd w:id="9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in one or a series of transactions) any property (including accounts and notes receivable, with or without recourse) or enter into any agreement to do any of the foregoing, except:</w:t>
      </w:r>
    </w:p>
    <w:p>
      <w:pPr>
        <w:spacing w:after="0" w:line="132" w:lineRule="exact"/>
        <w:rPr>
          <w:sz w:val="20"/>
          <w:szCs w:val="20"/>
          <w:color w:val="auto"/>
        </w:rPr>
      </w:pPr>
    </w:p>
    <w:p>
      <w:pPr>
        <w:ind w:left="700" w:hanging="236"/>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dispositions of inventory, or used, worn-out or surplus property, all in the ordinary course of business;</w:t>
      </w:r>
    </w:p>
    <w:p>
      <w:pPr>
        <w:spacing w:after="0" w:line="171" w:lineRule="exact"/>
        <w:rPr>
          <w:rFonts w:ascii="Arial" w:cs="Arial" w:eastAsia="Arial" w:hAnsi="Arial"/>
          <w:sz w:val="18"/>
          <w:szCs w:val="18"/>
          <w:color w:val="auto"/>
        </w:rPr>
      </w:pPr>
    </w:p>
    <w:p>
      <w:pPr>
        <w:ind w:right="380" w:firstLine="464"/>
        <w:spacing w:after="0" w:line="268"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dispositions of Receivables of Toro to Red Iron and, to the extent TCC has become a Borrower hereunder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TCC;</w:t>
      </w:r>
    </w:p>
    <w:p>
      <w:pPr>
        <w:spacing w:after="0" w:line="194"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dispositions by any Originator of Receivables pursuant to Receivables Purchase Facilities provided that the outstanding unpaid amount of all such Receivables so sold in the aggregate shall not at any time exceed $125,000,000 and such Receivables Purchase Facilities may be established only at a time when Toro has a Debt Rating by S&amp;P of BBB- or better or by Moody’s of Baa3 or better;</w:t>
      </w:r>
    </w:p>
    <w:p>
      <w:pPr>
        <w:spacing w:after="0" w:line="140" w:lineRule="exact"/>
        <w:rPr>
          <w:rFonts w:ascii="Arial" w:cs="Arial" w:eastAsia="Arial" w:hAnsi="Arial"/>
          <w:sz w:val="18"/>
          <w:szCs w:val="18"/>
          <w:color w:val="auto"/>
        </w:rPr>
      </w:pPr>
    </w:p>
    <w:p>
      <w:pPr>
        <w:ind w:right="380" w:firstLine="464"/>
        <w:spacing w:after="0" w:line="268"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disposition of receivables at any time of Toro’s AG division in an amount not to exceed $20 million, whether pursuant to a securitization facility, a factoring arrangement or other manner of monetization thereof;</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sale of those Investments described under </w:t>
      </w:r>
      <w:r>
        <w:rPr>
          <w:rFonts w:ascii="Arial" w:cs="Arial" w:eastAsia="Arial" w:hAnsi="Arial"/>
          <w:sz w:val="18"/>
          <w:szCs w:val="18"/>
          <w:u w:val="single" w:color="auto"/>
          <w:color w:val="auto"/>
        </w:rPr>
        <w:t>Section 7.04(a)</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80" w:firstLine="464"/>
        <w:spacing w:after="0" w:line="306" w:lineRule="auto"/>
        <w:tabs>
          <w:tab w:leader="none" w:pos="70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dispositions not otherwise permitted hereunder which are made for fair market value; </w:t>
      </w:r>
      <w:r>
        <w:rPr>
          <w:rFonts w:ascii="Arial" w:cs="Arial" w:eastAsia="Arial" w:hAnsi="Arial"/>
          <w:sz w:val="16"/>
          <w:szCs w:val="16"/>
          <w:u w:val="single" w:color="auto"/>
          <w:color w:val="auto"/>
        </w:rPr>
        <w:t>provided</w:t>
      </w:r>
      <w:r>
        <w:rPr>
          <w:rFonts w:ascii="Arial" w:cs="Arial" w:eastAsia="Arial" w:hAnsi="Arial"/>
          <w:sz w:val="16"/>
          <w:szCs w:val="16"/>
          <w:color w:val="auto"/>
        </w:rPr>
        <w:t>, that (i) at the time of any such disposition, no Event of Default shall exist or shall result from such disposition and (ii) the aggregate value of all assets so sold by Toro and its Subsidiaries shall not exceed in any fiscal year 10% of the consolidated total assets of Toro and its Subsidiaries determined as of the end of the most recently ended fiscal quarter of Toro; and</w:t>
      </w:r>
    </w:p>
    <w:p>
      <w:pPr>
        <w:spacing w:after="0" w:line="106" w:lineRule="exact"/>
        <w:rPr>
          <w:rFonts w:ascii="Arial" w:cs="Arial" w:eastAsia="Arial" w:hAnsi="Arial"/>
          <w:sz w:val="16"/>
          <w:szCs w:val="16"/>
          <w:color w:val="auto"/>
        </w:rPr>
      </w:pPr>
    </w:p>
    <w:p>
      <w:pPr>
        <w:ind w:right="200" w:firstLine="464"/>
        <w:spacing w:after="0" w:line="268"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Subsidiary, including any Subsidiary Borrower, may sell, assign, lease, convey, transfer or otherwise dispose of assets to one of the Borrowers or another Wholly-Owned Subsidiary.</w:t>
      </w:r>
    </w:p>
    <w:p>
      <w:pPr>
        <w:spacing w:after="0" w:line="126"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color w:val="auto"/>
        </w:rPr>
        <w:t xml:space="preserve">7.03 Consolidations and Mergers. </w:t>
      </w:r>
      <w:r>
        <w:rPr>
          <w:rFonts w:ascii="Arial" w:cs="Arial" w:eastAsia="Arial" w:hAnsi="Arial"/>
          <w:sz w:val="18"/>
          <w:szCs w:val="18"/>
          <w:color w:val="auto"/>
        </w:rPr>
        <w:t>None of the Borrowers shall, or permit any Subsidiary to, merge, consolidate with or into, or convey, transfer, lease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dispose of (whether in one transaction or in a series of transactions) all or substantially all of its assets (whether now owned or hereafter acquired) to or in favor of any Person, except:</w:t>
      </w:r>
    </w:p>
    <w:p>
      <w:pPr>
        <w:spacing w:after="0" w:line="138" w:lineRule="exact"/>
        <w:rPr>
          <w:sz w:val="20"/>
          <w:szCs w:val="20"/>
          <w:color w:val="auto"/>
        </w:rPr>
      </w:pPr>
    </w:p>
    <w:p>
      <w:pPr>
        <w:ind w:firstLine="464"/>
        <w:spacing w:after="0" w:line="256"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any Subsidiary (other than TCC, to the extent TCC becomes a Borrower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including any Subsidiary Borrower, may merge with one of the Borrowers, or with any one or more Subsidiaries; provided that if any transaction shall be between a Subsidiary and a Wholly-Owned Subsidiary, the surviving Person shall be a Wholly-Owned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any such transaction shall be between a Subsidiary and a Subsidiary Borrower, the surviving Person shall be a Subsidiary Borrower, as applicable;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80" w:right="279" w:bottom="1440" w:gutter="0" w:footer="0" w:header="0"/>
        </w:sectPr>
      </w:pPr>
    </w:p>
    <w:bookmarkStart w:id="93" w:name="page94"/>
    <w:bookmarkEnd w:id="93"/>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TCC may merge with or sell all or substantially all of its assets to Toro;</w:t>
      </w:r>
    </w:p>
    <w:p>
      <w:pPr>
        <w:spacing w:after="0" w:line="171" w:lineRule="exact"/>
        <w:rPr>
          <w:rFonts w:ascii="Arial" w:cs="Arial" w:eastAsia="Arial" w:hAnsi="Arial"/>
          <w:sz w:val="18"/>
          <w:szCs w:val="18"/>
          <w:color w:val="auto"/>
        </w:rPr>
      </w:pPr>
    </w:p>
    <w:p>
      <w:pPr>
        <w:ind w:right="160" w:firstLine="464"/>
        <w:spacing w:after="0" w:line="332"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any Subsidiary (other than TCC, to the extent TCC becomes a Borrower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including any Subsidiary Borrower, may sell all or substantially all of its assets (upon voluntary liquidation or otherwise), to one of the Borrowers or another Wholly-Owned Subsidiary; and</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those transactions otherwise permitted under </w:t>
      </w:r>
      <w:r>
        <w:rPr>
          <w:rFonts w:ascii="Arial" w:cs="Arial" w:eastAsia="Arial" w:hAnsi="Arial"/>
          <w:sz w:val="18"/>
          <w:szCs w:val="18"/>
          <w:u w:val="single" w:color="auto"/>
          <w:color w:val="auto"/>
        </w:rPr>
        <w:t>Section 7.04(d)</w:t>
      </w:r>
      <w:r>
        <w:rPr>
          <w:rFonts w:ascii="Arial" w:cs="Arial" w:eastAsia="Arial" w:hAnsi="Arial"/>
          <w:sz w:val="18"/>
          <w:szCs w:val="18"/>
          <w:color w:val="auto"/>
        </w:rPr>
        <w:t>.</w:t>
      </w:r>
    </w:p>
    <w:p>
      <w:pPr>
        <w:spacing w:after="0" w:line="165"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color w:val="auto"/>
        </w:rPr>
        <w:t xml:space="preserve">7.04 Loans and Investments. </w:t>
      </w:r>
      <w:r>
        <w:rPr>
          <w:rFonts w:ascii="Arial" w:cs="Arial" w:eastAsia="Arial" w:hAnsi="Arial"/>
          <w:sz w:val="16"/>
          <w:szCs w:val="16"/>
          <w:color w:val="auto"/>
        </w:rPr>
        <w:t>None of the Borrowers shall purchase or acquire, or suffer or permit any Subsidiary to purchase or acquire, or make any</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therefor, any capital stock, equity interest, or any obligations or other securities of, or any interest in, another Person, or make or commit to make any Acquisitions, or make or commit to make any advance, loan, extension of credit or capital contribution to or any other investment in, another Person including any Affiliate of any of the Borrowers (collectively, “</w:t>
      </w:r>
      <w:r>
        <w:rPr>
          <w:rFonts w:ascii="Arial" w:cs="Arial" w:eastAsia="Arial" w:hAnsi="Arial"/>
          <w:sz w:val="16"/>
          <w:szCs w:val="16"/>
          <w:u w:val="single" w:color="auto"/>
          <w:color w:val="auto"/>
        </w:rPr>
        <w:t>Investments</w:t>
      </w:r>
      <w:r>
        <w:rPr>
          <w:rFonts w:ascii="Arial" w:cs="Arial" w:eastAsia="Arial" w:hAnsi="Arial"/>
          <w:sz w:val="16"/>
          <w:szCs w:val="16"/>
          <w:color w:val="auto"/>
        </w:rPr>
        <w:t>”), except for:</w:t>
      </w:r>
    </w:p>
    <w:p>
      <w:pPr>
        <w:spacing w:after="0" w:line="109" w:lineRule="exact"/>
        <w:rPr>
          <w:sz w:val="20"/>
          <w:szCs w:val="20"/>
          <w:color w:val="auto"/>
        </w:rPr>
      </w:pPr>
    </w:p>
    <w:p>
      <w:pPr>
        <w:ind w:right="220" w:firstLine="464"/>
        <w:spacing w:after="0" w:line="268"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Investments held by any of the Borrowers or any Subsidiary in the form of cash equivalents or other liquid investments permitted under Toro’s 1-030 Investment Policy issued June 1, 1999 (as revised on March 10, 2010);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extensions of credit in the nature of accounts receivable or notes receivable arising from the sale or lease of goods or services in the ordinary course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business;</w:t>
      </w:r>
    </w:p>
    <w:p>
      <w:pPr>
        <w:spacing w:after="0" w:line="164" w:lineRule="exact"/>
        <w:rPr>
          <w:rFonts w:ascii="Arial" w:cs="Arial" w:eastAsia="Arial" w:hAnsi="Arial"/>
          <w:sz w:val="15"/>
          <w:szCs w:val="15"/>
          <w:color w:val="auto"/>
        </w:rPr>
      </w:pPr>
    </w:p>
    <w:p>
      <w:pPr>
        <w:ind w:firstLine="464"/>
        <w:spacing w:after="0" w:line="259"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extensions of credit by any Borrower to any of Toro’s Wholly-Owned Subsidiaries or by any of Toro’s Wholly-Owned Subsidiaries to any Borrower or to another of Toro’s Wholly-Owned Subsidiaries or extensions of credit made in the ordinary course of its business consistent with past practices to distributors or dealers of Toro’s products;</w:t>
      </w:r>
    </w:p>
    <w:p>
      <w:pPr>
        <w:spacing w:after="0" w:line="140" w:lineRule="exact"/>
        <w:rPr>
          <w:rFonts w:ascii="Arial" w:cs="Arial" w:eastAsia="Arial" w:hAnsi="Arial"/>
          <w:sz w:val="18"/>
          <w:szCs w:val="18"/>
          <w:color w:val="auto"/>
        </w:rPr>
      </w:pPr>
    </w:p>
    <w:p>
      <w:pPr>
        <w:jc w:val="both"/>
        <w:ind w:right="140" w:firstLine="464"/>
        <w:spacing w:after="0" w:line="298" w:lineRule="auto"/>
        <w:tabs>
          <w:tab w:leader="none" w:pos="70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Investments incurred in order to consummate Acquisitions,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before and after giving pro forma effect to any such Acquisition, the ratio of (A) total Indebtedness to (B) the sum of Consolidated EBIT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depreciation and amortization expense for such period is not greater than 2.75 to 1.00 as set forth in the most recently delivered Compliance Certificate, (ii) such Acquisitions are undertaken in accordance with all applicable Laws; and (iii) the prior, effective written consent or approval to such Acquisition of the board of directors or equivalent governing body of the acquiree is obtained;</w:t>
      </w:r>
    </w:p>
    <w:p>
      <w:pPr>
        <w:spacing w:after="0" w:line="112" w:lineRule="exact"/>
        <w:rPr>
          <w:rFonts w:ascii="Arial" w:cs="Arial" w:eastAsia="Arial" w:hAnsi="Arial"/>
          <w:sz w:val="16"/>
          <w:szCs w:val="16"/>
          <w:color w:val="auto"/>
        </w:rPr>
      </w:pPr>
    </w:p>
    <w:p>
      <w:pPr>
        <w:ind w:firstLine="464"/>
        <w:spacing w:after="0" w:line="332" w:lineRule="auto"/>
        <w:tabs>
          <w:tab w:leader="none" w:pos="69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Investments in Joint Ventures in the ordinary course of business in an amount not exceeding, in the aggregate, at any time, the greater of (i) $40,000,000 and (ii) 10% of the consolidated net worth of Toro and its Subsidiaries determined as of the end of the most recently ended fiscal quarter of Toro;</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Investments under Swap Contracts to the extent permitted under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hereof;</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Investments made after the date hereof in Wholly-Owned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334" w:right="259" w:bottom="1440" w:gutter="0" w:footer="0" w:header="0"/>
        </w:sectPr>
      </w:pPr>
    </w:p>
    <w:bookmarkStart w:id="94" w:name="page95"/>
    <w:bookmarkEnd w:id="94"/>
    <w:p>
      <w:pPr>
        <w:ind w:right="140" w:firstLine="464"/>
        <w:spacing w:after="0" w:line="268"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Purchases by Toro of shares of its capital stock and associated rights to purchase shares of Toro’s preferred stock pursuant to Toro’s shareholder rights plan to the extent permitted by </w:t>
      </w:r>
      <w:r>
        <w:rPr>
          <w:rFonts w:ascii="Arial" w:cs="Arial" w:eastAsia="Arial" w:hAnsi="Arial"/>
          <w:sz w:val="18"/>
          <w:szCs w:val="18"/>
          <w:u w:val="single" w:color="auto"/>
          <w:color w:val="auto"/>
        </w:rPr>
        <w:t>Sections 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7.07(c)</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Investments in Red Iron pursuant to the Red Iron LLC Agreement (as in effect on the Closing Date); and</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other Investments not covered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which are not Investments in Joint Ventures, in an aggregate amount not to exceed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$20,000,000 at any time outstanding.</w:t>
      </w:r>
    </w:p>
    <w:p>
      <w:pPr>
        <w:spacing w:after="0" w:line="15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7.05 Transactions with Affiliates. </w:t>
      </w:r>
      <w:r>
        <w:rPr>
          <w:rFonts w:ascii="Arial" w:cs="Arial" w:eastAsia="Arial" w:hAnsi="Arial"/>
          <w:sz w:val="16"/>
          <w:szCs w:val="16"/>
          <w:color w:val="auto"/>
        </w:rPr>
        <w:t>None of the Borrowers shall, or shall suffer or permit any Subsidiary to, enter into any transaction with any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respective Affiliates, except upon fair and reasonable terms no less favorable to such entity than would obtain in a comparable arm’s-length transaction with a Person not an Affiliate of the Borrowers or such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shall restrict (i) the Borrowers from entering into transactions with Toro’s distributors or dealers, whether or not Affiliates of the Borrowers, which the Borrowers determine in their best business judgment shall be in the best interests of the Borrowers and (ii) any Permitted Receivables Transfer.</w:t>
      </w:r>
    </w:p>
    <w:p>
      <w:pPr>
        <w:spacing w:after="0" w:line="108"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7.06 Contingent Obligations. </w:t>
      </w:r>
      <w:r>
        <w:rPr>
          <w:rFonts w:ascii="Arial" w:cs="Arial" w:eastAsia="Arial" w:hAnsi="Arial"/>
          <w:sz w:val="16"/>
          <w:szCs w:val="16"/>
          <w:color w:val="auto"/>
        </w:rPr>
        <w:t>None of the Borrowers shall, or shall suffer or permit any Subsidiary to, create, incur, assume or suffer to exist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Contingent Obligations except (i) Contingent Obligations with respect to End-User Financing Arrangements and the Red Iron/TCF Repurchase Obligations, so long as the aggregate amount of such Contingent Obligations do not exceed $35,000,000 in the aggregate at any time outstanding; and (ii) Contingent Obligations not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which are not reasonably expected to have a Material Adverse Effect.</w:t>
      </w:r>
    </w:p>
    <w:p>
      <w:pPr>
        <w:spacing w:after="0" w:line="103"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7.07 Restricted Payments. </w:t>
      </w:r>
      <w:r>
        <w:rPr>
          <w:rFonts w:ascii="Arial" w:cs="Arial" w:eastAsia="Arial" w:hAnsi="Arial"/>
          <w:sz w:val="18"/>
          <w:szCs w:val="18"/>
          <w:color w:val="auto"/>
        </w:rPr>
        <w:t>None of the Borrowers shall, or shall suffer or permit any Subsidiary to, declare or make any dividend payment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Arial" w:cs="Arial" w:eastAsia="Arial" w:hAnsi="Arial"/>
          <w:sz w:val="18"/>
          <w:szCs w:val="18"/>
          <w:u w:val="single" w:color="auto"/>
          <w:color w:val="auto"/>
        </w:rPr>
        <w:t>Restricted Payment</w:t>
      </w:r>
      <w:r>
        <w:rPr>
          <w:rFonts w:ascii="Arial" w:cs="Arial" w:eastAsia="Arial" w:hAnsi="Arial"/>
          <w:sz w:val="18"/>
          <w:szCs w:val="18"/>
          <w:color w:val="auto"/>
        </w:rPr>
        <w:t>”); except that:</w:t>
      </w:r>
    </w:p>
    <w:p>
      <w:pPr>
        <w:spacing w:after="0" w:line="142" w:lineRule="exact"/>
        <w:rPr>
          <w:sz w:val="20"/>
          <w:szCs w:val="20"/>
          <w:color w:val="auto"/>
        </w:rPr>
      </w:pPr>
    </w:p>
    <w:p>
      <w:pPr>
        <w:ind w:left="700" w:hanging="236"/>
        <w:spacing w:after="0"/>
        <w:tabs>
          <w:tab w:leader="none" w:pos="7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Borrower and any Wholly-Owned Subsidiary may declare and make dividend payments or other distributions payable solely in its common stock;</w:t>
      </w:r>
    </w:p>
    <w:p>
      <w:pPr>
        <w:spacing w:after="0" w:line="194" w:lineRule="exact"/>
        <w:rPr>
          <w:rFonts w:ascii="Arial" w:cs="Arial" w:eastAsia="Arial" w:hAnsi="Arial"/>
          <w:sz w:val="16"/>
          <w:szCs w:val="16"/>
          <w:color w:val="auto"/>
        </w:rPr>
      </w:pPr>
    </w:p>
    <w:p>
      <w:pPr>
        <w:ind w:right="300" w:firstLine="464"/>
        <w:spacing w:after="0" w:line="332"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Borrower and any Wholly-Owned Subsidiary may purchase, redeem or otherwise acquire shares of its common stock or warrants or options to acquire any such shares with the proceeds received from the substantially concurrent issue of new shares of its common stock;</w:t>
      </w:r>
    </w:p>
    <w:p>
      <w:pPr>
        <w:spacing w:after="0" w:line="85" w:lineRule="exact"/>
        <w:rPr>
          <w:rFonts w:ascii="Arial" w:cs="Arial" w:eastAsia="Arial" w:hAnsi="Arial"/>
          <w:sz w:val="16"/>
          <w:szCs w:val="16"/>
          <w:color w:val="auto"/>
        </w:rPr>
      </w:pPr>
    </w:p>
    <w:p>
      <w:pPr>
        <w:jc w:val="both"/>
        <w:ind w:right="60" w:firstLine="464"/>
        <w:spacing w:after="0" w:line="259"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(i) if (both before and after giving pro forma effect to such Restricted Payment) the ratio of (A) total Indebtedness to (B) the sum of 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for such period is less than or equal to 2.75 to 1.00 as set forth in the most recently delivered Compliance Certificate, Toro may declare and pay cash dividends to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334" w:right="259" w:bottom="1440" w:gutter="0" w:footer="0" w:header="0"/>
        </w:sectPr>
      </w:pPr>
    </w:p>
    <w:bookmarkStart w:id="95" w:name="page96"/>
    <w:bookmarkEnd w:id="9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stockholders and purchase, redeem or otherwise acquire shares of its capital stock or warrants, rights or options to acquire any such shares for cash without restriction, and (ii) if (both before and after giving pro forma effect to such Restricted Payment) the ratio of (A) total Indebtedness to (B) the sum of Consolidated EBIT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depreciation and amortization expense for such period is greater than 2.75 to 1.00 as set forth in the most recently delivered Compliance Certificate, Toro may declare and pay cash dividends to its stockholders and purchase, redeem or otherwise acquire shares of its capital stock or warrants, rights or options to acquire any such shares for cash up to an amount not to exceed $50 million in any fiscal year; provided, that, immediately after giving effect to any such proposed action, no Default or Event of Default would exist; and</w:t>
      </w:r>
    </w:p>
    <w:p>
      <w:pPr>
        <w:spacing w:after="0" w:line="120" w:lineRule="exact"/>
        <w:rPr>
          <w:sz w:val="20"/>
          <w:szCs w:val="20"/>
          <w:color w:val="auto"/>
        </w:rPr>
      </w:pPr>
    </w:p>
    <w:p>
      <w:pPr>
        <w:ind w:right="440" w:firstLine="464"/>
        <w:spacing w:after="0" w:line="268"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TCC, to the extent TCC becomes a Borrower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any Subsidiary Borrower may declare and pay dividends to Toro or its parent company and any Wholly-Owned Subsidiary may declare and pay dividends to its parent company.</w:t>
      </w:r>
    </w:p>
    <w:p>
      <w:pPr>
        <w:spacing w:after="0" w:line="126"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7.08 Maintenance of Business. </w:t>
      </w:r>
      <w:r>
        <w:rPr>
          <w:rFonts w:ascii="Arial" w:cs="Arial" w:eastAsia="Arial" w:hAnsi="Arial"/>
          <w:sz w:val="16"/>
          <w:szCs w:val="16"/>
          <w:color w:val="auto"/>
        </w:rPr>
        <w:t>Each Borrower shall continue to engage in business of the same general type as now conducted by it, provided, however,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each Borrower may discontinue any line of business if the discontinuance of such line of business will not result in a Material Adverse Effect and the Board of Directors of such Borrower determines that the continuance thereof is no longer desirable to the conduct of the business of the Borrowers taken as a whole, and provided further that Toro shall be permitted to liquidate and dissolve (x) TCC, to the extent TCC becomes a Borrower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(y) any Subsidiary Borrower into its parent company or Toro to the extent provided in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108"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7.09 Minimum Interest Coverage. </w:t>
      </w:r>
      <w:r>
        <w:rPr>
          <w:rFonts w:ascii="Arial" w:cs="Arial" w:eastAsia="Arial" w:hAnsi="Arial"/>
          <w:sz w:val="18"/>
          <w:szCs w:val="18"/>
          <w:color w:val="auto"/>
        </w:rPr>
        <w:t>Toro, on a consolidated basis, shall not permit its Consolidated Interest Coverage Ratio, as at the end of each fiscal</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for the four consecutive fiscal quarters then ended, to fall below 2.0 to 1.0.</w:t>
      </w:r>
    </w:p>
    <w:p>
      <w:pPr>
        <w:spacing w:after="0" w:line="120"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 xml:space="preserve">7.10 Maximum Total Indebtedness to Consolidated EBITDA. </w:t>
      </w:r>
      <w:r>
        <w:rPr>
          <w:rFonts w:ascii="Arial" w:cs="Arial" w:eastAsia="Arial" w:hAnsi="Arial"/>
          <w:sz w:val="18"/>
          <w:szCs w:val="18"/>
          <w:color w:val="auto"/>
        </w:rPr>
        <w:t>Toro, on a consolidated basis, shall not, as of the end of any fiscal quarter, permit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consolidated ratio of (a) total Indebtedness as of such date to (b) the sum 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for the period of four prior fiscal quarters ending on such date to be more than 3.25 to 1.00.</w:t>
      </w:r>
    </w:p>
    <w:p>
      <w:pPr>
        <w:spacing w:after="0" w:line="13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7.11 Red Iron. </w:t>
      </w:r>
      <w:r>
        <w:rPr>
          <w:rFonts w:ascii="Arial" w:cs="Arial" w:eastAsia="Arial" w:hAnsi="Arial"/>
          <w:sz w:val="18"/>
          <w:szCs w:val="18"/>
          <w:color w:val="auto"/>
        </w:rPr>
        <w:t>None of the Borrowers shall, or permit any Subsidiary to, agree to permit Red Iron to retain or defer payment of undisputed amounts due by</w:t>
      </w:r>
      <w:r>
        <w:rPr>
          <w:rFonts w:ascii="Arial" w:cs="Arial" w:eastAsia="Arial" w:hAnsi="Arial"/>
          <w:sz w:val="18"/>
          <w:szCs w:val="18"/>
          <w:b w:val="1"/>
          <w:bCs w:val="1"/>
          <w:color w:val="auto"/>
        </w:rPr>
        <w:t xml:space="preserve"> </w:t>
      </w:r>
      <w:r>
        <w:rPr>
          <w:rFonts w:ascii="Arial" w:cs="Arial" w:eastAsia="Arial" w:hAnsi="Arial"/>
          <w:sz w:val="18"/>
          <w:szCs w:val="18"/>
          <w:color w:val="auto"/>
        </w:rPr>
        <w:t>Red Iron to Toro or any Subsidiary (other than as an offset in payment of amounts due by Toro or such Subsidiaries to Red Iron) in an aggregate amount at any time in excess of $25,000,000.</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7.12 Negative Pledge Clause. </w:t>
      </w:r>
      <w:r>
        <w:rPr>
          <w:rFonts w:ascii="Arial" w:cs="Arial" w:eastAsia="Arial" w:hAnsi="Arial"/>
          <w:sz w:val="16"/>
          <w:szCs w:val="16"/>
          <w:color w:val="auto"/>
        </w:rPr>
        <w:t>No Borrower shall enter into or cause, suffer or permit to exist any agreement with any Person other than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and the Lenders pursuant to this Agreement or any other Loan Documents which prohibits or limits the ability of any of the Borrowers or any Subsidiary to create, incur, assume or suffer to exist any Lien upon any of its property, assets or revenues, whether now owned or hereafter acquired, provided that any Borrower and any Subsidiary may enter into such an agreement in connection with, and that applies only to, property subject to any Lien permitted by this Agreement and not released after the date hereof, when such prohibition or limitation is by its terms effective only against the assets subject to such Lien.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80" w:right="259" w:bottom="1440" w:gutter="0" w:footer="0" w:header="0"/>
        </w:sectPr>
      </w:pPr>
    </w:p>
    <w:bookmarkStart w:id="96" w:name="page97"/>
    <w:bookmarkEnd w:id="96"/>
    <w:p>
      <w:pPr>
        <w:ind w:right="8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7.13 Burdensome Contractual Obligation. </w:t>
      </w:r>
      <w:r>
        <w:rPr>
          <w:rFonts w:ascii="Arial" w:cs="Arial" w:eastAsia="Arial" w:hAnsi="Arial"/>
          <w:sz w:val="16"/>
          <w:szCs w:val="16"/>
          <w:color w:val="auto"/>
        </w:rPr>
        <w:t>Enter into any Contractual Obligation (other than this Agreement or any other Loan Document) that (a) limits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ability (i) of any Subsidiary to make Restricted Payments to the Borrowers or to otherwise transfer property to the Borrowers, (ii) of any Subsidiary to Guarantee the Indebtedness of the Borrowers or (iii) of the Borrowers or any Subsidiary thereof to create, incur, assume or suffer to exist Liens on property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shall not prohibit any negative pledge incurred or provided in favor of any holder of Indebtedness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8.01 Events of Default. </w:t>
      </w:r>
      <w:r>
        <w:rPr>
          <w:rFonts w:ascii="Arial" w:cs="Arial" w:eastAsia="Arial" w:hAnsi="Arial"/>
          <w:sz w:val="18"/>
          <w:szCs w:val="18"/>
          <w:color w:val="auto"/>
        </w:rPr>
        <w:t>Any of the following shall constitute an Event of Default:</w:t>
      </w:r>
    </w:p>
    <w:p>
      <w:pPr>
        <w:spacing w:after="0" w:line="177" w:lineRule="exact"/>
        <w:rPr>
          <w:sz w:val="20"/>
          <w:szCs w:val="20"/>
          <w:color w:val="auto"/>
        </w:rPr>
      </w:pPr>
    </w:p>
    <w:p>
      <w:pPr>
        <w:ind w:right="280" w:firstLine="464"/>
        <w:spacing w:after="0" w:line="256"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Any Borrower or any other Loan Party fails to pay (i) when and as required to be paid herein, and in the currency required hereunder, any amount of principal of any Loan or any L/C Obligation, or (ii) within five (5) days after the same becomes due, any interest on any Loan or on any L/C Obligation, or any fee due hereunder, or (iii) within five days after the same becomes due, any other amount payable hereunder or under any other Loan Document; or</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Specific Covenants</w:t>
      </w:r>
      <w:r>
        <w:rPr>
          <w:rFonts w:ascii="Arial" w:cs="Arial" w:eastAsia="Arial" w:hAnsi="Arial"/>
          <w:sz w:val="16"/>
          <w:szCs w:val="16"/>
          <w:color w:val="auto"/>
        </w:rPr>
        <w:t xml:space="preserve">. Toro fails to perform or observe any term, covenant or agreement contained in any of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6.10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64" w:lineRule="exact"/>
        <w:rPr>
          <w:rFonts w:ascii="Arial" w:cs="Arial" w:eastAsia="Arial" w:hAnsi="Arial"/>
          <w:sz w:val="16"/>
          <w:szCs w:val="16"/>
          <w:color w:val="auto"/>
        </w:rPr>
      </w:pPr>
    </w:p>
    <w:p>
      <w:pPr>
        <w:ind w:firstLine="464"/>
        <w:spacing w:after="0" w:line="255"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Borrower fails to perform or observe any other term or covenant contained in this Agreement or any other Loan Document (and such failure does not otherwise constitute an Event of Default under this </w:t>
      </w:r>
      <w:r>
        <w:rPr>
          <w:rFonts w:ascii="Arial" w:cs="Arial" w:eastAsia="Arial" w:hAnsi="Arial"/>
          <w:sz w:val="18"/>
          <w:szCs w:val="18"/>
          <w:u w:val="single" w:color="auto"/>
          <w:color w:val="auto"/>
        </w:rPr>
        <w:t>Section 8.01</w:t>
      </w:r>
      <w:r>
        <w:rPr>
          <w:rFonts w:ascii="Arial" w:cs="Arial" w:eastAsia="Arial" w:hAnsi="Arial"/>
          <w:sz w:val="18"/>
          <w:szCs w:val="18"/>
          <w:color w:val="auto"/>
        </w:rPr>
        <w:t>), and such default shall continue unremedied for a period of 30 days, provided that, if the Borrowers are diligently and in good faith attempting to cure such default, such default is curable and such default will not possibly result in a Material Adverse Effect, then the Borrowers may have additional time to cure such default as specified in writing by the Required Lenders provided that such additional time shall not exceed 60 days; or</w:t>
      </w:r>
    </w:p>
    <w:p>
      <w:pPr>
        <w:spacing w:after="0" w:line="142" w:lineRule="exact"/>
        <w:rPr>
          <w:rFonts w:ascii="Arial" w:cs="Arial" w:eastAsia="Arial" w:hAnsi="Arial"/>
          <w:sz w:val="18"/>
          <w:szCs w:val="18"/>
          <w:color w:val="auto"/>
        </w:rPr>
      </w:pPr>
    </w:p>
    <w:p>
      <w:pPr>
        <w:ind w:right="180" w:firstLine="464"/>
        <w:spacing w:after="0" w:line="255"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by any Borrower or any Subsidiary made or deemed made herein, in any other Loan Document, or which is contained in any certificate, document or financial or other statement by any Borrower, any Subsidiary, or any Responsible Officer, furnished at any time under this Agreement, or in or under any other Loan Document, is incorrect or misleading in any material respect (except, if a qualifier relating to materiality, Material Adverse Effect or a similar concept applies, such representation or warranty shall have been incorrect in any respect) on or as of the date made or deemed made; or</w:t>
      </w:r>
    </w:p>
    <w:p>
      <w:pPr>
        <w:spacing w:after="0" w:line="142"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(i) Any Borrower or any Material Subsidiary (A) fails to make any payment in respect of any Indebtedness or Contingent Obligation, having an aggregate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28" w:right="239" w:bottom="1440" w:gutter="0" w:footer="0" w:header="0"/>
        </w:sectPr>
      </w:pPr>
    </w:p>
    <w:bookmarkStart w:id="97" w:name="page98"/>
    <w:bookmarkEnd w:id="9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amount (including undrawn committed or available amounts and including amounts owing to all creditors under any combined or syndicated credit arrangement) of more than $25,000,000 when due (whether by scheduled maturity, required prepayment, acceleration, demand, or otherwise) and such failure continues after the applicable grace or notice period, if any, specified in the relevant document on the date of such failure; or (B) 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such Contingent Obligation to become payable or cash collateral in respect thereof to be demanded; or (ii)(A) there occurs any termination, liquidation, unwind or similar event or circumstance under any Receivables Purchase Facility other than a voluntary termination by any Borrower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“Receivables Purchase Facility Termination”) other than any such Receivables Purchase Facility Termination that arises solely as a result of (i) a down-grading of the credit rating of any bank or financial institution not affiliated with the Borrowers that provides liquidity, credit or other support in connection with such facility; or (ii) breach of a covenant contained in any Receivables Purchase Facility and this Agreement if the Lenders have previously waived compliance with such covenant under the terms of this Agreement with respect to the particular instance of non-compliance giving rise to the breach of such covenant under such Receivables Purchase Facility, it being acknowledged by the Borrowers that no waiver by the Lenders of compliance with the provisions of this Agreement in any particular instance shall constitute a waiver under either this Agreement or any Receivables Purchase Facility of any future non-compliance with such provision and (B) within 60 days after the effective date of such Receivables Purchase Facility Termination, additional financing and/or capitalization of the Borrowers in replacement of such Receivables Purchase Facility, in an amount substantially similar to the amount of the Receivables Purchase Facility and upon such terms as are acceptable to the Required Lenders, shall not be completed and funding thereunder shall not be available to the Borrowers; or</w:t>
      </w:r>
    </w:p>
    <w:p>
      <w:pPr>
        <w:spacing w:after="0" w:line="128" w:lineRule="exact"/>
        <w:rPr>
          <w:sz w:val="20"/>
          <w:szCs w:val="20"/>
          <w:color w:val="auto"/>
        </w:rPr>
      </w:pPr>
    </w:p>
    <w:p>
      <w:pPr>
        <w:ind w:right="20" w:firstLine="464"/>
        <w:spacing w:after="0" w:line="256" w:lineRule="auto"/>
        <w:tabs>
          <w:tab w:leader="none" w:pos="676"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Insolvency, Voluntary Proceedings.</w:t>
      </w:r>
      <w:r>
        <w:rPr>
          <w:rFonts w:ascii="Arial" w:cs="Arial" w:eastAsia="Arial" w:hAnsi="Arial"/>
          <w:sz w:val="18"/>
          <w:szCs w:val="18"/>
          <w:color w:val="auto"/>
        </w:rPr>
        <w:t xml:space="preserve"> Any Borrower or any Material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143"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Involuntary Proceedings</w:t>
      </w:r>
      <w:r>
        <w:rPr>
          <w:rFonts w:ascii="Arial" w:cs="Arial" w:eastAsia="Arial" w:hAnsi="Arial"/>
          <w:sz w:val="18"/>
          <w:szCs w:val="18"/>
          <w:color w:val="auto"/>
        </w:rPr>
        <w:t>. (i) Any involuntary Insolvency Proceeding is commenced or filed against any Borrower or any Material Subsidiary, or any writ, judgment, warrant of attachment, execution or similar process, is issued or levied against a substantial part of any Borrower’s or any Material Subsidiary’s properties, and any such proceeding or petition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280" w:right="279" w:bottom="1440" w:gutter="0" w:footer="0" w:header="0"/>
        </w:sectPr>
      </w:pPr>
    </w:p>
    <w:bookmarkStart w:id="98" w:name="page99"/>
    <w:bookmarkEnd w:id="98"/>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be dismissed, or such writ, judgment, warrant of attachment, execution or similar process shall not be released, vacated or fully bonded within 60 days after commencement, filing or levy; (ii) any Borrower or any Material Subsidiary admits the material allegations of a petition against it in any Insolvency Proceeding, or an order for relief (or similar order under non-U.S. law) is ordered in any Insolvency Proceeding; or (iii) any Borrower or any Material Subsidiary acquiesces in the appointment of a receiver, trustee, custodian, conservator, liquidator, mortgagee in possession (or agent therefor), or other similar Person for itself or a substantial portion of its property or business; or</w:t>
      </w:r>
    </w:p>
    <w:p>
      <w:pPr>
        <w:spacing w:after="0" w:line="143" w:lineRule="exact"/>
        <w:rPr>
          <w:sz w:val="20"/>
          <w:szCs w:val="20"/>
          <w:color w:val="auto"/>
        </w:rPr>
      </w:pPr>
    </w:p>
    <w:p>
      <w:pPr>
        <w:ind w:right="100" w:firstLine="464"/>
        <w:spacing w:after="0" w:line="298" w:lineRule="auto"/>
        <w:tabs>
          <w:tab w:leader="none" w:pos="705"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Monetary Judgments</w:t>
      </w:r>
      <w:r>
        <w:rPr>
          <w:rFonts w:ascii="Arial" w:cs="Arial" w:eastAsia="Arial" w:hAnsi="Arial"/>
          <w:sz w:val="16"/>
          <w:szCs w:val="16"/>
          <w:color w:val="auto"/>
        </w:rPr>
        <w:t>. One or more non-interlocutory judgments, non-interlocutory orders, decrees or arbitration awards is entered against any or all of the Borrowers or any Material Subsidiary involving in the aggregate a liability (to the extent not covered by independent third-party insurance as to which the insurer does not dispute coverage) as to any single or related series of transactions, incidents or conditions, of $25,000,000 or more, and the same shall remain unsatisfied, unvacated and unstayed pending appeal for a period of 30 days after the entry thereof; or</w:t>
      </w:r>
    </w:p>
    <w:p>
      <w:pPr>
        <w:spacing w:after="0" w:line="112" w:lineRule="exact"/>
        <w:rPr>
          <w:rFonts w:ascii="Arial" w:cs="Arial" w:eastAsia="Arial" w:hAnsi="Arial"/>
          <w:sz w:val="16"/>
          <w:szCs w:val="16"/>
          <w:color w:val="auto"/>
        </w:rPr>
      </w:pPr>
    </w:p>
    <w:p>
      <w:pPr>
        <w:ind w:firstLine="464"/>
        <w:spacing w:after="0" w:line="259" w:lineRule="auto"/>
        <w:tabs>
          <w:tab w:leader="none" w:pos="666"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Non-Monetary Judgments.</w:t>
      </w:r>
      <w:r>
        <w:rPr>
          <w:rFonts w:ascii="Arial" w:cs="Arial" w:eastAsia="Arial" w:hAnsi="Arial"/>
          <w:sz w:val="18"/>
          <w:szCs w:val="18"/>
          <w:color w:val="auto"/>
        </w:rPr>
        <w:t xml:space="preserve"> Any non-monetary judgment, order or decree is entered against any Borrower or any Material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40" w:lineRule="exact"/>
        <w:rPr>
          <w:rFonts w:ascii="Arial" w:cs="Arial" w:eastAsia="Arial" w:hAnsi="Arial"/>
          <w:sz w:val="18"/>
          <w:szCs w:val="18"/>
          <w:color w:val="auto"/>
        </w:rPr>
      </w:pPr>
    </w:p>
    <w:p>
      <w:pPr>
        <w:jc w:val="both"/>
        <w:ind w:right="120" w:firstLine="464"/>
        <w:spacing w:after="0" w:line="286" w:lineRule="auto"/>
        <w:tabs>
          <w:tab w:leader="none" w:pos="666"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 An ERISA Event occurs with respect to a Pension Plan or Multiemployer Plan which has resulted or could reasonably be expected to result in liability of any Borrower under Title IV of ERISA to the Pension Plan, Multiemployer Plan or the PBGC in an aggregate amount in excess of $25,000,000, or</w:t>
      </w:r>
    </w:p>
    <w:p>
      <w:pPr>
        <w:ind w:right="240" w:firstLine="8"/>
        <w:spacing w:after="0" w:line="323" w:lineRule="auto"/>
        <w:tabs>
          <w:tab w:leader="none" w:pos="25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Borrower or any ERISA Affiliate fails to pay when due, after the expiration of any applicable grace period, any installment payment with respect to its withdrawal liability under Section 4201 of ERISA under a Multiemployer Plan in an aggregate amount in excess of $25,000,000; or</w:t>
      </w:r>
    </w:p>
    <w:p>
      <w:pPr>
        <w:spacing w:after="0" w:line="92" w:lineRule="exact"/>
        <w:rPr>
          <w:rFonts w:ascii="Arial" w:cs="Arial" w:eastAsia="Arial" w:hAnsi="Arial"/>
          <w:sz w:val="16"/>
          <w:szCs w:val="16"/>
          <w:color w:val="auto"/>
        </w:rPr>
      </w:pPr>
    </w:p>
    <w:p>
      <w:pPr>
        <w:ind w:right="220" w:firstLine="464"/>
        <w:spacing w:after="0" w:line="294" w:lineRule="auto"/>
        <w:tabs>
          <w:tab w:leader="none" w:pos="705"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Invalidity of Loan Documents</w:t>
      </w:r>
      <w:r>
        <w:rPr>
          <w:rFonts w:ascii="Arial" w:cs="Arial" w:eastAsia="Arial" w:hAnsi="Arial"/>
          <w:sz w:val="16"/>
          <w:szCs w:val="16"/>
          <w:color w:val="auto"/>
        </w:rPr>
        <w:t xml:space="preserve">. Any Loan Document, at any time after its execution and delivery and for any reason other than the agreement of all Lenders or satisfaction in full of all the Obligations, ceases to be in full force and effect (other than with respect to matters regarding Eurocurrency Rate Loans which are subject to the application of, and the Borrowers accordingly complying with the terms of, </w:t>
      </w:r>
      <w:r>
        <w:rPr>
          <w:rFonts w:ascii="Arial" w:cs="Arial" w:eastAsia="Arial" w:hAnsi="Arial"/>
          <w:sz w:val="16"/>
          <w:szCs w:val="16"/>
          <w:u w:val="single" w:color="auto"/>
          <w:color w:val="auto"/>
        </w:rPr>
        <w:t>Section 3.02</w:t>
      </w:r>
      <w:r>
        <w:rPr>
          <w:rFonts w:ascii="Arial" w:cs="Arial" w:eastAsia="Arial" w:hAnsi="Arial"/>
          <w:sz w:val="16"/>
          <w:szCs w:val="16"/>
          <w:color w:val="auto"/>
        </w:rPr>
        <w:t>) or is declared by a court of competent jurisdiction to be null and void, invalid or unenforceable in any respect; or any Borrower denies that is has any or further liability or obligation under any Loan Document, or purports to revoke, terminate or rescind any Loan Document; or</w:t>
      </w:r>
    </w:p>
    <w:p>
      <w:pPr>
        <w:spacing w:after="0" w:line="115" w:lineRule="exact"/>
        <w:rPr>
          <w:rFonts w:ascii="Arial" w:cs="Arial" w:eastAsia="Arial" w:hAnsi="Arial"/>
          <w:sz w:val="16"/>
          <w:szCs w:val="16"/>
          <w:color w:val="auto"/>
        </w:rPr>
      </w:pPr>
    </w:p>
    <w:p>
      <w:pPr>
        <w:ind w:left="680" w:hanging="216"/>
        <w:spacing w:after="0"/>
        <w:tabs>
          <w:tab w:leader="none" w:pos="68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165"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8.02 Remedies Upon Event of Default. </w:t>
      </w:r>
      <w:r>
        <w:rPr>
          <w:rFonts w:ascii="Arial" w:cs="Arial" w:eastAsia="Arial" w:hAnsi="Arial"/>
          <w:sz w:val="18"/>
          <w:szCs w:val="18"/>
          <w:color w:val="auto"/>
        </w:rPr>
        <w:t>If any Event of Default occurs and is continuing, the Administrative Agent shall, at the request of, or may,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consent of, the Required Lenders, take any or all of the following actions: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80" w:right="259" w:bottom="1440" w:gutter="0" w:footer="0" w:header="0"/>
        </w:sectPr>
      </w:pPr>
    </w:p>
    <w:bookmarkStart w:id="99" w:name="page100"/>
    <w:bookmarkEnd w:id="99"/>
    <w:p>
      <w:pPr>
        <w:ind w:right="800" w:firstLine="464"/>
        <w:spacing w:after="0" w:line="268"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declare the commitment of each Lender to make Loans and any obligation of the L/C Issuer to make L/C Credit Extensions to be terminated, whereupon such commitments and obligation shall be terminated;</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require that the Borrowers Cash Collateralize the L/C Obligations (in an amount equal to the then Outstanding Amount thereof); and</w:t>
      </w:r>
    </w:p>
    <w:p>
      <w:pPr>
        <w:spacing w:after="0" w:line="171" w:lineRule="exact"/>
        <w:rPr>
          <w:rFonts w:ascii="Arial" w:cs="Arial" w:eastAsia="Arial" w:hAnsi="Arial"/>
          <w:sz w:val="18"/>
          <w:szCs w:val="18"/>
          <w:color w:val="auto"/>
        </w:rPr>
      </w:pPr>
    </w:p>
    <w:p>
      <w:pPr>
        <w:ind w:right="580" w:firstLine="464"/>
        <w:spacing w:after="0" w:line="268"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37"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8.03 Application of Funds. </w:t>
      </w:r>
      <w:r>
        <w:rPr>
          <w:rFonts w:ascii="Arial" w:cs="Arial" w:eastAsia="Arial" w:hAnsi="Arial"/>
          <w:sz w:val="16"/>
          <w:szCs w:val="16"/>
          <w:color w:val="auto"/>
        </w:rPr>
        <w:t>After the exercise of remedies provided for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8.02</w:t>
      </w:r>
      <w:r>
        <w:rPr>
          <w:rFonts w:ascii="Arial" w:cs="Arial" w:eastAsia="Arial" w:hAnsi="Arial"/>
          <w:sz w:val="16"/>
          <w:szCs w:val="16"/>
          <w:b w:val="1"/>
          <w:bCs w:val="1"/>
          <w:color w:val="auto"/>
        </w:rPr>
        <w:t xml:space="preserve"> </w:t>
      </w:r>
      <w:r>
        <w:rPr>
          <w:rFonts w:ascii="Arial" w:cs="Arial" w:eastAsia="Arial" w:hAnsi="Arial"/>
          <w:sz w:val="16"/>
          <w:szCs w:val="16"/>
          <w:color w:val="auto"/>
        </w:rPr>
        <w:t>(or after the Loans have automatically become immediately due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payable and the L/C Obligations have automatically been required to be Cash Collateralized as set forth in the proviso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any amounts received on account of the Obligations shall, subject to the provisions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be applied by the Administrative Agent in the following order:</w:t>
      </w:r>
    </w:p>
    <w:p>
      <w:pPr>
        <w:spacing w:after="0" w:line="10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payable to them;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80" w:right="259" w:bottom="1440" w:gutter="0" w:footer="0" w:header="0"/>
        </w:sectPr>
      </w:pPr>
    </w:p>
    <w:bookmarkStart w:id="100" w:name="page101"/>
    <w:bookmarkEnd w:id="100"/>
    <w:p>
      <w:pPr>
        <w:ind w:right="24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3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Administrative Agent for the account of the L/C Issuer, to Cash Collateralize that portion of L/C Obligations comprised of the aggregate undrawn amount of Letters of Credit to the extent not otherwise Cash Collateralized by any Borrower pursuant to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and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Borrowers or as otherwise required by Law.</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ADMINISTRATIVE AGENT</w:t>
      </w:r>
    </w:p>
    <w:p>
      <w:pPr>
        <w:spacing w:after="0" w:line="159"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 xml:space="preserve">9.01 Appointment and Authority. </w:t>
      </w:r>
      <w:r>
        <w:rPr>
          <w:rFonts w:ascii="Arial" w:cs="Arial" w:eastAsia="Arial" w:hAnsi="Arial"/>
          <w:sz w:val="16"/>
          <w:szCs w:val="16"/>
          <w:color w:val="auto"/>
        </w:rPr>
        <w:t>Each of the Lenders and the L/C Issuer hereby irrevocably appoints Bank of America to act on its behalf as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any Borrower nor any other Loan Party shall have rights as a third party beneficiary of any of such provisions.</w:t>
      </w:r>
    </w:p>
    <w:p>
      <w:pPr>
        <w:spacing w:after="0" w:line="10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9.02 Rights as a Lender. </w:t>
      </w:r>
      <w:r>
        <w:rPr>
          <w:rFonts w:ascii="Arial" w:cs="Arial" w:eastAsia="Arial" w:hAnsi="Arial"/>
          <w:sz w:val="18"/>
          <w:szCs w:val="18"/>
          <w:color w:val="auto"/>
        </w:rPr>
        <w:t>The Person serving as the Administrative Agent hereunder shall have the same rights and powers in its capacity as a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9.03 Exculpatory Provisions. </w:t>
      </w:r>
      <w:r>
        <w:rPr>
          <w:rFonts w:ascii="Arial" w:cs="Arial" w:eastAsia="Arial" w:hAnsi="Arial"/>
          <w:sz w:val="16"/>
          <w:szCs w:val="16"/>
          <w:color w:val="auto"/>
        </w:rPr>
        <w:t>The Administrative Agent shall not have any duties or obligations except those expressly set forth herein and in the other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Without limiting the generality of the foregoing, the Administrative Agent:</w:t>
      </w:r>
    </w:p>
    <w:p>
      <w:pPr>
        <w:spacing w:after="0" w:line="165" w:lineRule="exact"/>
        <w:rPr>
          <w:sz w:val="20"/>
          <w:szCs w:val="20"/>
          <w:color w:val="auto"/>
        </w:rPr>
      </w:pPr>
    </w:p>
    <w:p>
      <w:pPr>
        <w:ind w:left="5620" w:right="2020" w:hanging="5156"/>
        <w:spacing w:after="0" w:line="440" w:lineRule="auto"/>
        <w:tabs>
          <w:tab w:leader="none" w:pos="69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 90</w:t>
      </w:r>
    </w:p>
    <w:p>
      <w:pPr>
        <w:sectPr>
          <w:pgSz w:w="11900" w:h="16838" w:orient="portrait"/>
          <w:cols w:equalWidth="0" w:num="1">
            <w:col w:w="11400"/>
          </w:cols>
          <w:pgMar w:left="240" w:top="334" w:right="259" w:bottom="1440" w:gutter="0" w:footer="0" w:header="0"/>
        </w:sectPr>
      </w:pPr>
    </w:p>
    <w:bookmarkStart w:id="101" w:name="page102"/>
    <w:bookmarkEnd w:id="101"/>
    <w:p>
      <w:pPr>
        <w:ind w:right="40" w:firstLine="464"/>
        <w:spacing w:after="0" w:line="255"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42" w:lineRule="exact"/>
        <w:rPr>
          <w:rFonts w:ascii="Arial" w:cs="Arial" w:eastAsia="Arial" w:hAnsi="Arial"/>
          <w:sz w:val="18"/>
          <w:szCs w:val="18"/>
          <w:color w:val="auto"/>
        </w:rPr>
      </w:pPr>
    </w:p>
    <w:p>
      <w:pPr>
        <w:ind w:right="220" w:firstLine="464"/>
        <w:spacing w:after="0" w:line="259"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Toro, a Lender or the L/C Issuer.</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1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9.04 Reliance by Administrative Agent. </w:t>
      </w:r>
      <w:r>
        <w:rPr>
          <w:rFonts w:ascii="Arial" w:cs="Arial" w:eastAsia="Arial" w:hAnsi="Arial"/>
          <w:sz w:val="16"/>
          <w:szCs w:val="16"/>
          <w:color w:val="auto"/>
        </w:rPr>
        <w:t>The Administrative Agent shall be entitled to rely upon, and shall not incur any liability for relying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334" w:right="279" w:bottom="1440" w:gutter="0" w:footer="0" w:header="0"/>
        </w:sectPr>
      </w:pPr>
    </w:p>
    <w:bookmarkStart w:id="102" w:name="page103"/>
    <w:bookmarkEnd w:id="10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Toro), independent accountants and other experts selected by it, and shall not be liable for any action taken or not taken by it in accordance with the advice of any such counsel, accountants or experts.</w:t>
      </w:r>
    </w:p>
    <w:p>
      <w:pPr>
        <w:spacing w:after="0" w:line="126"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9.05 Delegation of Duties. </w:t>
      </w:r>
      <w:r>
        <w:rPr>
          <w:rFonts w:ascii="Arial" w:cs="Arial" w:eastAsia="Arial" w:hAnsi="Arial"/>
          <w:sz w:val="16"/>
          <w:szCs w:val="16"/>
          <w:color w:val="auto"/>
        </w:rPr>
        <w:t>The Administrative Agent may perform any and all of its duties and exercise its rights and powers hereunder or under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0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9.06 Resignation of Administrative Agent. </w:t>
      </w:r>
      <w:r>
        <w:rPr>
          <w:rFonts w:ascii="Arial" w:cs="Arial" w:eastAsia="Arial" w:hAnsi="Arial"/>
          <w:sz w:val="16"/>
          <w:szCs w:val="16"/>
          <w:color w:val="auto"/>
        </w:rPr>
        <w:t>The Administrative Agent may at any time give notice of its resignation to the Lenders, the L/C Issuer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Toro. Upon receipt of any such notice of resignation, the Required Lenders shall have the right, in consultation with Toro,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Toro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all payments (other than amounts then owed to the retiring or retired Administrative Agent and other than any rights to indemnity payments owed to the retiring or retired Administrative Agent),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amounts then owed to the retiring or retired Administrative Agent and other than any rights to indemnity payments owed to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Toro and such successor. After the retiring Administrative Agent’s resignation hereunder and under the other Loan Documents, the provisions of this Article and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80" w:right="259" w:bottom="1440" w:gutter="0" w:footer="0" w:header="0"/>
        </w:sectPr>
      </w:pPr>
    </w:p>
    <w:bookmarkStart w:id="103" w:name="page104"/>
    <w:bookmarkEnd w:id="103"/>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resignation by Bank of America as Administrative Agent pursuant to this Section shall also constitute its resignation as L/C Issuer and Swing Line Lender. Upon the acceptance of a successor’s appointment as Administrative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1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9.07 Non-Reliance on Administrative Agent and Other Lenders. </w:t>
      </w:r>
      <w:r>
        <w:rPr>
          <w:rFonts w:ascii="Arial" w:cs="Arial" w:eastAsia="Arial" w:hAnsi="Arial"/>
          <w:sz w:val="16"/>
          <w:szCs w:val="16"/>
          <w:color w:val="auto"/>
        </w:rPr>
        <w:t>Each Lender and the L/C Issuer acknowledges that it has, independently and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1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9.08 No Other Duties, Etc. </w:t>
      </w:r>
      <w:r>
        <w:rPr>
          <w:rFonts w:ascii="Arial" w:cs="Arial" w:eastAsia="Arial" w:hAnsi="Arial"/>
          <w:sz w:val="18"/>
          <w:szCs w:val="18"/>
          <w:color w:val="auto"/>
        </w:rPr>
        <w:t>Anything herein to the contrary notwithstanding, none of the Joint Book Managers, the Arrangers or the Syndication Agent</w:t>
      </w:r>
      <w:r>
        <w:rPr>
          <w:rFonts w:ascii="Arial" w:cs="Arial" w:eastAsia="Arial" w:hAnsi="Arial"/>
          <w:sz w:val="18"/>
          <w:szCs w:val="18"/>
          <w:b w:val="1"/>
          <w:bCs w:val="1"/>
          <w:color w:val="auto"/>
        </w:rPr>
        <w:t xml:space="preserve"> </w:t>
      </w:r>
      <w:r>
        <w:rPr>
          <w:rFonts w:ascii="Arial" w:cs="Arial" w:eastAsia="Arial" w:hAnsi="Arial"/>
          <w:sz w:val="18"/>
          <w:szCs w:val="18"/>
          <w:color w:val="auto"/>
        </w:rPr>
        <w:t>listed on the cover page hereof shall have any powers, duties or responsibilities under this Agreement or any of the other Loan Documents, except in its capacity, as applicable, as the Administrative Agent, a Lender or the L/C Issuer hereunder.</w:t>
      </w:r>
    </w:p>
    <w:p>
      <w:pPr>
        <w:spacing w:after="0" w:line="132"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 xml:space="preserve">9.09 Administrative Agent May File Proofs of Claim. </w:t>
      </w:r>
      <w:r>
        <w:rPr>
          <w:rFonts w:ascii="Arial" w:cs="Arial" w:eastAsia="Arial" w:hAnsi="Arial"/>
          <w:sz w:val="16"/>
          <w:szCs w:val="16"/>
          <w:color w:val="auto"/>
        </w:rPr>
        <w:t>In case of the pendency of any receivership, insolvency, liquidation, bankruptcy,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09" w:lineRule="exact"/>
        <w:rPr>
          <w:sz w:val="20"/>
          <w:szCs w:val="20"/>
          <w:color w:val="auto"/>
        </w:rPr>
      </w:pPr>
    </w:p>
    <w:p>
      <w:pPr>
        <w:jc w:val="both"/>
        <w:ind w:right="40" w:firstLine="464"/>
        <w:spacing w:after="0" w:line="294" w:lineRule="auto"/>
        <w:tabs>
          <w:tab w:leader="none" w:pos="6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allowed in such judicial proceeding; and</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334" w:right="299" w:bottom="1440" w:gutter="0" w:footer="0" w:header="0"/>
        </w:sectPr>
      </w:pPr>
    </w:p>
    <w:bookmarkStart w:id="104" w:name="page105"/>
    <w:bookmarkEnd w:id="10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pacing w:after="0" w:line="14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or to authorize the Administrative Agent to vote in respect of the claim of any Lender or the L/C Issuer in any such proceeding.</w:t>
      </w:r>
    </w:p>
    <w:p>
      <w:pPr>
        <w:spacing w:after="0" w:line="10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color w:val="auto"/>
        </w:rPr>
        <w:t>9.10 Removal of Administrative Agent</w:t>
      </w:r>
      <w:r>
        <w:rPr>
          <w:rFonts w:ascii="Arial" w:cs="Arial" w:eastAsia="Arial" w:hAnsi="Arial"/>
          <w:sz w:val="16"/>
          <w:szCs w:val="16"/>
          <w:color w:val="auto"/>
        </w:rPr>
        <w:t>. If the Person serving as Administrative Agent is a Defaulting Lender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clause (a)</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clause (d)</w:t>
      </w:r>
      <w:r>
        <w:rPr>
          <w:rFonts w:ascii="Arial" w:cs="Arial" w:eastAsia="Arial" w:hAnsi="Arial"/>
          <w:sz w:val="16"/>
          <w:szCs w:val="16"/>
          <w:b w:val="1"/>
          <w:bCs w:val="1"/>
          <w:color w:val="auto"/>
        </w:rPr>
        <w:t xml:space="preserve"> </w:t>
      </w:r>
      <w:r>
        <w:rPr>
          <w:rFonts w:ascii="Arial" w:cs="Arial" w:eastAsia="Arial" w:hAnsi="Arial"/>
          <w:sz w:val="16"/>
          <w:szCs w:val="16"/>
          <w:color w:val="auto"/>
        </w:rPr>
        <w:t>of the</w:t>
      </w:r>
      <w:r>
        <w:rPr>
          <w:rFonts w:ascii="Arial" w:cs="Arial" w:eastAsia="Arial" w:hAnsi="Arial"/>
          <w:sz w:val="16"/>
          <w:szCs w:val="16"/>
          <w:b w:val="1"/>
          <w:bCs w:val="1"/>
          <w:color w:val="auto"/>
        </w:rPr>
        <w:t xml:space="preserve"> </w:t>
      </w:r>
      <w:r>
        <w:rPr>
          <w:rFonts w:ascii="Arial" w:cs="Arial" w:eastAsia="Arial" w:hAnsi="Arial"/>
          <w:sz w:val="16"/>
          <w:szCs w:val="16"/>
          <w:color w:val="auto"/>
        </w:rPr>
        <w:t>definition of Defaulting Lender, the Required Lenders may, to the extent permitted by applicable Law, by notice in writing to Toro and such Person, remove such Person as Administrative Agent and, with the consent of Toro unless an Event of Default has occurred and is continuing (such consent not to be unreasonably withheld), appoint a successor Administrative Agent. If no such successor shall have been appointed and shall have accepted such appointment within thirty</w:t>
      </w:r>
    </w:p>
    <w:p>
      <w:pPr>
        <w:spacing w:after="0" w:line="3" w:lineRule="exact"/>
        <w:rPr>
          <w:sz w:val="20"/>
          <w:szCs w:val="20"/>
          <w:color w:val="auto"/>
        </w:rPr>
      </w:pPr>
    </w:p>
    <w:p>
      <w:pPr>
        <w:ind w:right="80" w:firstLine="8"/>
        <w:spacing w:after="0" w:line="261" w:lineRule="auto"/>
        <w:tabs>
          <w:tab w:leader="none" w:pos="3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notice on the Removal Effective Date.</w:t>
      </w:r>
    </w:p>
    <w:p>
      <w:pPr>
        <w:spacing w:after="0" w:line="29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GUARANTY</w:t>
      </w:r>
    </w:p>
    <w:p>
      <w:pPr>
        <w:spacing w:after="0" w:line="15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10.01 The Guaranty. </w:t>
      </w:r>
      <w:r>
        <w:rPr>
          <w:rFonts w:ascii="Arial" w:cs="Arial" w:eastAsia="Arial" w:hAnsi="Arial"/>
          <w:sz w:val="16"/>
          <w:szCs w:val="16"/>
          <w:color w:val="auto"/>
        </w:rPr>
        <w:t>Toro hereby unconditionally guarantees the full and punctual payment (whether at stated maturity, upon acceleration or otherwise)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principal of and interest on each Loan made by the Lenders or any Lender to any Subsidiary Borrower and each Letter of Credit issued by the L/C Issuer for any Subsidiary Borrower, in each case pursuant to this Agreement; and the full and punctual payment of all other amounts payable by any Subsidiary Borrower under this Agreement. Upon failure by any Subsidiary Borrower to pay punctually any such amount, Toro shall forthwith on demand pay the amount not so paid at the place and in the manner specified in this Agreement.</w:t>
      </w:r>
    </w:p>
    <w:p>
      <w:pPr>
        <w:spacing w:after="0" w:line="108" w:lineRule="exact"/>
        <w:rPr>
          <w:sz w:val="20"/>
          <w:szCs w:val="20"/>
          <w:color w:val="auto"/>
        </w:rPr>
      </w:pPr>
    </w:p>
    <w:p>
      <w:pPr>
        <w:ind w:right="560" w:firstLine="456"/>
        <w:spacing w:after="0" w:line="339" w:lineRule="auto"/>
        <w:rPr>
          <w:sz w:val="20"/>
          <w:szCs w:val="20"/>
          <w:color w:val="auto"/>
        </w:rPr>
      </w:pPr>
      <w:r>
        <w:rPr>
          <w:rFonts w:ascii="Arial" w:cs="Arial" w:eastAsia="Arial" w:hAnsi="Arial"/>
          <w:sz w:val="16"/>
          <w:szCs w:val="16"/>
          <w:b w:val="1"/>
          <w:bCs w:val="1"/>
          <w:color w:val="auto"/>
        </w:rPr>
        <w:t xml:space="preserve">10.02 Guaranty Unconditional. </w:t>
      </w:r>
      <w:r>
        <w:rPr>
          <w:rFonts w:ascii="Arial" w:cs="Arial" w:eastAsia="Arial" w:hAnsi="Arial"/>
          <w:sz w:val="16"/>
          <w:szCs w:val="16"/>
          <w:color w:val="auto"/>
        </w:rPr>
        <w:t>The obligations of Toro hereunder are a guaranty of payment and not of collection, and shall be unconditional and</w:t>
      </w:r>
      <w:r>
        <w:rPr>
          <w:rFonts w:ascii="Arial" w:cs="Arial" w:eastAsia="Arial" w:hAnsi="Arial"/>
          <w:sz w:val="16"/>
          <w:szCs w:val="16"/>
          <w:b w:val="1"/>
          <w:bCs w:val="1"/>
          <w:color w:val="auto"/>
        </w:rPr>
        <w:t xml:space="preserve"> </w:t>
      </w:r>
      <w:r>
        <w:rPr>
          <w:rFonts w:ascii="Arial" w:cs="Arial" w:eastAsia="Arial" w:hAnsi="Arial"/>
          <w:sz w:val="16"/>
          <w:szCs w:val="16"/>
          <w:color w:val="auto"/>
        </w:rPr>
        <w:t>absolute and, without limiting the generality of the foregoing, shall not be released, discharged or otherwise affected by:</w:t>
      </w:r>
    </w:p>
    <w:p>
      <w:pPr>
        <w:spacing w:after="0" w:line="80" w:lineRule="exact"/>
        <w:rPr>
          <w:sz w:val="20"/>
          <w:szCs w:val="20"/>
          <w:color w:val="auto"/>
        </w:rPr>
      </w:pPr>
    </w:p>
    <w:p>
      <w:pPr>
        <w:ind w:right="20" w:firstLine="464"/>
        <w:spacing w:after="0" w:line="268"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any Subsidiary Borrower under this Agreement or any Note, by operation of law or otherwise;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this Agreement or any Note;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96" w:right="259" w:bottom="1440" w:gutter="0" w:footer="0" w:header="0"/>
        </w:sectPr>
      </w:pPr>
    </w:p>
    <w:bookmarkStart w:id="105" w:name="page106"/>
    <w:bookmarkEnd w:id="10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any release, non-perfection or invalidity of any direct or indirect security for any obligation of any Subsidiary Borrower under this Agreement or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65" w:lineRule="exact"/>
        <w:rPr>
          <w:sz w:val="20"/>
          <w:szCs w:val="20"/>
          <w:color w:val="auto"/>
        </w:rPr>
      </w:pPr>
    </w:p>
    <w:p>
      <w:pPr>
        <w:ind w:firstLine="464"/>
        <w:spacing w:after="0" w:line="259" w:lineRule="auto"/>
        <w:tabs>
          <w:tab w:leader="none" w:pos="7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any Subsidiary Borrower, or any insolvency, bankruptcy, reorganization or other similar proceeding affecting such Subsidiary Borrower or its assets or any resulting release or discharge of any obligation of such Subsidiary Borrower contained in this Agreement or any Note;</w:t>
      </w:r>
    </w:p>
    <w:p>
      <w:pPr>
        <w:spacing w:after="0" w:line="140" w:lineRule="exact"/>
        <w:rPr>
          <w:rFonts w:ascii="Arial" w:cs="Arial" w:eastAsia="Arial" w:hAnsi="Arial"/>
          <w:sz w:val="18"/>
          <w:szCs w:val="18"/>
          <w:color w:val="auto"/>
        </w:rPr>
      </w:pPr>
    </w:p>
    <w:p>
      <w:pPr>
        <w:ind w:right="60" w:firstLine="464"/>
        <w:spacing w:after="0" w:line="259" w:lineRule="auto"/>
        <w:tabs>
          <w:tab w:leader="none" w:pos="6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existence of any claim, set-off or other rights which Toro may have at any time against any Subsidiary Borrower, any Administrative Agent, any Lender or any other corporation or person, whether in connection herewith or any unrelated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prevent the assertion of any such claim by separate suit or compulsory counterclaim;</w:t>
      </w:r>
    </w:p>
    <w:p>
      <w:pPr>
        <w:spacing w:after="0" w:line="140" w:lineRule="exact"/>
        <w:rPr>
          <w:rFonts w:ascii="Arial" w:cs="Arial" w:eastAsia="Arial" w:hAnsi="Arial"/>
          <w:sz w:val="18"/>
          <w:szCs w:val="18"/>
          <w:color w:val="auto"/>
        </w:rPr>
      </w:pPr>
    </w:p>
    <w:p>
      <w:pPr>
        <w:ind w:right="340" w:firstLine="464"/>
        <w:spacing w:after="0" w:line="259" w:lineRule="auto"/>
        <w:tabs>
          <w:tab w:leader="none" w:pos="67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any Subsidiary Borrower for any reason of this Agreement or any Note, or any provision of applicable law or regulation purporting to prohibit the payment by any Subsidiary Borrower of the principal of or interest on any Note or any other amount payable by it under this Agreement; or</w:t>
      </w:r>
    </w:p>
    <w:p>
      <w:pPr>
        <w:spacing w:after="0" w:line="140" w:lineRule="exact"/>
        <w:rPr>
          <w:rFonts w:ascii="Arial" w:cs="Arial" w:eastAsia="Arial" w:hAnsi="Arial"/>
          <w:sz w:val="18"/>
          <w:szCs w:val="18"/>
          <w:color w:val="auto"/>
        </w:rPr>
      </w:pPr>
    </w:p>
    <w:p>
      <w:pPr>
        <w:jc w:val="both"/>
        <w:ind w:right="260" w:firstLine="464"/>
        <w:spacing w:after="0" w:line="370" w:lineRule="auto"/>
        <w:tabs>
          <w:tab w:leader="none" w:pos="705" w:val="left"/>
        </w:tabs>
        <w:numPr>
          <w:ilvl w:val="0"/>
          <w:numId w:val="126"/>
        </w:numPr>
        <w:rPr>
          <w:rFonts w:ascii="Arial" w:cs="Arial" w:eastAsia="Arial" w:hAnsi="Arial"/>
          <w:sz w:val="15"/>
          <w:szCs w:val="15"/>
          <w:color w:val="auto"/>
        </w:rPr>
      </w:pPr>
      <w:r>
        <w:rPr>
          <w:rFonts w:ascii="Arial" w:cs="Arial" w:eastAsia="Arial" w:hAnsi="Arial"/>
          <w:sz w:val="15"/>
          <w:szCs w:val="15"/>
          <w:color w:val="auto"/>
        </w:rPr>
        <w:t>any other act or omission to act or delay of any kind by any Subsidiary Borrower, the Administrative Agent, any Lender or any other Person or any other circumstance whatsoever which might, but for the provisions of this paragraph, constitute a legal or equitable discharge of Toro’s obligations hereunder.</w:t>
      </w:r>
    </w:p>
    <w:p>
      <w:pPr>
        <w:spacing w:after="0" w:line="6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The obligations of Toro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are independent of the obligation of any Subsidiary Borrower pursuant to this Agreement or any Note issued by such Subsidiary Borrower and a separate action or actions may be brought and prosecuted against Toro to enforce the provisions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irrespective of whether any action is brought against any Subsidiary Borrower or whether any Subsidiary Borrower is joined in any such action or actions.</w:t>
      </w:r>
    </w:p>
    <w:p>
      <w:pPr>
        <w:spacing w:after="0" w:line="10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color w:val="auto"/>
        </w:rPr>
        <w:t xml:space="preserve">10.03 Discharge Only Upon Payment In Full; Reinstatement In Certain Circumstances. </w:t>
      </w:r>
      <w:r>
        <w:rPr>
          <w:rFonts w:ascii="Arial" w:cs="Arial" w:eastAsia="Arial" w:hAnsi="Arial"/>
          <w:sz w:val="18"/>
          <w:szCs w:val="18"/>
          <w:color w:val="auto"/>
        </w:rPr>
        <w:t>Toro’s obligations hereunder shall remain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until all the Commitments shall have terminated and the principal of and interest on the Notes and all other amounts payable by any Subsidiary Borrower under this Agreement shall have been paid in full. If at any time any payment of the principal of or interest on any Note or any other amount payable by any Subsidiary Borrower under this Agreement is rescinded or must be otherwise restored or returned upon the insolvency, bankruptcy or reorganization of such Subsidiary Borrower or otherwise, Toro’s obligations hereunder with respect to such payment shall be reinstated as though such payment had been due but not made at such time.</w:t>
      </w:r>
    </w:p>
    <w:p>
      <w:pPr>
        <w:spacing w:after="0" w:line="139"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 xml:space="preserve">10.04 Waiver by Toro. </w:t>
      </w:r>
      <w:r>
        <w:rPr>
          <w:rFonts w:ascii="Arial" w:cs="Arial" w:eastAsia="Arial" w:hAnsi="Arial"/>
          <w:sz w:val="16"/>
          <w:szCs w:val="16"/>
          <w:color w:val="auto"/>
        </w:rPr>
        <w:t>Toro irrevocably waives acceptance hereof, presentment, demand, protest and any notice not provided for herein, as well as any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 that at any time any action be taken by any Person against any Subsidiary Borrower or any other Person.</w:t>
      </w:r>
    </w:p>
    <w:p>
      <w:pPr>
        <w:spacing w:after="0" w:line="74" w:lineRule="exact"/>
        <w:rPr>
          <w:sz w:val="20"/>
          <w:szCs w:val="20"/>
          <w:color w:val="auto"/>
        </w:rPr>
      </w:pPr>
    </w:p>
    <w:p>
      <w:pPr>
        <w:ind w:right="420" w:firstLine="456"/>
        <w:spacing w:after="0" w:line="339" w:lineRule="auto"/>
        <w:rPr>
          <w:sz w:val="20"/>
          <w:szCs w:val="20"/>
          <w:color w:val="auto"/>
        </w:rPr>
      </w:pPr>
      <w:r>
        <w:rPr>
          <w:rFonts w:ascii="Arial" w:cs="Arial" w:eastAsia="Arial" w:hAnsi="Arial"/>
          <w:sz w:val="16"/>
          <w:szCs w:val="16"/>
          <w:b w:val="1"/>
          <w:bCs w:val="1"/>
          <w:color w:val="auto"/>
        </w:rPr>
        <w:t xml:space="preserve">10.05 No Subrogation. </w:t>
      </w:r>
      <w:r>
        <w:rPr>
          <w:rFonts w:ascii="Arial" w:cs="Arial" w:eastAsia="Arial" w:hAnsi="Arial"/>
          <w:sz w:val="16"/>
          <w:szCs w:val="16"/>
          <w:color w:val="auto"/>
        </w:rPr>
        <w:t>Toro shall not exercise any right of subrogation, contribution, indemnity, reimbursement or similar rights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it makes under this Guaranty until all of the Obligations and any amounts payable under this Guaranty have been</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334" w:right="319" w:bottom="1440" w:gutter="0" w:footer="0" w:header="0"/>
        </w:sectPr>
      </w:pPr>
    </w:p>
    <w:bookmarkStart w:id="106" w:name="page107"/>
    <w:bookmarkEnd w:id="106"/>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indefeasibly paid and performed in full and the Commitments are terminated. If any amounts are paid to Toro in violation of the foregoing limitation, then such amounts shall be held in trust for the benefit of the Lenders and shall forthwith be paid to the Lenders to reduce the amount of the Obligations, whether matured or unmatured.</w:t>
      </w:r>
    </w:p>
    <w:p>
      <w:pPr>
        <w:spacing w:after="0" w:line="134"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10.06 Stay of Acceleration. </w:t>
      </w:r>
      <w:r>
        <w:rPr>
          <w:rFonts w:ascii="Arial" w:cs="Arial" w:eastAsia="Arial" w:hAnsi="Arial"/>
          <w:sz w:val="16"/>
          <w:szCs w:val="16"/>
          <w:color w:val="auto"/>
        </w:rPr>
        <w:t>If acceleration of the time for payment of any amount payable by any Subsidiary Borrower under this Agreement or the Notes</w:t>
      </w:r>
      <w:r>
        <w:rPr>
          <w:rFonts w:ascii="Arial" w:cs="Arial" w:eastAsia="Arial" w:hAnsi="Arial"/>
          <w:sz w:val="16"/>
          <w:szCs w:val="16"/>
          <w:b w:val="1"/>
          <w:bCs w:val="1"/>
          <w:color w:val="auto"/>
        </w:rPr>
        <w:t xml:space="preserve"> </w:t>
      </w:r>
      <w:r>
        <w:rPr>
          <w:rFonts w:ascii="Arial" w:cs="Arial" w:eastAsia="Arial" w:hAnsi="Arial"/>
          <w:sz w:val="16"/>
          <w:szCs w:val="16"/>
          <w:color w:val="auto"/>
        </w:rPr>
        <w:t>is stayed upon the insolvency, bankruptcy or reorganization of such Subsidiary Borrower, all such amounts otherwise subject to acceleration under the terms of this Agreement shall nonetheless be payable by Toro hereunder forthwith on demand by the Administrative Agent made at the request of the Required Lenders.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11.01 Amendments, Etc. </w:t>
      </w:r>
      <w:r>
        <w:rPr>
          <w:rFonts w:ascii="Arial" w:cs="Arial" w:eastAsia="Arial" w:hAnsi="Arial"/>
          <w:sz w:val="16"/>
          <w:szCs w:val="16"/>
          <w:color w:val="auto"/>
        </w:rPr>
        <w:t>No amendment or waiver of any provision of this Agreement or any other Loan Document, and no consent to any departure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Borrowers or any other Loan Party therefrom, shall be effective unless in writing signed by the Required Lenders and the Borrowers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waiver or consent shall:</w:t>
      </w:r>
    </w:p>
    <w:p>
      <w:pPr>
        <w:spacing w:after="0" w:line="109" w:lineRule="exact"/>
        <w:rPr>
          <w:sz w:val="20"/>
          <w:szCs w:val="20"/>
          <w:color w:val="auto"/>
        </w:rPr>
      </w:pPr>
    </w:p>
    <w:p>
      <w:pPr>
        <w:ind w:left="700" w:hanging="236"/>
        <w:spacing w:after="0"/>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171" w:lineRule="exact"/>
        <w:rPr>
          <w:rFonts w:ascii="Arial" w:cs="Arial" w:eastAsia="Arial" w:hAnsi="Arial"/>
          <w:sz w:val="18"/>
          <w:szCs w:val="18"/>
          <w:color w:val="auto"/>
        </w:rPr>
      </w:pPr>
    </w:p>
    <w:p>
      <w:pPr>
        <w:ind w:right="40" w:firstLine="464"/>
        <w:spacing w:after="0" w:line="332" w:lineRule="auto"/>
        <w:tabs>
          <w:tab w:leader="none" w:pos="70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(i) extend or increase the Commitment of any Lender (or reinstate any Commitment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without the written consent of such Lender, or (ii) extend the expiry of any Letter of Credit to a date after the Letter of Credit Expiration Date, without the written consent of each Lender;</w:t>
      </w:r>
    </w:p>
    <w:p>
      <w:pPr>
        <w:spacing w:after="0" w:line="85" w:lineRule="exact"/>
        <w:rPr>
          <w:rFonts w:ascii="Arial" w:cs="Arial" w:eastAsia="Arial" w:hAnsi="Arial"/>
          <w:sz w:val="16"/>
          <w:szCs w:val="16"/>
          <w:color w:val="auto"/>
        </w:rPr>
      </w:pPr>
    </w:p>
    <w:p>
      <w:pPr>
        <w:ind w:firstLine="464"/>
        <w:spacing w:after="0" w:line="332" w:lineRule="auto"/>
        <w:tabs>
          <w:tab w:leader="none" w:pos="69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postpone any date fixed by this Agreement or any other Loan Document for any payment of principal, interest, fees or other amounts due to the Lenders (or any of them) hereunder or under any other Loan Document without the written consent of each Lender directly affected thereby;</w:t>
      </w:r>
    </w:p>
    <w:p>
      <w:pPr>
        <w:spacing w:after="0" w:line="85" w:lineRule="exact"/>
        <w:rPr>
          <w:rFonts w:ascii="Arial" w:cs="Arial" w:eastAsia="Arial" w:hAnsi="Arial"/>
          <w:sz w:val="16"/>
          <w:szCs w:val="16"/>
          <w:color w:val="auto"/>
        </w:rPr>
      </w:pPr>
    </w:p>
    <w:p>
      <w:pPr>
        <w:ind w:right="20" w:firstLine="464"/>
        <w:spacing w:after="0" w:line="294" w:lineRule="auto"/>
        <w:tabs>
          <w:tab w:leader="none" w:pos="70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(subject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of the second proviso to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any fees or other amounts payable hereunder or under any other Loan Document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80" w:right="259" w:bottom="1440" w:gutter="0" w:footer="0" w:header="0"/>
        </w:sectPr>
      </w:pPr>
    </w:p>
    <w:bookmarkStart w:id="107" w:name="page108"/>
    <w:bookmarkEnd w:id="107"/>
    <w:p>
      <w:pPr>
        <w:ind w:left="700" w:hanging="236"/>
        <w:spacing w:after="0"/>
        <w:tabs>
          <w:tab w:leader="none" w:pos="7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 a manner that would alter the pro rata sharing of payments required thereby without the written consent of each Lender;</w:t>
      </w:r>
    </w:p>
    <w:p>
      <w:pPr>
        <w:spacing w:after="0" w:line="194" w:lineRule="exact"/>
        <w:rPr>
          <w:rFonts w:ascii="Arial" w:cs="Arial" w:eastAsia="Arial" w:hAnsi="Arial"/>
          <w:sz w:val="16"/>
          <w:szCs w:val="16"/>
          <w:color w:val="auto"/>
        </w:rPr>
      </w:pPr>
    </w:p>
    <w:p>
      <w:pPr>
        <w:ind w:left="680" w:hanging="216"/>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amend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or the definition of “Alternative Currency” without the written consent of each Lender;</w:t>
      </w:r>
    </w:p>
    <w:p>
      <w:pPr>
        <w:spacing w:after="0" w:line="171" w:lineRule="exact"/>
        <w:rPr>
          <w:rFonts w:ascii="Arial" w:cs="Arial" w:eastAsia="Arial" w:hAnsi="Arial"/>
          <w:sz w:val="18"/>
          <w:szCs w:val="18"/>
          <w:color w:val="auto"/>
        </w:rPr>
      </w:pPr>
    </w:p>
    <w:p>
      <w:pPr>
        <w:ind w:right="440" w:firstLine="464"/>
        <w:spacing w:after="0" w:line="259" w:lineRule="auto"/>
        <w:tabs>
          <w:tab w:leader="none" w:pos="70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release Toro from the Guaranty without the written consent of each Lender;</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11.02 Notices; Effectiveness; Electronic Communication.</w:t>
      </w:r>
    </w:p>
    <w:p>
      <w:pPr>
        <w:spacing w:after="0" w:line="177" w:lineRule="exact"/>
        <w:rPr>
          <w:sz w:val="20"/>
          <w:szCs w:val="20"/>
          <w:color w:val="auto"/>
        </w:rPr>
      </w:pPr>
    </w:p>
    <w:p>
      <w:pPr>
        <w:ind w:right="240" w:firstLine="464"/>
        <w:spacing w:after="0" w:line="298" w:lineRule="auto"/>
        <w:tabs>
          <w:tab w:leader="none" w:pos="69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xml:space="preserve">. Except in the case of notices and other communications expressly permitted to be given by telephone (and except as provided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31" w:lineRule="exact"/>
        <w:rPr>
          <w:rFonts w:ascii="Arial" w:cs="Arial" w:eastAsia="Arial" w:hAnsi="Arial"/>
          <w:sz w:val="16"/>
          <w:szCs w:val="16"/>
          <w:color w:val="auto"/>
        </w:rPr>
      </w:pPr>
    </w:p>
    <w:p>
      <w:pPr>
        <w:ind w:left="460" w:right="60" w:firstLine="443"/>
        <w:spacing w:after="0" w:line="268" w:lineRule="auto"/>
        <w:tabs>
          <w:tab w:leader="none" w:pos="110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if to the Borrowers, the Administrative Agent, the L/C Issuer or the Swing Line Lender,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960" w:firstLine="443"/>
        <w:spacing w:after="0" w:line="268" w:lineRule="auto"/>
        <w:tabs>
          <w:tab w:leader="none" w:pos="115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 (including,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80" w:right="239" w:bottom="1440" w:gutter="0" w:footer="0" w:header="0"/>
        </w:sectPr>
      </w:pPr>
    </w:p>
    <w:bookmarkStart w:id="108" w:name="page109"/>
    <w:bookmarkEnd w:id="108"/>
    <w:p>
      <w:pPr>
        <w:ind w:left="46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appropriate, notices delivered solely to the Person designated by a Lender on its Administrative Questionnaire then in effect for the delivery of notices that may contain material non-public information relating to the Borrowers).</w:t>
      </w:r>
    </w:p>
    <w:p>
      <w:pPr>
        <w:spacing w:after="0" w:line="13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5"/>
          <w:szCs w:val="15"/>
          <w:u w:val="single" w:color="auto"/>
          <w:color w:val="auto"/>
        </w:rPr>
        <w:t>subsection (b)</w:t>
      </w:r>
      <w:r>
        <w:rPr>
          <w:rFonts w:ascii="Arial" w:cs="Arial" w:eastAsia="Arial" w:hAnsi="Arial"/>
          <w:sz w:val="15"/>
          <w:szCs w:val="15"/>
          <w:color w:val="auto"/>
        </w:rPr>
        <w:t xml:space="preserve"> below, shall be effective as provided in such </w:t>
      </w:r>
      <w:r>
        <w:rPr>
          <w:rFonts w:ascii="Arial" w:cs="Arial" w:eastAsia="Arial" w:hAnsi="Arial"/>
          <w:sz w:val="15"/>
          <w:szCs w:val="15"/>
          <w:u w:val="single" w:color="auto"/>
          <w:color w:val="auto"/>
        </w:rPr>
        <w:t>subsection (b)</w:t>
      </w:r>
      <w:r>
        <w:rPr>
          <w:rFonts w:ascii="Arial" w:cs="Arial" w:eastAsia="Arial" w:hAnsi="Arial"/>
          <w:sz w:val="15"/>
          <w:szCs w:val="15"/>
          <w:color w:val="auto"/>
        </w:rPr>
        <w:t>.</w:t>
      </w:r>
    </w:p>
    <w:p>
      <w:pPr>
        <w:spacing w:after="0" w:line="98" w:lineRule="exact"/>
        <w:rPr>
          <w:sz w:val="20"/>
          <w:szCs w:val="20"/>
          <w:color w:val="auto"/>
        </w:rPr>
      </w:pPr>
    </w:p>
    <w:p>
      <w:pPr>
        <w:ind w:right="180" w:firstLine="464"/>
        <w:spacing w:after="0" w:line="291" w:lineRule="auto"/>
        <w:tabs>
          <w:tab w:leader="none" w:pos="70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the L/C Issuer, as applicable, has notified the Administrative Agent that it is incapable of receiving notices under such Article by electronic communication. The Administrative Agent or Toro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120" w:lineRule="exact"/>
        <w:rPr>
          <w:sz w:val="20"/>
          <w:szCs w:val="20"/>
          <w:color w:val="auto"/>
        </w:rPr>
      </w:pPr>
    </w:p>
    <w:p>
      <w:pPr>
        <w:ind w:right="260" w:firstLine="464"/>
        <w:spacing w:after="0" w:line="289" w:lineRule="auto"/>
        <w:tabs>
          <w:tab w:leader="none" w:pos="69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The Platform</w:t>
      </w:r>
      <w:r>
        <w:rPr>
          <w:rFonts w:ascii="Arial" w:cs="Arial" w:eastAsia="Arial" w:hAnsi="Arial"/>
          <w:sz w:val="16"/>
          <w:szCs w:val="16"/>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have any liability to any Borrower, any Lender, the L/C Issuer or any other Person for losses, claims, damages, liabilities or expenses of any kind (whether in tort, contract or otherwise) (x) arising out of any Borrower’s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80" w:right="239" w:bottom="1440" w:gutter="0" w:footer="0" w:header="0"/>
        </w:sectPr>
      </w:pPr>
    </w:p>
    <w:bookmarkStart w:id="109" w:name="page110"/>
    <w:bookmarkEnd w:id="109"/>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the Administrative Agent’s transmission of Borrower Materials through the Internet or (y) arising from the use by unintended recipients of such Borrower Materials obtained by such unintended recipients through interception or misdirection of electronic telecommunications or other information transmission systems in connection with this Agreement or the other Loan Documents or the transactions contemplated hereby or thereby, in each case,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147" w:lineRule="exact"/>
        <w:rPr>
          <w:sz w:val="20"/>
          <w:szCs w:val="20"/>
          <w:color w:val="auto"/>
        </w:rPr>
      </w:pPr>
    </w:p>
    <w:p>
      <w:pPr>
        <w:ind w:firstLine="464"/>
        <w:spacing w:after="0" w:line="287" w:lineRule="auto"/>
        <w:tabs>
          <w:tab w:leader="none" w:pos="705"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Borrowers,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Toro, the Administrative Agent, the L/C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122" w:lineRule="exact"/>
        <w:rPr>
          <w:rFonts w:ascii="Arial" w:cs="Arial" w:eastAsia="Arial" w:hAnsi="Arial"/>
          <w:sz w:val="16"/>
          <w:szCs w:val="16"/>
          <w:color w:val="auto"/>
        </w:rPr>
      </w:pPr>
    </w:p>
    <w:p>
      <w:pPr>
        <w:ind w:right="220" w:firstLine="464"/>
        <w:spacing w:after="0" w:line="286" w:lineRule="auto"/>
        <w:tabs>
          <w:tab w:leader="none" w:pos="695"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L/C Issuer and Lenders</w:t>
      </w:r>
      <w:r>
        <w:rPr>
          <w:rFonts w:ascii="Arial" w:cs="Arial" w:eastAsia="Arial" w:hAnsi="Arial"/>
          <w:sz w:val="16"/>
          <w:szCs w:val="16"/>
          <w:color w:val="auto"/>
        </w:rPr>
        <w:t>. The Administrative Agent, the L/C Issuer and the Lenders shall be entitled to rely and act upon any notices (including telephonic Committed Loan Notices and Swing Line Loan Notices) purportedly given by or on behalf of any Borrower even if</w:t>
      </w:r>
    </w:p>
    <w:p>
      <w:pPr>
        <w:ind w:left="220" w:hanging="212"/>
        <w:spacing w:after="0"/>
        <w:tabs>
          <w:tab w:leader="none" w:pos="2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such notices were not made in a manner specified herein, were incomplete or were not preceded or followed by any other form of notice specified herein, or</w:t>
      </w:r>
    </w:p>
    <w:p>
      <w:pPr>
        <w:spacing w:after="0" w:line="32" w:lineRule="exact"/>
        <w:rPr>
          <w:rFonts w:ascii="Arial" w:cs="Arial" w:eastAsia="Arial" w:hAnsi="Arial"/>
          <w:sz w:val="16"/>
          <w:szCs w:val="16"/>
          <w:color w:val="auto"/>
        </w:rPr>
      </w:pPr>
    </w:p>
    <w:p>
      <w:pPr>
        <w:ind w:right="140" w:firstLine="8"/>
        <w:spacing w:after="0" w:line="295" w:lineRule="auto"/>
        <w:tabs>
          <w:tab w:leader="none" w:pos="25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09"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 xml:space="preserve">11.03 No Waiver; Cumulative Remedies; Enforcement. </w:t>
      </w:r>
      <w:r>
        <w:rPr>
          <w:rFonts w:ascii="Arial" w:cs="Arial" w:eastAsia="Arial" w:hAnsi="Arial"/>
          <w:sz w:val="18"/>
          <w:szCs w:val="18"/>
          <w:color w:val="auto"/>
        </w:rPr>
        <w:t>No failure by any Lender, the L/C Issuer or the Administrative Agent to exercise, and no delay</w:t>
      </w:r>
      <w:r>
        <w:rPr>
          <w:rFonts w:ascii="Arial" w:cs="Arial" w:eastAsia="Arial" w:hAnsi="Arial"/>
          <w:sz w:val="18"/>
          <w:szCs w:val="18"/>
          <w:b w:val="1"/>
          <w:bCs w:val="1"/>
          <w:color w:val="auto"/>
        </w:rPr>
        <w:t xml:space="preserve"> </w:t>
      </w:r>
      <w:r>
        <w:rPr>
          <w:rFonts w:ascii="Arial" w:cs="Arial" w:eastAsia="Arial" w:hAnsi="Arial"/>
          <w:sz w:val="18"/>
          <w:szCs w:val="18"/>
          <w:color w:val="auto"/>
        </w:rPr>
        <w:t>by any such Person in exercising, any right, remedy, power or privilege hereunder shall operate as a waiver thereof; nor shall any single or partial exercise of any right, remedy, power or privilege hereunder preclude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80" w:right="239" w:bottom="1440" w:gutter="0" w:footer="0" w:header="0"/>
        </w:sectPr>
      </w:pPr>
    </w:p>
    <w:bookmarkStart w:id="110" w:name="page111"/>
    <w:bookmarkEnd w:id="110"/>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32"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(subject to the terms of</w:t>
      </w:r>
    </w:p>
    <w:p>
      <w:pPr>
        <w:spacing w:after="0" w:line="292" w:lineRule="auto"/>
        <w:rPr>
          <w:sz w:val="20"/>
          <w:szCs w:val="20"/>
          <w:color w:val="auto"/>
        </w:rPr>
      </w:pP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11.04 Expenses; Indemnity; Damage Waiver.</w:t>
      </w:r>
    </w:p>
    <w:p>
      <w:pPr>
        <w:spacing w:after="0" w:line="177" w:lineRule="exact"/>
        <w:rPr>
          <w:sz w:val="20"/>
          <w:szCs w:val="20"/>
          <w:color w:val="auto"/>
        </w:rPr>
      </w:pPr>
    </w:p>
    <w:p>
      <w:pPr>
        <w:ind w:right="60" w:firstLine="464"/>
        <w:spacing w:after="0" w:line="287" w:lineRule="auto"/>
        <w:tabs>
          <w:tab w:leader="none" w:pos="695"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 Issuer in connection with the issuance, amendment, renewal or extension of any Letter of Credit or any demand for payment thereunder and (iii) all out of 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22" w:lineRule="exact"/>
        <w:rPr>
          <w:rFonts w:ascii="Arial" w:cs="Arial" w:eastAsia="Arial" w:hAnsi="Arial"/>
          <w:sz w:val="16"/>
          <w:szCs w:val="16"/>
          <w:color w:val="auto"/>
        </w:rPr>
      </w:pPr>
    </w:p>
    <w:p>
      <w:pPr>
        <w:ind w:right="220" w:firstLine="464"/>
        <w:spacing w:after="0" w:line="268"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Indemnification by Toro</w:t>
      </w:r>
      <w:r>
        <w:rPr>
          <w:rFonts w:ascii="Arial" w:cs="Arial" w:eastAsia="Arial" w:hAnsi="Arial"/>
          <w:sz w:val="18"/>
          <w:szCs w:val="18"/>
          <w:color w:val="auto"/>
        </w:rPr>
        <w:t>. The Borrowers shall indemnify the Administrative Agent (and any sub-agent thereof), each Lender and the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280" w:right="299" w:bottom="1440" w:gutter="0" w:footer="0" w:header="0"/>
        </w:sectPr>
      </w:pPr>
    </w:p>
    <w:bookmarkStart w:id="111" w:name="page112"/>
    <w:bookmarkEnd w:id="111"/>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Indemnitee harmless from, any and all losses, claims, damages, liabilities and related expenses (including the fees, charges and disbursements of any counsel for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Toro or any other Loan Party, and regardless of whether any Indemnitee is a party thereto, </w:t>
      </w:r>
      <w:r>
        <w:rPr>
          <w:rFonts w:ascii="Arial" w:cs="Arial" w:eastAsia="Arial" w:hAnsi="Arial"/>
          <w:sz w:val="15"/>
          <w:szCs w:val="15"/>
          <w:b w:val="1"/>
          <w:bCs w:val="1"/>
          <w:color w:val="auto"/>
        </w:rPr>
        <w:t>IN ALL</w:t>
      </w:r>
    </w:p>
    <w:p>
      <w:pPr>
        <w:spacing w:after="0" w:line="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CASES, WHETHER OR NOT CAUSED BY OR ARISING, IN WHOLE OR IN PART, OUT OF THE COMPARATIVE, CONTRIBUTORY OR SOLE NEGLIGENCE OF THE INDEMNITEE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indemnity shall not, as to any Indemnitee, be available to the extent that such losses, claims,</w:t>
      </w:r>
      <w:r>
        <w:rPr>
          <w:rFonts w:ascii="Arial" w:cs="Arial" w:eastAsia="Arial" w:hAnsi="Arial"/>
          <w:sz w:val="16"/>
          <w:szCs w:val="16"/>
          <w:b w:val="1"/>
          <w:bCs w:val="1"/>
          <w:color w:val="auto"/>
        </w:rPr>
        <w:t xml:space="preserve"> </w:t>
      </w:r>
      <w:r>
        <w:rPr>
          <w:rFonts w:ascii="Arial" w:cs="Arial" w:eastAsia="Arial" w:hAnsi="Arial"/>
          <w:sz w:val="16"/>
          <w:szCs w:val="16"/>
          <w:color w:val="auto"/>
        </w:rPr>
        <w:t>damages, liabilities or related expenses (x) are determined by a court of competent jurisdiction by final and nonappealable judgment to have resulted from the gross negligence or willful misconduct of such Indemnitee or (y) result from a claim brought by Toro or any other Loan Party against an Indemnitee for breach in bad faith of such Indemnitee's obligations hereunder or under any other Loan Document, if Toro or such other Loan Party has obtained a final and nonappealable judgment in its favor on such claim as determined by a court of competent jurisdiction.</w:t>
      </w:r>
    </w:p>
    <w:p>
      <w:pPr>
        <w:spacing w:after="0" w:line="118" w:lineRule="exact"/>
        <w:rPr>
          <w:sz w:val="20"/>
          <w:szCs w:val="20"/>
          <w:color w:val="auto"/>
        </w:rPr>
      </w:pPr>
    </w:p>
    <w:p>
      <w:pPr>
        <w:ind w:right="80" w:firstLine="464"/>
        <w:spacing w:after="0" w:line="289" w:lineRule="auto"/>
        <w:tabs>
          <w:tab w:leader="none" w:pos="695"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Borrowers for any reason fail to indefeasibly pay any amount required under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to be paid by it to the Administrative Agent (or any sub-agent thereof), the L/C Issuer or any Related Party of any of the foregoing, each Lender severally agrees to pay to the Administrative Agent (or any such sub-agent), the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right="500" w:firstLine="464"/>
        <w:spacing w:after="0" w:line="332" w:lineRule="auto"/>
        <w:tabs>
          <w:tab w:leader="none" w:pos="705"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Borrower shall assert, and hereby waives, any claim against any Indemnitee, on any theory of liability, for special, indirect, consequential or punitive damages (as opposed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80" w:right="239" w:bottom="1440" w:gutter="0" w:footer="0" w:header="0"/>
        </w:sectPr>
      </w:pPr>
    </w:p>
    <w:bookmarkStart w:id="112" w:name="page113"/>
    <w:bookmarkEnd w:id="112"/>
    <w:p>
      <w:pPr>
        <w:ind w:right="2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5"/>
          <w:szCs w:val="15"/>
          <w:u w:val="single" w:color="auto"/>
          <w:color w:val="auto"/>
        </w:rPr>
        <w:t>subsection (b)</w:t>
      </w:r>
      <w:r>
        <w:rPr>
          <w:rFonts w:ascii="Arial" w:cs="Arial" w:eastAsia="Arial" w:hAnsi="Arial"/>
          <w:sz w:val="15"/>
          <w:szCs w:val="15"/>
          <w:color w:val="auto"/>
        </w:rPr>
        <w:t xml:space="preserve"> above shall be liable for any damages arising from the use by unintended recipients of any information or other materials obtained by such unintended recipients by such Indemnitee through interception or misdirection of electronic telecommunications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05" w:lineRule="exact"/>
        <w:rPr>
          <w:sz w:val="20"/>
          <w:szCs w:val="20"/>
          <w:color w:val="auto"/>
        </w:rPr>
      </w:pPr>
    </w:p>
    <w:p>
      <w:pPr>
        <w:ind w:left="700" w:hanging="236"/>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thirty days after demand therefor.</w:t>
      </w:r>
    </w:p>
    <w:p>
      <w:pPr>
        <w:spacing w:after="0" w:line="171" w:lineRule="exact"/>
        <w:rPr>
          <w:rFonts w:ascii="Arial" w:cs="Arial" w:eastAsia="Arial" w:hAnsi="Arial"/>
          <w:sz w:val="18"/>
          <w:szCs w:val="18"/>
          <w:color w:val="auto"/>
        </w:rPr>
      </w:pPr>
    </w:p>
    <w:p>
      <w:pPr>
        <w:ind w:right="500" w:firstLine="464"/>
        <w:spacing w:after="0" w:line="332" w:lineRule="auto"/>
        <w:tabs>
          <w:tab w:leader="none" w:pos="676"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agreements in this Section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7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11.05 Payments Set Aside. </w:t>
      </w:r>
      <w:r>
        <w:rPr>
          <w:rFonts w:ascii="Arial" w:cs="Arial" w:eastAsia="Arial" w:hAnsi="Arial"/>
          <w:sz w:val="16"/>
          <w:szCs w:val="16"/>
          <w:color w:val="auto"/>
        </w:rPr>
        <w:t>To the extent that any payment by or on behalf of any Borrower is made to the Administrative Agent, the L/C Issuer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preceding sentence shall survive the payment in full of the Obligations and the termination of this Agreement.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11.06 Successors and Assigns.</w:t>
      </w:r>
    </w:p>
    <w:p>
      <w:pPr>
        <w:spacing w:after="0" w:line="177" w:lineRule="exact"/>
        <w:rPr>
          <w:sz w:val="20"/>
          <w:szCs w:val="20"/>
          <w:color w:val="auto"/>
        </w:rPr>
      </w:pPr>
    </w:p>
    <w:p>
      <w:pPr>
        <w:ind w:right="120" w:firstLine="464"/>
        <w:spacing w:after="0" w:line="255"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(ii) by way of participation in accordance with the provisions of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80" w:right="259" w:bottom="1440" w:gutter="0" w:footer="0" w:header="0"/>
        </w:sectPr>
      </w:pPr>
    </w:p>
    <w:bookmarkStart w:id="113" w:name="page114"/>
    <w:bookmarkEnd w:id="113"/>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or (iii) by way of pledge or assignment of a security interest subject to the restrictions of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143" w:lineRule="exact"/>
        <w:rPr>
          <w:sz w:val="20"/>
          <w:szCs w:val="20"/>
          <w:color w:val="auto"/>
        </w:rPr>
      </w:pPr>
    </w:p>
    <w:p>
      <w:pPr>
        <w:ind w:right="280" w:firstLine="464"/>
        <w:spacing w:after="0" w:line="306" w:lineRule="auto"/>
        <w:tabs>
          <w:tab w:leader="none" w:pos="705"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Assignments by Lenders</w:t>
      </w:r>
      <w:r>
        <w:rPr>
          <w:rFonts w:ascii="Arial" w:cs="Arial" w:eastAsia="Arial" w:hAnsi="Arial"/>
          <w:sz w:val="16"/>
          <w:szCs w:val="16"/>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participations in L/C Obligations and in Swing Line Loans) at the time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assignment shall be subject to the following conditions:</w:t>
      </w:r>
    </w:p>
    <w:p>
      <w:pPr>
        <w:spacing w:after="0" w:line="25" w:lineRule="exact"/>
        <w:rPr>
          <w:rFonts w:ascii="Arial" w:cs="Arial" w:eastAsia="Arial" w:hAnsi="Arial"/>
          <w:sz w:val="16"/>
          <w:szCs w:val="16"/>
          <w:color w:val="auto"/>
        </w:rPr>
      </w:pPr>
    </w:p>
    <w:p>
      <w:pPr>
        <w:ind w:left="1120" w:hanging="217"/>
        <w:spacing w:after="0"/>
        <w:tabs>
          <w:tab w:leader="none" w:pos="1120"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160" w:firstLine="421"/>
        <w:spacing w:after="0" w:line="332" w:lineRule="auto"/>
        <w:tabs>
          <w:tab w:leader="none" w:pos="1627" w:val="left"/>
        </w:tabs>
        <w:numPr>
          <w:ilvl w:val="2"/>
          <w:numId w:val="138"/>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4" w:lineRule="exact"/>
        <w:rPr>
          <w:rFonts w:ascii="Arial" w:cs="Arial" w:eastAsia="Arial" w:hAnsi="Arial"/>
          <w:sz w:val="16"/>
          <w:szCs w:val="16"/>
          <w:color w:val="auto"/>
        </w:rPr>
      </w:pPr>
    </w:p>
    <w:p>
      <w:pPr>
        <w:ind w:left="920" w:firstLine="421"/>
        <w:spacing w:after="0" w:line="289" w:lineRule="auto"/>
        <w:tabs>
          <w:tab w:leader="none" w:pos="1618" w:val="left"/>
        </w:tabs>
        <w:numPr>
          <w:ilvl w:val="2"/>
          <w:numId w:val="138"/>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Toro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156"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not apply to the Swing Line Lender’s rights and obligations in respect of Swing Line Loans;</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No consent shall be required for any assignment except to the extent required by </w:t>
      </w:r>
      <w:r>
        <w:rPr>
          <w:rFonts w:ascii="Arial" w:cs="Arial" w:eastAsia="Arial" w:hAnsi="Arial"/>
          <w:sz w:val="16"/>
          <w:szCs w:val="16"/>
          <w:u w:val="single" w:color="auto"/>
          <w:color w:val="auto"/>
        </w:rPr>
        <w:t>subsection (b)(i)(B)</w:t>
      </w:r>
      <w:r>
        <w:rPr>
          <w:rFonts w:ascii="Arial" w:cs="Arial" w:eastAsia="Arial" w:hAnsi="Arial"/>
          <w:sz w:val="16"/>
          <w:szCs w:val="16"/>
          <w:color w:val="auto"/>
        </w:rPr>
        <w:t xml:space="preserve"> of this Section and, 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280" w:right="259" w:bottom="1440" w:gutter="0" w:footer="0" w:header="0"/>
        </w:sectPr>
      </w:pPr>
    </w:p>
    <w:bookmarkStart w:id="114" w:name="page115"/>
    <w:bookmarkEnd w:id="114"/>
    <w:p>
      <w:pPr>
        <w:ind w:left="460" w:right="200" w:firstLine="421"/>
        <w:spacing w:after="0" w:line="303" w:lineRule="auto"/>
        <w:tabs>
          <w:tab w:leader="none" w:pos="1167" w:val="left"/>
        </w:tabs>
        <w:numPr>
          <w:ilvl w:val="2"/>
          <w:numId w:val="13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consent of Toro (such consent not to be unreasonably withheld) shall be required unless (1) an Event of Default has occurred and is continuing at the time of such assignment or (2) such assignment is to a Lender, an Affiliate of a Lender or an Approved Fund;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Toro shall be deemed to have consented to any such assignment unless it shall object thereto by written notice to the Administrative Agent within ten</w:t>
      </w:r>
    </w:p>
    <w:p>
      <w:pPr>
        <w:spacing w:after="0" w:line="1" w:lineRule="exact"/>
        <w:rPr>
          <w:rFonts w:ascii="Arial" w:cs="Arial" w:eastAsia="Arial" w:hAnsi="Arial"/>
          <w:sz w:val="15"/>
          <w:szCs w:val="15"/>
          <w:color w:val="auto"/>
        </w:rPr>
      </w:pPr>
    </w:p>
    <w:p>
      <w:pPr>
        <w:ind w:left="460" w:right="340" w:firstLine="1"/>
        <w:spacing w:after="0" w:line="261" w:lineRule="auto"/>
        <w:tabs>
          <w:tab w:leader="none" w:pos="79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days after having received notice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Toro’s consent shall be deemed reasonably withheld where such assignment would result in additional or increased costs to any Borrower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56" w:lineRule="exact"/>
        <w:rPr>
          <w:rFonts w:ascii="Arial" w:cs="Arial" w:eastAsia="Arial" w:hAnsi="Arial"/>
          <w:sz w:val="18"/>
          <w:szCs w:val="18"/>
          <w:color w:val="auto"/>
        </w:rPr>
      </w:pPr>
    </w:p>
    <w:p>
      <w:pPr>
        <w:ind w:left="460" w:right="80" w:firstLine="421"/>
        <w:spacing w:after="0" w:line="268" w:lineRule="auto"/>
        <w:tabs>
          <w:tab w:leader="none" w:pos="1158"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50" w:lineRule="exact"/>
        <w:rPr>
          <w:rFonts w:ascii="Arial" w:cs="Arial" w:eastAsia="Arial" w:hAnsi="Arial"/>
          <w:sz w:val="18"/>
          <w:szCs w:val="18"/>
          <w:color w:val="auto"/>
        </w:rPr>
      </w:pPr>
    </w:p>
    <w:p>
      <w:pPr>
        <w:ind w:left="460" w:firstLine="421"/>
        <w:spacing w:after="0" w:line="332" w:lineRule="auto"/>
        <w:tabs>
          <w:tab w:leader="none" w:pos="1158" w:val="left"/>
        </w:tabs>
        <w:numPr>
          <w:ilvl w:val="2"/>
          <w:numId w:val="140"/>
        </w:numPr>
        <w:rPr>
          <w:rFonts w:ascii="Arial" w:cs="Arial" w:eastAsia="Arial" w:hAnsi="Arial"/>
          <w:sz w:val="16"/>
          <w:szCs w:val="16"/>
          <w:color w:val="auto"/>
        </w:rPr>
      </w:pPr>
      <w:r>
        <w:rPr>
          <w:rFonts w:ascii="Arial" w:cs="Arial" w:eastAsia="Arial" w:hAnsi="Arial"/>
          <w:sz w:val="16"/>
          <w:szCs w:val="16"/>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4" w:lineRule="exact"/>
        <w:rPr>
          <w:rFonts w:ascii="Arial" w:cs="Arial" w:eastAsia="Arial" w:hAnsi="Arial"/>
          <w:sz w:val="16"/>
          <w:szCs w:val="16"/>
          <w:color w:val="auto"/>
        </w:rPr>
      </w:pPr>
    </w:p>
    <w:p>
      <w:pPr>
        <w:ind w:left="1160" w:hanging="279"/>
        <w:spacing w:after="0"/>
        <w:tabs>
          <w:tab w:leader="none" w:pos="1160" w:val="left"/>
        </w:tabs>
        <w:numPr>
          <w:ilvl w:val="2"/>
          <w:numId w:val="140"/>
        </w:numPr>
        <w:rPr>
          <w:rFonts w:ascii="Arial" w:cs="Arial" w:eastAsia="Arial" w:hAnsi="Arial"/>
          <w:sz w:val="16"/>
          <w:szCs w:val="16"/>
          <w:color w:val="auto"/>
        </w:rPr>
      </w:pPr>
      <w:r>
        <w:rPr>
          <w:rFonts w:ascii="Arial" w:cs="Arial" w:eastAsia="Arial" w:hAnsi="Arial"/>
          <w:sz w:val="16"/>
          <w:szCs w:val="16"/>
          <w:color w:val="auto"/>
        </w:rPr>
        <w:t>the consent of the Swing Line Lender (such consent not to be unreasonably withheld or delayed) shall be required for any assignment.</w:t>
      </w:r>
    </w:p>
    <w:p>
      <w:pPr>
        <w:spacing w:after="0" w:line="113" w:lineRule="exact"/>
        <w:rPr>
          <w:rFonts w:ascii="Arial" w:cs="Arial" w:eastAsia="Arial" w:hAnsi="Arial"/>
          <w:sz w:val="16"/>
          <w:szCs w:val="16"/>
          <w:color w:val="auto"/>
        </w:rPr>
      </w:pPr>
    </w:p>
    <w:p>
      <w:pPr>
        <w:ind w:right="320" w:firstLine="443"/>
        <w:spacing w:after="0" w:line="256" w:lineRule="auto"/>
        <w:tabs>
          <w:tab w:leader="none" w:pos="73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62" w:lineRule="exact"/>
        <w:rPr>
          <w:rFonts w:ascii="Arial" w:cs="Arial" w:eastAsia="Arial" w:hAnsi="Arial"/>
          <w:sz w:val="18"/>
          <w:szCs w:val="18"/>
          <w:color w:val="auto"/>
        </w:rPr>
      </w:pPr>
    </w:p>
    <w:p>
      <w:pPr>
        <w:ind w:firstLine="443"/>
        <w:spacing w:after="0" w:line="259" w:lineRule="auto"/>
        <w:tabs>
          <w:tab w:leader="none" w:pos="68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any Borrower or any Borrower’s Affiliates or Subsidiaries, or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59" w:lineRule="exact"/>
        <w:rPr>
          <w:rFonts w:ascii="Arial" w:cs="Arial" w:eastAsia="Arial" w:hAnsi="Arial"/>
          <w:sz w:val="18"/>
          <w:szCs w:val="18"/>
          <w:color w:val="auto"/>
        </w:rPr>
      </w:pPr>
    </w:p>
    <w:p>
      <w:pPr>
        <w:ind w:right="140" w:firstLine="443"/>
        <w:spacing w:after="0" w:line="290" w:lineRule="auto"/>
        <w:tabs>
          <w:tab w:leader="none" w:pos="735"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Toro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20"/>
          </w:cols>
          <w:pgMar w:left="700" w:top="280" w:right="279" w:bottom="1440" w:gutter="0" w:footer="0" w:header="0"/>
        </w:sectPr>
      </w:pPr>
    </w:p>
    <w:bookmarkStart w:id="115" w:name="page116"/>
    <w:bookmarkEnd w:id="115"/>
    <w:p>
      <w:pPr>
        <w:ind w:left="460" w:right="1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9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w:t>
      </w:r>
    </w:p>
    <w:p>
      <w:pPr>
        <w:spacing w:after="0" w:line="120" w:lineRule="exact"/>
        <w:rPr>
          <w:sz w:val="20"/>
          <w:szCs w:val="20"/>
          <w:color w:val="auto"/>
        </w:rPr>
      </w:pPr>
    </w:p>
    <w:p>
      <w:pPr>
        <w:ind w:right="160" w:firstLine="464"/>
        <w:spacing w:after="0" w:line="289" w:lineRule="auto"/>
        <w:tabs>
          <w:tab w:leader="none" w:pos="695"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Borrowers (and such agency being solely for tax purposes),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each of the Borrowers and any Lender, at any reasonable time and from time to time upon reasonable prior notice.</w:t>
      </w:r>
    </w:p>
    <w:p>
      <w:pPr>
        <w:spacing w:after="0" w:line="118" w:lineRule="exact"/>
        <w:rPr>
          <w:rFonts w:ascii="Arial" w:cs="Arial" w:eastAsia="Arial" w:hAnsi="Arial"/>
          <w:sz w:val="16"/>
          <w:szCs w:val="16"/>
          <w:color w:val="auto"/>
        </w:rPr>
      </w:pPr>
    </w:p>
    <w:p>
      <w:pPr>
        <w:ind w:firstLine="464"/>
        <w:spacing w:after="0" w:line="254"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any Borrower or the Administrative Agent, sell participations to any Person (other than a natural person, a Defaulting Lender or any Borrower or any Affiliate or Subsidiary of any Borrower)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80" w:right="2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deal solely and directly with such Lender in connection with such Lender’s rights and obligations under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agreement or instrument pursuant to which a Lender sells such a participation shall provide that such Lender shall retain the sole right to enforce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such Lender will not, without the consent of the Participant, agree to any amendment, waiver or other modification described in the first proviso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11.01</w:t>
      </w:r>
      <w:r>
        <w:rPr>
          <w:rFonts w:ascii="Arial" w:cs="Arial" w:eastAsia="Arial" w:hAnsi="Arial"/>
          <w:sz w:val="15"/>
          <w:szCs w:val="15"/>
          <w:color w:val="auto"/>
        </w:rPr>
        <w:t xml:space="preserve"> that affects such Participant. Subject to </w:t>
      </w:r>
      <w:r>
        <w:rPr>
          <w:rFonts w:ascii="Arial" w:cs="Arial" w:eastAsia="Arial" w:hAnsi="Arial"/>
          <w:sz w:val="15"/>
          <w:szCs w:val="15"/>
          <w:u w:val="single" w:color="auto"/>
          <w:color w:val="auto"/>
        </w:rPr>
        <w:t>subsection (e)</w:t>
      </w:r>
      <w:r>
        <w:rPr>
          <w:rFonts w:ascii="Arial" w:cs="Arial" w:eastAsia="Arial" w:hAnsi="Arial"/>
          <w:sz w:val="15"/>
          <w:szCs w:val="15"/>
          <w:color w:val="auto"/>
        </w:rPr>
        <w:t xml:space="preserve"> of this Section, each Borrower agrees that each Participant shall be entitled to the benefits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Sections 3.01</w:t>
      </w:r>
      <w:r>
        <w:rPr>
          <w:rFonts w:ascii="Arial" w:cs="Arial" w:eastAsia="Arial" w:hAnsi="Arial"/>
          <w:sz w:val="15"/>
          <w:szCs w:val="15"/>
          <w:color w:val="auto"/>
        </w:rPr>
        <w:t xml:space="preserve">, </w:t>
      </w:r>
      <w:r>
        <w:rPr>
          <w:rFonts w:ascii="Arial" w:cs="Arial" w:eastAsia="Arial" w:hAnsi="Arial"/>
          <w:sz w:val="15"/>
          <w:szCs w:val="15"/>
          <w:u w:val="single" w:color="auto"/>
          <w:color w:val="auto"/>
        </w:rPr>
        <w:t>3.04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3.05</w:t>
      </w:r>
      <w:r>
        <w:rPr>
          <w:rFonts w:ascii="Arial" w:cs="Arial" w:eastAsia="Arial" w:hAnsi="Arial"/>
          <w:sz w:val="15"/>
          <w:szCs w:val="15"/>
          <w:color w:val="auto"/>
        </w:rPr>
        <w:t xml:space="preserve"> to the same extent as if it were a Lender and had acquired its interest by assignment pursuant to </w:t>
      </w:r>
      <w:r>
        <w:rPr>
          <w:rFonts w:ascii="Arial" w:cs="Arial" w:eastAsia="Arial" w:hAnsi="Arial"/>
          <w:sz w:val="15"/>
          <w:szCs w:val="15"/>
          <w:u w:val="single" w:color="auto"/>
          <w:color w:val="auto"/>
        </w:rPr>
        <w:t>subsection (b)</w:t>
      </w:r>
      <w:r>
        <w:rPr>
          <w:rFonts w:ascii="Arial" w:cs="Arial" w:eastAsia="Arial" w:hAnsi="Arial"/>
          <w:sz w:val="15"/>
          <w:szCs w:val="15"/>
          <w:color w:val="auto"/>
        </w:rPr>
        <w:t xml:space="preserve"> of this Section. To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0" w:lineRule="exact"/>
        <w:rPr>
          <w:sz w:val="20"/>
          <w:szCs w:val="20"/>
          <w:color w:val="auto"/>
        </w:rPr>
      </w:pPr>
    </w:p>
    <w:p>
      <w:pPr>
        <w:ind w:firstLine="464"/>
        <w:spacing w:after="0" w:line="255"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Limitation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Toro’s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Toro is notified of the participation sold to such Participant and such Participant agrees, for the benefit of the Borrowers,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42" w:lineRule="exact"/>
        <w:rPr>
          <w:rFonts w:ascii="Arial" w:cs="Arial" w:eastAsia="Arial" w:hAnsi="Arial"/>
          <w:sz w:val="18"/>
          <w:szCs w:val="18"/>
          <w:color w:val="auto"/>
        </w:rPr>
      </w:pPr>
    </w:p>
    <w:p>
      <w:pPr>
        <w:ind w:firstLine="464"/>
        <w:spacing w:after="0" w:line="256" w:lineRule="auto"/>
        <w:tabs>
          <w:tab w:leader="none" w:pos="67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0" w:right="239" w:bottom="1440" w:gutter="0" w:footer="0" w:header="0"/>
        </w:sectPr>
      </w:pPr>
    </w:p>
    <w:bookmarkStart w:id="117" w:name="page118"/>
    <w:bookmarkEnd w:id="117"/>
    <w:p>
      <w:pPr>
        <w:ind w:right="20" w:firstLine="464"/>
        <w:spacing w:after="0" w:line="285" w:lineRule="auto"/>
        <w:tabs>
          <w:tab w:leader="none" w:pos="705"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Resignation as L/C Issuer or Swing Line Lender after Assignment</w:t>
      </w:r>
      <w:r>
        <w:rPr>
          <w:rFonts w:ascii="Arial" w:cs="Arial" w:eastAsia="Arial" w:hAnsi="Arial"/>
          <w:sz w:val="16"/>
          <w:szCs w:val="16"/>
          <w:color w:val="auto"/>
        </w:rPr>
        <w:t xml:space="preserve">. Notwithstanding anything to the contrary contained herein, if at any time Bank of America assigns all of its Commitment and Loans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Bank of America may, (i) upon 30 days’ notice to Toro and the Lenders, resign as L/C Issuer and/or (ii) upon 30 days’ notice to Toro, resign as Swing Line Lender. In the event of any such resignation as L/C Issuer or Swing Line Lender, Toro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Toro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Committed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 whereupon such substitute letters of credit or other arrangements shall be deemed to be, and the Letters of Credit issued by the retiring L/C Issuer shall cease to be Letters of Credit hereunder.</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11.07 Treatment of Certain Information; Confidentiality. </w:t>
      </w:r>
      <w:r>
        <w:rPr>
          <w:rFonts w:ascii="Arial" w:cs="Arial" w:eastAsia="Arial" w:hAnsi="Arial"/>
          <w:sz w:val="16"/>
          <w:szCs w:val="16"/>
          <w:color w:val="auto"/>
        </w:rPr>
        <w:t>Each of the Administrative Agent, the Lenders and the L/C Issuer agrees to maintain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 Borrower and its obligations, (g) with the consent of Toro or (h) to the extent such Information (x) becomes publicly available other than as a result of a breach of this Section or (y) becomes available to the Administrative Agent, any Lender, the L/C Issuer or any of their respective Affiliates on a nonconfidential basis from a source other than any Borrower.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80" w:right="259" w:bottom="1440" w:gutter="0" w:footer="0" w:header="0"/>
        </w:sectPr>
      </w:pPr>
    </w:p>
    <w:bookmarkStart w:id="118" w:name="page119"/>
    <w:bookmarkEnd w:id="118"/>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any Borrower or any Subsidiary relating to any Borrower or any Subsidiary or any of their respective businesses, other than any such information that is available to the Administrative Agent, any Lender or the L/C Issuer on a nonconfidential basis prior to disclosure by any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16"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Each of the Administrative Agent, the Lenders and the L/C Issuer acknowledges that (a) the Information may include material non-public information concerning any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8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11.08 Right of Setoff. </w:t>
      </w:r>
      <w:r>
        <w:rPr>
          <w:rFonts w:ascii="Arial" w:cs="Arial" w:eastAsia="Arial" w:hAnsi="Arial"/>
          <w:sz w:val="16"/>
          <w:szCs w:val="16"/>
          <w:color w:val="auto"/>
        </w:rPr>
        <w:t>If an Event of Default shall have occurred and be continuing, each Lender, the L/C Issuer and each of their respective Affiliates is</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authorized at any time and from time to time, after obtaining the prior written consent of the Administrative Agent</w:t>
      </w:r>
      <w:r>
        <w:rPr>
          <w:rFonts w:ascii="Arial" w:cs="Arial" w:eastAsia="Arial" w:hAnsi="Arial"/>
          <w:sz w:val="16"/>
          <w:szCs w:val="16"/>
          <w:b w:val="1"/>
          <w:bCs w:val="1"/>
          <w:color w:val="auto"/>
        </w:rPr>
        <w:t>,</w:t>
      </w:r>
      <w:r>
        <w:rPr>
          <w:rFonts w:ascii="Arial" w:cs="Arial" w:eastAsia="Arial" w:hAnsi="Arial"/>
          <w:sz w:val="16"/>
          <w:szCs w:val="16"/>
          <w:color w:val="auto"/>
        </w:rPr>
        <w:t xml:space="preserv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or any other Loan Party against any and all of the obligations of such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or such Loan Party may be contingent or unmatured or are owed to a branch or office of such Lender or the L/C Issuer different from the branch or office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Toro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15"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 xml:space="preserve">11.09 Interest Rate Limitation. </w:t>
      </w:r>
      <w:r>
        <w:rPr>
          <w:rFonts w:ascii="Arial" w:cs="Arial" w:eastAsia="Arial" w:hAnsi="Arial"/>
          <w:sz w:val="16"/>
          <w:szCs w:val="16"/>
          <w:color w:val="auto"/>
        </w:rPr>
        <w:t>Notwithstanding anything to the contrary contained in any Loan Document, the interest paid or agreed to be paid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280" w:right="259" w:bottom="1440" w:gutter="0" w:footer="0" w:header="0"/>
        </w:sectPr>
      </w:pPr>
    </w:p>
    <w:bookmarkStart w:id="119" w:name="page120"/>
    <w:bookmarkEnd w:id="119"/>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11.10 Counterparts; Integration; Effectiveness. </w:t>
      </w:r>
      <w:r>
        <w:rPr>
          <w:rFonts w:ascii="Arial" w:cs="Arial" w:eastAsia="Arial" w:hAnsi="Arial"/>
          <w:sz w:val="16"/>
          <w:szCs w:val="16"/>
          <w:color w:val="auto"/>
        </w:rPr>
        <w:t>This Agreement and the other Loan Documents may be executed in counterparts (and by different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and the other Loan Documents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and any other Loan Document by telecopy or other electronic imaging means (including PDF) shall be effective as delivery of a manually executed counterpart of this Agreement and the other Loan Documents.</w:t>
      </w:r>
    </w:p>
    <w:p>
      <w:pPr>
        <w:spacing w:after="0" w:line="112" w:lineRule="exact"/>
        <w:rPr>
          <w:sz w:val="20"/>
          <w:szCs w:val="20"/>
          <w:color w:val="auto"/>
        </w:rPr>
      </w:pPr>
    </w:p>
    <w:p>
      <w:pPr>
        <w:ind w:right="280" w:firstLine="456"/>
        <w:spacing w:after="0" w:line="293" w:lineRule="auto"/>
        <w:rPr>
          <w:sz w:val="20"/>
          <w:szCs w:val="20"/>
          <w:color w:val="auto"/>
        </w:rPr>
      </w:pPr>
      <w:r>
        <w:rPr>
          <w:rFonts w:ascii="Arial" w:cs="Arial" w:eastAsia="Arial" w:hAnsi="Arial"/>
          <w:sz w:val="16"/>
          <w:szCs w:val="16"/>
          <w:b w:val="1"/>
          <w:bCs w:val="1"/>
          <w:color w:val="auto"/>
        </w:rPr>
        <w:t xml:space="preserve">11.11 Survival of Representations and Warranties. </w:t>
      </w:r>
      <w:r>
        <w:rPr>
          <w:rFonts w:ascii="Arial" w:cs="Arial" w:eastAsia="Arial" w:hAnsi="Arial"/>
          <w:sz w:val="16"/>
          <w:szCs w:val="16"/>
          <w:color w:val="auto"/>
        </w:rPr>
        <w:t>All representations and warranties made hereunder and in any other Loan Document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1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11.12 Severability. </w:t>
      </w:r>
      <w:r>
        <w:rPr>
          <w:rFonts w:ascii="Arial" w:cs="Arial" w:eastAsia="Arial" w:hAnsi="Arial"/>
          <w:sz w:val="16"/>
          <w:szCs w:val="16"/>
          <w:color w:val="auto"/>
        </w:rPr>
        <w:t>If any provision of this Agreement or the other Loan Documents is held to be illegal, invalid or unenforceable, (a) the legality, validity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6"/>
          <w:szCs w:val="16"/>
          <w:u w:val="single" w:color="auto"/>
          <w:color w:val="auto"/>
        </w:rPr>
        <w:t>Section 11.12</w:t>
      </w:r>
      <w:r>
        <w:rPr>
          <w:rFonts w:ascii="Arial" w:cs="Arial" w:eastAsia="Arial" w:hAnsi="Arial"/>
          <w:sz w:val="16"/>
          <w:szCs w:val="16"/>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13"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11.13 Replacement of Lenders. </w:t>
      </w:r>
      <w:r>
        <w:rPr>
          <w:rFonts w:ascii="Arial" w:cs="Arial" w:eastAsia="Arial" w:hAnsi="Arial"/>
          <w:sz w:val="18"/>
          <w:szCs w:val="18"/>
          <w:color w:val="auto"/>
        </w:rPr>
        <w:t>If (i) any Lender requests compensation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3.04</w:t>
      </w:r>
      <w:r>
        <w:rPr>
          <w:rFonts w:ascii="Arial" w:cs="Arial" w:eastAsia="Arial" w:hAnsi="Arial"/>
          <w:sz w:val="18"/>
          <w:szCs w:val="18"/>
          <w:color w:val="auto"/>
        </w:rPr>
        <w:t>, (ii) any Borrower is required to pay any additional amount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Lender or 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80" w:right="239" w:bottom="1440" w:gutter="0" w:footer="0" w:header="0"/>
        </w:sectPr>
      </w:pPr>
    </w:p>
    <w:bookmarkStart w:id="120" w:name="page121"/>
    <w:bookmarkEnd w:id="120"/>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(iii) any Lender is a Non-Consenting Lender (as defined below), or (iv) any Lender is a Defaulting Lender, then Toro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16" w:lineRule="exact"/>
        <w:rPr>
          <w:sz w:val="20"/>
          <w:szCs w:val="20"/>
          <w:color w:val="auto"/>
        </w:rPr>
      </w:pPr>
    </w:p>
    <w:p>
      <w:pPr>
        <w:ind w:left="700" w:hanging="236"/>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Borrowers shall have paid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464"/>
        <w:spacing w:after="0" w:line="306" w:lineRule="auto"/>
        <w:tabs>
          <w:tab w:leader="none" w:pos="70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from the assignee (to the extent of such outstanding principal and accrued interest and fees) or the Borrowers (in the case of all other amounts);</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in the case of any such assignment resulting from a claim for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payments required to be made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such assignment does not conflict with applicable Laws.</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Toro to require such assignment and delegation cease to apply.</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11.13</w:t>
      </w:r>
      <w:r>
        <w:rPr>
          <w:rFonts w:ascii="Arial" w:cs="Arial" w:eastAsia="Arial" w:hAnsi="Arial"/>
          <w:sz w:val="16"/>
          <w:szCs w:val="16"/>
          <w:color w:val="auto"/>
        </w:rPr>
        <w:t>, a “Non-Consenting Lender” means a Lender that fails to approve an amendment, waiver or consent requested by Toro that has received the written approval of not less than the Required Lenders but also requires the approval of such Lender.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11.14 Governing Law; Jurisdiction; Etc.</w:t>
      </w:r>
    </w:p>
    <w:p>
      <w:pPr>
        <w:spacing w:after="0" w:line="177" w:lineRule="exact"/>
        <w:rPr>
          <w:sz w:val="20"/>
          <w:szCs w:val="20"/>
          <w:color w:val="auto"/>
        </w:rPr>
      </w:pPr>
    </w:p>
    <w:p>
      <w:pPr>
        <w:ind w:right="420" w:firstLine="464"/>
        <w:spacing w:after="0" w:line="268"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w:t>
      </w:r>
    </w:p>
    <w:p>
      <w:pPr>
        <w:spacing w:after="0" w:line="131" w:lineRule="exact"/>
        <w:rPr>
          <w:rFonts w:ascii="Arial" w:cs="Arial" w:eastAsia="Arial" w:hAnsi="Arial"/>
          <w:sz w:val="18"/>
          <w:szCs w:val="18"/>
          <w:color w:val="auto"/>
        </w:rPr>
      </w:pPr>
    </w:p>
    <w:p>
      <w:pPr>
        <w:ind w:firstLine="464"/>
        <w:spacing w:after="0" w:line="253"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BORROWER AND EACH OTHER LOAN PARTY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80" w:right="259" w:bottom="1440" w:gutter="0" w:footer="0" w:header="0"/>
        </w:sectPr>
      </w:pPr>
    </w:p>
    <w:bookmarkStart w:id="121" w:name="page122"/>
    <w:bookmarkEnd w:id="12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ANY OTHER LOAN PARTY OR ITS PROPERTIES IN THE COURTS OF ANY JURISDICTION.</w:t>
      </w:r>
    </w:p>
    <w:p>
      <w:pPr>
        <w:spacing w:after="0" w:line="120" w:lineRule="exact"/>
        <w:rPr>
          <w:sz w:val="20"/>
          <w:szCs w:val="20"/>
          <w:color w:val="auto"/>
        </w:rPr>
      </w:pPr>
    </w:p>
    <w:p>
      <w:pPr>
        <w:ind w:right="100" w:firstLine="464"/>
        <w:spacing w:after="0" w:line="254"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44"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3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 xml:space="preserve">11.15 Waiver of Jury Trial. </w:t>
      </w:r>
      <w:r>
        <w:rPr>
          <w:rFonts w:ascii="Arial" w:cs="Arial" w:eastAsia="Arial" w:hAnsi="Arial"/>
          <w:sz w:val="16"/>
          <w:szCs w:val="16"/>
          <w:color w:val="auto"/>
        </w:rPr>
        <w:t>EACH PARTY HERETO HEREBY IRREVOCABLY WAIVES, TO THE FULLEST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12"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11.16 USA PATRIOT Act Notice. </w:t>
      </w:r>
      <w:r>
        <w:rPr>
          <w:rFonts w:ascii="Arial" w:cs="Arial" w:eastAsia="Arial" w:hAnsi="Arial"/>
          <w:sz w:val="18"/>
          <w:szCs w:val="18"/>
          <w:color w:val="auto"/>
        </w:rPr>
        <w:t>Each Lender that is subject to the Act (as hereinafter defined) and the Administrative Agent (for itself and not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any Lender) hereby notifies the Borrowers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80" w:right="239" w:bottom="1440" w:gutter="0" w:footer="0" w:header="0"/>
        </w:sectPr>
      </w:pPr>
    </w:p>
    <w:bookmarkStart w:id="122" w:name="page123"/>
    <w:bookmarkEnd w:id="122"/>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11.17 Liability of the Borrowers.</w:t>
      </w:r>
    </w:p>
    <w:p>
      <w:pPr>
        <w:spacing w:after="0" w:line="177" w:lineRule="exact"/>
        <w:rPr>
          <w:sz w:val="20"/>
          <w:szCs w:val="20"/>
          <w:color w:val="auto"/>
        </w:rPr>
      </w:pPr>
    </w:p>
    <w:p>
      <w:pPr>
        <w:ind w:right="160" w:firstLine="464"/>
        <w:spacing w:after="0" w:line="291" w:lineRule="auto"/>
        <w:tabs>
          <w:tab w:leader="none" w:pos="69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To the extent TCC becomes a Borrower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all obligations of Toro and TCC or either one of them under this Agreement and the other Loan Documents to which they are a party, shall be joint and several obligations of Toro and TCC (each of the foregoing, a “</w:t>
      </w:r>
      <w:r>
        <w:rPr>
          <w:rFonts w:ascii="Arial" w:cs="Arial" w:eastAsia="Arial" w:hAnsi="Arial"/>
          <w:sz w:val="16"/>
          <w:szCs w:val="16"/>
          <w:u w:val="single" w:color="auto"/>
          <w:color w:val="auto"/>
        </w:rPr>
        <w:t>Joint Borrower</w:t>
      </w:r>
      <w:r>
        <w:rPr>
          <w:rFonts w:ascii="Arial" w:cs="Arial" w:eastAsia="Arial" w:hAnsi="Arial"/>
          <w:sz w:val="16"/>
          <w:szCs w:val="16"/>
          <w:color w:val="auto"/>
        </w:rPr>
        <w:t xml:space="preserve">”). Only Toro shall be liable as a guarantor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 for the obligations of the Subsidiary Borrowers under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All obligations of the Subsidiary Borrowers (other than TCC) under this Agreement and all of the other Loan Documents shall be several and not joint, the result of which shall be that each such Subsidiary Borrower is obligated to repay only those Loans made by the Lenders to such Subsidiary Borrower and interest, fees, expenses and other obligations owing by such Subsidiary Borrower in connection with such Loans.</w:t>
      </w:r>
    </w:p>
    <w:p>
      <w:pPr>
        <w:spacing w:after="0" w:line="120" w:lineRule="exact"/>
        <w:rPr>
          <w:rFonts w:ascii="Arial" w:cs="Arial" w:eastAsia="Arial" w:hAnsi="Arial"/>
          <w:sz w:val="16"/>
          <w:szCs w:val="16"/>
          <w:color w:val="auto"/>
        </w:rPr>
      </w:pPr>
    </w:p>
    <w:p>
      <w:pPr>
        <w:ind w:firstLine="464"/>
        <w:spacing w:after="0" w:line="287" w:lineRule="auto"/>
        <w:tabs>
          <w:tab w:leader="none" w:pos="70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To the extent TCC becomes a Borrower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each Joint Borrower agrees that no Lender shall have any responsibility to inquire into the apportionment, allocation or disposition of the proceeds of any Credit Extension as among the Joint Borrowers, and acknowledges that its liability hereunder shall not be reduced or diminished by the identity of the Joint Borrower giving or receiving of notices and other communications, making requests for, or effecting conversions or continuations of, Loans or Letters of Credit, executing and delivering certificates, or receiving or allocating disbursements from the Lenders. Each Joint Borrower acknowledges that the handling of this credit facility on a joint borrowing basis as set forth in this Agreement is solely an accommodation to Joint Borrowers and is done at their request. Each Joint Borrower agrees that no Lender shall incur any liability to any Joint Borrower as a result thereof. Each Joint Borrower represents and warrants to the Lenders that the request for joint handling of the Loans, L/C Obligations and other Obligations made hereunder was made because the Joint Borrowers are engaged in related operations and are interdependent. Each Joint Borrower expects to derive benefit, directly or indirectly, from such availability because the successful operation of Joint Borrowers is dependent on the continued successful performance of the functions of the group.</w:t>
      </w:r>
    </w:p>
    <w:p>
      <w:pPr>
        <w:spacing w:after="0" w:line="122" w:lineRule="exact"/>
        <w:rPr>
          <w:rFonts w:ascii="Arial" w:cs="Arial" w:eastAsia="Arial" w:hAnsi="Arial"/>
          <w:sz w:val="16"/>
          <w:szCs w:val="16"/>
          <w:color w:val="auto"/>
        </w:rPr>
      </w:pPr>
    </w:p>
    <w:p>
      <w:pPr>
        <w:ind w:right="100" w:firstLine="464"/>
        <w:spacing w:after="0" w:line="291" w:lineRule="auto"/>
        <w:tabs>
          <w:tab w:leader="none" w:pos="69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Each Borrower (including each Subsidiary Borrower) irrevocably appoints Toro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Borrower hereunder. Any acknowledgment, consent, direction, certification or other action which might otherwise be valid or effective only if given or taken by all Borrowers, or by each Borrower acting singly, shall be valid and effective if given or taken only by Toro, whether or not any such other Borrower joins therein. Any notice, demand, consent, acknowledgement, direction, certification or other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80" w:right="239" w:bottom="1440" w:gutter="0" w:footer="0" w:header="0"/>
        </w:sectPr>
      </w:pPr>
    </w:p>
    <w:bookmarkStart w:id="123" w:name="page124"/>
    <w:bookmarkEnd w:id="123"/>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communication delivered to Toro in accordance with the terms of this Agreement or any other Loan Document shall be deemed to have been delivered to each Borrower.</w:t>
      </w:r>
    </w:p>
    <w:p>
      <w:pPr>
        <w:spacing w:after="0" w:line="126"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b w:val="1"/>
          <w:bCs w:val="1"/>
          <w:color w:val="auto"/>
        </w:rPr>
        <w:t xml:space="preserve">11.18 Judgment Currency. </w:t>
      </w:r>
      <w:r>
        <w:rPr>
          <w:rFonts w:ascii="Arial" w:cs="Arial" w:eastAsia="Arial" w:hAnsi="Arial"/>
          <w:sz w:val="15"/>
          <w:szCs w:val="15"/>
          <w:color w:val="auto"/>
        </w:rPr>
        <w:t>If, for the purposes of obtaining judgment in any court, it is necessary to convert a sum due hereunder or any other Loan</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the L/C Issuer or any Lender hereunder or under the other Loan Documents shall, notwithstanding any judgment in a currency (the “</w:t>
      </w:r>
      <w:r>
        <w:rPr>
          <w:rFonts w:ascii="Arial" w:cs="Arial" w:eastAsia="Arial" w:hAnsi="Arial"/>
          <w:sz w:val="15"/>
          <w:szCs w:val="15"/>
          <w:u w:val="single" w:color="auto"/>
          <w:color w:val="auto"/>
        </w:rPr>
        <w:t>Judgment Currency</w:t>
      </w:r>
      <w:r>
        <w:rPr>
          <w:rFonts w:ascii="Arial" w:cs="Arial" w:eastAsia="Arial" w:hAnsi="Arial"/>
          <w:sz w:val="15"/>
          <w:szCs w:val="15"/>
          <w:color w:val="auto"/>
        </w:rPr>
        <w:t>”) other than that in which such sum is denominated in accordance with the applicable provisions of this Agreement (the “</w:t>
      </w:r>
      <w:r>
        <w:rPr>
          <w:rFonts w:ascii="Arial" w:cs="Arial" w:eastAsia="Arial" w:hAnsi="Arial"/>
          <w:sz w:val="15"/>
          <w:szCs w:val="15"/>
          <w:u w:val="single" w:color="auto"/>
          <w:color w:val="auto"/>
        </w:rPr>
        <w:t>Agreement Currency</w:t>
      </w:r>
      <w:r>
        <w:rPr>
          <w:rFonts w:ascii="Arial" w:cs="Arial" w:eastAsia="Arial" w:hAnsi="Arial"/>
          <w:sz w:val="15"/>
          <w:szCs w:val="15"/>
          <w:color w:val="auto"/>
        </w:rPr>
        <w:t>”), be discharged only to the extent that on the Business Day following receipt by the Administrative Agent, the L/C Issuer or such Lender, as the case may be, of any sum adjudged to be so due in the Judgment Currency, the Administrative Agent, the L/C Issuer or such Lender, as the case may be, may in accordance with normal banking procedures purchase the Agreement Currency with the Judgment Currency. If the amount of the Agreement Currency so purchased is less than the sum originally due to the Administrative Agent, the L/C Issuer or any Lender from any Borrower in the Agreement Currency, such Borrower agrees, as a separate obligation and notwithstanding any such judgment, to indemnify the Administrative Agent, the L/C Issuer or such Lender, as the case may be, against such loss. If the amount of the Agreement Currency so purchased is greater than the sum originally due to the Administrative Agent, the L/C Issuer or any Lender in such currency, the Administrative Agent, the L/C Issuer or such Lender, as the case may be, agrees to return the amount of any excess to such Borrower (or to any other Person who may be entitled thereto under applicable law).</w:t>
      </w:r>
    </w:p>
    <w:p>
      <w:pPr>
        <w:spacing w:after="0" w:line="10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11.19 Automatic Debits of Principal, Interest, Fees. </w:t>
      </w:r>
      <w:r>
        <w:rPr>
          <w:rFonts w:ascii="Arial" w:cs="Arial" w:eastAsia="Arial" w:hAnsi="Arial"/>
          <w:sz w:val="18"/>
          <w:szCs w:val="18"/>
          <w:color w:val="auto"/>
        </w:rPr>
        <w:t>With respect to any principal, interest, facility fee, arrangement fee, letter of credit fee or other fee,</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cost or expense (including Attorney Costs) due and payable to the Administrative Agent, Bank of America, the Swing Line Lender, the L/C Issuer or any Arranger under the Loan Documents, the Borrowers hereby irrevocably authorize Bank of America to debit any deposit account of any Borrower with Bank of America in an amount such that the aggregate amount debited from all such deposit accounts does not exceed such principal, interest, fee or other cost or expense. If there are insufficient funds in such deposit accounts to cover the amount of the fee or other cost or expense then due, such debits will be reversed (in whole or in part, in Bank of America’s sole discretion) and such amount not debited shall be deemed to be unpaid. No such debit under this Section shall be deemed a set-off.</w:t>
      </w:r>
    </w:p>
    <w:p>
      <w:pPr>
        <w:spacing w:after="0" w:line="14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11.20 Termination of Existing Credit Agreement. </w:t>
      </w:r>
      <w:r>
        <w:rPr>
          <w:rFonts w:ascii="Arial" w:cs="Arial" w:eastAsia="Arial" w:hAnsi="Arial"/>
          <w:sz w:val="18"/>
          <w:szCs w:val="18"/>
          <w:color w:val="auto"/>
        </w:rPr>
        <w:t>In connection with the delivery of evidence of termination of the Existing Credit Agreement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a condition to the effectiveness of this Agreement pursuant to </w:t>
      </w:r>
      <w:r>
        <w:rPr>
          <w:rFonts w:ascii="Arial" w:cs="Arial" w:eastAsia="Arial" w:hAnsi="Arial"/>
          <w:sz w:val="18"/>
          <w:szCs w:val="18"/>
          <w:u w:val="single" w:color="auto"/>
          <w:color w:val="auto"/>
        </w:rPr>
        <w:t>Section 4.01(a)(x)</w:t>
      </w:r>
      <w:r>
        <w:rPr>
          <w:rFonts w:ascii="Arial" w:cs="Arial" w:eastAsia="Arial" w:hAnsi="Arial"/>
          <w:sz w:val="18"/>
          <w:szCs w:val="18"/>
          <w:color w:val="auto"/>
        </w:rPr>
        <w:t>, each of the Lenders, upon delivery of such evidence, in its capacity as a Lender under the Existing Credit Agreement, waives any notice requirement under the Existing Credit Agreement with which the Borrowers would otherwise be obligated to comply in order to terminate the Existing Credit Agreement.</w:t>
      </w:r>
    </w:p>
    <w:p>
      <w:pPr>
        <w:spacing w:after="0" w:line="13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11.21 No Advisory or Fiduciary Responsibility. </w:t>
      </w:r>
      <w:r>
        <w:rPr>
          <w:rFonts w:ascii="Arial" w:cs="Arial" w:eastAsia="Arial" w:hAnsi="Arial"/>
          <w:sz w:val="18"/>
          <w:szCs w:val="18"/>
          <w:color w:val="auto"/>
        </w:rPr>
        <w:t>In connection with all aspects of each transaction contemplated hereby (including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waiver or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280" w:right="279" w:bottom="1440" w:gutter="0" w:footer="0" w:header="0"/>
        </w:sectPr>
      </w:pPr>
    </w:p>
    <w:bookmarkStart w:id="124" w:name="page125"/>
    <w:bookmarkEnd w:id="12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modification hereof or of any other Loan Document), each Borrower and each other Loan Party acknowledges and agrees, and acknowledges its Affiliates’ understanding, that: (i) (A) the arranging and other services regarding this Agreement provided by the Administrative Agent and the Arrangers are arm’s-length commercial transactions between such Borrower, each other Loan Party and their respective Affiliates, on the one hand, and the Administrative Agent and the Arrangers on the other hand, (B) each of such Borrower and the other Loan Parties has consulted its own legal, accounting, regulatory and tax advisors to the extent it has deemed appropriate, and (C) such Borrower and each other Loan Party is capable of evaluating, and understands and accepts, the terms, risks and conditions of the transactions contemplated hereby and by the other Loan Documents; (ii)(A) the Administrative Agent and the Arrangers each is and has been acting solely as a principal and, except as expressly agreed in writing by the relevant parties, has not been, is not, and will not be acting as an advisor, agent or fiduciary for such Borrower, any other Loan Party or any of their respective Affiliates or any other Person and (B) neither the Administrative Agent nor the Arrangers has any obligation to such Borrower, any other Loan Party or any of their respective Affiliates with respect to the transactions contemplated hereby except those obligations expressly set forth herein and in the other Loan Documents; and (iii) the Administrative Agent and the Arrangers and their respective Affiliates may be engaged in a broad range of transactions that involve interests that differ from those of such Borrower, the other Loan Parties and their respective Affiliates, and neither the Administrative Agent nor the Arrangers has any obligation to disclose any of such interests to such Borrower, any other Loan Party or any of their respective Affiliates. To the fullest extent permitted by law, each of the Borrowers and each other Loan Party hereby waives and releases any claims that it may have against the Administrative Agent or any Arranger with respect to any breach or alleged breach of agency or fiduciary duty in connection with any aspect of any transaction contemplated hereby.</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11.22 Electronic Execution of Assignments and Certain Other Documents. </w:t>
      </w:r>
      <w:r>
        <w:rPr>
          <w:rFonts w:ascii="Arial" w:cs="Arial" w:eastAsia="Arial" w:hAnsi="Arial"/>
          <w:sz w:val="18"/>
          <w:szCs w:val="18"/>
          <w:color w:val="auto"/>
        </w:rPr>
        <w:t>The words “execution,” “signed,” “signature,” and words of like import in</w:t>
      </w:r>
      <w:r>
        <w:rPr>
          <w:rFonts w:ascii="Arial" w:cs="Arial" w:eastAsia="Arial" w:hAnsi="Arial"/>
          <w:sz w:val="18"/>
          <w:szCs w:val="18"/>
          <w:b w:val="1"/>
          <w:bCs w:val="1"/>
          <w:color w:val="auto"/>
        </w:rPr>
        <w:t xml:space="preserve"> </w:t>
      </w:r>
      <w:r>
        <w:rPr>
          <w:rFonts w:ascii="Arial" w:cs="Arial" w:eastAsia="Arial" w:hAnsi="Arial"/>
          <w:sz w:val="18"/>
          <w:szCs w:val="18"/>
          <w:color w:val="auto"/>
        </w:rPr>
        <w:t>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39"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11.23 ENTIRE AGREEMENT.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 Signature pages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80"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THE TORO COMPANY</w:t>
      </w:r>
    </w:p>
    <w:p>
      <w:pPr>
        <w:spacing w:after="0" w:line="231"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Stephen P. Wolfe</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Finance and Chief Financial Officer</w:t>
      </w:r>
    </w:p>
    <w:p>
      <w:pPr>
        <w:spacing w:after="0" w:line="219"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Thomas J. Larson</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Treasurer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TORO MANUFACTURING LLC</w:t>
      </w:r>
    </w:p>
    <w:p>
      <w:pPr>
        <w:spacing w:after="0" w:line="231"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Thomas J. Larson</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EXMARK MANUFACTURING COMPANY</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INCORPORATED</w:t>
      </w:r>
    </w:p>
    <w:p>
      <w:pPr>
        <w:spacing w:after="0" w:line="219"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Thomas J. Larson</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TORO INTERNATIONAL COMPANY</w:t>
      </w:r>
    </w:p>
    <w:p>
      <w:pPr>
        <w:spacing w:after="0" w:line="231"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Thomas J. Larson</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TORO CREDIT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500"/>
          </w:cols>
          <w:pgMar w:left="700" w:top="334" w:right="699" w:bottom="1440" w:gutter="0" w:footer="0" w:header="0"/>
        </w:sectPr>
      </w:pPr>
    </w:p>
    <w:bookmarkStart w:id="126" w:name="page127"/>
    <w:bookmarkEnd w:id="12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OF AMERICA, N.A., </w:t>
      </w:r>
      <w:r>
        <w:rPr>
          <w:rFonts w:ascii="Arial" w:cs="Arial" w:eastAsia="Arial" w:hAnsi="Arial"/>
          <w:sz w:val="18"/>
          <w:szCs w:val="18"/>
          <w:color w:val="auto"/>
        </w:rPr>
        <w:t>as</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DeWayne D. Rosse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DeWayne D. Rosse</w:t>
      </w:r>
    </w:p>
    <w:p>
      <w:pPr>
        <w:spacing w:after="0" w:line="15" w:lineRule="exact"/>
        <w:rPr>
          <w:sz w:val="20"/>
          <w:szCs w:val="20"/>
          <w:color w:val="auto"/>
        </w:rPr>
      </w:pPr>
    </w:p>
    <w:p>
      <w:pPr>
        <w:jc w:val="right"/>
        <w:ind w:right="799"/>
        <w:spacing w:after="0"/>
        <w:tabs>
          <w:tab w:leader="none" w:pos="2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Agency Management Officer</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TORO CREDIT AGREEMENT</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127" w:name="page128"/>
    <w:bookmarkEnd w:id="127"/>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BANK OF AMERICA, N.A., </w:t>
      </w:r>
      <w:r>
        <w:rPr>
          <w:rFonts w:ascii="Arial" w:cs="Arial" w:eastAsia="Arial" w:hAnsi="Arial"/>
          <w:sz w:val="16"/>
          <w:szCs w:val="16"/>
          <w:color w:val="auto"/>
        </w:rPr>
        <w:t>as a Lender, L/C Issuer and</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Swing Line Lender</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Brian Lukehart</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65"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TORO CREDIT AGREEMENT</w:t>
      </w:r>
    </w:p>
    <w:p>
      <w:pPr>
        <w:spacing w:after="0" w:line="38"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800"/>
          </w:cols>
          <w:pgMar w:left="1440" w:top="274" w:right="659" w:bottom="1440" w:gutter="0" w:footer="0" w:header="0"/>
        </w:sectPr>
      </w:pPr>
    </w:p>
    <w:bookmarkStart w:id="128" w:name="page129"/>
    <w:bookmarkEnd w:id="128"/>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w:t>
      </w:r>
      <w:r>
        <w:rPr>
          <w:rFonts w:ascii="Arial" w:cs="Arial" w:eastAsia="Arial" w:hAnsi="Arial"/>
          <w:sz w:val="16"/>
          <w:szCs w:val="16"/>
          <w:color w:val="auto"/>
        </w:rPr>
        <w:t>, as a</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and sole Syndication Agent</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Brian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Brian Buck</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165"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TORO CREDIT AGREEMENT</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40"/>
          </w:cols>
          <w:pgMar w:left="1440" w:top="274" w:right="319" w:bottom="1440" w:gutter="0" w:footer="0" w:header="0"/>
        </w:sectPr>
      </w:pPr>
    </w:p>
    <w:bookmarkStart w:id="129" w:name="page130"/>
    <w:bookmarkEnd w:id="129"/>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BANK NATIONAL ASSOCIATION</w:t>
      </w:r>
    </w:p>
    <w:p>
      <w:pPr>
        <w:spacing w:after="0" w:line="25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Magnus McDowell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Magnus McDowell</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TORO CREDIT AGREEMENT</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130" w:name="page131"/>
    <w:bookmarkEnd w:id="130"/>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BMO HARRIS BANK N.A.</w:t>
      </w:r>
    </w:p>
    <w:p>
      <w:pPr>
        <w:spacing w:after="0" w:line="254" w:lineRule="exact"/>
        <w:rPr>
          <w:sz w:val="20"/>
          <w:szCs w:val="20"/>
          <w:color w:val="auto"/>
        </w:rPr>
      </w:pPr>
    </w:p>
    <w:p>
      <w:pPr>
        <w:jc w:val="both"/>
        <w:ind w:left="5660"/>
        <w:spacing w:after="0"/>
        <w:tabs>
          <w:tab w:leader="none" w:pos="6140" w:val="left"/>
        </w:tabs>
        <w:rPr>
          <w:sz w:val="20"/>
          <w:szCs w:val="20"/>
          <w:color w:val="auto"/>
        </w:rPr>
      </w:pPr>
      <w:r>
        <w:rPr>
          <w:rFonts w:ascii="Arial" w:cs="Arial" w:eastAsia="Arial" w:hAnsi="Arial"/>
          <w:sz w:val="18"/>
          <w:szCs w:val="18"/>
          <w:color w:val="auto"/>
        </w:rPr>
        <w:t>By:</w:t>
        <w:tab/>
        <w:t>/s/ Robert H. Wolohan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Robert H. Wolohan</w:t>
      </w:r>
    </w:p>
    <w:p>
      <w:pPr>
        <w:spacing w:after="0" w:line="38"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TORO CREDIT AGREEMENT</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131" w:name="page132"/>
    <w:bookmarkEnd w:id="131"/>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254"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T. Smathers</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First Vice President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TORO CREDIT AGREEMENT</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1)"/>
      <w:numFmt w:val="lowerLetter"/>
      <w:start w:val="4"/>
    </w:lvl>
  </w:abstractNum>
  <w:abstractNum w:abstractNumId="2">
    <w:nsid w:val="51D9C564"/>
    <w:multiLevelType w:val="hybridMultilevel"/>
    <w:lvl w:ilvl="0">
      <w:lvlJc w:val="left"/>
      <w:lvlText w:val="A"/>
      <w:numFmt w:val="bullet"/>
      <w:start w:val="1"/>
    </w:lvl>
  </w:abstractNum>
  <w:abstractNum w:abstractNumId="3">
    <w:nsid w:val="613EFDC5"/>
    <w:multiLevelType w:val="hybridMultilevel"/>
    <w:lvl w:ilvl="0">
      <w:lvlJc w:val="left"/>
      <w:lvlText w:val="B"/>
      <w:numFmt w:val="bullet"/>
      <w:start w:val="1"/>
    </w:lvl>
  </w:abstractNum>
  <w:abstractNum w:abstractNumId="4">
    <w:nsid w:val="BF72B14"/>
    <w:multiLevelType w:val="hybridMultilevel"/>
    <w:lvl w:ilvl="0">
      <w:lvlJc w:val="left"/>
      <w:lvlText w:val="C"/>
      <w:numFmt w:val="bullet"/>
      <w:start w:val="1"/>
    </w:lvl>
  </w:abstractNum>
  <w:abstractNum w:abstractNumId="5">
    <w:nsid w:val="11447B73"/>
    <w:multiLevelType w:val="hybridMultilevel"/>
    <w:lvl w:ilvl="0">
      <w:lvlJc w:val="left"/>
      <w:lvlText w:val="D"/>
      <w:numFmt w:val="bullet"/>
      <w:start w:val="1"/>
    </w:lvl>
  </w:abstractNum>
  <w:abstractNum w:abstractNumId="6">
    <w:nsid w:val="42963E5A"/>
    <w:multiLevelType w:val="hybridMultilevel"/>
    <w:lvl w:ilvl="0">
      <w:lvlJc w:val="left"/>
      <w:lvlText w:val="F"/>
      <w:numFmt w:val="bullet"/>
      <w:start w:val="1"/>
    </w:lvl>
  </w:abstractNum>
  <w:abstractNum w:abstractNumId="7">
    <w:nsid w:val="A0382C5"/>
    <w:multiLevelType w:val="hybridMultilevel"/>
    <w:lvl w:ilvl="0">
      <w:lvlJc w:val="left"/>
      <w:lvlText w:val="G"/>
      <w:numFmt w:val="bullet"/>
      <w:start w:val="1"/>
    </w:lvl>
  </w:abstractNum>
  <w:abstractNum w:abstractNumId="8">
    <w:nsid w:val="8F2B15E"/>
    <w:multiLevelType w:val="hybridMultilevel"/>
    <w:lvl w:ilvl="0">
      <w:lvlJc w:val="left"/>
      <w:lvlText w:val="H"/>
      <w:numFmt w:val="bullet"/>
      <w:start w:val="1"/>
    </w:lvl>
  </w:abstractNum>
  <w:abstractNum w:abstractNumId="9">
    <w:nsid w:val="1A32234B"/>
    <w:multiLevelType w:val="hybridMultilevel"/>
    <w:lvl w:ilvl="0">
      <w:lvlJc w:val="left"/>
      <w:lvlText w:val="(%1)"/>
      <w:numFmt w:val="lowerLetter"/>
      <w:start w:val="1"/>
    </w:lvl>
  </w:abstractNum>
  <w:abstractNum w:abstractNumId="10">
    <w:nsid w:val="3B0FD379"/>
    <w:multiLevelType w:val="hybridMultilevel"/>
    <w:lvl w:ilvl="0">
      <w:lvlJc w:val="left"/>
      <w:lvlText w:val="(%1)"/>
      <w:numFmt w:val="lowerLetter"/>
      <w:start w:val="1"/>
    </w:lvl>
  </w:abstractNum>
  <w:abstractNum w:abstractNumId="11">
    <w:nsid w:val="68EB2F63"/>
    <w:multiLevelType w:val="hybridMultilevel"/>
    <w:lvl w:ilvl="0">
      <w:lvlJc w:val="left"/>
      <w:lvlText w:val="(%1)"/>
      <w:numFmt w:val="lowerLetter"/>
      <w:start w:val="1"/>
    </w:lvl>
  </w:abstractNum>
  <w:abstractNum w:abstractNumId="12">
    <w:nsid w:val="4962813B"/>
    <w:multiLevelType w:val="hybridMultilevel"/>
    <w:lvl w:ilvl="0">
      <w:lvlJc w:val="left"/>
      <w:lvlText w:val="(%1)"/>
      <w:numFmt w:val="lowerLetter"/>
      <w:start w:val="1"/>
    </w:lvl>
  </w:abstractNum>
  <w:abstractNum w:abstractNumId="13">
    <w:nsid w:val="60B6DF70"/>
    <w:multiLevelType w:val="hybridMultilevel"/>
    <w:lvl w:ilvl="0">
      <w:lvlJc w:val="left"/>
      <w:lvlText w:val="(%1)"/>
      <w:numFmt w:val="lowerLetter"/>
      <w:start w:val="6"/>
    </w:lvl>
  </w:abstractNum>
  <w:abstractNum w:abstractNumId="14">
    <w:nsid w:val="6A5EE64"/>
    <w:multiLevelType w:val="hybridMultilevel"/>
    <w:lvl w:ilvl="0">
      <w:lvlJc w:val="left"/>
      <w:lvlText w:val="(%1)"/>
      <w:numFmt w:val="lowerLetter"/>
      <w:start w:val="2"/>
    </w:lvl>
  </w:abstractNum>
  <w:abstractNum w:abstractNumId="15">
    <w:nsid w:val="14330624"/>
    <w:multiLevelType w:val="hybridMultilevel"/>
    <w:lvl w:ilvl="0">
      <w:lvlJc w:val="left"/>
      <w:lvlText w:val="(%1)"/>
      <w:numFmt w:val="lowerLetter"/>
      <w:start w:val="1"/>
    </w:lvl>
  </w:abstractNum>
  <w:abstractNum w:abstractNumId="16">
    <w:nsid w:val="7FFFCA11"/>
    <w:multiLevelType w:val="hybridMultilevel"/>
    <w:lvl w:ilvl="0">
      <w:lvlJc w:val="left"/>
      <w:lvlText w:val="%1"/>
      <w:numFmt w:val="lowerLetter"/>
      <w:start w:val="1"/>
    </w:lvl>
    <w:lvl w:ilvl="1">
      <w:lvlJc w:val="left"/>
      <w:lvlText w:val="(%2)"/>
      <w:numFmt w:val="lowerLetter"/>
      <w:start w:val="6"/>
    </w:lvl>
  </w:abstractNum>
  <w:abstractNum w:abstractNumId="17">
    <w:nsid w:val="1A27709E"/>
    <w:multiLevelType w:val="hybridMultilevel"/>
    <w:lvl w:ilvl="0">
      <w:lvlJc w:val="left"/>
      <w:lvlText w:val="(%1)"/>
      <w:numFmt w:val="lowerLetter"/>
      <w:start w:val="35"/>
    </w:lvl>
    <w:lvl w:ilvl="1">
      <w:lvlJc w:val="left"/>
      <w:lvlText w:val="%2"/>
      <w:numFmt w:val="lowerLetter"/>
      <w:start w:val="1"/>
    </w:lvl>
  </w:abstractNum>
  <w:abstractNum w:abstractNumId="18">
    <w:nsid w:val="71EA1109"/>
    <w:multiLevelType w:val="hybridMultilevel"/>
    <w:lvl w:ilvl="0">
      <w:lvlJc w:val="left"/>
      <w:lvlText w:val="(%1)"/>
      <w:numFmt w:val="lowerRoman"/>
      <w:start w:val="1"/>
    </w:lvl>
  </w:abstractNum>
  <w:abstractNum w:abstractNumId="19">
    <w:nsid w:val="100F59DC"/>
    <w:multiLevelType w:val="hybridMultilevel"/>
    <w:lvl w:ilvl="0">
      <w:lvlJc w:val="left"/>
      <w:lvlText w:val="(%1)"/>
      <w:numFmt w:val="lowerRoman"/>
      <w:start w:val="3"/>
    </w:lvl>
  </w:abstractNum>
  <w:abstractNum w:abstractNumId="20">
    <w:nsid w:val="7FB7E0AA"/>
    <w:multiLevelType w:val="hybridMultilevel"/>
    <w:lvl w:ilvl="0">
      <w:lvlJc w:val="left"/>
      <w:lvlText w:val="%1"/>
      <w:numFmt w:val="lowerRoman"/>
      <w:start w:val="1"/>
    </w:lvl>
    <w:lvl w:ilvl="1">
      <w:lvlJc w:val="left"/>
      <w:lvlText w:val="(%2)"/>
      <w:numFmt w:val="lowerLetter"/>
      <w:start w:val="1"/>
    </w:lvl>
  </w:abstractNum>
  <w:abstractNum w:abstractNumId="21">
    <w:nsid w:val="6EB5BD4"/>
    <w:multiLevelType w:val="hybridMultilevel"/>
    <w:lvl w:ilvl="0">
      <w:lvlJc w:val="left"/>
      <w:lvlText w:val="(%1)"/>
      <w:numFmt w:val="lowerRoman"/>
      <w:start w:val="4"/>
    </w:lvl>
    <w:lvl w:ilvl="1">
      <w:lvlJc w:val="left"/>
      <w:lvlText w:val="%2"/>
      <w:numFmt w:val="lowerLetter"/>
      <w:start w:val="1"/>
    </w:lvl>
  </w:abstractNum>
  <w:abstractNum w:abstractNumId="22">
    <w:nsid w:val="6F6DD9AC"/>
    <w:multiLevelType w:val="hybridMultilevel"/>
    <w:lvl w:ilvl="0">
      <w:lvlJc w:val="left"/>
      <w:lvlText w:val="(%1)"/>
      <w:numFmt w:val="lowerLetter"/>
      <w:start w:val="2"/>
    </w:lvl>
  </w:abstractNum>
  <w:abstractNum w:abstractNumId="23">
    <w:nsid w:val="94211F2"/>
    <w:multiLevelType w:val="hybridMultilevel"/>
    <w:lvl w:ilvl="0">
      <w:lvlJc w:val="left"/>
      <w:lvlText w:val="(%1)"/>
      <w:numFmt w:val="lowerLetter"/>
      <w:start w:val="2"/>
    </w:lvl>
    <w:lvl w:ilvl="1">
      <w:lvlJc w:val="left"/>
      <w:lvlText w:val="(%2)"/>
      <w:numFmt w:val="lowerLetter"/>
      <w:start w:val="9"/>
    </w:lvl>
  </w:abstractNum>
  <w:abstractNum w:abstractNumId="24">
    <w:nsid w:val="885E1B"/>
    <w:multiLevelType w:val="hybridMultilevel"/>
    <w:lvl w:ilvl="0">
      <w:lvlJc w:val="left"/>
      <w:lvlText w:val="%1"/>
      <w:numFmt w:val="lowerLetter"/>
      <w:start w:val="1"/>
    </w:lvl>
    <w:lvl w:ilvl="1">
      <w:lvlJc w:val="left"/>
      <w:lvlText w:val="(%2)"/>
      <w:numFmt w:val="lowerLetter"/>
      <w:start w:val="35"/>
    </w:lvl>
  </w:abstractNum>
  <w:abstractNum w:abstractNumId="25">
    <w:nsid w:val="76272110"/>
    <w:multiLevelType w:val="hybridMultilevel"/>
    <w:lvl w:ilvl="0">
      <w:lvlJc w:val="left"/>
      <w:lvlText w:val="(%1)"/>
      <w:numFmt w:val="lowerLetter"/>
      <w:start w:val="5"/>
    </w:lvl>
    <w:lvl w:ilvl="1">
      <w:lvlJc w:val="left"/>
      <w:lvlText w:val="(%2)"/>
      <w:numFmt w:val="lowerLetter"/>
      <w:start w:val="9"/>
    </w:lvl>
  </w:abstractNum>
  <w:abstractNum w:abstractNumId="26">
    <w:nsid w:val="4C04A8AF"/>
    <w:multiLevelType w:val="hybridMultilevel"/>
    <w:lvl w:ilvl="0">
      <w:lvlJc w:val="left"/>
      <w:lvlText w:val="(%1)"/>
      <w:numFmt w:val="lowerRoman"/>
      <w:start w:val="2"/>
    </w:lvl>
  </w:abstractNum>
  <w:abstractNum w:abstractNumId="27">
    <w:nsid w:val="1716703B"/>
    <w:multiLevelType w:val="hybridMultilevel"/>
    <w:lvl w:ilvl="0">
      <w:lvlJc w:val="left"/>
      <w:lvlText w:val="(%1)"/>
      <w:numFmt w:val="lowerLetter"/>
      <w:start w:val="6"/>
    </w:lvl>
  </w:abstractNum>
  <w:abstractNum w:abstractNumId="28">
    <w:nsid w:val="14E17E33"/>
    <w:multiLevelType w:val="hybridMultilevel"/>
    <w:lvl w:ilvl="0">
      <w:lvlJc w:val="left"/>
      <w:lvlText w:val="(%1)"/>
      <w:numFmt w:val="lowerLetter"/>
      <w:start w:val="2"/>
    </w:lvl>
  </w:abstractNum>
  <w:abstractNum w:abstractNumId="29">
    <w:nsid w:val="3222E7CD"/>
    <w:multiLevelType w:val="hybridMultilevel"/>
    <w:lvl w:ilvl="0">
      <w:lvlJc w:val="left"/>
      <w:lvlText w:val="(%1)"/>
      <w:numFmt w:val="lowerLetter"/>
      <w:start w:val="2"/>
    </w:lvl>
  </w:abstractNum>
  <w:abstractNum w:abstractNumId="30">
    <w:nsid w:val="74DE0EE3"/>
    <w:multiLevelType w:val="hybridMultilevel"/>
    <w:lvl w:ilvl="0">
      <w:lvlJc w:val="left"/>
      <w:lvlText w:val="(%1)"/>
      <w:numFmt w:val="lowerLetter"/>
      <w:start w:val="3"/>
    </w:lvl>
  </w:abstractNum>
  <w:abstractNum w:abstractNumId="31">
    <w:nsid w:val="68EBC550"/>
    <w:multiLevelType w:val="hybridMultilevel"/>
    <w:lvl w:ilvl="0">
      <w:lvlJc w:val="left"/>
      <w:lvlText w:val="(%1)"/>
      <w:numFmt w:val="lowerLetter"/>
      <w:start w:val="2"/>
    </w:lvl>
  </w:abstractNum>
  <w:abstractNum w:abstractNumId="32">
    <w:nsid w:val="2DF6D648"/>
    <w:multiLevelType w:val="hybridMultilevel"/>
    <w:lvl w:ilvl="0">
      <w:lvlJc w:val="left"/>
      <w:lvlText w:val="(%1)"/>
      <w:numFmt w:val="lowerLetter"/>
      <w:start w:val="1"/>
    </w:lvl>
  </w:abstractNum>
  <w:abstractNum w:abstractNumId="33">
    <w:nsid w:val="46B7D447"/>
    <w:multiLevelType w:val="hybridMultilevel"/>
    <w:lvl w:ilvl="0">
      <w:lvlJc w:val="left"/>
      <w:lvlText w:val="(%1)"/>
      <w:numFmt w:val="lowerLetter"/>
      <w:start w:val="2"/>
    </w:lvl>
  </w:abstractNum>
  <w:abstractNum w:abstractNumId="34">
    <w:nsid w:val="4A2AC315"/>
    <w:multiLevelType w:val="hybridMultilevel"/>
    <w:lvl w:ilvl="0">
      <w:lvlJc w:val="left"/>
      <w:lvlText w:val="(%1)"/>
      <w:numFmt w:val="lowerLetter"/>
      <w:start w:val="3"/>
    </w:lvl>
  </w:abstractNum>
  <w:abstractNum w:abstractNumId="35">
    <w:nsid w:val="39EE015C"/>
    <w:multiLevelType w:val="hybridMultilevel"/>
    <w:lvl w:ilvl="0">
      <w:lvlJc w:val="left"/>
      <w:lvlText w:val="(%1)"/>
      <w:numFmt w:val="lowerLetter"/>
      <w:start w:val="1"/>
    </w:lvl>
    <w:lvl w:ilvl="1">
      <w:lvlJc w:val="left"/>
      <w:lvlText w:val="(%2)"/>
      <w:numFmt w:val="lowerLetter"/>
      <w:start w:val="9"/>
    </w:lvl>
  </w:abstractNum>
  <w:abstractNum w:abstractNumId="36">
    <w:nsid w:val="57FC4FBB"/>
    <w:multiLevelType w:val="hybridMultilevel"/>
    <w:lvl w:ilvl="0">
      <w:lvlJc w:val="left"/>
      <w:lvlText w:val="(%1)"/>
      <w:numFmt w:val="lowerRoman"/>
      <w:start w:val="2"/>
    </w:lvl>
    <w:lvl w:ilvl="1">
      <w:lvlJc w:val="left"/>
      <w:lvlText w:val="(%2)"/>
      <w:numFmt w:val="upperLetter"/>
      <w:start w:val="1"/>
    </w:lvl>
  </w:abstractNum>
  <w:abstractNum w:abstractNumId="37">
    <w:nsid w:val="CC1016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abstractNum>
  <w:abstractNum w:abstractNumId="38">
    <w:nsid w:val="43F1842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9">
    <w:nsid w:val="60EF011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0">
    <w:nsid w:val="26F324BA"/>
    <w:multiLevelType w:val="hybridMultilevel"/>
    <w:lvl w:ilvl="0">
      <w:lvlJc w:val="left"/>
      <w:lvlText w:val="(%1)"/>
      <w:numFmt w:val="lowerRoman"/>
      <w:start w:val="2"/>
    </w:lvl>
  </w:abstractNum>
  <w:abstractNum w:abstractNumId="41">
    <w:nsid w:val="7F01579B"/>
    <w:multiLevelType w:val="hybridMultilevel"/>
    <w:lvl w:ilvl="0">
      <w:lvlJc w:val="left"/>
      <w:lvlText w:val="%1"/>
      <w:numFmt w:val="lowerLetter"/>
      <w:start w:val="1"/>
    </w:lvl>
    <w:lvl w:ilvl="1">
      <w:lvlJc w:val="left"/>
      <w:lvlText w:val="(%2)"/>
      <w:numFmt w:val="lowerRoman"/>
      <w:start w:val="4"/>
    </w:lvl>
  </w:abstractNum>
  <w:abstractNum w:abstractNumId="42">
    <w:nsid w:val="49DA307D"/>
    <w:multiLevelType w:val="hybridMultilevel"/>
    <w:lvl w:ilvl="0">
      <w:lvlJc w:val="left"/>
      <w:lvlText w:val="(%1)"/>
      <w:numFmt w:val="lowerLetter"/>
      <w:start w:val="3"/>
    </w:lvl>
    <w:lvl w:ilvl="1">
      <w:lvlJc w:val="left"/>
      <w:lvlText w:val="(%2)"/>
      <w:numFmt w:val="lowerRoman"/>
      <w:start w:val="1"/>
    </w:lvl>
  </w:abstractNum>
  <w:abstractNum w:abstractNumId="43">
    <w:nsid w:val="7055A5F5"/>
    <w:multiLevelType w:val="hybridMultilevel"/>
    <w:lvl w:ilvl="0">
      <w:lvlJc w:val="left"/>
      <w:lvlText w:val="(%1)"/>
      <w:numFmt w:val="lowerRoman"/>
      <w:start w:val="3"/>
    </w:lvl>
  </w:abstractNum>
  <w:abstractNum w:abstractNumId="44">
    <w:nsid w:val="5FB8370B"/>
    <w:multiLevelType w:val="hybridMultilevel"/>
    <w:lvl w:ilvl="0">
      <w:lvlJc w:val="left"/>
      <w:lvlText w:val="(%1)"/>
      <w:numFmt w:val="lowerLetter"/>
      <w:start w:val="4"/>
    </w:lvl>
    <w:lvl w:ilvl="1">
      <w:lvlJc w:val="left"/>
      <w:lvlText w:val="(%2)"/>
      <w:numFmt w:val="lowerRoman"/>
      <w:start w:val="1"/>
    </w:lvl>
  </w:abstractNum>
  <w:abstractNum w:abstractNumId="45">
    <w:nsid w:val="50801EE1"/>
    <w:multiLevelType w:val="hybridMultilevel"/>
    <w:lvl w:ilvl="0">
      <w:lvlJc w:val="left"/>
      <w:lvlText w:val="(%1)"/>
      <w:numFmt w:val="lowerRoman"/>
      <w:start w:val="4"/>
    </w:lvl>
  </w:abstractNum>
  <w:abstractNum w:abstractNumId="46">
    <w:nsid w:val="488AC1A"/>
    <w:multiLevelType w:val="hybridMultilevel"/>
    <w:lvl w:ilvl="0">
      <w:lvlJc w:val="left"/>
      <w:lvlText w:val="%1"/>
      <w:numFmt w:val="lowerLetter"/>
      <w:start w:val="1"/>
    </w:lvl>
    <w:lvl w:ilvl="1">
      <w:lvlJc w:val="left"/>
      <w:lvlText w:val="(%2)"/>
      <w:numFmt w:val="lowerLetter"/>
      <w:start w:val="6"/>
    </w:lvl>
  </w:abstractNum>
  <w:abstractNum w:abstractNumId="47">
    <w:nsid w:val="5FB8011C"/>
    <w:multiLevelType w:val="hybridMultilevel"/>
    <w:lvl w:ilvl="0">
      <w:lvlJc w:val="left"/>
      <w:lvlText w:val="(%1)"/>
      <w:numFmt w:val="lowerLetter"/>
      <w:start w:val="9"/>
    </w:lvl>
    <w:lvl w:ilvl="1">
      <w:lvlJc w:val="left"/>
      <w:lvlText w:val="%2"/>
      <w:numFmt w:val="lowerLetter"/>
      <w:start w:val="1"/>
    </w:lvl>
  </w:abstractNum>
  <w:abstractNum w:abstractNumId="48">
    <w:nsid w:val="6AA78F7F"/>
    <w:multiLevelType w:val="hybridMultilevel"/>
    <w:lvl w:ilvl="0">
      <w:lvlJc w:val="left"/>
      <w:lvlText w:val="(%1)"/>
      <w:numFmt w:val="lowerLetter"/>
      <w:start w:val="7"/>
    </w:lvl>
  </w:abstractNum>
  <w:abstractNum w:abstractNumId="49">
    <w:nsid w:val="7672BD23"/>
    <w:multiLevelType w:val="hybridMultilevel"/>
    <w:lvl w:ilvl="0">
      <w:lvlJc w:val="left"/>
      <w:lvlText w:val="(%1)"/>
      <w:numFmt w:val="lowerLetter"/>
      <w:start w:val="10"/>
    </w:lvl>
  </w:abstractNum>
  <w:abstractNum w:abstractNumId="50">
    <w:nsid w:val="6FC75AF8"/>
    <w:multiLevelType w:val="hybridMultilevel"/>
    <w:lvl w:ilvl="0">
      <w:lvlJc w:val="left"/>
      <w:lvlText w:val="(%1)"/>
      <w:numFmt w:val="lowerLetter"/>
      <w:start w:val="1"/>
    </w:lvl>
  </w:abstractNum>
  <w:abstractNum w:abstractNumId="51">
    <w:nsid w:val="6A5F7029"/>
    <w:multiLevelType w:val="hybridMultilevel"/>
    <w:lvl w:ilvl="0">
      <w:lvlJc w:val="left"/>
      <w:lvlText w:val="(%1)"/>
      <w:numFmt w:val="lowerLetter"/>
      <w:start w:val="3"/>
    </w:lvl>
    <w:lvl w:ilvl="1">
      <w:lvlJc w:val="left"/>
      <w:lvlText w:val="(%2)"/>
      <w:numFmt w:val="lowerRoman"/>
      <w:start w:val="1"/>
    </w:lvl>
  </w:abstractNum>
  <w:abstractNum w:abstractNumId="52">
    <w:nsid w:val="7D5E18F8"/>
    <w:multiLevelType w:val="hybridMultilevel"/>
    <w:lvl w:ilvl="0">
      <w:lvlJc w:val="left"/>
      <w:lvlText w:val="%1"/>
      <w:numFmt w:val="lowerLetter"/>
      <w:start w:val="1"/>
    </w:lvl>
    <w:lvl w:ilvl="1">
      <w:lvlJc w:val="left"/>
      <w:lvlText w:val="(%2)"/>
      <w:numFmt w:val="lowerRoman"/>
      <w:start w:val="4"/>
    </w:lvl>
  </w:abstractNum>
  <w:abstractNum w:abstractNumId="53">
    <w:nsid w:val="5F3534A4"/>
    <w:multiLevelType w:val="hybridMultilevel"/>
    <w:lvl w:ilvl="0">
      <w:lvlJc w:val="left"/>
      <w:lvlText w:val="(%1)"/>
      <w:numFmt w:val="lowerLetter"/>
      <w:start w:val="4"/>
    </w:lvl>
    <w:lvl w:ilvl="1">
      <w:lvlJc w:val="left"/>
      <w:lvlText w:val="(%2)"/>
      <w:numFmt w:val="lowerRoman"/>
      <w:start w:val="1"/>
    </w:lvl>
  </w:abstractNum>
  <w:abstractNum w:abstractNumId="54">
    <w:nsid w:val="73A1821B"/>
    <w:multiLevelType w:val="hybridMultilevel"/>
    <w:lvl w:ilvl="0">
      <w:lvlJc w:val="left"/>
      <w:lvlText w:val="(%1)"/>
      <w:numFmt w:val="upperLetter"/>
      <w:start w:val="2"/>
    </w:lvl>
    <w:lvl w:ilvl="1">
      <w:lvlJc w:val="left"/>
      <w:lvlText w:val="(%2)"/>
      <w:numFmt w:val="lowerLetter"/>
      <w:start w:val="2"/>
    </w:lvl>
  </w:abstractNum>
  <w:abstractNum w:abstractNumId="55">
    <w:nsid w:val="7DE67713"/>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35"/>
    </w:lvl>
  </w:abstractNum>
  <w:abstractNum w:abstractNumId="56">
    <w:nsid w:val="555C55B5"/>
    <w:multiLevelType w:val="hybridMultilevel"/>
    <w:lvl w:ilvl="0">
      <w:lvlJc w:val="left"/>
      <w:lvlText w:val="%1"/>
      <w:numFmt w:val="lowerLetter"/>
      <w:start w:val="1"/>
    </w:lvl>
    <w:lvl w:ilvl="1">
      <w:lvlJc w:val="left"/>
      <w:lvlText w:val="(%2)"/>
      <w:numFmt w:val="lowerRoman"/>
      <w:start w:val="3"/>
    </w:lvl>
  </w:abstractNum>
  <w:abstractNum w:abstractNumId="57">
    <w:nsid w:val="3FA62ACA"/>
    <w:multiLevelType w:val="hybridMultilevel"/>
    <w:lvl w:ilvl="0">
      <w:lvlJc w:val="left"/>
      <w:lvlText w:val="(%1)"/>
      <w:numFmt w:val="lowerLetter"/>
      <w:start w:val="3"/>
    </w:lvl>
    <w:lvl w:ilvl="1">
      <w:lvlJc w:val="left"/>
      <w:lvlText w:val="%2"/>
      <w:numFmt w:val="lowerRoman"/>
      <w:start w:val="1"/>
    </w:lvl>
  </w:abstractNum>
  <w:abstractNum w:abstractNumId="58">
    <w:nsid w:val="14FCE74E"/>
    <w:multiLevelType w:val="hybridMultilevel"/>
    <w:lvl w:ilvl="0">
      <w:lvlJc w:val="left"/>
      <w:lvlText w:val="(%1)"/>
      <w:numFmt w:val="lowerLetter"/>
      <w:start w:val="1"/>
    </w:lvl>
  </w:abstractNum>
  <w:abstractNum w:abstractNumId="59">
    <w:nsid w:val="6A3DD3E8"/>
    <w:multiLevelType w:val="hybridMultilevel"/>
    <w:lvl w:ilvl="0">
      <w:lvlJc w:val="left"/>
      <w:lvlText w:val="(%1)"/>
      <w:numFmt w:val="lowerRoman"/>
      <w:start w:val="2"/>
    </w:lvl>
  </w:abstractNum>
  <w:abstractNum w:abstractNumId="60">
    <w:nsid w:val="71C91298"/>
    <w:multiLevelType w:val="hybridMultilevel"/>
    <w:lvl w:ilvl="0">
      <w:lvlJc w:val="left"/>
      <w:lvlText w:val="(%1)"/>
      <w:numFmt w:val="lowerLetter"/>
      <w:start w:val="2"/>
    </w:lvl>
  </w:abstractNum>
  <w:abstractNum w:abstractNumId="61">
    <w:nsid w:val="9DAF632"/>
    <w:multiLevelType w:val="hybridMultilevel"/>
    <w:lvl w:ilvl="0">
      <w:lvlJc w:val="left"/>
      <w:lvlText w:val="(%1)"/>
      <w:numFmt w:val="lowerLetter"/>
      <w:start w:val="2"/>
    </w:lvl>
  </w:abstractNum>
  <w:abstractNum w:abstractNumId="62">
    <w:nsid w:val="53299938"/>
    <w:multiLevelType w:val="hybridMultilevel"/>
    <w:lvl w:ilvl="0">
      <w:lvlJc w:val="left"/>
      <w:lvlText w:val="(%1)"/>
      <w:numFmt w:val="lowerLetter"/>
      <w:start w:val="2"/>
    </w:lvl>
  </w:abstractNum>
  <w:abstractNum w:abstractNumId="63">
    <w:nsid w:val="1FBFE8E0"/>
    <w:multiLevelType w:val="hybridMultilevel"/>
    <w:lvl w:ilvl="0">
      <w:lvlJc w:val="left"/>
      <w:lvlText w:val="(%1)"/>
      <w:numFmt w:val="lowerRoman"/>
      <w:start w:val="2"/>
    </w:lvl>
  </w:abstractNum>
  <w:abstractNum w:abstractNumId="64">
    <w:nsid w:val="5092CA79"/>
    <w:multiLevelType w:val="hybridMultilevel"/>
    <w:lvl w:ilvl="0">
      <w:lvlJc w:val="left"/>
      <w:lvlText w:val="(%1)"/>
      <w:numFmt w:val="lowerLetter"/>
      <w:start w:val="3"/>
    </w:lvl>
  </w:abstractNum>
  <w:abstractNum w:abstractNumId="65">
    <w:nsid w:val="1D545C4D"/>
    <w:multiLevelType w:val="hybridMultilevel"/>
    <w:lvl w:ilvl="0">
      <w:lvlJc w:val="left"/>
      <w:lvlText w:val="(%1)"/>
      <w:numFmt w:val="lowerRoman"/>
      <w:start w:val="1"/>
    </w:lvl>
  </w:abstractNum>
  <w:abstractNum w:abstractNumId="66">
    <w:nsid w:val="59ADEA3D"/>
    <w:multiLevelType w:val="hybridMultilevel"/>
    <w:lvl w:ilvl="0">
      <w:lvlJc w:val="left"/>
      <w:lvlText w:val="(%1)"/>
      <w:numFmt w:val="lowerLetter"/>
      <w:start w:val="1"/>
    </w:lvl>
  </w:abstractNum>
  <w:abstractNum w:abstractNumId="67">
    <w:nsid w:val="288F1A34"/>
    <w:multiLevelType w:val="hybridMultilevel"/>
    <w:lvl w:ilvl="0">
      <w:lvlJc w:val="left"/>
      <w:lvlText w:val="(%1)"/>
      <w:numFmt w:val="lowerLetter"/>
      <w:start w:val="2"/>
    </w:lvl>
  </w:abstractNum>
  <w:abstractNum w:abstractNumId="68">
    <w:nsid w:val="2A155DBC"/>
    <w:multiLevelType w:val="hybridMultilevel"/>
    <w:lvl w:ilvl="0">
      <w:lvlJc w:val="left"/>
      <w:lvlText w:val="(%1)"/>
      <w:numFmt w:val="lowerLetter"/>
      <w:start w:val="1"/>
    </w:lvl>
  </w:abstractNum>
  <w:abstractNum w:abstractNumId="69">
    <w:nsid w:val="1D9F6E5F"/>
    <w:multiLevelType w:val="hybridMultilevel"/>
    <w:lvl w:ilvl="0">
      <w:lvlJc w:val="left"/>
      <w:lvlText w:val="%1"/>
      <w:numFmt w:val="lowerLetter"/>
      <w:start w:val="1"/>
    </w:lvl>
    <w:lvl w:ilvl="1">
      <w:lvlJc w:val="left"/>
      <w:lvlText w:val="(%2)"/>
      <w:numFmt w:val="lowerRoman"/>
      <w:start w:val="2"/>
    </w:lvl>
  </w:abstractNum>
  <w:abstractNum w:abstractNumId="70">
    <w:nsid w:val="97E1B4E"/>
    <w:multiLevelType w:val="hybridMultilevel"/>
    <w:lvl w:ilvl="0">
      <w:lvlJc w:val="left"/>
      <w:lvlText w:val="(%1)"/>
      <w:numFmt w:val="lowerLetter"/>
      <w:start w:val="2"/>
    </w:lvl>
    <w:lvl w:ilvl="1">
      <w:lvlJc w:val="left"/>
      <w:lvlText w:val="%2"/>
      <w:numFmt w:val="lowerRoman"/>
      <w:start w:val="1"/>
    </w:lvl>
  </w:abstractNum>
  <w:abstractNum w:abstractNumId="71">
    <w:nsid w:val="51088277"/>
    <w:multiLevelType w:val="hybridMultilevel"/>
    <w:lvl w:ilvl="0">
      <w:lvlJc w:val="left"/>
      <w:lvlText w:val="(%1)"/>
      <w:numFmt w:val="lowerLetter"/>
      <w:start w:val="1"/>
    </w:lvl>
    <w:lvl w:ilvl="1">
      <w:lvlJc w:val="left"/>
      <w:lvlText w:val="(%2)"/>
      <w:numFmt w:val="lowerRoman"/>
      <w:start w:val="1"/>
    </w:lvl>
  </w:abstractNum>
  <w:abstractNum w:abstractNumId="72">
    <w:nsid w:val="1CA0C5FA"/>
    <w:multiLevelType w:val="hybridMultilevel"/>
    <w:lvl w:ilvl="0">
      <w:lvlJc w:val="left"/>
      <w:lvlText w:val="%1"/>
      <w:numFmt w:val="lowerLetter"/>
      <w:start w:val="1"/>
    </w:lvl>
    <w:lvl w:ilvl="1">
      <w:lvlJc w:val="left"/>
      <w:lvlText w:val="(%2)"/>
      <w:numFmt w:val="lowerRoman"/>
      <w:start w:val="3"/>
    </w:lvl>
  </w:abstractNum>
  <w:abstractNum w:abstractNumId="73">
    <w:nsid w:val="53584BCB"/>
    <w:multiLevelType w:val="hybridMultilevel"/>
    <w:lvl w:ilvl="0">
      <w:lvlJc w:val="left"/>
      <w:lvlText w:val="(%1)"/>
      <w:numFmt w:val="lowerLetter"/>
      <w:start w:val="2"/>
    </w:lvl>
    <w:lvl w:ilvl="1">
      <w:lvlJc w:val="left"/>
      <w:lvlText w:val="%2"/>
      <w:numFmt w:val="lowerRoman"/>
      <w:start w:val="1"/>
    </w:lvl>
  </w:abstractNum>
  <w:abstractNum w:abstractNumId="74">
    <w:nsid w:val="415E286C"/>
    <w:multiLevelType w:val="hybridMultilevel"/>
    <w:lvl w:ilvl="0">
      <w:lvlJc w:val="left"/>
      <w:lvlText w:val="(%1)"/>
      <w:numFmt w:val="lowerLetter"/>
      <w:start w:val="2"/>
    </w:lvl>
  </w:abstractNum>
  <w:abstractNum w:abstractNumId="75">
    <w:nsid w:val="7C58FD05"/>
    <w:multiLevelType w:val="hybridMultilevel"/>
    <w:lvl w:ilvl="0">
      <w:lvlJc w:val="left"/>
      <w:lvlText w:val="(%1)"/>
      <w:numFmt w:val="lowerLetter"/>
      <w:start w:val="1"/>
    </w:lvl>
    <w:lvl w:ilvl="1">
      <w:lvlJc w:val="left"/>
      <w:lvlText w:val="(%2)"/>
      <w:numFmt w:val="lowerRoman"/>
      <w:start w:val="1"/>
    </w:lvl>
  </w:abstractNum>
  <w:abstractNum w:abstractNumId="76">
    <w:nsid w:val="23D86AAC"/>
    <w:multiLevelType w:val="hybridMultilevel"/>
    <w:lvl w:ilvl="0">
      <w:lvlJc w:val="left"/>
      <w:lvlText w:val="(%1)"/>
      <w:numFmt w:val="lowerLetter"/>
      <w:start w:val="2"/>
    </w:lvl>
    <w:lvl w:ilvl="1">
      <w:lvlJc w:val="left"/>
      <w:lvlText w:val="(%2)"/>
      <w:numFmt w:val="lowerRoman"/>
      <w:start w:val="1"/>
    </w:lvl>
  </w:abstractNum>
  <w:abstractNum w:abstractNumId="77">
    <w:nsid w:val="45E6D48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78">
    <w:nsid w:val="5C10FE21"/>
    <w:multiLevelType w:val="hybridMultilevel"/>
    <w:lvl w:ilvl="0">
      <w:lvlJc w:val="left"/>
      <w:lvlText w:val="%1"/>
      <w:numFmt w:val="lowerRoman"/>
      <w:start w:val="1"/>
    </w:lvl>
    <w:lvl w:ilvl="1">
      <w:lvlJc w:val="left"/>
      <w:lvlText w:val="(%2)"/>
      <w:numFmt w:val="upperLetter"/>
      <w:start w:val="22"/>
    </w:lvl>
  </w:abstractNum>
  <w:abstractNum w:abstractNumId="79">
    <w:nsid w:val="E7FFA2B"/>
    <w:multiLevelType w:val="hybridMultilevel"/>
    <w:lvl w:ilvl="0">
      <w:lvlJc w:val="left"/>
      <w:lvlText w:val="(%1)"/>
      <w:numFmt w:val="lowerRoman"/>
      <w:start w:val="3"/>
    </w:lvl>
    <w:lvl w:ilvl="1">
      <w:lvlJc w:val="left"/>
      <w:lvlText w:val="%2"/>
      <w:numFmt w:val="upperLetter"/>
      <w:start w:val="1"/>
    </w:lvl>
  </w:abstractNum>
  <w:abstractNum w:abstractNumId="80">
    <w:nsid w:val="3C5991AA"/>
    <w:multiLevelType w:val="hybridMultilevel"/>
    <w:lvl w:ilvl="0">
      <w:lvlJc w:val="left"/>
      <w:lvlText w:val="(%1)"/>
      <w:numFmt w:val="lowerLetter"/>
      <w:start w:val="6"/>
    </w:lvl>
  </w:abstractNum>
  <w:abstractNum w:abstractNumId="81">
    <w:nsid w:val="4BD8591A"/>
    <w:multiLevelType w:val="hybridMultilevel"/>
    <w:lvl w:ilvl="0">
      <w:lvlJc w:val="left"/>
      <w:lvlText w:val="(%1)"/>
      <w:numFmt w:val="lowerLetter"/>
      <w:start w:val="1"/>
    </w:lvl>
    <w:lvl w:ilvl="1">
      <w:lvlJc w:val="left"/>
      <w:lvlText w:val="(%2)"/>
      <w:numFmt w:val="lowerRoman"/>
      <w:start w:val="1"/>
    </w:lvl>
  </w:abstractNum>
  <w:abstractNum w:abstractNumId="82">
    <w:nsid w:val="78DF6A55"/>
    <w:multiLevelType w:val="hybridMultilevel"/>
    <w:lvl w:ilvl="0">
      <w:lvlJc w:val="left"/>
      <w:lvlText w:val="(%1)"/>
      <w:numFmt w:val="lowerLetter"/>
      <w:start w:val="2"/>
    </w:lvl>
  </w:abstractNum>
  <w:abstractNum w:abstractNumId="83">
    <w:nsid w:val="39B7AAA2"/>
    <w:multiLevelType w:val="hybridMultilevel"/>
    <w:lvl w:ilvl="0">
      <w:lvlJc w:val="left"/>
      <w:lvlText w:val="(%1)"/>
      <w:numFmt w:val="lowerLetter"/>
      <w:start w:val="3"/>
    </w:lvl>
  </w:abstractNum>
  <w:abstractNum w:abstractNumId="84">
    <w:nsid w:val="2B0D8DBE"/>
    <w:multiLevelType w:val="hybridMultilevel"/>
    <w:lvl w:ilvl="0">
      <w:lvlJc w:val="left"/>
      <w:lvlText w:val="(%1)"/>
      <w:numFmt w:val="lowerLetter"/>
      <w:start w:val="1"/>
    </w:lvl>
  </w:abstractNum>
  <w:abstractNum w:abstractNumId="85">
    <w:nsid w:val="6C80EC70"/>
    <w:multiLevelType w:val="hybridMultilevel"/>
    <w:lvl w:ilvl="0">
      <w:lvlJc w:val="left"/>
      <w:lvlText w:val="(%1)"/>
      <w:numFmt w:val="lowerLetter"/>
      <w:start w:val="1"/>
    </w:lvl>
  </w:abstractNum>
  <w:abstractNum w:abstractNumId="86">
    <w:nsid w:val="379E21B5"/>
    <w:multiLevelType w:val="hybridMultilevel"/>
    <w:lvl w:ilvl="0">
      <w:lvlJc w:val="left"/>
      <w:lvlText w:val="(%1)"/>
      <w:numFmt w:val="lowerLetter"/>
      <w:start w:val="1"/>
    </w:lvl>
    <w:lvl w:ilvl="1">
      <w:lvlJc w:val="left"/>
      <w:lvlText w:val="(%2)"/>
      <w:numFmt w:val="lowerRoman"/>
      <w:start w:val="1"/>
    </w:lvl>
  </w:abstractNum>
  <w:abstractNum w:abstractNumId="87">
    <w:nsid w:val="69E373"/>
    <w:multiLevelType w:val="hybridMultilevel"/>
    <w:lvl w:ilvl="0">
      <w:lvlJc w:val="left"/>
      <w:lvlText w:val="%1"/>
      <w:numFmt w:val="lowerLetter"/>
      <w:start w:val="1"/>
    </w:lvl>
    <w:lvl w:ilvl="1">
      <w:lvlJc w:val="left"/>
      <w:lvlText w:val="(%2)"/>
      <w:numFmt w:val="lowerRoman"/>
      <w:start w:val="7"/>
    </w:lvl>
  </w:abstractNum>
  <w:abstractNum w:abstractNumId="88">
    <w:nsid w:val="2C27173B"/>
    <w:multiLevelType w:val="hybridMultilevel"/>
    <w:lvl w:ilvl="0">
      <w:lvlJc w:val="left"/>
      <w:lvlText w:val="(%1)"/>
      <w:numFmt w:val="lowerLetter"/>
      <w:start w:val="25"/>
    </w:lvl>
    <w:lvl w:ilvl="1">
      <w:lvlJc w:val="left"/>
      <w:lvlText w:val="(%2)"/>
      <w:numFmt w:val="lowerRoman"/>
      <w:start w:val="9"/>
    </w:lvl>
  </w:abstractNum>
  <w:abstractNum w:abstractNumId="89">
    <w:nsid w:val="4C9B0904"/>
    <w:multiLevelType w:val="hybridMultilevel"/>
    <w:lvl w:ilvl="0">
      <w:lvlJc w:val="left"/>
      <w:lvlText w:val="(%1)"/>
      <w:numFmt w:val="lowerLetter"/>
      <w:start w:val="2"/>
    </w:lvl>
  </w:abstractNum>
  <w:abstractNum w:abstractNumId="90">
    <w:nsid w:val="6AA7B75C"/>
    <w:multiLevelType w:val="hybridMultilevel"/>
    <w:lvl w:ilvl="0">
      <w:lvlJc w:val="left"/>
      <w:lvlText w:val="(%1)"/>
      <w:numFmt w:val="lowerLetter"/>
      <w:start w:val="1"/>
    </w:lvl>
  </w:abstractNum>
  <w:abstractNum w:abstractNumId="91">
    <w:nsid w:val="1DF029D3"/>
    <w:multiLevelType w:val="hybridMultilevel"/>
    <w:lvl w:ilvl="0">
      <w:lvlJc w:val="left"/>
      <w:lvlText w:val="(%1)"/>
      <w:numFmt w:val="lowerRoman"/>
      <w:start w:val="1"/>
    </w:lvl>
  </w:abstractNum>
  <w:abstractNum w:abstractNumId="92">
    <w:nsid w:val="5675FF36"/>
    <w:multiLevelType w:val="hybridMultilevel"/>
    <w:lvl w:ilvl="0">
      <w:lvlJc w:val="left"/>
      <w:lvlText w:val="%1"/>
      <w:numFmt w:val="lowerLetter"/>
      <w:start w:val="1"/>
    </w:lvl>
    <w:lvl w:ilvl="1">
      <w:lvlJc w:val="left"/>
      <w:lvlText w:val="(%2)"/>
      <w:numFmt w:val="lowerLetter"/>
      <w:start w:val="1"/>
    </w:lvl>
  </w:abstractNum>
  <w:abstractNum w:abstractNumId="93">
    <w:nsid w:val="3DD15094"/>
    <w:multiLevelType w:val="hybridMultilevel"/>
    <w:lvl w:ilvl="0">
      <w:lvlJc w:val="left"/>
      <w:lvlText w:val="(%1)"/>
      <w:numFmt w:val="lowerLetter"/>
      <w:start w:val="61"/>
    </w:lvl>
    <w:lvl w:ilvl="1">
      <w:lvlJc w:val="left"/>
      <w:lvlText w:val="%2"/>
      <w:numFmt w:val="lowerLetter"/>
      <w:start w:val="1"/>
    </w:lvl>
  </w:abstractNum>
  <w:abstractNum w:abstractNumId="94">
    <w:nsid w:val="3DB012B3"/>
    <w:multiLevelType w:val="hybridMultilevel"/>
    <w:lvl w:ilvl="0">
      <w:lvlJc w:val="left"/>
      <w:lvlText w:val="(%1)"/>
      <w:numFmt w:val="lowerLetter"/>
      <w:start w:val="35"/>
    </w:lvl>
    <w:lvl w:ilvl="1">
      <w:lvlJc w:val="left"/>
      <w:lvlText w:val="(%2)"/>
      <w:numFmt w:val="lowerLetter"/>
      <w:start w:val="2"/>
    </w:lvl>
  </w:abstractNum>
  <w:abstractNum w:abstractNumId="95">
    <w:nsid w:val="2708C9AF"/>
    <w:multiLevelType w:val="hybridMultilevel"/>
    <w:lvl w:ilvl="0">
      <w:lvlJc w:val="left"/>
      <w:lvlText w:val="(%1)"/>
      <w:numFmt w:val="lowerLetter"/>
      <w:start w:val="3"/>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1)"/>
      <w:numFmt w:val="lowerLetter"/>
      <w:start w:val="1"/>
    </w:lvl>
  </w:abstractNum>
  <w:abstractNum w:abstractNumId="98">
    <w:nsid w:val="4F97E3E4"/>
    <w:multiLevelType w:val="hybridMultilevel"/>
    <w:lvl w:ilvl="0">
      <w:lvlJc w:val="left"/>
      <w:lvlText w:val="(%1)"/>
      <w:numFmt w:val="lowerLetter"/>
      <w:start w:val="1"/>
    </w:lvl>
  </w:abstractNum>
  <w:abstractNum w:abstractNumId="99">
    <w:nsid w:val="53B0A9E"/>
    <w:multiLevelType w:val="hybridMultilevel"/>
    <w:lvl w:ilvl="0">
      <w:lvlJc w:val="left"/>
      <w:lvlText w:val="%1"/>
      <w:numFmt w:val="lowerLetter"/>
      <w:start w:val="1"/>
    </w:lvl>
    <w:lvl w:ilvl="1">
      <w:lvlJc w:val="left"/>
      <w:lvlText w:val="(%2)"/>
      <w:numFmt w:val="lowerLetter"/>
      <w:start w:val="4"/>
    </w:lvl>
  </w:abstractNum>
  <w:abstractNum w:abstractNumId="100">
    <w:nsid w:val="34FD6B4F"/>
    <w:multiLevelType w:val="hybridMultilevel"/>
    <w:lvl w:ilvl="0">
      <w:lvlJc w:val="left"/>
      <w:lvlText w:val="(%1)"/>
      <w:numFmt w:val="lowerLetter"/>
      <w:start w:val="9"/>
    </w:lvl>
    <w:lvl w:ilvl="1">
      <w:lvlJc w:val="left"/>
      <w:lvlText w:val="%2"/>
      <w:numFmt w:val="lowerLetter"/>
      <w:start w:val="1"/>
    </w:lvl>
  </w:abstractNum>
  <w:abstractNum w:abstractNumId="101">
    <w:nsid w:val="5915FF32"/>
    <w:multiLevelType w:val="hybridMultilevel"/>
    <w:lvl w:ilvl="0">
      <w:lvlJc w:val="left"/>
      <w:lvlText w:val="(%1)"/>
      <w:numFmt w:val="lowerLetter"/>
      <w:start w:val="1"/>
    </w:lvl>
  </w:abstractNum>
  <w:abstractNum w:abstractNumId="102">
    <w:nsid w:val="56438D15"/>
    <w:multiLevelType w:val="hybridMultilevel"/>
    <w:lvl w:ilvl="0">
      <w:lvlJc w:val="left"/>
      <w:lvlText w:val="(%1)"/>
      <w:numFmt w:val="lowerLetter"/>
      <w:start w:val="1"/>
    </w:lvl>
  </w:abstractNum>
  <w:abstractNum w:abstractNumId="103">
    <w:nsid w:val="519E3149"/>
    <w:multiLevelType w:val="hybridMultilevel"/>
    <w:lvl w:ilvl="0">
      <w:lvlJc w:val="left"/>
      <w:lvlText w:val="(%1)"/>
      <w:numFmt w:val="lowerLetter"/>
      <w:start w:val="1"/>
    </w:lvl>
  </w:abstractNum>
  <w:abstractNum w:abstractNumId="104">
    <w:nsid w:val="2C6E4AFD"/>
    <w:multiLevelType w:val="hybridMultilevel"/>
    <w:lvl w:ilvl="0">
      <w:lvlJc w:val="left"/>
      <w:lvlText w:val="(%1)"/>
      <w:numFmt w:val="lowerLetter"/>
      <w:start w:val="1"/>
    </w:lvl>
  </w:abstractNum>
  <w:abstractNum w:abstractNumId="105">
    <w:nsid w:val="17A1B582"/>
    <w:multiLevelType w:val="hybridMultilevel"/>
    <w:lvl w:ilvl="0">
      <w:lvlJc w:val="left"/>
      <w:lvlText w:val="(%1)"/>
      <w:numFmt w:val="lowerLetter"/>
      <w:start w:val="3"/>
    </w:lvl>
    <w:lvl w:ilvl="1">
      <w:lvlJc w:val="left"/>
      <w:lvlText w:val="(%2)"/>
      <w:numFmt w:val="lowerRoman"/>
      <w:start w:val="1"/>
    </w:lvl>
  </w:abstractNum>
  <w:abstractNum w:abstractNumId="106">
    <w:nsid w:val="4DF72E4E"/>
    <w:multiLevelType w:val="hybridMultilevel"/>
    <w:lvl w:ilvl="0">
      <w:lvlJc w:val="left"/>
      <w:lvlText w:val="(%1)"/>
      <w:numFmt w:val="lowerLetter"/>
      <w:start w:val="1"/>
    </w:lvl>
  </w:abstractNum>
  <w:abstractNum w:abstractNumId="107">
    <w:nsid w:val="5046B5A9"/>
    <w:multiLevelType w:val="hybridMultilevel"/>
    <w:lvl w:ilvl="0">
      <w:lvlJc w:val="left"/>
      <w:lvlText w:val="(%1)"/>
      <w:numFmt w:val="lowerLetter"/>
      <w:start w:val="4"/>
    </w:lvl>
  </w:abstractNum>
  <w:abstractNum w:abstractNumId="108">
    <w:nsid w:val="5D888A08"/>
    <w:multiLevelType w:val="hybridMultilevel"/>
    <w:lvl w:ilvl="0">
      <w:lvlJc w:val="left"/>
      <w:lvlText w:val="(%1)"/>
      <w:numFmt w:val="lowerLetter"/>
      <w:start w:val="1"/>
    </w:lvl>
  </w:abstractNum>
  <w:abstractNum w:abstractNumId="109">
    <w:nsid w:val="2A082C70"/>
    <w:multiLevelType w:val="hybridMultilevel"/>
    <w:lvl w:ilvl="0">
      <w:lvlJc w:val="left"/>
      <w:lvlText w:val="(%1)"/>
      <w:numFmt w:val="lowerLetter"/>
      <w:start w:val="1"/>
    </w:lvl>
  </w:abstractNum>
  <w:abstractNum w:abstractNumId="110">
    <w:nsid w:val="5EC6AFD4"/>
    <w:multiLevelType w:val="hybridMultilevel"/>
    <w:lvl w:ilvl="0">
      <w:lvlJc w:val="left"/>
      <w:lvlText w:val="(%1)"/>
      <w:numFmt w:val="lowerLetter"/>
      <w:start w:val="2"/>
    </w:lvl>
  </w:abstractNum>
  <w:abstractNum w:abstractNumId="111">
    <w:nsid w:val="19E21BB2"/>
    <w:multiLevelType w:val="hybridMultilevel"/>
    <w:lvl w:ilvl="0">
      <w:lvlJc w:val="left"/>
      <w:lvlText w:val="(%1)"/>
      <w:numFmt w:val="lowerLetter"/>
      <w:start w:val="1"/>
    </w:lvl>
  </w:abstractNum>
  <w:abstractNum w:abstractNumId="112">
    <w:nsid w:val="75E0858A"/>
    <w:multiLevelType w:val="hybridMultilevel"/>
    <w:lvl w:ilvl="0">
      <w:lvlJc w:val="left"/>
      <w:lvlText w:val="(%1)"/>
      <w:numFmt w:val="lowerLetter"/>
      <w:start w:val="8"/>
    </w:lvl>
  </w:abstractNum>
  <w:abstractNum w:abstractNumId="113">
    <w:nsid w:val="57A61A29"/>
    <w:multiLevelType w:val="hybridMultilevel"/>
    <w:lvl w:ilvl="0">
      <w:lvlJc w:val="left"/>
      <w:lvlText w:val="(%1)"/>
      <w:numFmt w:val="lowerLetter"/>
      <w:start w:val="1"/>
    </w:lvl>
  </w:abstractNum>
  <w:abstractNum w:abstractNumId="114">
    <w:nsid w:val="5399C654"/>
    <w:multiLevelType w:val="hybridMultilevel"/>
    <w:lvl w:ilvl="0">
      <w:lvlJc w:val="left"/>
      <w:lvlText w:val="(%1)"/>
      <w:numFmt w:val="lowerLetter"/>
      <w:start w:val="4"/>
    </w:lvl>
  </w:abstractNum>
  <w:abstractNum w:abstractNumId="115">
    <w:nsid w:val="20EE1348"/>
    <w:multiLevelType w:val="hybridMultilevel"/>
    <w:lvl w:ilvl="0">
      <w:lvlJc w:val="left"/>
      <w:lvlText w:val="(%1)"/>
      <w:numFmt w:val="lowerLetter"/>
      <w:start w:val="1"/>
    </w:lvl>
  </w:abstractNum>
  <w:abstractNum w:abstractNumId="116">
    <w:nsid w:val="4427069A"/>
    <w:multiLevelType w:val="hybridMultilevel"/>
    <w:lvl w:ilvl="0">
      <w:lvlJc w:val="left"/>
      <w:lvlText w:val="(%1)"/>
      <w:numFmt w:val="lowerLetter"/>
      <w:start w:val="6"/>
    </w:lvl>
  </w:abstractNum>
  <w:abstractNum w:abstractNumId="117">
    <w:nsid w:val="B37E80A"/>
    <w:multiLevelType w:val="hybridMultilevel"/>
    <w:lvl w:ilvl="0">
      <w:lvlJc w:val="left"/>
      <w:lvlText w:val="%1"/>
      <w:numFmt w:val="lowerLetter"/>
      <w:start w:val="1"/>
    </w:lvl>
    <w:lvl w:ilvl="1">
      <w:lvlJc w:val="left"/>
      <w:lvlText w:val="(%2)"/>
      <w:numFmt w:val="lowerLetter"/>
      <w:start w:val="8"/>
    </w:lvl>
  </w:abstractNum>
  <w:abstractNum w:abstractNumId="118">
    <w:nsid w:val="2157F6BC"/>
    <w:multiLevelType w:val="hybridMultilevel"/>
    <w:lvl w:ilvl="0">
      <w:lvlJc w:val="left"/>
      <w:lvlText w:val="(%1)"/>
      <w:numFmt w:val="lowerLetter"/>
      <w:start w:val="35"/>
    </w:lvl>
    <w:lvl w:ilvl="1">
      <w:lvlJc w:val="left"/>
      <w:lvlText w:val="(%2)"/>
      <w:numFmt w:val="lowerLetter"/>
      <w:start w:val="11"/>
    </w:lvl>
  </w:abstractNum>
  <w:abstractNum w:abstractNumId="119">
    <w:nsid w:val="704E1DD5"/>
    <w:multiLevelType w:val="hybridMultilevel"/>
    <w:lvl w:ilvl="0">
      <w:lvlJc w:val="left"/>
      <w:lvlText w:val="(%1)"/>
      <w:numFmt w:val="lowerLetter"/>
      <w:start w:val="1"/>
    </w:lvl>
  </w:abstractNum>
  <w:abstractNum w:abstractNumId="120">
    <w:nsid w:val="57D2F10E"/>
    <w:multiLevelType w:val="hybridMultilevel"/>
    <w:lvl w:ilvl="0">
      <w:lvlJc w:val="left"/>
      <w:lvlText w:val="(%1)"/>
      <w:numFmt w:val="lowerLetter"/>
      <w:start w:val="1"/>
    </w:lvl>
  </w:abstractNum>
  <w:abstractNum w:abstractNumId="121">
    <w:nsid w:val="BFFAE18"/>
    <w:multiLevelType w:val="hybridMultilevel"/>
    <w:lvl w:ilvl="0">
      <w:lvlJc w:val="left"/>
      <w:lvlText w:val="(%1)"/>
      <w:numFmt w:val="lowerLetter"/>
      <w:start w:val="2"/>
    </w:lvl>
  </w:abstractNum>
  <w:abstractNum w:abstractNumId="122">
    <w:nsid w:val="E3E47A8"/>
    <w:multiLevelType w:val="hybridMultilevel"/>
    <w:lvl w:ilvl="0">
      <w:lvlJc w:val="left"/>
      <w:lvlText w:val="(%1)"/>
      <w:numFmt w:val="lowerLetter"/>
      <w:start w:val="1"/>
    </w:lvl>
  </w:abstractNum>
  <w:abstractNum w:abstractNumId="123">
    <w:nsid w:val="2E48F044"/>
    <w:multiLevelType w:val="hybridMultilevel"/>
    <w:lvl w:ilvl="0">
      <w:lvlJc w:val="left"/>
      <w:lvlText w:val="(%1)"/>
      <w:numFmt w:val="decimal"/>
      <w:start w:val="30"/>
    </w:lvl>
  </w:abstractNum>
  <w:abstractNum w:abstractNumId="124">
    <w:nsid w:val="49D0FEAC"/>
    <w:multiLevelType w:val="hybridMultilevel"/>
    <w:lvl w:ilvl="0">
      <w:lvlJc w:val="left"/>
      <w:lvlText w:val="(%1)"/>
      <w:numFmt w:val="lowerLetter"/>
      <w:start w:val="1"/>
    </w:lvl>
  </w:abstractNum>
  <w:abstractNum w:abstractNumId="125">
    <w:nsid w:val="4BEE5A5B"/>
    <w:multiLevelType w:val="hybridMultilevel"/>
    <w:lvl w:ilvl="0">
      <w:lvlJc w:val="left"/>
      <w:lvlText w:val="(%1)"/>
      <w:numFmt w:val="lowerLetter"/>
      <w:start w:val="4"/>
    </w:lvl>
  </w:abstractNum>
  <w:abstractNum w:abstractNumId="126">
    <w:nsid w:val="5551B9F3"/>
    <w:multiLevelType w:val="hybridMultilevel"/>
    <w:lvl w:ilvl="0">
      <w:lvlJc w:val="left"/>
      <w:lvlText w:val="(%1)"/>
      <w:numFmt w:val="lowerLetter"/>
      <w:start w:val="1"/>
    </w:lvl>
  </w:abstractNum>
  <w:abstractNum w:abstractNumId="127">
    <w:nsid w:val="24F6AB8E"/>
    <w:multiLevelType w:val="hybridMultilevel"/>
    <w:lvl w:ilvl="0">
      <w:lvlJc w:val="left"/>
      <w:lvlText w:val="(%1)"/>
      <w:numFmt w:val="lowerLetter"/>
      <w:start w:val="5"/>
    </w:lvl>
  </w:abstractNum>
  <w:abstractNum w:abstractNumId="128">
    <w:nsid w:val="634C574C"/>
    <w:multiLevelType w:val="hybridMultilevel"/>
    <w:lvl w:ilvl="0">
      <w:lvlJc w:val="left"/>
      <w:lvlText w:val="(%1)"/>
      <w:numFmt w:val="lowerLetter"/>
      <w:start w:val="1"/>
    </w:lvl>
    <w:lvl w:ilvl="1">
      <w:lvlJc w:val="left"/>
      <w:lvlText w:val="(%2)"/>
      <w:numFmt w:val="lowerRoman"/>
      <w:start w:val="1"/>
    </w:lvl>
  </w:abstractNum>
  <w:abstractNum w:abstractNumId="129">
    <w:nsid w:val="24E99DD7"/>
    <w:multiLevelType w:val="hybridMultilevel"/>
    <w:lvl w:ilvl="0">
      <w:lvlJc w:val="left"/>
      <w:lvlText w:val="(%1)"/>
      <w:numFmt w:val="lowerLetter"/>
      <w:start w:val="2"/>
    </w:lvl>
  </w:abstractNum>
  <w:abstractNum w:abstractNumId="130">
    <w:nsid w:val="2A31B62D"/>
    <w:multiLevelType w:val="hybridMultilevel"/>
    <w:lvl w:ilvl="0">
      <w:lvlJc w:val="left"/>
      <w:lvlText w:val="(%1)"/>
      <w:numFmt w:val="lowerLetter"/>
      <w:start w:val="3"/>
    </w:lvl>
  </w:abstractNum>
  <w:abstractNum w:abstractNumId="131">
    <w:nsid w:val="1849C29B"/>
    <w:multiLevelType w:val="hybridMultilevel"/>
    <w:lvl w:ilvl="0">
      <w:lvlJc w:val="left"/>
      <w:lvlText w:val="%1"/>
      <w:numFmt w:val="lowerRoman"/>
      <w:start w:val="1"/>
    </w:lvl>
    <w:lvl w:ilvl="1">
      <w:lvlJc w:val="left"/>
      <w:lvlText w:val="(%2)"/>
      <w:numFmt w:val="lowerLetter"/>
      <w:start w:val="4"/>
    </w:lvl>
  </w:abstractNum>
  <w:abstractNum w:abstractNumId="132">
    <w:nsid w:val="7DFF9D09"/>
    <w:multiLevelType w:val="hybridMultilevel"/>
    <w:lvl w:ilvl="0">
      <w:lvlJc w:val="left"/>
      <w:lvlText w:val="(%1)"/>
      <w:numFmt w:val="lowerRoman"/>
      <w:start w:val="1"/>
    </w:lvl>
    <w:lvl w:ilvl="1">
      <w:lvlJc w:val="left"/>
      <w:lvlText w:val="%2"/>
      <w:numFmt w:val="lowerLetter"/>
      <w:start w:val="1"/>
    </w:lvl>
  </w:abstractNum>
  <w:abstractNum w:abstractNumId="133">
    <w:nsid w:val="754342"/>
    <w:multiLevelType w:val="hybridMultilevel"/>
    <w:lvl w:ilvl="0">
      <w:lvlJc w:val="left"/>
      <w:lvlText w:val="(%1)"/>
      <w:numFmt w:val="lowerLetter"/>
      <w:start w:val="1"/>
    </w:lvl>
  </w:abstractNum>
  <w:abstractNum w:abstractNumId="134">
    <w:nsid w:val="69E7F3E5"/>
    <w:multiLevelType w:val="hybridMultilevel"/>
    <w:lvl w:ilvl="0">
      <w:lvlJc w:val="left"/>
      <w:lvlText w:val="(%1)"/>
      <w:numFmt w:val="lowerLetter"/>
      <w:start w:val="3"/>
    </w:lvl>
  </w:abstractNum>
  <w:abstractNum w:abstractNumId="135">
    <w:nsid w:val="2A6DE806"/>
    <w:multiLevelType w:val="hybridMultilevel"/>
    <w:lvl w:ilvl="0">
      <w:lvlJc w:val="left"/>
      <w:lvlText w:val="(%1)"/>
      <w:numFmt w:val="lowerLetter"/>
      <w:start w:val="5"/>
    </w:lvl>
  </w:abstractNum>
  <w:abstractNum w:abstractNumId="136">
    <w:nsid w:val="1816F8C4"/>
    <w:multiLevelType w:val="hybridMultilevel"/>
    <w:lvl w:ilvl="0">
      <w:lvlJc w:val="left"/>
      <w:lvlText w:val="(%1)"/>
      <w:numFmt w:val="lowerLetter"/>
      <w:start w:val="1"/>
    </w:lvl>
  </w:abstractNum>
  <w:abstractNum w:abstractNumId="137">
    <w:nsid w:val="37DF223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8">
    <w:nsid w:val="7AB49DAF"/>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39">
    <w:nsid w:val="759F82CD"/>
    <w:multiLevelType w:val="hybridMultilevel"/>
    <w:lvl w:ilvl="0">
      <w:lvlJc w:val="left"/>
      <w:lvlText w:val="%1"/>
      <w:numFmt w:val="lowerRoman"/>
      <w:start w:val="1"/>
    </w:lvl>
    <w:lvl w:ilvl="1">
      <w:lvlJc w:val="left"/>
      <w:lvlText w:val="(%2)"/>
      <w:numFmt w:val="decimal"/>
      <w:start w:val="10"/>
    </w:lvl>
    <w:lvl w:ilvl="2">
      <w:lvlJc w:val="left"/>
      <w:lvlText w:val="(%3)"/>
      <w:numFmt w:val="upperLetter"/>
      <w:start w:val="2"/>
    </w:lvl>
  </w:abstractNum>
  <w:abstractNum w:abstractNumId="140">
    <w:nsid w:val="61E74EA3"/>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141">
    <w:nsid w:val="597B4D84"/>
    <w:multiLevelType w:val="hybridMultilevel"/>
    <w:lvl w:ilvl="0">
      <w:lvlJc w:val="left"/>
      <w:lvlText w:val="(%1)"/>
      <w:numFmt w:val="lowerLetter"/>
      <w:start w:val="3"/>
    </w:lvl>
  </w:abstractNum>
  <w:abstractNum w:abstractNumId="142">
    <w:nsid w:val="F819E7F"/>
    <w:multiLevelType w:val="hybridMultilevel"/>
    <w:lvl w:ilvl="0">
      <w:lvlJc w:val="left"/>
      <w:lvlText w:val="(%1)"/>
      <w:numFmt w:val="lowerLetter"/>
      <w:start w:val="5"/>
    </w:lvl>
  </w:abstractNum>
  <w:abstractNum w:abstractNumId="143">
    <w:nsid w:val="57C7D42D"/>
    <w:multiLevelType w:val="hybridMultilevel"/>
    <w:lvl w:ilvl="0">
      <w:lvlJc w:val="left"/>
      <w:lvlText w:val="(%1)"/>
      <w:numFmt w:val="lowerLetter"/>
      <w:start w:val="7"/>
    </w:lvl>
  </w:abstractNum>
  <w:abstractNum w:abstractNumId="144">
    <w:nsid w:val="312167AD"/>
    <w:multiLevelType w:val="hybridMultilevel"/>
    <w:lvl w:ilvl="0">
      <w:lvlJc w:val="left"/>
      <w:lvlText w:val="(%1)"/>
      <w:numFmt w:val="lowerLetter"/>
      <w:start w:val="1"/>
    </w:lvl>
  </w:abstractNum>
  <w:abstractNum w:abstractNumId="145">
    <w:nsid w:val="631B64D4"/>
    <w:multiLevelType w:val="hybridMultilevel"/>
    <w:lvl w:ilvl="0">
      <w:lvlJc w:val="left"/>
      <w:lvlText w:val="(%1)"/>
      <w:numFmt w:val="lowerLetter"/>
      <w:start w:val="1"/>
    </w:lvl>
  </w:abstractNum>
  <w:abstractNum w:abstractNumId="146">
    <w:nsid w:val="78B5E776"/>
    <w:multiLevelType w:val="hybridMultilevel"/>
    <w:lvl w:ilvl="0">
      <w:lvlJc w:val="left"/>
      <w:lvlText w:val="(%1)"/>
      <w:numFmt w:val="lowerLetter"/>
      <w:start w:val="3"/>
    </w:lvl>
  </w:abstractNum>
  <w:abstractNum w:abstractNumId="147">
    <w:nsid w:val="75486E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2019-12-10T06:46:00Z</dcterms:created>
  <dcterms:modified xsi:type="dcterms:W3CDTF">2019-12-10T06:46:00Z</dcterms:modified>
</cp:coreProperties>
</file>