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631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63181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92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Drake Angela 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0000FF"/>
        </w:rPr>
        <w:t>VP &amp; CFO</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92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38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52"/>
              <w:spacing w:after="0"/>
              <w:rPr>
                <w:sz w:val="20"/>
                <w:szCs w:val="20"/>
                <w:color w:val="auto"/>
              </w:rPr>
            </w:pPr>
            <w:r>
              <w:rPr>
                <w:rFonts w:ascii="Times New Roman" w:cs="Times New Roman" w:eastAsia="Times New Roman" w:hAnsi="Times New Roman"/>
                <w:sz w:val="17"/>
                <w:szCs w:val="17"/>
                <w:color w:val="0000FF"/>
                <w:w w:val="98"/>
              </w:rPr>
              <w:t>12/18/2024</w:t>
            </w: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spacing w:after="0" w:line="306" w:lineRule="exact"/>
              <w:rPr>
                <w:sz w:val="20"/>
                <w:szCs w:val="20"/>
                <w:color w:val="auto"/>
              </w:rPr>
            </w:pPr>
            <w:r>
              <w:rPr>
                <w:rFonts w:ascii="Times New Roman" w:cs="Times New Roman" w:eastAsia="Times New Roman" w:hAnsi="Times New Roman"/>
                <w:sz w:val="33"/>
                <w:szCs w:val="33"/>
                <w:color w:val="0000FF"/>
                <w:vertAlign w:val="subscript"/>
              </w:rPr>
              <w:t>718</w:t>
            </w:r>
            <w:r>
              <w:rPr>
                <w:rFonts w:ascii="Times New Roman" w:cs="Times New Roman" w:eastAsia="Times New Roman" w:hAnsi="Times New Roman"/>
                <w:sz w:val="11"/>
                <w:szCs w:val="11"/>
                <w:color w:val="008000"/>
              </w:rPr>
              <w:t>(1)</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81.44</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6"/>
              </w:rPr>
              <w:t>6,682.069</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3"/>
          </w:tcPr>
          <w:p>
            <w:pPr>
              <w:jc w:val="center"/>
              <w:ind w:left="552"/>
              <w:spacing w:after="0"/>
              <w:rPr>
                <w:sz w:val="20"/>
                <w:szCs w:val="20"/>
                <w:color w:val="auto"/>
              </w:rPr>
            </w:pPr>
            <w:r>
              <w:rPr>
                <w:rFonts w:ascii="Times New Roman" w:cs="Times New Roman" w:eastAsia="Times New Roman" w:hAnsi="Times New Roman"/>
                <w:sz w:val="17"/>
                <w:szCs w:val="17"/>
                <w:color w:val="0000FF"/>
                <w:w w:val="98"/>
              </w:rPr>
              <w:t>12/18/2024</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w:t>
            </w:r>
          </w:p>
        </w:tc>
        <w:tc>
          <w:tcPr>
            <w:tcW w:w="80" w:type="dxa"/>
            <w:vAlign w:val="bottom"/>
          </w:tcPr>
          <w:p>
            <w:pPr>
              <w:spacing w:after="0"/>
              <w:rPr>
                <w:sz w:val="22"/>
                <w:szCs w:val="22"/>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81.44</w:t>
            </w:r>
          </w:p>
        </w:tc>
        <w:tc>
          <w:tcPr>
            <w:tcW w:w="20" w:type="dxa"/>
            <w:vAlign w:val="bottom"/>
          </w:tcPr>
          <w:p>
            <w:pPr>
              <w:spacing w:after="0"/>
              <w:rPr>
                <w:sz w:val="22"/>
                <w:szCs w:val="22"/>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6"/>
              </w:rPr>
              <w:t>6,462.069</w:t>
            </w:r>
          </w:p>
        </w:tc>
        <w:tc>
          <w:tcPr>
            <w:tcW w:w="340" w:type="dxa"/>
            <w:vAlign w:val="bottom"/>
          </w:tcPr>
          <w:p>
            <w:pPr>
              <w:spacing w:after="0"/>
              <w:rPr>
                <w:sz w:val="22"/>
                <w:szCs w:val="22"/>
                <w:color w:val="auto"/>
              </w:rPr>
            </w:pPr>
          </w:p>
        </w:tc>
        <w:tc>
          <w:tcPr>
            <w:tcW w:w="540" w:type="dxa"/>
            <w:vAlign w:val="bottom"/>
          </w:tcPr>
          <w:p>
            <w:pPr>
              <w:jc w:val="center"/>
              <w:ind w:right="333"/>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1"/>
              </w:rPr>
              <w:t>255.76</w:t>
            </w:r>
            <w:r>
              <w:rPr>
                <w:rFonts w:ascii="Times New Roman" w:cs="Times New Roman" w:eastAsia="Times New Roman" w:hAnsi="Times New Roman"/>
                <w:sz w:val="21"/>
                <w:szCs w:val="21"/>
                <w:color w:val="008000"/>
                <w:w w:val="91"/>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2"/>
              </w:rPr>
              <w:t>739.531</w:t>
            </w:r>
            <w:r>
              <w:rPr>
                <w:rFonts w:ascii="Times New Roman" w:cs="Times New Roman" w:eastAsia="Times New Roman" w:hAnsi="Times New Roman"/>
                <w:sz w:val="21"/>
                <w:szCs w:val="21"/>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2,695.695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5,326.616</w:t>
            </w:r>
          </w:p>
        </w:tc>
        <w:tc>
          <w:tcPr>
            <w:tcW w:w="5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w:t>
      </w:r>
    </w:p>
    <w:p>
      <w:pPr>
        <w:spacing w:after="0" w:line="26"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150.717 shares acquired through regular individual and issuer matching contributions to The Toro Company Retirement Plan; and 2.375 shares acquired under the dividend reinvestment feature of the Retirement Plan less quarterly non-discretionary administrative fees.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9.143 performance share units acquired by the reporting person since the date of her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10, 2023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29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85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2024-12-19T16:30:09Z</dcterms:created>
  <dcterms:modified xsi:type="dcterms:W3CDTF">2024-12-19T16:30:09Z</dcterms:modified>
</cp:coreProperties>
</file>