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VP, Residential &amp; LCB</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12/08/2009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w w:val="85"/>
              </w:rPr>
              <w:t>A</w:t>
            </w:r>
          </w:p>
        </w:tc>
        <w:tc>
          <w:tcPr>
            <w:tcW w:w="76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998</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36,753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12/08/2009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4"/>
                <w:szCs w:val="14"/>
                <w:color w:val="0000FF"/>
                <w:w w:val="92"/>
              </w:rPr>
              <w:t>F</w:t>
            </w:r>
          </w:p>
        </w:tc>
        <w:tc>
          <w:tcPr>
            <w:tcW w:w="760" w:type="dxa"/>
            <w:vAlign w:val="bottom"/>
          </w:tcPr>
          <w:p>
            <w:pPr>
              <w:jc w:val="right"/>
              <w:ind w:right="152"/>
              <w:spacing w:after="0"/>
              <w:rPr>
                <w:sz w:val="20"/>
                <w:szCs w:val="20"/>
                <w:color w:val="auto"/>
              </w:rPr>
            </w:pPr>
            <w:r>
              <w:rPr>
                <w:rFonts w:ascii="Arial" w:cs="Arial" w:eastAsia="Arial" w:hAnsi="Arial"/>
                <w:sz w:val="18"/>
                <w:szCs w:val="18"/>
                <w:color w:val="0000FF"/>
              </w:rPr>
              <w:t>326</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39.67</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36,427</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7"/>
              </w:rPr>
              <w:t>6,706.277</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2007 to Fiscal 2009 Performance Period under The Toro Company Performance Share Plan (the "PSP"), as approved by the registrant's Compensation &amp; Human Resources Committee of its Board of Directors and conditioned upon and subject to confirmation by the registrant's Fiscal 2009 financial results released on December 8, 2009. Performance Share Awards are paid in Shares of Common Stock under the PSP.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12/10/2009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2019-12-16T23:42:41Z</dcterms:created>
  <dcterms:modified xsi:type="dcterms:W3CDTF">2019-12-16T23:42:41Z</dcterms:modified>
</cp:coreProperties>
</file>