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7"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80" w:type="dxa"/>
            <w:vAlign w:val="bottom"/>
          </w:tcPr>
          <w:p>
            <w:pPr>
              <w:jc w:val="center"/>
              <w:ind w:right="13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-627380</wp:posOffset>
            </wp:positionV>
            <wp:extent cx="58420" cy="64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745490</wp:posOffset>
            </wp:positionV>
            <wp:extent cx="6993255" cy="6041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6041390"/>
                    </a:xfrm>
                    <a:prstGeom prst="rect">
                      <a:avLst/>
                    </a:prstGeom>
                    <a:noFill/>
                  </pic:spPr>
                </pic:pic>
              </a:graphicData>
            </a:graphic>
          </wp:anchor>
        </w:drawing>
      </w:r>
    </w:p>
    <w:p>
      <w:pPr>
        <w:spacing w:after="0" w:line="1247" w:lineRule="exact"/>
        <w:rPr>
          <w:sz w:val="24"/>
          <w:szCs w:val="24"/>
          <w:color w:val="auto"/>
        </w:rPr>
      </w:pPr>
    </w:p>
    <w:p>
      <w:pPr>
        <w:sectPr>
          <w:pgSz w:w="11900" w:h="16855" w:orient="portrait"/>
          <w:cols w:equalWidth="0" w:num="2">
            <w:col w:w="2340" w:space="240"/>
            <w:col w:w="8500"/>
          </w:cols>
          <w:pgMar w:left="460" w:top="218"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MOELLER PETER D</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12/18/2024</w:t>
      </w:r>
    </w:p>
    <w:p>
      <w:pPr>
        <w:spacing w:after="0" w:line="20" w:lineRule="exact"/>
        <w:rPr>
          <w:sz w:val="24"/>
          <w:szCs w:val="24"/>
          <w:color w:val="auto"/>
        </w:rPr>
      </w:pPr>
      <w:r>
        <w:rPr>
          <w:sz w:val="24"/>
          <w:szCs w:val="24"/>
          <w:color w:val="auto"/>
        </w:rPr>
        <w:br w:type="column"/>
      </w:r>
    </w:p>
    <w:p>
      <w:pPr>
        <w:ind w:left="8" w:right="620" w:hanging="8"/>
        <w:spacing w:after="0" w:line="25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428"/>
        <w:spacing w:after="0"/>
        <w:rPr>
          <w:sz w:val="20"/>
          <w:szCs w:val="20"/>
          <w:color w:val="auto"/>
        </w:rPr>
      </w:pPr>
      <w:r>
        <w:rPr>
          <w:rFonts w:ascii="Times New Roman" w:cs="Times New Roman" w:eastAsia="Times New Roman" w:hAnsi="Times New Roman"/>
          <w:sz w:val="17"/>
          <w:szCs w:val="17"/>
          <w:color w:val="0000FF"/>
        </w:rPr>
        <w:t>Group VP, Undg &amp; Spec Construc</w:t>
      </w:r>
    </w:p>
    <w:p>
      <w:pPr>
        <w:spacing w:after="0" w:line="314" w:lineRule="exact"/>
        <w:rPr>
          <w:sz w:val="24"/>
          <w:szCs w:val="24"/>
          <w:color w:val="auto"/>
        </w:rPr>
      </w:pPr>
    </w:p>
    <w:p>
      <w:pPr>
        <w:sectPr>
          <w:pgSz w:w="11900" w:h="16855" w:orient="portrait"/>
          <w:cols w:equalWidth="0" w:num="3">
            <w:col w:w="3180" w:space="720"/>
            <w:col w:w="3112" w:space="720"/>
            <w:col w:w="3348"/>
          </w:cols>
          <w:pgMar w:left="460" w:top="218" w:right="359" w:bottom="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600" w:type="dxa"/>
            <w:vAlign w:val="bottom"/>
            <w:gridSpan w:val="8"/>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20" w:type="dxa"/>
            <w:vAlign w:val="bottom"/>
            <w:gridSpan w:val="10"/>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0" w:type="dxa"/>
            <w:vAlign w:val="bottom"/>
            <w:gridSpan w:val="8"/>
            <w:vMerge w:val="continue"/>
          </w:tcPr>
          <w:p>
            <w:pPr>
              <w:spacing w:after="0"/>
              <w:rPr>
                <w:sz w:val="7"/>
                <w:szCs w:val="7"/>
                <w:color w:val="auto"/>
              </w:rPr>
            </w:pPr>
          </w:p>
        </w:tc>
        <w:tc>
          <w:tcPr>
            <w:tcW w:w="37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gridSpan w:val="2"/>
          </w:tcPr>
          <w:p>
            <w:pPr>
              <w:ind w:left="380"/>
              <w:spacing w:after="0"/>
              <w:rPr>
                <w:sz w:val="20"/>
                <w:szCs w:val="20"/>
                <w:color w:val="auto"/>
              </w:rPr>
            </w:pPr>
            <w:r>
              <w:rPr>
                <w:rFonts w:ascii="Arial" w:cs="Arial" w:eastAsia="Arial" w:hAnsi="Arial"/>
                <w:sz w:val="13"/>
                <w:szCs w:val="13"/>
                <w:color w:val="auto"/>
                <w:w w:val="89"/>
              </w:rPr>
              <w:t>Line)</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1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55420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40" w:type="dxa"/>
            <w:vAlign w:val="bottom"/>
            <w:gridSpan w:val="5"/>
          </w:tcPr>
          <w:p>
            <w:pPr>
              <w:ind w:left="24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gridSpan w:val="8"/>
          </w:tcPr>
          <w:p>
            <w:pPr>
              <w:ind w:left="24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4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2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Beneficially</w:t>
            </w:r>
          </w:p>
        </w:tc>
        <w:tc>
          <w:tcPr>
            <w:tcW w:w="4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12/18/2024</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85"/>
              </w:rPr>
              <w:t>884</w:t>
            </w:r>
            <w:r>
              <w:rPr>
                <w:rFonts w:ascii="Times New Roman" w:cs="Times New Roman" w:eastAsia="Times New Roman" w:hAnsi="Times New Roman"/>
                <w:sz w:val="21"/>
                <w:szCs w:val="21"/>
                <w:color w:val="008000"/>
                <w:w w:val="85"/>
                <w:vertAlign w:val="superscript"/>
              </w:rPr>
              <w:t>(1)</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4"/>
              </w:rPr>
              <w:t>2,685.791</w:t>
            </w:r>
            <w:r>
              <w:rPr>
                <w:rFonts w:ascii="Times New Roman" w:cs="Times New Roman" w:eastAsia="Times New Roman" w:hAnsi="Times New Roman"/>
                <w:sz w:val="21"/>
                <w:szCs w:val="21"/>
                <w:color w:val="008000"/>
                <w:w w:val="94"/>
                <w:vertAlign w:val="superscript"/>
              </w:rPr>
              <w:t>(2)</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3"/>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4"/>
              </w:rPr>
              <w:t>592.181</w:t>
            </w:r>
            <w:r>
              <w:rPr>
                <w:rFonts w:ascii="Times New Roman" w:cs="Times New Roman" w:eastAsia="Times New Roman" w:hAnsi="Times New Roman"/>
                <w:sz w:val="21"/>
                <w:szCs w:val="21"/>
                <w:color w:val="008000"/>
                <w:w w:val="94"/>
                <w:vertAlign w:val="superscript"/>
              </w:rPr>
              <w:t>(3)</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3"/>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Moeller</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2"/>
          </w:tcPr>
          <w:p>
            <w:pPr>
              <w:jc w:val="center"/>
              <w:ind w:right="1"/>
              <w:spacing w:after="0" w:line="207" w:lineRule="exact"/>
              <w:rPr>
                <w:sz w:val="20"/>
                <w:szCs w:val="20"/>
                <w:color w:val="auto"/>
              </w:rPr>
            </w:pPr>
            <w:r>
              <w:rPr>
                <w:rFonts w:ascii="Times New Roman" w:cs="Times New Roman" w:eastAsia="Times New Roman" w:hAnsi="Times New Roman"/>
                <w:sz w:val="17"/>
                <w:szCs w:val="17"/>
                <w:color w:val="0000FF"/>
                <w:w w:val="94"/>
              </w:rPr>
              <w:t>4,904.029</w:t>
            </w:r>
            <w:r>
              <w:rPr>
                <w:rFonts w:ascii="Times New Roman" w:cs="Times New Roman" w:eastAsia="Times New Roman" w:hAnsi="Times New Roman"/>
                <w:sz w:val="21"/>
                <w:szCs w:val="21"/>
                <w:color w:val="008000"/>
                <w:w w:val="94"/>
                <w:vertAlign w:val="superscript"/>
              </w:rPr>
              <w:t>(4)</w:t>
            </w:r>
          </w:p>
        </w:tc>
        <w:tc>
          <w:tcPr>
            <w:tcW w:w="340" w:type="dxa"/>
            <w:vAlign w:val="bottom"/>
          </w:tcPr>
          <w:p>
            <w:pPr>
              <w:spacing w:after="0"/>
              <w:rPr>
                <w:sz w:val="17"/>
                <w:szCs w:val="17"/>
                <w:color w:val="auto"/>
              </w:rPr>
            </w:pPr>
          </w:p>
        </w:tc>
        <w:tc>
          <w:tcPr>
            <w:tcW w:w="540" w:type="dxa"/>
            <w:vAlign w:val="bottom"/>
          </w:tcPr>
          <w:p>
            <w:pPr>
              <w:jc w:val="center"/>
              <w:ind w:right="313"/>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4"/>
              </w:rPr>
              <w:t>4,091.613</w:t>
            </w:r>
            <w:r>
              <w:rPr>
                <w:rFonts w:ascii="Times New Roman" w:cs="Times New Roman" w:eastAsia="Times New Roman" w:hAnsi="Times New Roman"/>
                <w:sz w:val="21"/>
                <w:szCs w:val="21"/>
                <w:color w:val="008000"/>
                <w:w w:val="94"/>
                <w:vertAlign w:val="superscript"/>
              </w:rPr>
              <w:t>(5)</w:t>
            </w:r>
          </w:p>
        </w:tc>
        <w:tc>
          <w:tcPr>
            <w:tcW w:w="340" w:type="dxa"/>
            <w:vAlign w:val="bottom"/>
          </w:tcPr>
          <w:p>
            <w:pPr>
              <w:spacing w:after="0"/>
              <w:rPr>
                <w:sz w:val="17"/>
                <w:szCs w:val="17"/>
                <w:color w:val="auto"/>
              </w:rPr>
            </w:pPr>
          </w:p>
        </w:tc>
        <w:tc>
          <w:tcPr>
            <w:tcW w:w="540" w:type="dxa"/>
            <w:vAlign w:val="bottom"/>
            <w:vMerge w:val="restart"/>
          </w:tcPr>
          <w:p>
            <w:pPr>
              <w:jc w:val="center"/>
              <w:ind w:right="313"/>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00" w:type="dxa"/>
            <w:vAlign w:val="bottom"/>
            <w:gridSpan w:val="12"/>
          </w:tcPr>
          <w:p>
            <w:pPr>
              <w:jc w:val="center"/>
              <w:ind w:left="473"/>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22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(7)</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961.117</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3"/>
                <w:szCs w:val="13"/>
                <w:color w:val="0000FF"/>
              </w:rPr>
              <w:t>1,855.326</w:t>
            </w:r>
          </w:p>
        </w:tc>
        <w:tc>
          <w:tcPr>
            <w:tcW w:w="54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-2014855</wp:posOffset>
            </wp:positionV>
            <wp:extent cx="29210" cy="20199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99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jc w:val="both"/>
        <w:ind w:left="40" w:right="160" w:firstLine="2"/>
        <w:spacing w:after="0" w:line="23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payout of a Performance Share Award for the Fiscal 2022 to Fiscal 2024 Performance Period under The Toro Company Amended and Restated 2010 Equity and Incentive Plan, as amended and restated, as approved by the Issuer's Compensation &amp; Human Resources Committee of its Board of Directors on December 10, 2024, and which was conditioned upon and subject to confirmation by the Issuer's Fiscal 2024 financial results that were released on December 18, 2024.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27" w:lineRule="exact"/>
        <w:rPr>
          <w:rFonts w:ascii="Times New Roman" w:cs="Times New Roman" w:eastAsia="Times New Roman" w:hAnsi="Times New Roman"/>
          <w:sz w:val="13"/>
          <w:szCs w:val="13"/>
          <w:color w:val="008000"/>
        </w:rPr>
      </w:pPr>
    </w:p>
    <w:p>
      <w:pPr>
        <w:ind w:left="40" w:right="5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22.277 performance share units acquired by the reporting person since the date of his last report under the dividend reinvestment feature of The Toro Company Deferred Compensation Plan for Officers.</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4.975 shares of common stock acquired by the reporting person since the date of his last report under a dividend reinvestment feature of the account in which the shares are held.</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61.360 shares of common stock acquired by the reporting person since the date of his last report under a dividend reinvestment feature of the account in which the shares are held.</w:t>
      </w:r>
    </w:p>
    <w:p>
      <w:pPr>
        <w:spacing w:after="0" w:line="44" w:lineRule="exact"/>
        <w:rPr>
          <w:rFonts w:ascii="Times New Roman" w:cs="Times New Roman" w:eastAsia="Times New Roman" w:hAnsi="Times New Roman"/>
          <w:sz w:val="13"/>
          <w:szCs w:val="13"/>
          <w:color w:val="008000"/>
        </w:rPr>
      </w:pPr>
    </w:p>
    <w:p>
      <w:pPr>
        <w:ind w:left="40" w:right="4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50.553 net shares acquired by the reporting person since the date of his last report under the dividend reinvestment feature of The Toro Company Retirement Plan less quarterly non-discretionary administrative fees.</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TTC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and related dividend equivalents vest and become non-forfeitable in three equal annual installments commencing on the first anniversary of the March 1, 2023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3" w:lineRule="auto"/>
        <w:rPr>
          <w:sz w:val="20"/>
          <w:szCs w:val="20"/>
          <w:color w:val="auto"/>
        </w:rPr>
      </w:pPr>
      <w:r>
        <w:rPr>
          <w:rFonts w:ascii="Times New Roman" w:cs="Times New Roman" w:eastAsia="Times New Roman" w:hAnsi="Times New Roman"/>
          <w:sz w:val="17"/>
          <w:szCs w:val="17"/>
          <w:color w:val="0000FF"/>
        </w:rPr>
        <w:t xml:space="preserve">/s/ Joanna M. Totsky, Attorney- </w:t>
      </w:r>
      <w:r>
        <w:rPr>
          <w:rFonts w:ascii="Times New Roman" w:cs="Times New Roman" w:eastAsia="Times New Roman" w:hAnsi="Times New Roman"/>
          <w:sz w:val="33"/>
          <w:szCs w:val="33"/>
          <w:color w:val="0000FF"/>
          <w:vertAlign w:val="subscript"/>
        </w:rPr>
        <w:t>12/19/2024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487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-20320</wp:posOffset>
            </wp:positionV>
            <wp:extent cx="3022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2260"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91"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855" w:orient="portrait"/>
          <w:cols w:equalWidth="0" w:num="1">
            <w:col w:w="11080"/>
          </w:cols>
          <w:pgMar w:left="460" w:top="218"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96513"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2024-12-19T16:41:32Z</dcterms:created>
  <dcterms:modified xsi:type="dcterms:W3CDTF">2024-12-19T16:41:32Z</dcterms:modified>
</cp:coreProperties>
</file>