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233680</wp:posOffset>
            </wp:positionH>
            <wp:positionV relativeFrom="page">
              <wp:posOffset>697230</wp:posOffset>
            </wp:positionV>
            <wp:extent cx="70891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89140" cy="8255"/>
                    </a:xfrm>
                    <a:prstGeom prst="rect">
                      <a:avLst/>
                    </a:prstGeom>
                    <a:noFill/>
                  </pic:spPr>
                </pic:pic>
              </a:graphicData>
            </a:graphic>
          </wp:anchor>
        </w:drawing>
        <w:drawing>
          <wp:anchor simplePos="0" relativeHeight="251657728" behindDoc="1" locked="0" layoutInCell="0" allowOverlap="1">
            <wp:simplePos x="0" y="0"/>
            <wp:positionH relativeFrom="page">
              <wp:posOffset>233680</wp:posOffset>
            </wp:positionH>
            <wp:positionV relativeFrom="page">
              <wp:posOffset>662940</wp:posOffset>
            </wp:positionV>
            <wp:extent cx="70891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89140" cy="8890"/>
                    </a:xfrm>
                    <a:prstGeom prst="rect">
                      <a:avLst/>
                    </a:prstGeom>
                    <a:noFill/>
                  </pic:spPr>
                </pic:pic>
              </a:graphicData>
            </a:graphic>
          </wp:anchor>
        </w:drawing>
        <w:t>UNITED STATES</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2696845</wp:posOffset>
            </wp:positionH>
            <wp:positionV relativeFrom="paragraph">
              <wp:posOffset>111760</wp:posOffset>
            </wp:positionV>
            <wp:extent cx="175704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57045" cy="8255"/>
                    </a:xfrm>
                    <a:prstGeom prst="rect">
                      <a:avLst/>
                    </a:prstGeom>
                    <a:noFill/>
                  </pic:spPr>
                </pic:pic>
              </a:graphicData>
            </a:graphic>
          </wp:anchor>
        </w:drawing>
      </w:r>
    </w:p>
    <w:p>
      <w:pPr>
        <w:spacing w:after="0" w:line="3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2696845</wp:posOffset>
            </wp:positionH>
            <wp:positionV relativeFrom="paragraph">
              <wp:posOffset>86995</wp:posOffset>
            </wp:positionV>
            <wp:extent cx="175704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57045" cy="8255"/>
                    </a:xfrm>
                    <a:prstGeom prst="rect">
                      <a:avLst/>
                    </a:prstGeom>
                    <a:noFill/>
                  </pic:spPr>
                </pic:pic>
              </a:graphicData>
            </a:graphic>
          </wp:anchor>
        </w:drawing>
      </w:r>
    </w:p>
    <w:p>
      <w:pPr>
        <w:spacing w:after="0" w:line="2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Pursuant to Section 13 OR 15(d) of The Securities Exchange Act of 1934</w:t>
      </w:r>
    </w:p>
    <w:p>
      <w:pPr>
        <w:jc w:val="center"/>
        <w:spacing w:after="0"/>
        <w:rPr>
          <w:sz w:val="20"/>
          <w:szCs w:val="20"/>
          <w:color w:val="auto"/>
        </w:rPr>
      </w:pPr>
      <w:r>
        <w:rPr>
          <w:rFonts w:ascii="Times New Roman" w:cs="Times New Roman" w:eastAsia="Times New Roman" w:hAnsi="Times New Roman"/>
          <w:sz w:val="19"/>
          <w:szCs w:val="19"/>
          <w:color w:val="auto"/>
        </w:rPr>
        <w:t>Date of Report (Date of earliest event reported): December 12,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2696845</wp:posOffset>
            </wp:positionH>
            <wp:positionV relativeFrom="paragraph">
              <wp:posOffset>122555</wp:posOffset>
            </wp:positionV>
            <wp:extent cx="175704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57045" cy="8255"/>
                    </a:xfrm>
                    <a:prstGeom prst="rect">
                      <a:avLst/>
                    </a:prstGeom>
                    <a:noFill/>
                  </pic:spPr>
                </pic:pic>
              </a:graphicData>
            </a:graphic>
          </wp:anchor>
        </w:drawing>
      </w:r>
    </w:p>
    <w:p>
      <w:pPr>
        <w:spacing w:after="0" w:line="2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auto"/>
        </w:rPr>
        <w:t>THE TORO COMPANY</w:t>
      </w:r>
    </w:p>
    <w:p>
      <w:pPr>
        <w:spacing w:after="0" w:line="10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2696845</wp:posOffset>
            </wp:positionH>
            <wp:positionV relativeFrom="paragraph">
              <wp:posOffset>120015</wp:posOffset>
            </wp:positionV>
            <wp:extent cx="175704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57045" cy="8255"/>
                    </a:xfrm>
                    <a:prstGeom prst="rect">
                      <a:avLst/>
                    </a:prstGeom>
                    <a:noFill/>
                  </pic:spPr>
                </pic:pic>
              </a:graphicData>
            </a:graphic>
          </wp:anchor>
        </w:drawing>
      </w:r>
    </w:p>
    <w:p>
      <w:pPr>
        <w:spacing w:after="0" w:line="287" w:lineRule="exact"/>
        <w:rPr>
          <w:sz w:val="24"/>
          <w:szCs w:val="24"/>
          <w:color w:val="auto"/>
        </w:rPr>
      </w:pPr>
    </w:p>
    <w:tbl>
      <w:tblPr>
        <w:tblLayout w:type="fixed"/>
        <w:tblInd w:w="480" w:type="dxa"/>
        <w:tblCellMar>
          <w:top w:w="0" w:type="dxa"/>
          <w:left w:w="0" w:type="dxa"/>
          <w:bottom w:w="0" w:type="dxa"/>
          <w:right w:w="0" w:type="dxa"/>
        </w:tblCellMar>
      </w:tblPr>
      <w:tr>
        <w:trPr>
          <w:trHeight w:val="248"/>
        </w:trPr>
        <w:tc>
          <w:tcPr>
            <w:tcW w:w="3660" w:type="dxa"/>
            <w:vAlign w:val="bottom"/>
          </w:tcPr>
          <w:p>
            <w:pPr>
              <w:jc w:val="center"/>
              <w:ind w:right="407"/>
              <w:spacing w:after="0"/>
              <w:rPr>
                <w:sz w:val="20"/>
                <w:szCs w:val="20"/>
                <w:color w:val="auto"/>
              </w:rPr>
            </w:pPr>
            <w:r>
              <w:rPr>
                <w:rFonts w:ascii="Times New Roman" w:cs="Times New Roman" w:eastAsia="Times New Roman" w:hAnsi="Times New Roman"/>
                <w:sz w:val="19"/>
                <w:szCs w:val="19"/>
                <w:b w:val="1"/>
                <w:bCs w:val="1"/>
                <w:color w:val="auto"/>
                <w:w w:val="98"/>
              </w:rPr>
              <w:t>Delaware</w:t>
            </w:r>
          </w:p>
        </w:tc>
        <w:tc>
          <w:tcPr>
            <w:tcW w:w="3100" w:type="dxa"/>
            <w:vAlign w:val="bottom"/>
          </w:tcPr>
          <w:p>
            <w:pPr>
              <w:jc w:val="right"/>
              <w:ind w:right="1268"/>
              <w:spacing w:after="0"/>
              <w:rPr>
                <w:sz w:val="20"/>
                <w:szCs w:val="20"/>
                <w:color w:val="auto"/>
              </w:rPr>
            </w:pPr>
            <w:r>
              <w:rPr>
                <w:rFonts w:ascii="Times New Roman" w:cs="Times New Roman" w:eastAsia="Times New Roman" w:hAnsi="Times New Roman"/>
                <w:sz w:val="19"/>
                <w:szCs w:val="19"/>
                <w:b w:val="1"/>
                <w:bCs w:val="1"/>
                <w:color w:val="auto"/>
              </w:rPr>
              <w:t>1-8649</w:t>
            </w:r>
          </w:p>
        </w:tc>
        <w:tc>
          <w:tcPr>
            <w:tcW w:w="3240" w:type="dxa"/>
            <w:vAlign w:val="bottom"/>
          </w:tcPr>
          <w:p>
            <w:pPr>
              <w:jc w:val="center"/>
              <w:ind w:left="548"/>
              <w:spacing w:after="0"/>
              <w:rPr>
                <w:sz w:val="20"/>
                <w:szCs w:val="20"/>
                <w:color w:val="auto"/>
              </w:rPr>
            </w:pPr>
            <w:r>
              <w:rPr>
                <w:rFonts w:ascii="Times New Roman" w:cs="Times New Roman" w:eastAsia="Times New Roman" w:hAnsi="Times New Roman"/>
                <w:sz w:val="19"/>
                <w:szCs w:val="19"/>
                <w:b w:val="1"/>
                <w:bCs w:val="1"/>
                <w:color w:val="auto"/>
              </w:rPr>
              <w:t>41-0580470</w:t>
            </w:r>
          </w:p>
        </w:tc>
        <w:tc>
          <w:tcPr>
            <w:tcW w:w="0" w:type="dxa"/>
            <w:vAlign w:val="bottom"/>
          </w:tcPr>
          <w:p>
            <w:pPr>
              <w:spacing w:after="0"/>
              <w:rPr>
                <w:sz w:val="1"/>
                <w:szCs w:val="1"/>
                <w:color w:val="auto"/>
              </w:rPr>
            </w:pPr>
          </w:p>
        </w:tc>
      </w:tr>
      <w:tr>
        <w:trPr>
          <w:trHeight w:val="241"/>
        </w:trPr>
        <w:tc>
          <w:tcPr>
            <w:tcW w:w="3660" w:type="dxa"/>
            <w:vAlign w:val="bottom"/>
          </w:tcPr>
          <w:p>
            <w:pPr>
              <w:jc w:val="center"/>
              <w:ind w:right="407"/>
              <w:spacing w:after="0"/>
              <w:rPr>
                <w:sz w:val="20"/>
                <w:szCs w:val="20"/>
                <w:color w:val="auto"/>
              </w:rPr>
            </w:pPr>
            <w:r>
              <w:rPr>
                <w:rFonts w:ascii="Times New Roman" w:cs="Times New Roman" w:eastAsia="Times New Roman" w:hAnsi="Times New Roman"/>
                <w:sz w:val="18"/>
                <w:szCs w:val="18"/>
                <w:color w:val="auto"/>
                <w:w w:val="99"/>
              </w:rPr>
              <w:t>(State or other jurisdiction of incorporation)</w:t>
            </w:r>
          </w:p>
        </w:tc>
        <w:tc>
          <w:tcPr>
            <w:tcW w:w="3100" w:type="dxa"/>
            <w:vAlign w:val="bottom"/>
          </w:tcPr>
          <w:p>
            <w:pPr>
              <w:jc w:val="center"/>
              <w:ind w:right="48"/>
              <w:spacing w:after="0"/>
              <w:rPr>
                <w:sz w:val="20"/>
                <w:szCs w:val="20"/>
                <w:color w:val="auto"/>
              </w:rPr>
            </w:pPr>
            <w:r>
              <w:rPr>
                <w:rFonts w:ascii="Times New Roman" w:cs="Times New Roman" w:eastAsia="Times New Roman" w:hAnsi="Times New Roman"/>
                <w:sz w:val="18"/>
                <w:szCs w:val="18"/>
                <w:color w:val="auto"/>
              </w:rPr>
              <w:t>(Commission File Number)</w:t>
            </w:r>
          </w:p>
        </w:tc>
        <w:tc>
          <w:tcPr>
            <w:tcW w:w="3240" w:type="dxa"/>
            <w:vAlign w:val="bottom"/>
          </w:tcPr>
          <w:p>
            <w:pPr>
              <w:jc w:val="center"/>
              <w:ind w:left="528"/>
              <w:spacing w:after="0"/>
              <w:rPr>
                <w:sz w:val="20"/>
                <w:szCs w:val="20"/>
                <w:color w:val="auto"/>
              </w:rPr>
            </w:pPr>
            <w:r>
              <w:rPr>
                <w:rFonts w:ascii="Times New Roman" w:cs="Times New Roman" w:eastAsia="Times New Roman" w:hAnsi="Times New Roman"/>
                <w:sz w:val="18"/>
                <w:szCs w:val="18"/>
                <w:color w:val="auto"/>
              </w:rPr>
              <w:t>(I.R.S. Employer Identification No.)</w:t>
            </w:r>
          </w:p>
        </w:tc>
        <w:tc>
          <w:tcPr>
            <w:tcW w:w="0" w:type="dxa"/>
            <w:vAlign w:val="bottom"/>
          </w:tcPr>
          <w:p>
            <w:pPr>
              <w:spacing w:after="0"/>
              <w:rPr>
                <w:sz w:val="1"/>
                <w:szCs w:val="1"/>
                <w:color w:val="auto"/>
              </w:rPr>
            </w:pPr>
          </w:p>
        </w:tc>
      </w:tr>
      <w:tr>
        <w:trPr>
          <w:trHeight w:val="391"/>
        </w:trPr>
        <w:tc>
          <w:tcPr>
            <w:tcW w:w="3660" w:type="dxa"/>
            <w:vAlign w:val="bottom"/>
          </w:tcPr>
          <w:p>
            <w:pPr>
              <w:jc w:val="center"/>
              <w:ind w:right="387"/>
              <w:spacing w:after="0"/>
              <w:rPr>
                <w:sz w:val="20"/>
                <w:szCs w:val="20"/>
                <w:color w:val="auto"/>
              </w:rPr>
            </w:pPr>
            <w:r>
              <w:rPr>
                <w:rFonts w:ascii="Times New Roman" w:cs="Times New Roman" w:eastAsia="Times New Roman" w:hAnsi="Times New Roman"/>
                <w:sz w:val="19"/>
                <w:szCs w:val="19"/>
                <w:b w:val="1"/>
                <w:bCs w:val="1"/>
                <w:color w:val="auto"/>
                <w:w w:val="97"/>
              </w:rPr>
              <w:t>8111 Lyndale Avenue South</w:t>
            </w:r>
          </w:p>
        </w:tc>
        <w:tc>
          <w:tcPr>
            <w:tcW w:w="3100" w:type="dxa"/>
            <w:vAlign w:val="bottom"/>
          </w:tcPr>
          <w:p>
            <w:pPr>
              <w:spacing w:after="0"/>
              <w:rPr>
                <w:sz w:val="24"/>
                <w:szCs w:val="24"/>
                <w:color w:val="auto"/>
              </w:rPr>
            </w:pPr>
          </w:p>
        </w:tc>
        <w:tc>
          <w:tcPr>
            <w:tcW w:w="3240" w:type="dxa"/>
            <w:vAlign w:val="bottom"/>
            <w:vMerge w:val="restart"/>
          </w:tcPr>
          <w:p>
            <w:pPr>
              <w:jc w:val="right"/>
              <w:ind w:right="948"/>
              <w:spacing w:after="0"/>
              <w:rPr>
                <w:sz w:val="20"/>
                <w:szCs w:val="20"/>
                <w:color w:val="auto"/>
              </w:rPr>
            </w:pPr>
            <w:r>
              <w:rPr>
                <w:rFonts w:ascii="Times New Roman" w:cs="Times New Roman" w:eastAsia="Times New Roman" w:hAnsi="Times New Roman"/>
                <w:sz w:val="19"/>
                <w:szCs w:val="19"/>
                <w:b w:val="1"/>
                <w:bCs w:val="1"/>
                <w:color w:val="auto"/>
              </w:rPr>
              <w:t>55420</w:t>
            </w:r>
          </w:p>
        </w:tc>
        <w:tc>
          <w:tcPr>
            <w:tcW w:w="0" w:type="dxa"/>
            <w:vAlign w:val="bottom"/>
          </w:tcPr>
          <w:p>
            <w:pPr>
              <w:spacing w:after="0"/>
              <w:rPr>
                <w:sz w:val="1"/>
                <w:szCs w:val="1"/>
                <w:color w:val="auto"/>
              </w:rPr>
            </w:pPr>
          </w:p>
        </w:tc>
      </w:tr>
      <w:tr>
        <w:trPr>
          <w:trHeight w:val="248"/>
        </w:trPr>
        <w:tc>
          <w:tcPr>
            <w:tcW w:w="3660" w:type="dxa"/>
            <w:vAlign w:val="bottom"/>
          </w:tcPr>
          <w:p>
            <w:pPr>
              <w:jc w:val="center"/>
              <w:ind w:right="387"/>
              <w:spacing w:after="0"/>
              <w:rPr>
                <w:sz w:val="20"/>
                <w:szCs w:val="20"/>
                <w:color w:val="auto"/>
              </w:rPr>
            </w:pPr>
            <w:r>
              <w:rPr>
                <w:rFonts w:ascii="Times New Roman" w:cs="Times New Roman" w:eastAsia="Times New Roman" w:hAnsi="Times New Roman"/>
                <w:sz w:val="19"/>
                <w:szCs w:val="19"/>
                <w:b w:val="1"/>
                <w:bCs w:val="1"/>
                <w:color w:val="auto"/>
                <w:w w:val="99"/>
              </w:rPr>
              <w:t>Bloomington, Minnesota</w:t>
            </w:r>
          </w:p>
        </w:tc>
        <w:tc>
          <w:tcPr>
            <w:tcW w:w="3100" w:type="dxa"/>
            <w:vAlign w:val="bottom"/>
          </w:tcPr>
          <w:p>
            <w:pPr>
              <w:spacing w:after="0"/>
              <w:rPr>
                <w:sz w:val="21"/>
                <w:szCs w:val="21"/>
                <w:color w:val="auto"/>
              </w:rPr>
            </w:pPr>
          </w:p>
        </w:tc>
        <w:tc>
          <w:tcPr>
            <w:tcW w:w="32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3660" w:type="dxa"/>
            <w:vAlign w:val="bottom"/>
          </w:tcPr>
          <w:p>
            <w:pPr>
              <w:jc w:val="center"/>
              <w:ind w:right="387"/>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100" w:type="dxa"/>
            <w:vAlign w:val="bottom"/>
          </w:tcPr>
          <w:p>
            <w:pPr>
              <w:spacing w:after="0"/>
              <w:rPr>
                <w:sz w:val="20"/>
                <w:szCs w:val="20"/>
                <w:color w:val="auto"/>
              </w:rPr>
            </w:pPr>
          </w:p>
        </w:tc>
        <w:tc>
          <w:tcPr>
            <w:tcW w:w="3240" w:type="dxa"/>
            <w:vAlign w:val="bottom"/>
          </w:tcPr>
          <w:p>
            <w:pPr>
              <w:jc w:val="center"/>
              <w:ind w:left="548"/>
              <w:spacing w:after="0"/>
              <w:rPr>
                <w:sz w:val="20"/>
                <w:szCs w:val="20"/>
                <w:color w:val="auto"/>
              </w:rPr>
            </w:pPr>
            <w:r>
              <w:rPr>
                <w:rFonts w:ascii="Times New Roman" w:cs="Times New Roman" w:eastAsia="Times New Roman" w:hAnsi="Times New Roman"/>
                <w:sz w:val="18"/>
                <w:szCs w:val="18"/>
                <w:color w:val="auto"/>
              </w:rPr>
              <w:t>(Zip Code)</w:t>
            </w:r>
          </w:p>
        </w:tc>
        <w:tc>
          <w:tcPr>
            <w:tcW w:w="0" w:type="dxa"/>
            <w:vAlign w:val="bottom"/>
          </w:tcPr>
          <w:p>
            <w:pPr>
              <w:spacing w:after="0"/>
              <w:rPr>
                <w:sz w:val="1"/>
                <w:szCs w:val="1"/>
                <w:color w:val="auto"/>
              </w:rPr>
            </w:pPr>
          </w:p>
        </w:tc>
      </w:tr>
    </w:tbl>
    <w:p>
      <w:pPr>
        <w:spacing w:after="0" w:line="3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color w:val="auto"/>
        </w:rPr>
        <w:t xml:space="preserve">Registrant's telephone number, including area code: </w:t>
      </w:r>
      <w:r>
        <w:rPr>
          <w:rFonts w:ascii="Times New Roman" w:cs="Times New Roman" w:eastAsia="Times New Roman" w:hAnsi="Times New Roman"/>
          <w:sz w:val="19"/>
          <w:szCs w:val="19"/>
          <w:b w:val="1"/>
          <w:bCs w:val="1"/>
          <w:color w:val="auto"/>
        </w:rPr>
        <w:t>(952) 888-8801</w:t>
      </w:r>
    </w:p>
    <w:p>
      <w:pPr>
        <w:spacing w:after="0" w:line="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Not Applicable</w:t>
      </w:r>
    </w:p>
    <w:p>
      <w:pPr>
        <w:spacing w:after="0" w:line="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2696845</wp:posOffset>
            </wp:positionH>
            <wp:positionV relativeFrom="paragraph">
              <wp:posOffset>128905</wp:posOffset>
            </wp:positionV>
            <wp:extent cx="175704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57045" cy="8890"/>
                    </a:xfrm>
                    <a:prstGeom prst="rect">
                      <a:avLst/>
                    </a:prstGeom>
                    <a:noFill/>
                  </pic:spPr>
                </pic:pic>
              </a:graphicData>
            </a:graphic>
          </wp:anchor>
        </w:drawing>
      </w:r>
    </w:p>
    <w:p>
      <w:pPr>
        <w:spacing w:after="0" w:line="200" w:lineRule="exact"/>
        <w:rPr>
          <w:sz w:val="24"/>
          <w:szCs w:val="24"/>
          <w:color w:val="auto"/>
        </w:rPr>
      </w:pPr>
    </w:p>
    <w:p>
      <w:pPr>
        <w:spacing w:after="0" w:line="267" w:lineRule="exact"/>
        <w:rPr>
          <w:sz w:val="24"/>
          <w:szCs w:val="24"/>
          <w:color w:val="auto"/>
        </w:rPr>
      </w:pPr>
    </w:p>
    <w:p>
      <w:pPr>
        <w:spacing w:after="0" w:line="280" w:lineRule="auto"/>
        <w:rPr>
          <w:sz w:val="20"/>
          <w:szCs w:val="20"/>
          <w:color w:val="auto"/>
        </w:rPr>
      </w:pPr>
      <w:r>
        <w:rPr>
          <w:rFonts w:ascii="Times New Roman" w:cs="Times New Roman" w:eastAsia="Times New Roman" w:hAnsi="Times New Roman"/>
          <w:sz w:val="19"/>
          <w:szCs w:val="19"/>
          <w:color w:val="auto"/>
        </w:rPr>
        <w:t>Check the appropriate box below if the Form 8-K filing is intended to simultaneously satisfy the filing obligation of the registrant under any of the following provisions:</w:t>
      </w:r>
    </w:p>
    <w:p>
      <w:pPr>
        <w:spacing w:after="0" w:line="206"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9"/>
          <w:szCs w:val="19"/>
          <w:color w:val="auto"/>
        </w:rPr>
      </w:pPr>
      <w:r>
        <w:rPr>
          <w:rFonts w:ascii="Times New Roman" w:cs="Times New Roman" w:eastAsia="Times New Roman" w:hAnsi="Times New Roman"/>
          <w:sz w:val="19"/>
          <w:szCs w:val="19"/>
          <w:color w:val="auto"/>
        </w:rPr>
        <w:t>Written communications pursuant to Rule 425 under the Securities Act (17 CFR 230.425)</w:t>
      </w:r>
    </w:p>
    <w:p>
      <w:pPr>
        <w:spacing w:after="0" w:line="267" w:lineRule="exact"/>
        <w:rPr>
          <w:rFonts w:ascii="MS PGothic" w:cs="MS PGothic" w:eastAsia="MS PGothic" w:hAnsi="MS PGothic"/>
          <w:sz w:val="19"/>
          <w:szCs w:val="19"/>
          <w:color w:val="auto"/>
        </w:rPr>
      </w:pPr>
    </w:p>
    <w:p>
      <w:pPr>
        <w:ind w:left="380" w:hanging="372"/>
        <w:spacing w:after="0"/>
        <w:tabs>
          <w:tab w:leader="none" w:pos="380" w:val="left"/>
        </w:tabs>
        <w:numPr>
          <w:ilvl w:val="0"/>
          <w:numId w:val="1"/>
        </w:numPr>
        <w:rPr>
          <w:rFonts w:ascii="MS PGothic" w:cs="MS PGothic" w:eastAsia="MS PGothic" w:hAnsi="MS PGothic"/>
          <w:sz w:val="19"/>
          <w:szCs w:val="19"/>
          <w:color w:val="auto"/>
        </w:rPr>
      </w:pPr>
      <w:r>
        <w:rPr>
          <w:rFonts w:ascii="Times New Roman" w:cs="Times New Roman" w:eastAsia="Times New Roman" w:hAnsi="Times New Roman"/>
          <w:sz w:val="19"/>
          <w:szCs w:val="19"/>
          <w:color w:val="auto"/>
        </w:rPr>
        <w:t>Soliciting material pursuant to Rule 14a-12 under the Exchange Act (17 CFR 240.14a-12)</w:t>
      </w:r>
    </w:p>
    <w:p>
      <w:pPr>
        <w:spacing w:after="0" w:line="267" w:lineRule="exact"/>
        <w:rPr>
          <w:rFonts w:ascii="MS PGothic" w:cs="MS PGothic" w:eastAsia="MS PGothic" w:hAnsi="MS PGothic"/>
          <w:sz w:val="19"/>
          <w:szCs w:val="19"/>
          <w:color w:val="auto"/>
        </w:rPr>
      </w:pPr>
    </w:p>
    <w:p>
      <w:pPr>
        <w:ind w:left="380" w:hanging="372"/>
        <w:spacing w:after="0"/>
        <w:tabs>
          <w:tab w:leader="none" w:pos="380" w:val="left"/>
        </w:tabs>
        <w:numPr>
          <w:ilvl w:val="0"/>
          <w:numId w:val="1"/>
        </w:numPr>
        <w:rPr>
          <w:rFonts w:ascii="MS PGothic" w:cs="MS PGothic" w:eastAsia="MS PGothic" w:hAnsi="MS PGothic"/>
          <w:sz w:val="19"/>
          <w:szCs w:val="19"/>
          <w:color w:val="auto"/>
        </w:rPr>
      </w:pPr>
      <w:r>
        <w:rPr>
          <w:rFonts w:ascii="Times New Roman" w:cs="Times New Roman" w:eastAsia="Times New Roman" w:hAnsi="Times New Roman"/>
          <w:sz w:val="19"/>
          <w:szCs w:val="19"/>
          <w:color w:val="auto"/>
        </w:rPr>
        <w:t>Pre-commencement communications pursuant to Rule 14d-2(b) under the Exchange Act (17 CFR 240.14d-2(b))</w:t>
      </w:r>
    </w:p>
    <w:p>
      <w:pPr>
        <w:spacing w:after="0" w:line="254" w:lineRule="exact"/>
        <w:rPr>
          <w:rFonts w:ascii="MS PGothic" w:cs="MS PGothic" w:eastAsia="MS PGothic" w:hAnsi="MS PGothic"/>
          <w:sz w:val="19"/>
          <w:szCs w:val="19"/>
          <w:color w:val="auto"/>
        </w:rPr>
      </w:pPr>
    </w:p>
    <w:p>
      <w:pPr>
        <w:ind w:right="2420" w:firstLine="8"/>
        <w:spacing w:after="0" w:line="466" w:lineRule="auto"/>
        <w:tabs>
          <w:tab w:leader="none" w:pos="364" w:val="left"/>
        </w:tabs>
        <w:numPr>
          <w:ilvl w:val="0"/>
          <w:numId w:val="1"/>
        </w:numPr>
        <w:rPr>
          <w:rFonts w:ascii="MS PGothic" w:cs="MS PGothic" w:eastAsia="MS PGothic" w:hAnsi="MS PGothic"/>
          <w:sz w:val="19"/>
          <w:szCs w:val="19"/>
          <w:color w:val="auto"/>
        </w:rPr>
      </w:pPr>
      <w:r>
        <w:rPr>
          <w:rFonts w:ascii="Times New Roman" w:cs="Times New Roman" w:eastAsia="Times New Roman" w:hAnsi="Times New Roman"/>
          <w:sz w:val="19"/>
          <w:szCs w:val="19"/>
          <w:color w:val="auto"/>
        </w:rPr>
        <w:t>Pre-commencement communications pursuant to Rule 13e-4(c) under the Exchange Act (17 CFR 240.13e-4(c)) Securities registered pursuant to Section 12(b) of the Act:</w:t>
      </w:r>
    </w:p>
    <w:tbl>
      <w:tblPr>
        <w:tblLayout w:type="fixed"/>
        <w:tblInd w:w="50" w:type="dxa"/>
        <w:tblCellMar>
          <w:top w:w="0" w:type="dxa"/>
          <w:left w:w="0" w:type="dxa"/>
          <w:bottom w:w="0" w:type="dxa"/>
          <w:right w:w="0" w:type="dxa"/>
        </w:tblCellMar>
      </w:tblPr>
      <w:tr>
        <w:trPr>
          <w:trHeight w:val="208"/>
        </w:trPr>
        <w:tc>
          <w:tcPr>
            <w:tcW w:w="410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Title of each class</w:t>
            </w:r>
          </w:p>
        </w:tc>
        <w:tc>
          <w:tcPr>
            <w:tcW w:w="30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Trading Symbol(s)</w:t>
            </w:r>
          </w:p>
        </w:tc>
        <w:tc>
          <w:tcPr>
            <w:tcW w:w="40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226"/>
        </w:trPr>
        <w:tc>
          <w:tcPr>
            <w:tcW w:w="41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$1.00 per share</w:t>
            </w:r>
          </w:p>
        </w:tc>
        <w:tc>
          <w:tcPr>
            <w:tcW w:w="3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TTC</w:t>
            </w:r>
          </w:p>
        </w:tc>
        <w:tc>
          <w:tcPr>
            <w:tcW w:w="4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New York Stock Exchange</w:t>
            </w:r>
          </w:p>
        </w:tc>
      </w:tr>
    </w:tbl>
    <w:p>
      <w:pPr>
        <w:spacing w:after="0" w:line="298" w:lineRule="exact"/>
        <w:rPr>
          <w:sz w:val="24"/>
          <w:szCs w:val="24"/>
          <w:color w:val="auto"/>
        </w:rPr>
      </w:pPr>
    </w:p>
    <w:p>
      <w:pPr>
        <w:jc w:val="both"/>
        <w:spacing w:after="0" w:line="280" w:lineRule="auto"/>
        <w:rPr>
          <w:sz w:val="20"/>
          <w:szCs w:val="20"/>
          <w:color w:val="auto"/>
        </w:rPr>
      </w:pPr>
      <w:r>
        <w:rPr>
          <w:rFonts w:ascii="Times New Roman" w:cs="Times New Roman" w:eastAsia="Times New Roman" w:hAnsi="Times New Roman"/>
          <w:sz w:val="19"/>
          <w:szCs w:val="19"/>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3" w:lineRule="exact"/>
        <w:rPr>
          <w:sz w:val="24"/>
          <w:szCs w:val="24"/>
          <w:color w:val="auto"/>
        </w:rPr>
      </w:pPr>
    </w:p>
    <w:p>
      <w:pPr>
        <w:ind w:left="896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309" w:lineRule="exact"/>
        <w:rPr>
          <w:sz w:val="24"/>
          <w:szCs w:val="24"/>
          <w:color w:val="auto"/>
        </w:rPr>
      </w:pPr>
    </w:p>
    <w:p>
      <w:pPr>
        <w:jc w:val="both"/>
        <w:spacing w:after="0" w:line="259" w:lineRule="exact"/>
        <w:rPr>
          <w:sz w:val="20"/>
          <w:szCs w:val="20"/>
          <w:color w:val="auto"/>
        </w:rPr>
      </w:pPr>
      <w:r>
        <w:rPr>
          <w:rFonts w:ascii="Times New Roman" w:cs="Times New Roman" w:eastAsia="Times New Roman" w:hAnsi="Times New Roman"/>
          <w:sz w:val="19"/>
          <w:szCs w:val="19"/>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704215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91440</wp:posOffset>
            </wp:positionV>
            <wp:extent cx="70891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89140" cy="825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57150</wp:posOffset>
            </wp:positionV>
            <wp:extent cx="708914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ectPr>
          <w:pgSz w:w="11900" w:h="16838" w:orient="portrait"/>
          <w:cols w:equalWidth="0" w:num="1">
            <w:col w:w="11240"/>
          </w:cols>
          <w:pgMar w:left="320" w:top="1181" w:right="339" w:bottom="1440" w:gutter="0" w:footer="0" w:header="0"/>
        </w:sectPr>
      </w:pPr>
    </w:p>
    <w:bookmarkStart w:id="1" w:name="page2"/>
    <w:bookmarkEnd w:id="1"/>
    <w:p>
      <w:pPr>
        <w:ind w:right="700"/>
        <w:spacing w:after="0" w:line="273" w:lineRule="auto"/>
        <w:rPr>
          <w:sz w:val="20"/>
          <w:szCs w:val="20"/>
          <w:color w:val="auto"/>
        </w:rPr>
      </w:pPr>
      <w:r>
        <w:rPr>
          <w:rFonts w:ascii="Times New Roman" w:cs="Times New Roman" w:eastAsia="Times New Roman" w:hAnsi="Times New Roman"/>
          <w:sz w:val="20"/>
          <w:szCs w:val="20"/>
          <w:b w:val="1"/>
          <w:bCs w:val="1"/>
          <w:color w:val="auto"/>
        </w:rPr>
        <w:t>Item 5.02 Departure of Directors or Certain Officers; Election of Directors; Appointment of Certain Officers; Compensatory Arrangements of Certain Officers.</w:t>
      </w:r>
    </w:p>
    <w:p>
      <w:pPr>
        <w:spacing w:after="0" w:line="183" w:lineRule="exact"/>
        <w:rPr>
          <w:sz w:val="20"/>
          <w:szCs w:val="20"/>
          <w:color w:val="auto"/>
        </w:rPr>
      </w:pPr>
    </w:p>
    <w:p>
      <w:pPr>
        <w:ind w:right="160"/>
        <w:spacing w:after="0" w:line="247" w:lineRule="auto"/>
        <w:rPr>
          <w:sz w:val="20"/>
          <w:szCs w:val="20"/>
          <w:color w:val="auto"/>
        </w:rPr>
      </w:pPr>
      <w:r>
        <w:rPr>
          <w:rFonts w:ascii="Times New Roman" w:cs="Times New Roman" w:eastAsia="Times New Roman" w:hAnsi="Times New Roman"/>
          <w:sz w:val="20"/>
          <w:szCs w:val="20"/>
          <w:color w:val="auto"/>
        </w:rPr>
        <w:t>On December 12, 2023, the Board of Directors (the “Board”) of The Toro Company (“TTC”) increased the number of directors constituting the Board from nine to ten and elected Dianne C. Craig to the Board and to the Audit Committee and Finance Committee of the Board, effective January 1, 2024.</w:t>
      </w:r>
    </w:p>
    <w:p>
      <w:pPr>
        <w:spacing w:after="0" w:line="194" w:lineRule="exact"/>
        <w:rPr>
          <w:sz w:val="20"/>
          <w:szCs w:val="20"/>
          <w:color w:val="auto"/>
        </w:rPr>
      </w:pPr>
    </w:p>
    <w:p>
      <w:pPr>
        <w:ind w:right="320"/>
        <w:spacing w:after="0" w:line="247" w:lineRule="auto"/>
        <w:rPr>
          <w:sz w:val="20"/>
          <w:szCs w:val="20"/>
          <w:color w:val="auto"/>
        </w:rPr>
      </w:pPr>
      <w:r>
        <w:rPr>
          <w:rFonts w:ascii="Times New Roman" w:cs="Times New Roman" w:eastAsia="Times New Roman" w:hAnsi="Times New Roman"/>
          <w:sz w:val="20"/>
          <w:szCs w:val="20"/>
          <w:color w:val="auto"/>
        </w:rPr>
        <w:t>In her capacity as a non-employee director, Ms. Craig will receive customary non-employee directors compensation pursuant to plans and policies applicable to non-employee members of the Board, as described in TTC’s definitive proxy statement for its most recent Annual Meeting of Shareholders held on March 21, 2023.</w:t>
      </w:r>
    </w:p>
    <w:p>
      <w:pPr>
        <w:spacing w:after="0" w:line="194" w:lineRule="exact"/>
        <w:rPr>
          <w:sz w:val="20"/>
          <w:szCs w:val="20"/>
          <w:color w:val="auto"/>
        </w:rPr>
      </w:pPr>
    </w:p>
    <w:p>
      <w:pPr>
        <w:jc w:val="both"/>
        <w:ind w:right="260"/>
        <w:spacing w:after="0" w:line="247" w:lineRule="auto"/>
        <w:rPr>
          <w:sz w:val="20"/>
          <w:szCs w:val="20"/>
          <w:color w:val="auto"/>
        </w:rPr>
      </w:pPr>
      <w:r>
        <w:rPr>
          <w:rFonts w:ascii="Times New Roman" w:cs="Times New Roman" w:eastAsia="Times New Roman" w:hAnsi="Times New Roman"/>
          <w:sz w:val="20"/>
          <w:szCs w:val="20"/>
          <w:color w:val="auto"/>
        </w:rPr>
        <w:t>There are no arrangements or understandings between Ms. Craig and any other person pursuant to which she was selected as a director of TTC, and there have been no transactions since the beginning of TTC’s last fiscal year, or are currently proposed, regarding Ms. Craig that are required to be disclosed by Item 404(a) of Regulation S-K.</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Attached to this Current Report on Form 8-K as Exhibit 99.1 is the press release announcing the election of Ms. Craig to the Board.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9.01 Financial Statements and Exhibits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2380" w:type="dxa"/>
            <w:vAlign w:val="bottom"/>
          </w:tcPr>
          <w:p>
            <w:pPr>
              <w:spacing w:after="0"/>
              <w:rPr>
                <w:sz w:val="20"/>
                <w:szCs w:val="20"/>
                <w:color w:val="auto"/>
              </w:rPr>
            </w:pPr>
            <w:r>
              <w:rPr>
                <w:rFonts w:ascii="Times New Roman" w:cs="Times New Roman" w:eastAsia="Times New Roman" w:hAnsi="Times New Roman"/>
                <w:sz w:val="20"/>
                <w:szCs w:val="20"/>
                <w:color w:val="auto"/>
              </w:rPr>
              <w:t>(d)  Exhibits.</w:t>
            </w:r>
          </w:p>
        </w:tc>
        <w:tc>
          <w:tcPr>
            <w:tcW w:w="3100" w:type="dxa"/>
            <w:vAlign w:val="bottom"/>
          </w:tcPr>
          <w:p>
            <w:pPr>
              <w:spacing w:after="0"/>
              <w:rPr>
                <w:sz w:val="22"/>
                <w:szCs w:val="22"/>
                <w:color w:val="auto"/>
              </w:rPr>
            </w:pPr>
          </w:p>
        </w:tc>
        <w:tc>
          <w:tcPr>
            <w:tcW w:w="5760" w:type="dxa"/>
            <w:vAlign w:val="bottom"/>
          </w:tcPr>
          <w:p>
            <w:pPr>
              <w:spacing w:after="0"/>
              <w:rPr>
                <w:sz w:val="22"/>
                <w:szCs w:val="22"/>
                <w:color w:val="auto"/>
              </w:rPr>
            </w:pPr>
          </w:p>
        </w:tc>
      </w:tr>
      <w:tr>
        <w:trPr>
          <w:trHeight w:val="484"/>
        </w:trPr>
        <w:tc>
          <w:tcPr>
            <w:tcW w:w="2380" w:type="dxa"/>
            <w:vAlign w:val="bottom"/>
          </w:tcPr>
          <w:p>
            <w:pPr>
              <w:ind w:left="220"/>
              <w:spacing w:after="0"/>
              <w:rPr>
                <w:sz w:val="20"/>
                <w:szCs w:val="20"/>
                <w:color w:val="auto"/>
              </w:rPr>
            </w:pPr>
            <w:r>
              <w:rPr>
                <w:rFonts w:ascii="Times New Roman" w:cs="Times New Roman" w:eastAsia="Times New Roman" w:hAnsi="Times New Roman"/>
                <w:sz w:val="20"/>
                <w:szCs w:val="20"/>
                <w:b w:val="1"/>
                <w:bCs w:val="1"/>
                <w:color w:val="auto"/>
              </w:rPr>
              <w:t>Exhibit No.</w:t>
            </w:r>
          </w:p>
        </w:tc>
        <w:tc>
          <w:tcPr>
            <w:tcW w:w="886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Description</w:t>
            </w:r>
          </w:p>
        </w:tc>
      </w:tr>
      <w:tr>
        <w:trPr>
          <w:trHeight w:val="212"/>
        </w:trPr>
        <w:tc>
          <w:tcPr>
            <w:tcW w:w="2380" w:type="dxa"/>
            <w:vAlign w:val="bottom"/>
          </w:tcPr>
          <w:p>
            <w:pPr>
              <w:ind w:left="220"/>
              <w:spacing w:after="0" w:line="212" w:lineRule="exact"/>
              <w:rPr>
                <w:sz w:val="20"/>
                <w:szCs w:val="20"/>
                <w:color w:val="auto"/>
              </w:rPr>
            </w:pPr>
            <w:r>
              <w:rPr>
                <w:rFonts w:ascii="Times New Roman" w:cs="Times New Roman" w:eastAsia="Times New Roman" w:hAnsi="Times New Roman"/>
                <w:sz w:val="20"/>
                <w:szCs w:val="20"/>
                <w:color w:val="auto"/>
              </w:rPr>
              <w:t>99.1</w:t>
            </w:r>
          </w:p>
        </w:tc>
        <w:tc>
          <w:tcPr>
            <w:tcW w:w="8860" w:type="dxa"/>
            <w:vAlign w:val="bottom"/>
            <w:gridSpan w:val="2"/>
          </w:tcPr>
          <w:p>
            <w:pPr>
              <w:spacing w:after="0" w:line="212" w:lineRule="exact"/>
              <w:rPr>
                <w:sz w:val="20"/>
                <w:szCs w:val="20"/>
                <w:color w:val="auto"/>
              </w:rPr>
            </w:pPr>
            <w:r>
              <w:rPr>
                <w:rFonts w:ascii="Times New Roman" w:cs="Times New Roman" w:eastAsia="Times New Roman" w:hAnsi="Times New Roman"/>
                <w:sz w:val="20"/>
                <w:szCs w:val="20"/>
                <w:color w:val="0000FF"/>
              </w:rPr>
              <w:t>Press release dated December 12, 2023</w:t>
            </w:r>
          </w:p>
        </w:tc>
      </w:tr>
      <w:tr>
        <w:trPr>
          <w:trHeight w:val="20"/>
        </w:trPr>
        <w:tc>
          <w:tcPr>
            <w:tcW w:w="2380" w:type="dxa"/>
            <w:vAlign w:val="bottom"/>
          </w:tcPr>
          <w:p>
            <w:pPr>
              <w:spacing w:after="0" w:line="20" w:lineRule="exact"/>
              <w:rPr>
                <w:sz w:val="1"/>
                <w:szCs w:val="1"/>
                <w:color w:val="auto"/>
              </w:rPr>
            </w:pPr>
          </w:p>
        </w:tc>
        <w:tc>
          <w:tcPr>
            <w:tcW w:w="3100" w:type="dxa"/>
            <w:vAlign w:val="bottom"/>
            <w:shd w:val="clear" w:color="auto" w:fill="0000FF"/>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r>
      <w:tr>
        <w:trPr>
          <w:trHeight w:val="283"/>
        </w:trPr>
        <w:tc>
          <w:tcPr>
            <w:tcW w:w="238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104</w:t>
            </w:r>
          </w:p>
        </w:tc>
        <w:tc>
          <w:tcPr>
            <w:tcW w:w="88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Cover Page Interactive Data File (embedded within the Inline XBRL document).</w:t>
            </w:r>
          </w:p>
        </w:tc>
      </w:tr>
      <w:tr>
        <w:trPr>
          <w:trHeight w:val="1473"/>
        </w:trPr>
        <w:tc>
          <w:tcPr>
            <w:tcW w:w="2380" w:type="dxa"/>
            <w:vAlign w:val="bottom"/>
            <w:tcBorders>
              <w:bottom w:val="single" w:sz="8" w:color="9A9A9A"/>
            </w:tcBorders>
          </w:tcPr>
          <w:p>
            <w:pPr>
              <w:spacing w:after="0"/>
              <w:rPr>
                <w:sz w:val="24"/>
                <w:szCs w:val="24"/>
                <w:color w:val="auto"/>
              </w:rPr>
            </w:pPr>
          </w:p>
        </w:tc>
        <w:tc>
          <w:tcPr>
            <w:tcW w:w="3100" w:type="dxa"/>
            <w:vAlign w:val="bottom"/>
            <w:tcBorders>
              <w:bottom w:val="single" w:sz="8" w:color="9A9A9A"/>
            </w:tcBorders>
          </w:tcPr>
          <w:p>
            <w:pPr>
              <w:spacing w:after="0"/>
              <w:rPr>
                <w:sz w:val="24"/>
                <w:szCs w:val="24"/>
                <w:color w:val="auto"/>
              </w:rPr>
            </w:pPr>
          </w:p>
        </w:tc>
        <w:tc>
          <w:tcPr>
            <w:tcW w:w="57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2" w:name="page3"/>
    <w:bookmarkEnd w:id="2"/>
    <w:p>
      <w:pPr>
        <w:jc w:val="center"/>
        <w:ind w:right="-239"/>
        <w:spacing w:after="0"/>
        <w:rPr>
          <w:sz w:val="20"/>
          <w:szCs w:val="20"/>
          <w:color w:val="auto"/>
        </w:rPr>
      </w:pPr>
      <w:r>
        <w:rPr>
          <w:rFonts w:ascii="Times New Roman" w:cs="Times New Roman" w:eastAsia="Times New Roman" w:hAnsi="Times New Roman"/>
          <w:sz w:val="20"/>
          <w:szCs w:val="20"/>
          <w:color w:val="auto"/>
        </w:rPr>
        <w:t>SIGNATURES</w:t>
      </w:r>
    </w:p>
    <w:p>
      <w:pPr>
        <w:spacing w:after="0" w:line="256"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the registrant has duly caused this report to be signed on its behalf by the undersigned hereunto duly authorized.</w:t>
      </w:r>
    </w:p>
    <w:p>
      <w:pPr>
        <w:spacing w:after="0" w:line="240"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20"/>
          <w:szCs w:val="20"/>
          <w:color w:val="auto"/>
        </w:rPr>
        <w:t>THE TORO COMPANY</w:t>
      </w:r>
    </w:p>
    <w:p>
      <w:pPr>
        <w:spacing w:after="0" w:line="28"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20"/>
          <w:szCs w:val="20"/>
          <w:color w:val="auto"/>
        </w:rPr>
        <w:t>(Registrant)</w:t>
      </w:r>
    </w:p>
    <w:p>
      <w:pPr>
        <w:spacing w:after="0" w:line="295" w:lineRule="exact"/>
        <w:rPr>
          <w:sz w:val="20"/>
          <w:szCs w:val="20"/>
          <w:color w:val="auto"/>
        </w:rPr>
      </w:pPr>
    </w:p>
    <w:p>
      <w:pPr>
        <w:ind w:left="360"/>
        <w:spacing w:after="0"/>
        <w:tabs>
          <w:tab w:leader="none" w:pos="4660" w:val="left"/>
        </w:tabs>
        <w:rPr>
          <w:sz w:val="20"/>
          <w:szCs w:val="20"/>
          <w:color w:val="auto"/>
        </w:rPr>
      </w:pPr>
      <w:r>
        <w:rPr>
          <w:rFonts w:ascii="Times New Roman" w:cs="Times New Roman" w:eastAsia="Times New Roman" w:hAnsi="Times New Roman"/>
          <w:sz w:val="20"/>
          <w:szCs w:val="20"/>
          <w:color w:val="auto"/>
        </w:rPr>
        <w:t>Date: December 12, 2023</w:t>
      </w:r>
      <w:r>
        <w:rPr>
          <w:sz w:val="20"/>
          <w:szCs w:val="20"/>
          <w:color w:val="auto"/>
        </w:rPr>
        <w:tab/>
      </w:r>
      <w:r>
        <w:rPr>
          <w:rFonts w:ascii="Times New Roman" w:cs="Times New Roman" w:eastAsia="Times New Roman" w:hAnsi="Times New Roman"/>
          <w:sz w:val="19"/>
          <w:szCs w:val="19"/>
          <w:color w:val="auto"/>
        </w:rPr>
        <w:t>/s/ Joanna M. Totsky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2962275</wp:posOffset>
            </wp:positionH>
            <wp:positionV relativeFrom="paragraph">
              <wp:posOffset>22860</wp:posOffset>
            </wp:positionV>
            <wp:extent cx="396875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968750" cy="8255"/>
                    </a:xfrm>
                    <a:prstGeom prst="rect">
                      <a:avLst/>
                    </a:prstGeom>
                    <a:noFill/>
                  </pic:spPr>
                </pic:pic>
              </a:graphicData>
            </a:graphic>
          </wp:anchor>
        </w:drawing>
      </w:r>
    </w:p>
    <w:p>
      <w:pPr>
        <w:spacing w:after="0" w:line="20"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20"/>
          <w:szCs w:val="20"/>
          <w:color w:val="auto"/>
        </w:rPr>
        <w:t>Joanna M. Totsky</w:t>
      </w:r>
    </w:p>
    <w:p>
      <w:pPr>
        <w:spacing w:after="0" w:line="28"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20"/>
          <w:szCs w:val="20"/>
          <w:color w:val="auto"/>
        </w:rPr>
        <w:t>Vice President, General Counsel and Corporate Secretary</w:t>
      </w:r>
    </w:p>
    <w:p>
      <w:pPr>
        <w:sectPr>
          <w:pgSz w:w="11900" w:h="16838" w:orient="portrait"/>
          <w:cols w:equalWidth="0" w:num="1">
            <w:col w:w="11020"/>
          </w:cols>
          <w:pgMar w:left="320" w:top="886" w:right="55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1220470</wp:posOffset>
            </wp:positionV>
            <wp:extent cx="2468880" cy="6597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2468880" cy="659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Jeremy Steffan</w:t>
      </w:r>
    </w:p>
    <w:p>
      <w:pPr>
        <w:spacing w:after="0" w:line="219" w:lineRule="auto"/>
        <w:rPr>
          <w:sz w:val="20"/>
          <w:szCs w:val="20"/>
          <w:color w:val="auto"/>
        </w:rPr>
      </w:pPr>
      <w:r>
        <w:rPr>
          <w:rFonts w:ascii="Arial" w:cs="Arial" w:eastAsia="Arial" w:hAnsi="Arial"/>
          <w:sz w:val="18"/>
          <w:szCs w:val="18"/>
          <w:color w:val="auto"/>
        </w:rPr>
        <w:t>Director, Investor Relations</w:t>
      </w:r>
    </w:p>
    <w:p>
      <w:pPr>
        <w:spacing w:after="0"/>
        <w:rPr>
          <w:sz w:val="20"/>
          <w:szCs w:val="20"/>
          <w:color w:val="auto"/>
        </w:rPr>
      </w:pPr>
      <w:r>
        <w:rPr>
          <w:rFonts w:ascii="Arial" w:cs="Arial" w:eastAsia="Arial" w:hAnsi="Arial"/>
          <w:sz w:val="18"/>
          <w:szCs w:val="18"/>
          <w:color w:val="auto"/>
        </w:rPr>
        <w:t xml:space="preserve">(952) 887-7962, </w:t>
      </w:r>
      <w:r>
        <w:rPr>
          <w:rFonts w:ascii="Arial" w:cs="Arial" w:eastAsia="Arial" w:hAnsi="Arial"/>
          <w:sz w:val="18"/>
          <w:szCs w:val="18"/>
          <w:color w:val="0563C1"/>
        </w:rPr>
        <w:t>jeremy.steffan@toro.com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Branden Happel</w:t>
      </w:r>
    </w:p>
    <w:p>
      <w:pPr>
        <w:spacing w:after="0" w:line="234" w:lineRule="auto"/>
        <w:rPr>
          <w:sz w:val="20"/>
          <w:szCs w:val="20"/>
          <w:color w:val="auto"/>
        </w:rPr>
      </w:pPr>
      <w:r>
        <w:rPr>
          <w:rFonts w:ascii="Arial" w:cs="Arial" w:eastAsia="Arial" w:hAnsi="Arial"/>
          <w:sz w:val="18"/>
          <w:szCs w:val="18"/>
          <w:color w:val="auto"/>
        </w:rPr>
        <w:t>Senior Manager, Public Relations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(952) 887-8930, </w:t>
      </w:r>
      <w:r>
        <w:rPr>
          <w:rFonts w:ascii="Arial" w:cs="Arial" w:eastAsia="Arial" w:hAnsi="Arial"/>
          <w:sz w:val="18"/>
          <w:szCs w:val="18"/>
          <w:color w:val="0563C1"/>
        </w:rPr>
        <w:t>branden.happel@toro.com</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For Immediate Release</w:t>
      </w: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The Toro Company Elects Dianne Craig to Board of Directors</w:t>
      </w:r>
    </w:p>
    <w:p>
      <w:pPr>
        <w:spacing w:after="0" w:line="235" w:lineRule="exact"/>
        <w:rPr>
          <w:sz w:val="20"/>
          <w:szCs w:val="20"/>
          <w:color w:val="auto"/>
        </w:rPr>
      </w:pPr>
    </w:p>
    <w:p>
      <w:pPr>
        <w:ind w:right="320"/>
        <w:spacing w:after="0" w:line="259" w:lineRule="auto"/>
        <w:rPr>
          <w:sz w:val="20"/>
          <w:szCs w:val="20"/>
          <w:color w:val="auto"/>
        </w:rPr>
      </w:pPr>
      <w:r>
        <w:rPr>
          <w:rFonts w:ascii="Arial" w:cs="Arial" w:eastAsia="Arial" w:hAnsi="Arial"/>
          <w:sz w:val="22"/>
          <w:szCs w:val="22"/>
          <w:color w:val="auto"/>
        </w:rPr>
        <w:t>BLOOMINGTON, Minn. (December 12, 2023) – The Toro Company (NYSE: TTC) today announced the election of Dianne Craig to its Board of Directors, effective January 1, 2024.</w:t>
      </w:r>
    </w:p>
    <w:p>
      <w:pPr>
        <w:spacing w:after="0" w:line="183" w:lineRule="exact"/>
        <w:rPr>
          <w:sz w:val="20"/>
          <w:szCs w:val="20"/>
          <w:color w:val="auto"/>
        </w:rPr>
      </w:pPr>
    </w:p>
    <w:p>
      <w:pPr>
        <w:ind w:right="100"/>
        <w:spacing w:after="0" w:line="234" w:lineRule="auto"/>
        <w:rPr>
          <w:sz w:val="20"/>
          <w:szCs w:val="20"/>
          <w:color w:val="auto"/>
        </w:rPr>
      </w:pPr>
      <w:r>
        <w:rPr>
          <w:rFonts w:ascii="Arial" w:cs="Arial" w:eastAsia="Arial" w:hAnsi="Arial"/>
          <w:sz w:val="22"/>
          <w:szCs w:val="22"/>
          <w:color w:val="auto"/>
        </w:rPr>
        <w:t>“We are very pleased to have Dianne join The Toro Company’s board as a proven leader with a diverse range of executive leadership achievements,” said Richard Olson, chairman and chief executive officer of The Toro Company. “Dianne’s experience complements the depth and breadth already represented on our board. Her extensive background in operational execution, channel strategy and delivering best-in-class marketing solutions will be a strong asset as we continue to advance our strategic vision and corporate governance principles for the long-term benefit of our customers, shareholders and business partners.”</w:t>
      </w:r>
    </w:p>
    <w:p>
      <w:pPr>
        <w:spacing w:after="0" w:line="208" w:lineRule="exact"/>
        <w:rPr>
          <w:sz w:val="20"/>
          <w:szCs w:val="20"/>
          <w:color w:val="auto"/>
        </w:rPr>
      </w:pPr>
    </w:p>
    <w:p>
      <w:pPr>
        <w:spacing w:after="0"/>
        <w:rPr>
          <w:sz w:val="20"/>
          <w:szCs w:val="20"/>
          <w:color w:val="auto"/>
        </w:rPr>
      </w:pPr>
      <w:r>
        <w:rPr>
          <w:rFonts w:ascii="Arial" w:cs="Arial" w:eastAsia="Arial" w:hAnsi="Arial"/>
          <w:sz w:val="21"/>
          <w:szCs w:val="21"/>
          <w:color w:val="auto"/>
        </w:rPr>
        <w:t>Dianne Craig, 59, currently serves as president of Lincoln, the luxury vehicle division of Ford Motor Company (NYSE:</w:t>
      </w:r>
    </w:p>
    <w:p>
      <w:pPr>
        <w:spacing w:after="0" w:line="22" w:lineRule="exact"/>
        <w:rPr>
          <w:sz w:val="20"/>
          <w:szCs w:val="20"/>
          <w:color w:val="auto"/>
        </w:rPr>
      </w:pPr>
    </w:p>
    <w:p>
      <w:pPr>
        <w:ind w:firstLine="8"/>
        <w:spacing w:after="0" w:line="234" w:lineRule="auto"/>
        <w:tabs>
          <w:tab w:leader="none" w:pos="264" w:val="left"/>
        </w:tabs>
        <w:numPr>
          <w:ilvl w:val="0"/>
          <w:numId w:val="2"/>
        </w:numPr>
        <w:rPr>
          <w:rFonts w:ascii="Arial" w:cs="Arial" w:eastAsia="Arial" w:hAnsi="Arial"/>
          <w:sz w:val="22"/>
          <w:szCs w:val="22"/>
          <w:color w:val="auto"/>
        </w:rPr>
      </w:pPr>
      <w:r>
        <w:rPr>
          <w:rFonts w:ascii="Arial" w:cs="Arial" w:eastAsia="Arial" w:hAnsi="Arial"/>
          <w:sz w:val="22"/>
          <w:szCs w:val="22"/>
          <w:color w:val="auto"/>
        </w:rPr>
        <w:t>based in Dearborn, Michigan. Throughout her 30-year career in the automotive industry, she has held several leadership roles of increasing responsibility. She was president of the International Markets Group, Ford Blue, leading business operations for dealer and distributor markets in over 100 countries, and prior to that she served as chief executive officer at Ford Direct and chief executive officer of Ford Motor Company of Canada. Craig received a Bachelor of Science in mathematics from State University of New York at Fredonia.</w:t>
      </w: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The Toro Company</w:t>
      </w:r>
    </w:p>
    <w:p>
      <w:pPr>
        <w:ind w:right="140"/>
        <w:spacing w:after="0" w:line="252" w:lineRule="auto"/>
        <w:rPr>
          <w:sz w:val="20"/>
          <w:szCs w:val="20"/>
          <w:color w:val="auto"/>
        </w:rPr>
      </w:pPr>
      <w:r>
        <w:rPr>
          <w:rFonts w:ascii="Arial" w:cs="Arial" w:eastAsia="Arial" w:hAnsi="Arial"/>
          <w:sz w:val="21"/>
          <w:szCs w:val="21"/>
          <w:color w:val="auto"/>
        </w:rPr>
        <w:t xml:space="preserve">The Toro Company </w:t>
      </w:r>
      <w:r>
        <w:rPr>
          <w:rFonts w:ascii="Arial" w:cs="Arial" w:eastAsia="Arial" w:hAnsi="Arial"/>
          <w:sz w:val="21"/>
          <w:szCs w:val="21"/>
          <w:color w:val="0A0A0A"/>
        </w:rPr>
        <w:t>(NYSE: TTC) is a leading worldwide provider of innovative solutions for the outdoor environment</w:t>
      </w:r>
      <w:r>
        <w:rPr>
          <w:rFonts w:ascii="Arial" w:cs="Arial" w:eastAsia="Arial" w:hAnsi="Arial"/>
          <w:sz w:val="21"/>
          <w:szCs w:val="21"/>
          <w:color w:val="auto"/>
        </w:rPr>
        <w:t xml:space="preserve"> </w:t>
      </w:r>
      <w:r>
        <w:rPr>
          <w:rFonts w:ascii="Arial" w:cs="Arial" w:eastAsia="Arial" w:hAnsi="Arial"/>
          <w:sz w:val="21"/>
          <w:szCs w:val="21"/>
          <w:color w:val="0A0A0A"/>
        </w:rPr>
        <w:t xml:space="preserve">including turf and landscape maintenance, snow and ice management, underground utility construction, rental and specialty construction, and irrigation and outdoor lighting solutions. With net sales of </w:t>
      </w:r>
      <w:r>
        <w:rPr>
          <w:rFonts w:ascii="Arial" w:cs="Arial" w:eastAsia="Arial" w:hAnsi="Arial"/>
          <w:sz w:val="21"/>
          <w:szCs w:val="21"/>
          <w:color w:val="000000"/>
        </w:rPr>
        <w:t>$4.5 billion</w:t>
      </w:r>
      <w:r>
        <w:rPr>
          <w:rFonts w:ascii="Arial" w:cs="Arial" w:eastAsia="Arial" w:hAnsi="Arial"/>
          <w:sz w:val="21"/>
          <w:szCs w:val="21"/>
          <w:color w:val="0A0A0A"/>
        </w:rPr>
        <w:t xml:space="preserve"> in fiscal 2022, The</w:t>
      </w:r>
    </w:p>
    <w:p>
      <w:pPr>
        <w:sectPr>
          <w:pgSz w:w="11900" w:h="16838" w:orient="portrait"/>
          <w:cols w:equalWidth="0" w:num="1">
            <w:col w:w="11220"/>
          </w:cols>
          <w:pgMar w:left="320" w:top="1440" w:right="359" w:bottom="1440" w:gutter="0" w:footer="0" w:header="0"/>
        </w:sectPr>
      </w:pPr>
    </w:p>
    <w:bookmarkStart w:id="4" w:name="page5"/>
    <w:bookmarkEnd w:id="4"/>
    <w:p>
      <w:pPr>
        <w:spacing w:after="0" w:line="234" w:lineRule="auto"/>
        <w:rPr>
          <w:sz w:val="20"/>
          <w:szCs w:val="20"/>
          <w:color w:val="auto"/>
        </w:rPr>
      </w:pPr>
      <w:r>
        <w:rPr>
          <w:rFonts w:ascii="Arial" w:cs="Arial" w:eastAsia="Arial" w:hAnsi="Arial"/>
          <w:sz w:val="22"/>
          <w:szCs w:val="22"/>
          <w:color w:val="0A0A0A"/>
        </w:rPr>
        <w:t xml:space="preserve">Toro Company’s global presence extends to more than 125 countries through a family of brands that includes Toro, Ditch Witch, </w:t>
      </w:r>
      <w:r>
        <w:rPr>
          <w:rFonts w:ascii="Arial" w:cs="Arial" w:eastAsia="Arial" w:hAnsi="Arial"/>
          <w:sz w:val="22"/>
          <w:szCs w:val="22"/>
          <w:color w:val="000000"/>
        </w:rPr>
        <w:t>Exmark</w:t>
      </w:r>
      <w:r>
        <w:rPr>
          <w:rFonts w:ascii="Arial" w:cs="Arial" w:eastAsia="Arial" w:hAnsi="Arial"/>
          <w:sz w:val="22"/>
          <w:szCs w:val="22"/>
          <w:color w:val="0A0A0A"/>
        </w:rPr>
        <w:t xml:space="preserve">, Spartan Mowers, BOSS Snowplow, Ventrac, American Augers, Trencor, Pope, </w:t>
      </w:r>
      <w:r>
        <w:rPr>
          <w:rFonts w:ascii="Arial" w:cs="Arial" w:eastAsia="Arial" w:hAnsi="Arial"/>
          <w:sz w:val="22"/>
          <w:szCs w:val="22"/>
          <w:color w:val="000000"/>
        </w:rPr>
        <w:t>Subsite</w:t>
      </w:r>
      <w:r>
        <w:rPr>
          <w:rFonts w:ascii="Arial" w:cs="Arial" w:eastAsia="Arial" w:hAnsi="Arial"/>
          <w:sz w:val="22"/>
          <w:szCs w:val="22"/>
          <w:color w:val="0A0A0A"/>
        </w:rPr>
        <w:t xml:space="preserve"> </w:t>
      </w:r>
      <w:r>
        <w:rPr>
          <w:rFonts w:ascii="Arial" w:cs="Arial" w:eastAsia="Arial" w:hAnsi="Arial"/>
          <w:sz w:val="22"/>
          <w:szCs w:val="22"/>
          <w:color w:val="000000"/>
        </w:rPr>
        <w:t>Electronics</w:t>
      </w:r>
      <w:r>
        <w:rPr>
          <w:rFonts w:ascii="Arial" w:cs="Arial" w:eastAsia="Arial" w:hAnsi="Arial"/>
          <w:sz w:val="22"/>
          <w:szCs w:val="22"/>
          <w:color w:val="0A0A0A"/>
        </w:rPr>
        <w:t>, HammerHead, Radius HDD, Perrot, Hayter, Unique Lighting Systems, Irritrol, and Lawn-Boy. Through</w:t>
      </w:r>
      <w:r>
        <w:rPr>
          <w:rFonts w:ascii="Arial" w:cs="Arial" w:eastAsia="Arial" w:hAnsi="Arial"/>
          <w:sz w:val="22"/>
          <w:szCs w:val="22"/>
          <w:color w:val="000000"/>
        </w:rPr>
        <w:t xml:space="preserve"> </w:t>
      </w:r>
      <w:r>
        <w:rPr>
          <w:rFonts w:ascii="Arial" w:cs="Arial" w:eastAsia="Arial" w:hAnsi="Arial"/>
          <w:sz w:val="22"/>
          <w:szCs w:val="22"/>
          <w:color w:val="0A0A0A"/>
        </w:rPr>
        <w:t xml:space="preserve">constant innovation and caring relationships built on trust and integrity, </w:t>
      </w:r>
      <w:r>
        <w:rPr>
          <w:rFonts w:ascii="Arial" w:cs="Arial" w:eastAsia="Arial" w:hAnsi="Arial"/>
          <w:sz w:val="22"/>
          <w:szCs w:val="22"/>
          <w:color w:val="000000"/>
        </w:rPr>
        <w:t>The Toro Company</w:t>
      </w:r>
      <w:r>
        <w:rPr>
          <w:rFonts w:ascii="Arial" w:cs="Arial" w:eastAsia="Arial" w:hAnsi="Arial"/>
          <w:sz w:val="22"/>
          <w:szCs w:val="22"/>
          <w:color w:val="0A0A0A"/>
        </w:rPr>
        <w:t xml:space="preserve"> and its family of brands have built a legacy of excellence by helping customers work on golf courses, sports fields, construction sites, public green spaces, commercial and residential properties and agricultural operations. For more information, visit </w:t>
      </w:r>
      <w:r>
        <w:rPr>
          <w:rFonts w:ascii="Arial" w:cs="Arial" w:eastAsia="Arial" w:hAnsi="Arial"/>
          <w:sz w:val="22"/>
          <w:szCs w:val="22"/>
          <w:color w:val="0563C1"/>
        </w:rPr>
        <w:t>www.thetorocompany.com</w:t>
      </w:r>
      <w:r>
        <w:rPr>
          <w:rFonts w:ascii="Verdana" w:cs="Verdana" w:eastAsia="Verdana" w:hAnsi="Verdana"/>
          <w:sz w:val="22"/>
          <w:szCs w:val="22"/>
          <w:color w:val="0A0A0A"/>
        </w:rPr>
        <w:t>.</w:t>
      </w:r>
    </w:p>
    <w:p>
      <w:pPr>
        <w:spacing w:after="0" w:line="215" w:lineRule="exact"/>
        <w:rPr>
          <w:sz w:val="20"/>
          <w:szCs w:val="20"/>
          <w:color w:val="auto"/>
        </w:rPr>
      </w:pPr>
    </w:p>
    <w:p>
      <w:pPr>
        <w:jc w:val="center"/>
        <w:ind w:right="-239"/>
        <w:spacing w:after="0"/>
        <w:rPr>
          <w:sz w:val="20"/>
          <w:szCs w:val="20"/>
          <w:color w:val="auto"/>
        </w:rPr>
      </w:pPr>
      <w:r>
        <w:rPr>
          <w:rFonts w:ascii="Verdana" w:cs="Verdana" w:eastAsia="Verdana" w:hAnsi="Verdana"/>
          <w:sz w:val="22"/>
          <w:szCs w:val="22"/>
          <w:color w:val="0A0A0A"/>
        </w:rPr>
        <w:t>###</w:t>
      </w:r>
    </w:p>
    <w:sectPr>
      <w:pgSz w:w="11900" w:h="16838" w:orient="portrait"/>
      <w:cols w:equalWidth="0" w:num="1">
        <w:col w:w="11000"/>
      </w:cols>
      <w:pgMar w:left="320" w:top="1409" w:right="5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 w:name="Verdana">
    <w:panose1 w:val="020B0604030504040204"/>
    <w:charset w:val="00"/>
    <w:family w:val="swiss"/>
    <w:pitch w:val="variable"/>
    <w:sig w:usb0="A10006FF" w:usb1="4000205B" w:usb2="00000010" w:usb3="00000000" w:csb0="2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upperLetter"/>
      <w:start w:val="6"/>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2023-12-12T15:36:49Z</dcterms:created>
  <dcterms:modified xsi:type="dcterms:W3CDTF">2023-12-12T15:36:49Z</dcterms:modified>
</cp:coreProperties>
</file>