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358140</wp:posOffset>
            </wp:positionV>
            <wp:extent cx="72123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-224155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1960" w:hanging="304"/>
        <w:spacing w:after="0"/>
        <w:tabs>
          <w:tab w:leader="none" w:pos="196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3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February 2, 2018</w:t>
      </w:r>
    </w:p>
    <w:p>
      <w:pPr>
        <w:spacing w:after="0" w:line="230" w:lineRule="exact"/>
        <w:rPr>
          <w:sz w:val="24"/>
          <w:szCs w:val="24"/>
          <w:color w:val="auto"/>
        </w:rPr>
      </w:pPr>
    </w:p>
    <w:p>
      <w:pPr>
        <w:ind w:left="1660"/>
        <w:spacing w:after="0"/>
        <w:rPr>
          <w:sz w:val="20"/>
          <w:szCs w:val="20"/>
          <w:color w:val="auto"/>
        </w:rPr>
      </w:pPr>
      <w:r>
        <w:rPr>
          <w:rFonts w:ascii="Arial" w:cs="Arial" w:eastAsia="Arial" w:hAnsi="Arial"/>
          <w:sz w:val="19"/>
          <w:szCs w:val="19"/>
          <w:b w:val="1"/>
          <w:bCs w:val="1"/>
          <w:color w:val="auto"/>
        </w:rPr>
        <w:t>o  Transition Report Pursuant to Section 13 or 15(d) of the Securities Exchange Act of 1934</w:t>
      </w:r>
    </w:p>
    <w:p>
      <w:pPr>
        <w:sectPr>
          <w:pgSz w:w="11900" w:h="16838" w:orient="portrait"/>
          <w:cols w:equalWidth="0" w:num="1">
            <w:col w:w="11420"/>
          </w:cols>
          <w:pgMar w:left="240" w:top="233" w:right="239" w:bottom="1440" w:gutter="0" w:footer="0" w:header="0"/>
        </w:sectPr>
      </w:pPr>
    </w:p>
    <w:p>
      <w:pPr>
        <w:spacing w:after="0" w:line="304" w:lineRule="exact"/>
        <w:rPr>
          <w:sz w:val="24"/>
          <w:szCs w:val="24"/>
          <w:color w:val="auto"/>
        </w:rPr>
      </w:pPr>
    </w:p>
    <w:p>
      <w:pPr>
        <w:ind w:left="39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6360" w:space="500"/>
            <w:col w:w="4560"/>
          </w:cols>
          <w:pgMar w:left="240" w:top="233" w:right="239" w:bottom="1440" w:gutter="0" w:footer="0" w:header="0"/>
          <w:type w:val="continuous"/>
        </w:sectPr>
      </w:pP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233" w:right="239" w:bottom="1440" w:gutter="0" w:footer="0" w:header="0"/>
          <w:type w:val="continuous"/>
        </w:sectPr>
      </w:pPr>
    </w:p>
    <w:p>
      <w:pPr>
        <w:spacing w:after="0" w:line="174"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2460"/>
        <w:spacing w:after="0"/>
        <w:rPr>
          <w:sz w:val="20"/>
          <w:szCs w:val="20"/>
          <w:color w:val="auto"/>
        </w:rPr>
      </w:pPr>
      <w:r>
        <w:rPr>
          <w:rFonts w:ascii="Arial" w:cs="Arial" w:eastAsia="Arial" w:hAnsi="Arial"/>
          <w:sz w:val="16"/>
          <w:szCs w:val="16"/>
          <w:b w:val="1"/>
          <w:bCs w:val="1"/>
          <w:color w:val="auto"/>
        </w:rPr>
        <w:t>1-8649</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41-0580470</w:t>
      </w:r>
    </w:p>
    <w:p>
      <w:pPr>
        <w:spacing w:after="0" w:line="90" w:lineRule="exact"/>
        <w:rPr>
          <w:sz w:val="24"/>
          <w:szCs w:val="24"/>
          <w:color w:val="auto"/>
        </w:rPr>
      </w:pPr>
    </w:p>
    <w:p>
      <w:pPr>
        <w:sectPr>
          <w:pgSz w:w="11900" w:h="16838" w:orient="portrait"/>
          <w:cols w:equalWidth="0" w:num="3">
            <w:col w:w="4680" w:space="720"/>
            <w:col w:w="2960" w:space="720"/>
            <w:col w:w="2340"/>
          </w:cols>
          <w:pgMar w:left="240" w:top="233" w:right="239" w:bottom="1440" w:gutter="0" w:footer="0" w:header="0"/>
          <w:type w:val="continuous"/>
        </w:sectPr>
      </w:pPr>
    </w:p>
    <w:p>
      <w:pPr>
        <w:ind w:left="98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40" w:space="720"/>
            <w:col w:w="2660" w:space="720"/>
            <w:col w:w="3380"/>
          </w:cols>
          <w:pgMar w:left="240" w:top="233" w:right="239" w:bottom="1440" w:gutter="0" w:footer="0" w:header="0"/>
          <w:type w:val="continuous"/>
        </w:sectPr>
      </w:pPr>
    </w:p>
    <w:p>
      <w:pPr>
        <w:spacing w:after="0" w:line="71"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Telephone Number: (952) 888-8801</w:t>
      </w:r>
    </w:p>
    <w:p>
      <w:pPr>
        <w:spacing w:after="0" w:line="9" w:lineRule="exact"/>
        <w:rPr>
          <w:sz w:val="24"/>
          <w:szCs w:val="24"/>
          <w:color w:val="auto"/>
        </w:rPr>
      </w:pPr>
    </w:p>
    <w:p>
      <w:pPr>
        <w:ind w:left="1540"/>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1200" w:type="dxa"/>
        <w:tblCellMar>
          <w:top w:w="0" w:type="dxa"/>
          <w:left w:w="0" w:type="dxa"/>
          <w:bottom w:w="0" w:type="dxa"/>
          <w:right w:w="0" w:type="dxa"/>
        </w:tblCellMar>
      </w:tblPr>
      <w:tr>
        <w:trPr>
          <w:trHeight w:val="230"/>
        </w:trPr>
        <w:tc>
          <w:tcPr>
            <w:tcW w:w="4820" w:type="dxa"/>
            <w:vAlign w:val="bottom"/>
          </w:tcPr>
          <w:p>
            <w:pPr>
              <w:jc w:val="center"/>
              <w:ind w:right="1410"/>
              <w:spacing w:after="0"/>
              <w:rPr>
                <w:sz w:val="20"/>
                <w:szCs w:val="20"/>
                <w:color w:val="auto"/>
              </w:rPr>
            </w:pPr>
            <w:r>
              <w:rPr>
                <w:rFonts w:ascii="Arial" w:cs="Arial" w:eastAsia="Arial" w:hAnsi="Arial"/>
                <w:sz w:val="18"/>
                <w:szCs w:val="18"/>
                <w:color w:val="auto"/>
                <w:w w:val="91"/>
              </w:rPr>
              <w:t>Large accelerated filer x</w:t>
            </w: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2"/>
              </w:rPr>
              <w:t>Accelerated filer o</w:t>
            </w:r>
          </w:p>
        </w:tc>
      </w:tr>
      <w:tr>
        <w:trPr>
          <w:trHeight w:val="594"/>
        </w:trPr>
        <w:tc>
          <w:tcPr>
            <w:tcW w:w="4820" w:type="dxa"/>
            <w:vAlign w:val="bottom"/>
          </w:tcPr>
          <w:p>
            <w:pPr>
              <w:jc w:val="center"/>
              <w:ind w:right="1390"/>
              <w:spacing w:after="0"/>
              <w:rPr>
                <w:sz w:val="20"/>
                <w:szCs w:val="20"/>
                <w:color w:val="auto"/>
              </w:rPr>
            </w:pPr>
            <w:r>
              <w:rPr>
                <w:rFonts w:ascii="Arial" w:cs="Arial" w:eastAsia="Arial" w:hAnsi="Arial"/>
                <w:sz w:val="18"/>
                <w:szCs w:val="18"/>
                <w:color w:val="auto"/>
                <w:w w:val="91"/>
              </w:rPr>
              <w:t>Non-accelerated filer o</w:t>
            </w: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1"/>
              </w:rPr>
              <w:t>Smaller reporting company o</w:t>
            </w:r>
          </w:p>
        </w:tc>
      </w:tr>
      <w:tr>
        <w:trPr>
          <w:trHeight w:val="270"/>
        </w:trPr>
        <w:tc>
          <w:tcPr>
            <w:tcW w:w="4820" w:type="dxa"/>
            <w:vAlign w:val="bottom"/>
          </w:tcPr>
          <w:p>
            <w:pPr>
              <w:jc w:val="center"/>
              <w:ind w:right="1390"/>
              <w:spacing w:after="0"/>
              <w:rPr>
                <w:sz w:val="20"/>
                <w:szCs w:val="20"/>
                <w:color w:val="auto"/>
              </w:rPr>
            </w:pPr>
            <w:r>
              <w:rPr>
                <w:rFonts w:ascii="Arial" w:cs="Arial" w:eastAsia="Arial" w:hAnsi="Arial"/>
                <w:sz w:val="18"/>
                <w:szCs w:val="18"/>
                <w:color w:val="auto"/>
                <w:w w:val="91"/>
              </w:rPr>
              <w:t>(Do not check if a smaller reporting company)</w:t>
            </w:r>
          </w:p>
        </w:tc>
        <w:tc>
          <w:tcPr>
            <w:tcW w:w="3600" w:type="dxa"/>
            <w:vAlign w:val="bottom"/>
          </w:tcPr>
          <w:p>
            <w:pPr>
              <w:spacing w:after="0"/>
              <w:rPr>
                <w:sz w:val="23"/>
                <w:szCs w:val="23"/>
                <w:color w:val="auto"/>
              </w:rPr>
            </w:pPr>
          </w:p>
        </w:tc>
      </w:tr>
      <w:tr>
        <w:trPr>
          <w:trHeight w:val="270"/>
        </w:trPr>
        <w:tc>
          <w:tcPr>
            <w:tcW w:w="4820" w:type="dxa"/>
            <w:vAlign w:val="bottom"/>
          </w:tcPr>
          <w:p>
            <w:pPr>
              <w:spacing w:after="0"/>
              <w:rPr>
                <w:sz w:val="23"/>
                <w:szCs w:val="23"/>
                <w:color w:val="auto"/>
              </w:rPr>
            </w:pP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1"/>
              </w:rPr>
              <w:t>Emerging growth company o</w:t>
            </w:r>
          </w:p>
        </w:tc>
      </w:tr>
    </w:tbl>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as of March 2, 2018 was 106,020,302.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INDEX TO FORM 10-Q</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Page Number</w:t>
            </w:r>
          </w:p>
        </w:tc>
      </w:tr>
      <w:tr>
        <w:trPr>
          <w:trHeight w:val="473"/>
        </w:trPr>
        <w:tc>
          <w:tcPr>
            <w:tcW w:w="1380" w:type="dxa"/>
            <w:vAlign w:val="bottom"/>
            <w:gridSpan w:val="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8520" w:type="dxa"/>
            <w:vAlign w:val="bottom"/>
            <w:gridSpan w:val="1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5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1"/>
              </w:rPr>
            </w:pPr>
            <w:hyperlink w:anchor="page3">
              <w:r>
                <w:rPr>
                  <w:rFonts w:ascii="Arial" w:cs="Arial" w:eastAsia="Arial" w:hAnsi="Arial"/>
                  <w:sz w:val="18"/>
                  <w:szCs w:val="18"/>
                  <w:b w:val="1"/>
                  <w:bCs w:val="1"/>
                  <w:color w:val="0000EE"/>
                  <w:w w:val="91"/>
                </w:rPr>
                <w:t>Item 1.</w:t>
              </w:r>
            </w:hyperlink>
          </w:p>
        </w:tc>
        <w:tc>
          <w:tcPr>
            <w:tcW w:w="80" w:type="dxa"/>
            <w:vAlign w:val="bottom"/>
            <w:tcBorders>
              <w:top w:val="single" w:sz="8" w:color="0000EE"/>
            </w:tcBorders>
          </w:tcPr>
          <w:p>
            <w:pPr>
              <w:spacing w:after="0"/>
              <w:rPr>
                <w:sz w:val="24"/>
                <w:szCs w:val="24"/>
                <w:color w:val="auto"/>
              </w:rPr>
            </w:pPr>
          </w:p>
        </w:tc>
        <w:tc>
          <w:tcPr>
            <w:tcW w:w="760" w:type="dxa"/>
            <w:vAlign w:val="bottom"/>
            <w:gridSpan w:val="3"/>
          </w:tcPr>
          <w:p>
            <w:pPr>
              <w:spacing w:after="0"/>
              <w:rPr>
                <w:sz w:val="24"/>
                <w:szCs w:val="24"/>
                <w:color w:val="auto"/>
              </w:rPr>
            </w:pPr>
          </w:p>
        </w:tc>
        <w:tc>
          <w:tcPr>
            <w:tcW w:w="15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940" w:type="dxa"/>
            <w:vAlign w:val="bottom"/>
            <w:tcBorders>
              <w:top w:val="single" w:sz="8" w:color="0000EE"/>
            </w:tcBorders>
            <w:gridSpan w:val="3"/>
          </w:tcPr>
          <w:p>
            <w:pPr>
              <w:spacing w:after="0"/>
              <w:rPr>
                <w:sz w:val="24"/>
                <w:szCs w:val="24"/>
                <w:color w:val="auto"/>
              </w:rPr>
            </w:pPr>
          </w:p>
        </w:tc>
        <w:tc>
          <w:tcPr>
            <w:tcW w:w="6080" w:type="dxa"/>
            <w:vAlign w:val="bottom"/>
            <w:gridSpan w:val="8"/>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Earnings (Unaudited)</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Comprehensive Income (Unaudited)</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500" w:type="dxa"/>
            <w:vAlign w:val="bottom"/>
            <w:tcBorders>
              <w:top w:val="single" w:sz="8" w:color="0000EE"/>
            </w:tcBorders>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w:t>
              </w:r>
            </w:hyperlink>
            <w:r>
              <w:rPr>
                <w:rFonts w:ascii="Arial" w:cs="Arial" w:eastAsia="Arial" w:hAnsi="Arial"/>
                <w:sz w:val="18"/>
                <w:szCs w:val="18"/>
                <w:color w:val="000000"/>
              </w:rPr>
              <w:t>)</w:t>
            </w:r>
          </w:p>
        </w:tc>
        <w:tc>
          <w:tcPr>
            <w:tcW w:w="2680" w:type="dxa"/>
            <w:vAlign w:val="bottom"/>
            <w:gridSpan w:val="2"/>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4"/>
                <w:szCs w:val="24"/>
                <w:color w:val="auto"/>
              </w:rPr>
            </w:pP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(Unaudited)</w:t>
              </w:r>
            </w:hyperlink>
          </w:p>
        </w:tc>
        <w:tc>
          <w:tcPr>
            <w:tcW w:w="3540" w:type="dxa"/>
            <w:vAlign w:val="bottom"/>
            <w:gridSpan w:val="4"/>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Condensed Consolidated Financial Statements (Unaudited)</w:t>
              </w:r>
            </w:hyperlink>
          </w:p>
        </w:tc>
        <w:tc>
          <w:tcPr>
            <w:tcW w:w="3260" w:type="dxa"/>
            <w:vAlign w:val="bottom"/>
            <w:gridSpan w:val="3"/>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20" w:type="dxa"/>
            <w:vAlign w:val="bottom"/>
          </w:tcPr>
          <w:p>
            <w:pPr>
              <w:spacing w:after="0"/>
              <w:rPr>
                <w:sz w:val="24"/>
                <w:szCs w:val="24"/>
                <w:color w:val="auto"/>
              </w:rPr>
            </w:pPr>
          </w:p>
        </w:tc>
      </w:tr>
      <w:tr>
        <w:trPr>
          <w:trHeight w:val="520"/>
        </w:trPr>
        <w:tc>
          <w:tcPr>
            <w:tcW w:w="540" w:type="dxa"/>
            <w:vAlign w:val="bottom"/>
          </w:tcPr>
          <w:p>
            <w:pPr>
              <w:spacing w:after="0"/>
              <w:rPr>
                <w:rFonts w:ascii="Arial" w:cs="Arial" w:eastAsia="Arial" w:hAnsi="Arial"/>
                <w:sz w:val="18"/>
                <w:szCs w:val="18"/>
                <w:b w:val="1"/>
                <w:bCs w:val="1"/>
                <w:color w:val="0000EE"/>
                <w:w w:val="91"/>
              </w:rPr>
            </w:pPr>
            <w:hyperlink w:anchor="page19">
              <w:r>
                <w:rPr>
                  <w:rFonts w:ascii="Arial" w:cs="Arial" w:eastAsia="Arial" w:hAnsi="Arial"/>
                  <w:sz w:val="18"/>
                  <w:szCs w:val="18"/>
                  <w:b w:val="1"/>
                  <w:bCs w:val="1"/>
                  <w:color w:val="0000EE"/>
                  <w:w w:val="91"/>
                </w:rPr>
                <w:t>Item 2.</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4"/>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rFonts w:ascii="Arial" w:cs="Arial" w:eastAsia="Arial" w:hAnsi="Arial"/>
                <w:sz w:val="18"/>
                <w:szCs w:val="18"/>
                <w:b w:val="1"/>
                <w:bCs w:val="1"/>
                <w:color w:val="0000EE"/>
                <w:w w:val="91"/>
              </w:rPr>
            </w:pPr>
            <w:hyperlink w:anchor="page30">
              <w:r>
                <w:rPr>
                  <w:rFonts w:ascii="Arial" w:cs="Arial" w:eastAsia="Arial" w:hAnsi="Arial"/>
                  <w:sz w:val="18"/>
                  <w:szCs w:val="18"/>
                  <w:b w:val="1"/>
                  <w:bCs w:val="1"/>
                  <w:color w:val="0000EE"/>
                  <w:w w:val="91"/>
                </w:rPr>
                <w:t>Item 3.</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4320" w:type="dxa"/>
            <w:vAlign w:val="bottom"/>
            <w:gridSpan w:val="9"/>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Quantitative and Qualitative Disclosures about Market Risk</w:t>
              </w:r>
            </w:hyperlink>
          </w:p>
        </w:tc>
        <w:tc>
          <w:tcPr>
            <w:tcW w:w="2140" w:type="dxa"/>
            <w:vAlign w:val="bottom"/>
            <w:gridSpan w:val="5"/>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rFonts w:ascii="Arial" w:cs="Arial" w:eastAsia="Arial" w:hAnsi="Arial"/>
                <w:sz w:val="18"/>
                <w:szCs w:val="18"/>
                <w:b w:val="1"/>
                <w:bCs w:val="1"/>
                <w:color w:val="0000EE"/>
                <w:w w:val="91"/>
              </w:rPr>
            </w:pPr>
            <w:hyperlink w:anchor="page31">
              <w:r>
                <w:rPr>
                  <w:rFonts w:ascii="Arial" w:cs="Arial" w:eastAsia="Arial" w:hAnsi="Arial"/>
                  <w:sz w:val="18"/>
                  <w:szCs w:val="18"/>
                  <w:b w:val="1"/>
                  <w:bCs w:val="1"/>
                  <w:color w:val="0000EE"/>
                  <w:w w:val="91"/>
                </w:rPr>
                <w:t>Item 4.</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6"/>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Controls and Procedures</w:t>
              </w:r>
            </w:hyperlink>
          </w:p>
        </w:tc>
        <w:tc>
          <w:tcPr>
            <w:tcW w:w="2540" w:type="dxa"/>
            <w:vAlign w:val="bottom"/>
            <w:gridSpan w:val="3"/>
          </w:tcPr>
          <w:p>
            <w:pPr>
              <w:spacing w:after="0"/>
              <w:rPr>
                <w:sz w:val="24"/>
                <w:szCs w:val="24"/>
                <w:color w:val="auto"/>
              </w:rPr>
            </w:pPr>
          </w:p>
        </w:tc>
        <w:tc>
          <w:tcPr>
            <w:tcW w:w="3860" w:type="dxa"/>
            <w:vAlign w:val="bottom"/>
            <w:gridSpan w:val="6"/>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700" w:type="dxa"/>
            <w:vAlign w:val="bottom"/>
            <w:tcBorders>
              <w:bottom w:val="single" w:sz="8" w:color="0000EE"/>
            </w:tcBorders>
            <w:gridSpan w:val="4"/>
          </w:tcPr>
          <w:p>
            <w:pPr>
              <w:spacing w:after="0"/>
              <w:rPr>
                <w:rFonts w:ascii="Arial" w:cs="Arial" w:eastAsia="Arial" w:hAnsi="Arial"/>
                <w:sz w:val="18"/>
                <w:szCs w:val="18"/>
                <w:b w:val="1"/>
                <w:bCs w:val="1"/>
                <w:color w:val="0000EE"/>
                <w:w w:val="98"/>
              </w:rPr>
            </w:pPr>
            <w:hyperlink w:anchor="page32">
              <w:r>
                <w:rPr>
                  <w:rFonts w:ascii="Arial" w:cs="Arial" w:eastAsia="Arial" w:hAnsi="Arial"/>
                  <w:sz w:val="18"/>
                  <w:szCs w:val="18"/>
                  <w:b w:val="1"/>
                  <w:bCs w:val="1"/>
                  <w:color w:val="0000EE"/>
                  <w:w w:val="98"/>
                </w:rPr>
                <w:t>PART II.</w:t>
              </w:r>
            </w:hyperlink>
          </w:p>
        </w:tc>
        <w:tc>
          <w:tcPr>
            <w:tcW w:w="680" w:type="dxa"/>
            <w:vAlign w:val="bottom"/>
          </w:tcPr>
          <w:p>
            <w:pPr>
              <w:spacing w:after="0"/>
              <w:rPr>
                <w:sz w:val="24"/>
                <w:szCs w:val="24"/>
                <w:color w:val="auto"/>
              </w:rPr>
            </w:pPr>
          </w:p>
        </w:tc>
        <w:tc>
          <w:tcPr>
            <w:tcW w:w="212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OTHER INFORMATION:</w:t>
              </w:r>
            </w:hyperlink>
          </w:p>
        </w:tc>
        <w:tc>
          <w:tcPr>
            <w:tcW w:w="6400" w:type="dxa"/>
            <w:vAlign w:val="bottom"/>
            <w:gridSpan w:val="9"/>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540" w:type="dxa"/>
            <w:vAlign w:val="bottom"/>
          </w:tcPr>
          <w:p>
            <w:pPr>
              <w:spacing w:after="0"/>
              <w:rPr>
                <w:rFonts w:ascii="Arial" w:cs="Arial" w:eastAsia="Arial" w:hAnsi="Arial"/>
                <w:sz w:val="18"/>
                <w:szCs w:val="18"/>
                <w:b w:val="1"/>
                <w:bCs w:val="1"/>
                <w:color w:val="0000EE"/>
                <w:w w:val="91"/>
              </w:rPr>
            </w:pPr>
            <w:hyperlink w:anchor="page32">
              <w:r>
                <w:rPr>
                  <w:rFonts w:ascii="Arial" w:cs="Arial" w:eastAsia="Arial" w:hAnsi="Arial"/>
                  <w:sz w:val="18"/>
                  <w:szCs w:val="18"/>
                  <w:b w:val="1"/>
                  <w:bCs w:val="1"/>
                  <w:color w:val="0000EE"/>
                  <w:w w:val="91"/>
                </w:rPr>
                <w:t>Item 1.</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gridSpan w:val="5"/>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Legal Proceedings</w:t>
              </w:r>
            </w:hyperlink>
          </w:p>
        </w:tc>
        <w:tc>
          <w:tcPr>
            <w:tcW w:w="6840" w:type="dxa"/>
            <w:vAlign w:val="bottom"/>
            <w:gridSpan w:val="10"/>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gridSpan w:val="5"/>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Item 1A.</w:t>
              </w:r>
            </w:hyperlink>
          </w:p>
        </w:tc>
        <w:tc>
          <w:tcPr>
            <w:tcW w:w="340" w:type="dxa"/>
            <w:vAlign w:val="bottom"/>
          </w:tcPr>
          <w:p>
            <w:pPr>
              <w:spacing w:after="0"/>
              <w:rPr>
                <w:sz w:val="24"/>
                <w:szCs w:val="24"/>
                <w:color w:val="auto"/>
              </w:rPr>
            </w:pPr>
          </w:p>
        </w:tc>
        <w:tc>
          <w:tcPr>
            <w:tcW w:w="8180" w:type="dxa"/>
            <w:vAlign w:val="bottom"/>
            <w:gridSpan w:val="1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60" w:type="dxa"/>
            <w:vAlign w:val="bottom"/>
            <w:gridSpan w:val="7"/>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rFonts w:ascii="Arial" w:cs="Arial" w:eastAsia="Arial" w:hAnsi="Arial"/>
                <w:sz w:val="18"/>
                <w:szCs w:val="18"/>
                <w:b w:val="1"/>
                <w:bCs w:val="1"/>
                <w:color w:val="0000EE"/>
                <w:w w:val="91"/>
              </w:rPr>
            </w:pPr>
            <w:hyperlink w:anchor="page33">
              <w:r>
                <w:rPr>
                  <w:rFonts w:ascii="Arial" w:cs="Arial" w:eastAsia="Arial" w:hAnsi="Arial"/>
                  <w:sz w:val="18"/>
                  <w:szCs w:val="18"/>
                  <w:b w:val="1"/>
                  <w:bCs w:val="1"/>
                  <w:color w:val="0000EE"/>
                  <w:w w:val="91"/>
                </w:rPr>
                <w:t>Item 2.</w:t>
              </w:r>
            </w:hyperlink>
          </w:p>
        </w:tc>
        <w:tc>
          <w:tcPr>
            <w:tcW w:w="120" w:type="dxa"/>
            <w:vAlign w:val="bottom"/>
            <w:gridSpan w:val="2"/>
          </w:tcPr>
          <w:p>
            <w:pPr>
              <w:spacing w:after="0"/>
              <w:rPr>
                <w:sz w:val="24"/>
                <w:szCs w:val="24"/>
                <w:color w:val="auto"/>
              </w:rPr>
            </w:pPr>
          </w:p>
        </w:tc>
        <w:tc>
          <w:tcPr>
            <w:tcW w:w="72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4360" w:type="dxa"/>
            <w:vAlign w:val="bottom"/>
            <w:gridSpan w:val="10"/>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Unregistered Sales of Equity Securities and Use of Proceeds</w:t>
              </w:r>
            </w:hyperlink>
          </w:p>
        </w:tc>
        <w:tc>
          <w:tcPr>
            <w:tcW w:w="3820" w:type="dxa"/>
            <w:vAlign w:val="bottom"/>
            <w:gridSpan w:val="5"/>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0" w:type="dxa"/>
            <w:vAlign w:val="bottom"/>
            <w:gridSpan w:val="8"/>
            <w:shd w:val="clear" w:color="auto" w:fill="0000EE"/>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rFonts w:ascii="Arial" w:cs="Arial" w:eastAsia="Arial" w:hAnsi="Arial"/>
                <w:sz w:val="18"/>
                <w:szCs w:val="18"/>
                <w:b w:val="1"/>
                <w:bCs w:val="1"/>
                <w:color w:val="0000EE"/>
                <w:w w:val="91"/>
              </w:rPr>
            </w:pPr>
            <w:hyperlink w:anchor="page34">
              <w:r>
                <w:rPr>
                  <w:rFonts w:ascii="Arial" w:cs="Arial" w:eastAsia="Arial" w:hAnsi="Arial"/>
                  <w:sz w:val="18"/>
                  <w:szCs w:val="18"/>
                  <w:b w:val="1"/>
                  <w:bCs w:val="1"/>
                  <w:color w:val="0000EE"/>
                  <w:w w:val="91"/>
                </w:rPr>
                <w:t>Item 6.</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4360" w:type="dxa"/>
            <w:vAlign w:val="bottom"/>
            <w:gridSpan w:val="1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3820" w:type="dxa"/>
            <w:vAlign w:val="bottom"/>
            <w:gridSpan w:val="5"/>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20" w:type="dxa"/>
            <w:vAlign w:val="bottom"/>
            <w:gridSpan w:val="1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723"/>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3560" w:type="dxa"/>
            <w:vAlign w:val="bottom"/>
            <w:gridSpan w:val="7"/>
          </w:tcPr>
          <w:p>
            <w:pPr>
              <w:jc w:val="right"/>
              <w:ind w:right="3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Earnings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and shares in thousands, except per share data)</w:t>
      </w:r>
    </w:p>
    <w:p>
      <w:pPr>
        <w:spacing w:after="0" w:line="153" w:lineRule="exact"/>
        <w:rPr>
          <w:sz w:val="20"/>
          <w:szCs w:val="20"/>
          <w:color w:val="auto"/>
        </w:rPr>
      </w:pPr>
    </w:p>
    <w:p>
      <w:pPr>
        <w:ind w:left="908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4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February 2,</w:t>
            </w:r>
          </w:p>
        </w:tc>
        <w:tc>
          <w:tcPr>
            <w:tcW w:w="260" w:type="dxa"/>
            <w:vAlign w:val="bottom"/>
          </w:tcPr>
          <w:p>
            <w:pPr>
              <w:spacing w:after="0"/>
              <w:rPr>
                <w:sz w:val="18"/>
                <w:szCs w:val="18"/>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February 3,</w:t>
            </w:r>
          </w:p>
        </w:tc>
      </w:tr>
      <w:tr>
        <w:trPr>
          <w:trHeight w:val="234"/>
        </w:trPr>
        <w:tc>
          <w:tcPr>
            <w:tcW w:w="70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70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548,246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515,839</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4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344,007</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322,359</w:t>
            </w:r>
          </w:p>
        </w:tc>
      </w:tr>
      <w:tr>
        <w:trPr>
          <w:trHeight w:val="27"/>
        </w:trPr>
        <w:tc>
          <w:tcPr>
            <w:tcW w:w="70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5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204,239</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193,480</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154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137,317</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132,910</w:t>
            </w:r>
          </w:p>
        </w:tc>
      </w:tr>
      <w:tr>
        <w:trPr>
          <w:trHeight w:val="27"/>
        </w:trPr>
        <w:tc>
          <w:tcPr>
            <w:tcW w:w="70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15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66,922</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60,570</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5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(4,818)</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(4,883)</w:t>
            </w:r>
          </w:p>
        </w:tc>
      </w:tr>
      <w:tr>
        <w:trPr>
          <w:trHeight w:val="27"/>
        </w:trPr>
        <w:tc>
          <w:tcPr>
            <w:tcW w:w="70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5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4,281</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3,866</w:t>
            </w:r>
          </w:p>
        </w:tc>
      </w:tr>
      <w:tr>
        <w:trPr>
          <w:trHeight w:val="237"/>
        </w:trPr>
        <w:tc>
          <w:tcPr>
            <w:tcW w:w="70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Earnings before income taxes</w:t>
            </w:r>
          </w:p>
        </w:tc>
        <w:tc>
          <w:tcPr>
            <w:tcW w:w="15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66,385</w:t>
            </w: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59,553</w:t>
            </w:r>
          </w:p>
        </w:tc>
      </w:tr>
      <w:tr>
        <w:trPr>
          <w:trHeight w:val="27"/>
        </w:trPr>
        <w:tc>
          <w:tcPr>
            <w:tcW w:w="70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5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43,781</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14,563</w:t>
            </w:r>
          </w:p>
        </w:tc>
      </w:tr>
      <w:tr>
        <w:trPr>
          <w:trHeight w:val="237"/>
        </w:trPr>
        <w:tc>
          <w:tcPr>
            <w:tcW w:w="70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Net earnings</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22,604</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44,990</w:t>
            </w:r>
          </w:p>
        </w:tc>
      </w:tr>
      <w:tr>
        <w:trPr>
          <w:trHeight w:val="67"/>
        </w:trPr>
        <w:tc>
          <w:tcPr>
            <w:tcW w:w="700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78"/>
        </w:trPr>
        <w:tc>
          <w:tcPr>
            <w:tcW w:w="70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Basic net earnings per share of common stock</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0.21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0.41</w:t>
            </w:r>
          </w:p>
        </w:tc>
      </w:tr>
      <w:tr>
        <w:trPr>
          <w:trHeight w:val="27"/>
        </w:trPr>
        <w:tc>
          <w:tcPr>
            <w:tcW w:w="70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91"/>
        </w:trPr>
        <w:tc>
          <w:tcPr>
            <w:tcW w:w="70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Diluted net earnings per share of common stock</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0.21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0.41</w:t>
            </w:r>
          </w:p>
        </w:tc>
      </w:tr>
      <w:tr>
        <w:trPr>
          <w:trHeight w:val="27"/>
        </w:trPr>
        <w:tc>
          <w:tcPr>
            <w:tcW w:w="70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18"/>
        </w:trPr>
        <w:tc>
          <w:tcPr>
            <w:tcW w:w="70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Weighted-average number of shares of common stock outstanding — Basic</w:t>
            </w:r>
          </w:p>
        </w:tc>
        <w:tc>
          <w:tcPr>
            <w:tcW w:w="154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107,225</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108,627</w:t>
            </w:r>
          </w:p>
        </w:tc>
      </w:tr>
      <w:tr>
        <w:trPr>
          <w:trHeight w:val="27"/>
        </w:trPr>
        <w:tc>
          <w:tcPr>
            <w:tcW w:w="70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324"/>
        </w:trPr>
        <w:tc>
          <w:tcPr>
            <w:tcW w:w="70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Weighted-average number of shares of common stock outstanding — Diluted</w:t>
            </w:r>
          </w:p>
        </w:tc>
        <w:tc>
          <w:tcPr>
            <w:tcW w:w="154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109,855</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110,774</w:t>
            </w:r>
          </w:p>
        </w:tc>
      </w:tr>
      <w:tr>
        <w:trPr>
          <w:trHeight w:val="27"/>
        </w:trPr>
        <w:tc>
          <w:tcPr>
            <w:tcW w:w="70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53" w:lineRule="exact"/>
        <w:rPr>
          <w:sz w:val="20"/>
          <w:szCs w:val="20"/>
          <w:color w:val="auto"/>
        </w:rPr>
      </w:pPr>
    </w:p>
    <w:p>
      <w:pPr>
        <w:ind w:left="908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34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February 2,</w:t>
            </w:r>
          </w:p>
        </w:tc>
        <w:tc>
          <w:tcPr>
            <w:tcW w:w="260" w:type="dxa"/>
            <w:vAlign w:val="bottom"/>
          </w:tcPr>
          <w:p>
            <w:pPr>
              <w:spacing w:after="0"/>
              <w:rPr>
                <w:sz w:val="18"/>
                <w:szCs w:val="18"/>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February 3,</w:t>
            </w:r>
          </w:p>
        </w:tc>
      </w:tr>
      <w:tr>
        <w:trPr>
          <w:trHeight w:val="234"/>
        </w:trPr>
        <w:tc>
          <w:tcPr>
            <w:tcW w:w="66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6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22,604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44,990</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6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8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10,872</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r>
      <w:tr>
        <w:trPr>
          <w:trHeight w:val="243"/>
        </w:trPr>
        <w:tc>
          <w:tcPr>
            <w:tcW w:w="6680" w:type="dxa"/>
            <w:vAlign w:val="bottom"/>
          </w:tcPr>
          <w:p>
            <w:pPr>
              <w:ind w:left="180"/>
              <w:spacing w:after="0"/>
              <w:rPr>
                <w:sz w:val="20"/>
                <w:szCs w:val="20"/>
                <w:color w:val="auto"/>
              </w:rPr>
            </w:pPr>
            <w:r>
              <w:rPr>
                <w:rFonts w:ascii="Arial" w:cs="Arial" w:eastAsia="Arial" w:hAnsi="Arial"/>
                <w:sz w:val="18"/>
                <w:szCs w:val="18"/>
                <w:color w:val="auto"/>
              </w:rPr>
              <w:t>Derivative instruments, net of tax of $(579) and $285, respectively</w:t>
            </w:r>
          </w:p>
        </w:tc>
        <w:tc>
          <w:tcPr>
            <w:tcW w:w="18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(2,779)</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221</w:t>
            </w:r>
          </w:p>
        </w:tc>
      </w:tr>
      <w:tr>
        <w:trPr>
          <w:trHeight w:val="27"/>
        </w:trPr>
        <w:tc>
          <w:tcPr>
            <w:tcW w:w="66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18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8,093</w:t>
            </w: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r>
      <w:tr>
        <w:trPr>
          <w:trHeight w:val="237"/>
        </w:trPr>
        <w:tc>
          <w:tcPr>
            <w:tcW w:w="6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Comprehensive income</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30,697</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45,328</w:t>
            </w:r>
          </w:p>
        </w:tc>
      </w:tr>
      <w:tr>
        <w:trPr>
          <w:trHeight w:val="27"/>
        </w:trPr>
        <w:tc>
          <w:tcPr>
            <w:tcW w:w="66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6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February 2,</w:t>
            </w:r>
          </w:p>
        </w:tc>
        <w:tc>
          <w:tcPr>
            <w:tcW w:w="260" w:type="dxa"/>
            <w:vAlign w:val="bottom"/>
          </w:tcPr>
          <w:p>
            <w:pPr>
              <w:spacing w:after="0"/>
              <w:rPr>
                <w:sz w:val="18"/>
                <w:szCs w:val="18"/>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February 3,</w:t>
            </w:r>
          </w:p>
        </w:tc>
        <w:tc>
          <w:tcPr>
            <w:tcW w:w="260" w:type="dxa"/>
            <w:vAlign w:val="bottom"/>
          </w:tcPr>
          <w:p>
            <w:pPr>
              <w:spacing w:after="0"/>
              <w:rPr>
                <w:sz w:val="18"/>
                <w:szCs w:val="18"/>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October 31,</w:t>
            </w:r>
          </w:p>
        </w:tc>
      </w:tr>
      <w:tr>
        <w:trPr>
          <w:trHeight w:val="234"/>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3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6"/>
        </w:trPr>
        <w:tc>
          <w:tcPr>
            <w:tcW w:w="670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060" w:type="dxa"/>
            <w:vAlign w:val="bottom"/>
            <w:tcBorders>
              <w:top w:val="single" w:sz="8" w:color="CCEEFF"/>
            </w:tcBorders>
            <w:shd w:val="clear" w:color="auto" w:fill="CCEEFF"/>
          </w:tcPr>
          <w:p>
            <w:pPr>
              <w:spacing w:after="0"/>
              <w:rPr>
                <w:sz w:val="4"/>
                <w:szCs w:val="4"/>
                <w:color w:val="auto"/>
              </w:rPr>
            </w:pPr>
          </w:p>
        </w:tc>
        <w:tc>
          <w:tcPr>
            <w:tcW w:w="29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219,730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158,893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310,256</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Receivables, net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198,736</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183,850</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183,073</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Inventories, net</w:t>
            </w:r>
          </w:p>
        </w:tc>
        <w:tc>
          <w:tcPr>
            <w:tcW w:w="2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439,343</w:t>
            </w:r>
          </w:p>
        </w:tc>
        <w:tc>
          <w:tcPr>
            <w:tcW w:w="2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402,103</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328,992</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43,039</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36,470</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37,565</w:t>
            </w:r>
          </w:p>
        </w:tc>
      </w:tr>
      <w:tr>
        <w:trPr>
          <w:trHeight w:val="237"/>
        </w:trPr>
        <w:tc>
          <w:tcPr>
            <w:tcW w:w="67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900,848</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781,316</w:t>
            </w: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859,886</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91"/>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Property, plant and equipment, gross</w:t>
            </w:r>
          </w:p>
        </w:tc>
        <w:tc>
          <w:tcPr>
            <w:tcW w:w="2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883,462</w:t>
            </w:r>
          </w:p>
        </w:tc>
        <w:tc>
          <w:tcPr>
            <w:tcW w:w="2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855,826</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885,614</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649,014</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628,909</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650,384</w:t>
            </w:r>
          </w:p>
        </w:tc>
      </w:tr>
      <w:tr>
        <w:trPr>
          <w:trHeight w:val="237"/>
        </w:trPr>
        <w:tc>
          <w:tcPr>
            <w:tcW w:w="67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234,448</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226,917</w:t>
            </w: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235,230</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44,752</w:t>
            </w:r>
          </w:p>
        </w:tc>
        <w:tc>
          <w:tcPr>
            <w:tcW w:w="2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56,864</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64,083</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205,954</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201,246</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205,029</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102,366</w:t>
            </w:r>
          </w:p>
        </w:tc>
        <w:tc>
          <w:tcPr>
            <w:tcW w:w="2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110,782</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103,743</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28,438</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25,788</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25,816</w:t>
            </w:r>
          </w:p>
        </w:tc>
      </w:tr>
      <w:tr>
        <w:trPr>
          <w:trHeight w:val="237"/>
        </w:trPr>
        <w:tc>
          <w:tcPr>
            <w:tcW w:w="67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1,516,806</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1,402,913</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1,493,787</w:t>
            </w:r>
          </w:p>
        </w:tc>
      </w:tr>
      <w:tr>
        <w:trPr>
          <w:trHeight w:val="67"/>
        </w:trPr>
        <w:tc>
          <w:tcPr>
            <w:tcW w:w="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060" w:type="dxa"/>
            <w:vAlign w:val="bottom"/>
            <w:tcBorders>
              <w:bottom w:val="single" w:sz="8" w:color="auto"/>
            </w:tcBorders>
          </w:tcPr>
          <w:p>
            <w:pPr>
              <w:spacing w:after="0"/>
              <w:rPr>
                <w:sz w:val="5"/>
                <w:szCs w:val="5"/>
                <w:color w:val="auto"/>
              </w:rPr>
            </w:pPr>
          </w:p>
        </w:tc>
        <w:tc>
          <w:tcPr>
            <w:tcW w:w="29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78"/>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03"/>
        </w:trPr>
        <w:tc>
          <w:tcPr>
            <w:tcW w:w="670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LIABILITIES AND STOCKHOLDERS’ EQUITY</w:t>
            </w: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060" w:type="dxa"/>
            <w:vAlign w:val="bottom"/>
            <w:tcBorders>
              <w:top w:val="single" w:sz="8" w:color="auto"/>
            </w:tcBorders>
          </w:tcPr>
          <w:p>
            <w:pPr>
              <w:spacing w:after="0"/>
              <w:rPr>
                <w:sz w:val="4"/>
                <w:szCs w:val="4"/>
                <w:color w:val="auto"/>
              </w:rPr>
            </w:pPr>
          </w:p>
        </w:tc>
        <w:tc>
          <w:tcPr>
            <w:tcW w:w="2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13,000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22,960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26,258</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266,586</w:t>
            </w:r>
          </w:p>
        </w:tc>
        <w:tc>
          <w:tcPr>
            <w:tcW w:w="2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232,440</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211,752</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292,903</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263,724</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283,786</w:t>
            </w:r>
          </w:p>
        </w:tc>
      </w:tr>
      <w:tr>
        <w:trPr>
          <w:trHeight w:val="237"/>
        </w:trPr>
        <w:tc>
          <w:tcPr>
            <w:tcW w:w="67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572,489</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519,124</w:t>
            </w: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521,796</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91"/>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302,465</w:t>
            </w:r>
          </w:p>
        </w:tc>
        <w:tc>
          <w:tcPr>
            <w:tcW w:w="2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315,314</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305,629</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24,731</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25,172</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24,761</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1,839</w:t>
            </w:r>
          </w:p>
        </w:tc>
        <w:tc>
          <w:tcPr>
            <w:tcW w:w="2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1,726</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34,501</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30,267</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22,783</w:t>
            </w:r>
          </w:p>
        </w:tc>
      </w:tr>
      <w:tr>
        <w:trPr>
          <w:trHeight w:val="297"/>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9"/>
        </w:trPr>
        <w:tc>
          <w:tcPr>
            <w:tcW w:w="40" w:type="dxa"/>
            <w:vAlign w:val="bottom"/>
          </w:tcPr>
          <w:p>
            <w:pPr>
              <w:spacing w:after="0"/>
              <w:rPr>
                <w:sz w:val="19"/>
                <w:szCs w:val="19"/>
                <w:color w:val="auto"/>
              </w:rPr>
            </w:pPr>
          </w:p>
        </w:tc>
        <w:tc>
          <w:tcPr>
            <w:tcW w:w="6660" w:type="dxa"/>
            <w:vAlign w:val="bottom"/>
            <w:gridSpan w:val="3"/>
          </w:tcPr>
          <w:p>
            <w:pPr>
              <w:ind w:left="140"/>
              <w:spacing w:after="0"/>
              <w:rPr>
                <w:sz w:val="20"/>
                <w:szCs w:val="20"/>
                <w:color w:val="auto"/>
              </w:rPr>
            </w:pPr>
            <w:r>
              <w:rPr>
                <w:rFonts w:ascii="Arial" w:cs="Arial" w:eastAsia="Arial" w:hAnsi="Arial"/>
                <w:sz w:val="18"/>
                <w:szCs w:val="18"/>
                <w:color w:val="auto"/>
                <w:w w:val="90"/>
              </w:rPr>
              <w:t>Preferred stock, par value $1.00 per share, authorized 1,000,000 voting and 850,000 non-</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660" w:type="dxa"/>
            <w:vAlign w:val="bottom"/>
            <w:gridSpan w:val="3"/>
          </w:tcPr>
          <w:p>
            <w:pPr>
              <w:ind w:left="140"/>
              <w:spacing w:after="0"/>
              <w:rPr>
                <w:sz w:val="20"/>
                <w:szCs w:val="20"/>
                <w:color w:val="auto"/>
              </w:rPr>
            </w:pPr>
            <w:r>
              <w:rPr>
                <w:rFonts w:ascii="Arial" w:cs="Arial" w:eastAsia="Arial" w:hAnsi="Arial"/>
                <w:sz w:val="18"/>
                <w:szCs w:val="18"/>
                <w:color w:val="auto"/>
              </w:rPr>
              <w:t>voting shares, none issued and outstanding</w:t>
            </w:r>
          </w:p>
        </w:tc>
        <w:tc>
          <w:tcPr>
            <w:tcW w:w="26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6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4"/>
              </w:rPr>
              <w:t>Common stock, par value $1.00 per share, authorized 175,000,000 shares; issued and</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6"/>
        </w:trPr>
        <w:tc>
          <w:tcPr>
            <w:tcW w:w="40" w:type="dxa"/>
            <w:vAlign w:val="bottom"/>
            <w:shd w:val="clear" w:color="auto" w:fill="CCEEFF"/>
          </w:tcPr>
          <w:p>
            <w:pPr>
              <w:spacing w:after="0"/>
              <w:rPr>
                <w:sz w:val="18"/>
                <w:szCs w:val="18"/>
                <w:color w:val="auto"/>
              </w:rPr>
            </w:pPr>
          </w:p>
        </w:tc>
        <w:tc>
          <w:tcPr>
            <w:tcW w:w="6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9"/>
              </w:rPr>
              <w:t>outstanding 106,434,655 shares as of February 2, 2018, 107,575,440 shares as of</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6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February 3, 2017, and 106,882,972 shares as of October 31, 2017</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106,435</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107,575</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106,883</w:t>
            </w:r>
          </w:p>
        </w:tc>
      </w:tr>
      <w:tr>
        <w:trPr>
          <w:trHeight w:val="243"/>
        </w:trPr>
        <w:tc>
          <w:tcPr>
            <w:tcW w:w="40" w:type="dxa"/>
            <w:vAlign w:val="bottom"/>
          </w:tcPr>
          <w:p>
            <w:pPr>
              <w:spacing w:after="0"/>
              <w:rPr>
                <w:sz w:val="21"/>
                <w:szCs w:val="21"/>
                <w:color w:val="auto"/>
              </w:rPr>
            </w:pPr>
          </w:p>
        </w:tc>
        <w:tc>
          <w:tcPr>
            <w:tcW w:w="6660" w:type="dxa"/>
            <w:vAlign w:val="bottom"/>
            <w:gridSpan w:val="3"/>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490,373</w:t>
            </w:r>
          </w:p>
        </w:tc>
        <w:tc>
          <w:tcPr>
            <w:tcW w:w="2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443,559</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534,329</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6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(16,027)</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(38,098)</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(24,120)</w:t>
            </w:r>
          </w:p>
        </w:tc>
      </w:tr>
      <w:tr>
        <w:trPr>
          <w:trHeight w:val="237"/>
        </w:trPr>
        <w:tc>
          <w:tcPr>
            <w:tcW w:w="67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580,781</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513,036</w:t>
            </w: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617,092</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1,516,806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1,402,913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1,493,787</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auto"/>
              <w:bottom w:val="single" w:sz="8" w:color="auto"/>
            </w:tcBorders>
          </w:tcPr>
          <w:p>
            <w:pPr>
              <w:spacing w:after="0" w:line="20" w:lineRule="exact"/>
              <w:rPr>
                <w:sz w:val="1"/>
                <w:szCs w:val="1"/>
                <w:color w:val="auto"/>
              </w:rPr>
            </w:pPr>
          </w:p>
        </w:tc>
        <w:tc>
          <w:tcPr>
            <w:tcW w:w="2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53" w:lineRule="exact"/>
        <w:rPr>
          <w:sz w:val="20"/>
          <w:szCs w:val="20"/>
          <w:color w:val="auto"/>
        </w:rPr>
      </w:pPr>
    </w:p>
    <w:p>
      <w:pPr>
        <w:ind w:left="908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February 2,</w:t>
            </w:r>
          </w:p>
        </w:tc>
        <w:tc>
          <w:tcPr>
            <w:tcW w:w="260" w:type="dxa"/>
            <w:vAlign w:val="bottom"/>
          </w:tcPr>
          <w:p>
            <w:pPr>
              <w:spacing w:after="0"/>
              <w:rPr>
                <w:sz w:val="18"/>
                <w:szCs w:val="18"/>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February 3,</w:t>
            </w:r>
          </w:p>
        </w:tc>
      </w:tr>
      <w:tr>
        <w:trPr>
          <w:trHeight w:val="234"/>
        </w:trPr>
        <w:tc>
          <w:tcPr>
            <w:tcW w:w="7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7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22,604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44,990</w:t>
            </w:r>
          </w:p>
        </w:tc>
      </w:tr>
      <w:tr>
        <w:trPr>
          <w:trHeight w:val="27"/>
        </w:trPr>
        <w:tc>
          <w:tcPr>
            <w:tcW w:w="7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Non-cash income from finance affiliate</w:t>
            </w:r>
          </w:p>
        </w:tc>
        <w:tc>
          <w:tcPr>
            <w:tcW w:w="1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(2,192)</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(1,943)</w:t>
            </w:r>
          </w:p>
        </w:tc>
      </w:tr>
      <w:tr>
        <w:trPr>
          <w:trHeight w:val="27"/>
        </w:trPr>
        <w:tc>
          <w:tcPr>
            <w:tcW w:w="7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Contributions to finance affiliate, net</w:t>
            </w:r>
          </w:p>
        </w:tc>
        <w:tc>
          <w:tcPr>
            <w:tcW w:w="1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Provision for depreciation and amortization</w:t>
            </w:r>
          </w:p>
        </w:tc>
        <w:tc>
          <w:tcPr>
            <w:tcW w:w="120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15,226</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16,516</w:t>
            </w:r>
          </w:p>
        </w:tc>
      </w:tr>
      <w:tr>
        <w:trPr>
          <w:trHeight w:val="27"/>
        </w:trPr>
        <w:tc>
          <w:tcPr>
            <w:tcW w:w="7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3,124</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3,618</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20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19,682</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393</w:t>
            </w:r>
          </w:p>
        </w:tc>
      </w:tr>
      <w:tr>
        <w:trPr>
          <w:trHeight w:val="27"/>
        </w:trPr>
        <w:tc>
          <w:tcPr>
            <w:tcW w:w="7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1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Receivables, net</w:t>
            </w:r>
          </w:p>
        </w:tc>
        <w:tc>
          <w:tcPr>
            <w:tcW w:w="1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(12,989)</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(19,380)</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Inventories, net</w:t>
            </w:r>
          </w:p>
        </w:tc>
        <w:tc>
          <w:tcPr>
            <w:tcW w:w="1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(107,017)</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(90,560)</w:t>
            </w:r>
          </w:p>
        </w:tc>
      </w:tr>
      <w:tr>
        <w:trPr>
          <w:trHeight w:val="27"/>
        </w:trPr>
        <w:tc>
          <w:tcPr>
            <w:tcW w:w="7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1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(4,272)</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120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72,523</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66,128</w:t>
            </w:r>
          </w:p>
        </w:tc>
      </w:tr>
      <w:tr>
        <w:trPr>
          <w:trHeight w:val="27"/>
        </w:trPr>
        <w:tc>
          <w:tcPr>
            <w:tcW w:w="7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1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8,095</w:t>
            </w: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15,294</w:t>
            </w:r>
          </w:p>
        </w:tc>
      </w:tr>
      <w:tr>
        <w:trPr>
          <w:trHeight w:val="291"/>
        </w:trPr>
        <w:tc>
          <w:tcPr>
            <w:tcW w:w="7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(10,784)</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(11,620)</w:t>
            </w:r>
          </w:p>
        </w:tc>
      </w:tr>
      <w:tr>
        <w:trPr>
          <w:trHeight w:val="27"/>
        </w:trPr>
        <w:tc>
          <w:tcPr>
            <w:tcW w:w="7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net of cash acquired</w:t>
            </w:r>
          </w:p>
        </w:tc>
        <w:tc>
          <w:tcPr>
            <w:tcW w:w="1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(23,882)</w:t>
            </w:r>
          </w:p>
        </w:tc>
      </w:tr>
      <w:tr>
        <w:trPr>
          <w:trHeight w:val="237"/>
        </w:trPr>
        <w:tc>
          <w:tcPr>
            <w:tcW w:w="73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cash used in investing activities</w:t>
            </w:r>
          </w:p>
        </w:tc>
        <w:tc>
          <w:tcPr>
            <w:tcW w:w="1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(10,784)</w:t>
            </w: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(35,502)</w:t>
            </w:r>
          </w:p>
        </w:tc>
      </w:tr>
      <w:tr>
        <w:trPr>
          <w:trHeight w:val="27"/>
        </w:trPr>
        <w:tc>
          <w:tcPr>
            <w:tcW w:w="7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91"/>
        </w:trPr>
        <w:tc>
          <w:tcPr>
            <w:tcW w:w="7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on long-term debt</w:t>
            </w:r>
          </w:p>
        </w:tc>
        <w:tc>
          <w:tcPr>
            <w:tcW w:w="1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(18,017)</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(12,702)</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20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4,436</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3,128</w:t>
            </w:r>
          </w:p>
        </w:tc>
      </w:tr>
      <w:tr>
        <w:trPr>
          <w:trHeight w:val="27"/>
        </w:trPr>
        <w:tc>
          <w:tcPr>
            <w:tcW w:w="7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withholding taxes for stock awards</w:t>
            </w:r>
          </w:p>
        </w:tc>
        <w:tc>
          <w:tcPr>
            <w:tcW w:w="1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(2,716)</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Purchases of Toro common stock</w:t>
            </w:r>
          </w:p>
        </w:tc>
        <w:tc>
          <w:tcPr>
            <w:tcW w:w="1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(50,066)</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(65,002)</w:t>
            </w:r>
          </w:p>
        </w:tc>
      </w:tr>
      <w:tr>
        <w:trPr>
          <w:trHeight w:val="27"/>
        </w:trPr>
        <w:tc>
          <w:tcPr>
            <w:tcW w:w="7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paid on Toro common stock</w:t>
            </w:r>
          </w:p>
        </w:tc>
        <w:tc>
          <w:tcPr>
            <w:tcW w:w="1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(21,425)</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(18,994)</w:t>
            </w:r>
          </w:p>
        </w:tc>
      </w:tr>
      <w:tr>
        <w:trPr>
          <w:trHeight w:val="237"/>
        </w:trPr>
        <w:tc>
          <w:tcPr>
            <w:tcW w:w="73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cash used in financing activities</w:t>
            </w:r>
          </w:p>
        </w:tc>
        <w:tc>
          <w:tcPr>
            <w:tcW w:w="1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(88,149)</w:t>
            </w: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(96,286)</w:t>
            </w:r>
          </w:p>
        </w:tc>
      </w:tr>
      <w:tr>
        <w:trPr>
          <w:trHeight w:val="27"/>
        </w:trPr>
        <w:tc>
          <w:tcPr>
            <w:tcW w:w="7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91"/>
        </w:trPr>
        <w:tc>
          <w:tcPr>
            <w:tcW w:w="7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20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1,832</w:t>
            </w:r>
          </w:p>
        </w:tc>
      </w:tr>
      <w:tr>
        <w:trPr>
          <w:trHeight w:val="27"/>
        </w:trPr>
        <w:tc>
          <w:tcPr>
            <w:tcW w:w="7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91"/>
        </w:trPr>
        <w:tc>
          <w:tcPr>
            <w:tcW w:w="7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(90,526)</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(114,662)</w:t>
            </w:r>
          </w:p>
        </w:tc>
      </w:tr>
      <w:tr>
        <w:trPr>
          <w:trHeight w:val="27"/>
        </w:trPr>
        <w:tc>
          <w:tcPr>
            <w:tcW w:w="7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1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310,256</w:t>
            </w: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273,555</w:t>
            </w:r>
          </w:p>
        </w:tc>
      </w:tr>
      <w:tr>
        <w:trPr>
          <w:trHeight w:val="237"/>
        </w:trPr>
        <w:tc>
          <w:tcPr>
            <w:tcW w:w="7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and cash equivalents as of the end of the fiscal period</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219,730</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158,893</w:t>
            </w:r>
          </w:p>
        </w:tc>
      </w:tr>
      <w:tr>
        <w:trPr>
          <w:trHeight w:val="27"/>
        </w:trPr>
        <w:tc>
          <w:tcPr>
            <w:tcW w:w="7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7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to Form 10-Q and do not include all the information and notes required by United States generally accepted accounting principles (“U.S. GAAP”) for complete financial statements. Unless the context indicates otherwise, the terms “company,” “Toro,” “we,” “our” or “us” refer to The Toro Company and its consolidated subsidiaries. All intercompany accounts and transactions have been eliminated from the unaudited Condensed Consolidated Financial Statements.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opinion of management, the unaudited Condensed Consolidated Financial Statements include all adjustments, consisting primarily of recurring accruals, considered necessary for the fair presentation of the company's financial position, results of operations, and cash flows for the periods presented. Since the company’s business is seasonal, operating results for the three months ended February 2, 2018 cannot be annualized to determine the expected results for the fiscal year ending October 31, 2018.</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fiscal year ends on October 31, and quarterly results are reported based on three-month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further information, refer to the Consolidated Financial Statements and Notes to Consolidated Financial Statements included in the company’s Annual Report on Form 10-K for the fiscal year ended October 31, 2017. The policies described in that report are used for preparing quarterly reports.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preparing the Condensed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income tax accruals, inventory valuation, warranty reserves, earn-out liabilities, allowance for doubtful accounts, pension and post-retirement accruals, self-insurance accruals, useful lives for tangible and definite-lived intangible assets, and future cash flows associated with impairment testing for goodwill, indefinite-lived intangible assets and other long-lived assets. These estimates and assumptions are based on management’s best estimates and judgments at the time they are made.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As future events and their effects cannot be determined with certainty, actual amounts could differ significantly from those estimated at the time the Condensed Consolidated Financial Statements are prepared. Changes in those estimates will be reflected in the Consolidated Financial Statements in future periods.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Tax Reform</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22, 2017, the United States ("U.S.") enacted Public Law No. 115-97 (“Tax Act”), originally introduced as the Tax Cuts and Jobs Act, to significantly modify the Internal Revenue Code. The Tax Act reduced the U.S. federal corporate tax rate from 35.0 percent to 21.0 percent, created a territorial tax system with an exemption for foreign dividends, and imposed a one-time deemed repatriation tax on a U.S. company's historical undistributed earnings and profits of foreign affiliates. The tax rate change is effective January 1, 2018, resulting in a blended statutory tax rate of 23.3 percent for the fiscal year ended October 31, 2018. Among other provisions, the Tax Act also increased expensing for certain business assets, created new taxes on certain foreign sourced earnings, adopted limitations on business interest expense deductions, repealed deductions for income attributable to domestic production activities, and added other anti-base erosion rules. The effective dates for the provisions set forth in the Tax Act vary as to when the provisions will apply to the company.</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response to the Tax Act, the U.S. Securities and Exchange Commission ("SEC") provided guidance by issuing Staff Accounting Bulletin No. 118 (“SAB 118”). SAB 118 allows companies to record provisional amounts during a measurement period with respect to the impacts of the Tax Act for which the accounting requirements under Accounting Standards Codification ("ASC") Topic 740 are not complete, but a reasonable estimate has been determined. The measurement period under SAB 118 ends when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company has obtained, prepared, and analyzed the information that was needed in order to complete the accounting requirements under ASC Topic 740, but cannot exceed one year.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the first quarter of fiscal 2018, the company has not completed the accounting for the effects of the Tax Act. However, the company has estimated the impacts of the Tax Act in its annual effective tax rate, and has recorded provisional amounts for the remeasurement of deferred tax assets and liabilities and the deemed repatriation tax.</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have recorded provisional amounts for the items expected to most significantly impact our financial statements this year, our evaluation is not complete and, accordingly, we have not yet reached a final conclusion on the overall impacts of the Tax Act. The company needs additional time to obtain, prepare, and analyze information related to the applicable provisions of the Tax Act. The actual impact of the Tax Act may differ from the provisional amounts, due to, among other things, changes in interpretations and assumptions the company has made, guidance that may be issued, and changes in the company's structure or business model.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Adopted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July 2015, the Financial Accounting Standards Board ("FASB") issued Accounting Standards Update ("ASU") No. 2015-11, </w:t>
      </w:r>
      <w:r>
        <w:rPr>
          <w:rFonts w:ascii="Arial" w:cs="Arial" w:eastAsia="Arial" w:hAnsi="Arial"/>
          <w:sz w:val="18"/>
          <w:szCs w:val="18"/>
          <w:i w:val="1"/>
          <w:iCs w:val="1"/>
          <w:color w:val="auto"/>
        </w:rPr>
        <w:t>Inventory (Topic 330):</w:t>
      </w:r>
      <w:r>
        <w:rPr>
          <w:rFonts w:ascii="Arial" w:cs="Arial" w:eastAsia="Arial" w:hAnsi="Arial"/>
          <w:sz w:val="18"/>
          <w:szCs w:val="18"/>
          <w:color w:val="auto"/>
        </w:rPr>
        <w:t xml:space="preserve">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This amended guidance changes the measurement principle for inventory from the lower of cost or market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lower of cost or net realizable value. The amended guidance was adopted in the first quarter of fiscal 2018. The adoption of this guidance did not have an impact on the company's Condensed Consolidated Financial Statements.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August 2017, the FASB issued ASU No. 2017-12, </w:t>
      </w:r>
      <w:r>
        <w:rPr>
          <w:rFonts w:ascii="Arial" w:cs="Arial" w:eastAsia="Arial" w:hAnsi="Arial"/>
          <w:sz w:val="17"/>
          <w:szCs w:val="17"/>
          <w:i w:val="1"/>
          <w:iCs w:val="1"/>
          <w:color w:val="auto"/>
        </w:rPr>
        <w:t>Derivatives and Hedging (Topic 815): Targeted Improvements to Accounting for Hedging Activities</w:t>
      </w:r>
      <w:r>
        <w:rPr>
          <w:rFonts w:ascii="Arial" w:cs="Arial" w:eastAsia="Arial" w:hAnsi="Arial"/>
          <w:sz w:val="17"/>
          <w:szCs w:val="17"/>
          <w:color w:val="auto"/>
        </w:rPr>
        <w:t>, which amends the hedge accounting recognition, presentation, and effectiveness assessment requirements in ASC Topic 815. The company elected to early adopt this amended guidance using a modified retrospective basis effective November 1, 2017 ("adoption date"). In accordance with the transition provisions of ASU 2017-12, the company is required to eliminate the separate measurement of ineffectiveness for its cash flow hedging instruments existing as of the adoption date through a cumulative effect adjustment to retained earnings as of the beginning of the fiscal year of adoption. The company did not record a cumulative effect adjustment to retained earnings to eliminate prior period ineffectiveness amounts recognized in earnings as no such amounts existed within the company’s previously issued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the early adoption resulted in the following:</w:t>
      </w:r>
    </w:p>
    <w:p>
      <w:pPr>
        <w:spacing w:after="0" w:line="225" w:lineRule="exact"/>
        <w:rPr>
          <w:sz w:val="20"/>
          <w:szCs w:val="20"/>
          <w:color w:val="auto"/>
        </w:rPr>
      </w:pPr>
    </w:p>
    <w:p>
      <w:pPr>
        <w:jc w:val="both"/>
        <w:ind w:left="660" w:hanging="328"/>
        <w:spacing w:after="0" w:line="26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company no longer separately measures and recognizes hedge ineffectiveness within the Consolidated Statements of Earnings. Rather, the company recognizes the entire change in the fair value of highly effective cash flow hedging instruments included in the assessment of hedge effectiveness in other comprehensive income within accumulated other comprehensive loss (“AOCL”) on the Consolidated Balance Sheets. The amounts recorded in AOCL will subsequently be reclassified to net earnings in the Consolidated Statements of Earnings within the same line item as the underlying exposure when the underlying hedged transaction affects net earnings.</w:t>
      </w:r>
    </w:p>
    <w:p>
      <w:pPr>
        <w:spacing w:after="0" w:line="3"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no longer recognizes amounts of hedge components excluded from the assessment of effectiveness (“excluded components”) within other income, net, but instead, on a prospective basis, recognizes and presents excluded components within the same line item in the Consolidated Statements of Earnings as the underlying exposure.</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elected to not change its policy on accounting for excluded components and will continue to recognize changes in the fair value of excluded components currently in net earnings under the mark-to-market approach.</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In addition, certain provisions in the amended guidance require modification to existing disclosure requirements on a prospective basis. Refer to Note 12, </w:t>
      </w:r>
      <w:r>
        <w:rPr>
          <w:rFonts w:ascii="Arial" w:cs="Arial" w:eastAsia="Arial" w:hAnsi="Arial"/>
          <w:sz w:val="17"/>
          <w:szCs w:val="17"/>
          <w:i w:val="1"/>
          <w:iCs w:val="1"/>
          <w:color w:val="auto"/>
        </w:rPr>
        <w:t>Derivative Instruments and Hedging Activities</w:t>
      </w:r>
      <w:r>
        <w:rPr>
          <w:rFonts w:ascii="Arial" w:cs="Arial" w:eastAsia="Arial" w:hAnsi="Arial"/>
          <w:sz w:val="17"/>
          <w:szCs w:val="17"/>
          <w:color w:val="auto"/>
        </w:rPr>
        <w:t>, for disclosures relating to the company's derivative instruments and hedging activities.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January 1, 2017, during the first quarter of fiscal 2017, the company completed the acquisition of all the outstanding shares of Regnerbau Calw GmbH ("Perrot"), a privately held manufacturer of professional irrigation equipment. The addition of these products broadened and strengthened the company's irrigation solutions for the sport, agricultural, and industrial markets. The acquisition was funded with existing foreign cash and cash equivalents. The purchase price of this acquisition was allocated to the identifiable assets acquired and liabilities assumed based on estimates of their fair value, with the excess purchase price recorded as goodwill. This acquisition was immaterial based on the company's Consolidated Financial Condition and Results of Operations.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in Joint Venture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fiscal 2009, the company and TCF Inventory Finance, Inc. (“TCFIF”), a subsidiary of TCF National Bank, established Red Iron Acceptance, LLC (“Red Iron”), a joint venture in the form of a Delaware limited liability company that primarily provides inventory financing to certain distributors and dealers of the company’s products in the United States. On November 29, 2016, during the first quarter of fiscal 2017, the company entered into amended agreements for its Red Iron joint venture with TCFIF. As a result, the amended term of Red Iron will continue until October 31, 2024, subject to two-year extensions thereafter. Either the company or TCFIF may elect not to extend the amended term, or any subsequent term, by giving one-year written notice to the other party.</w:t>
      </w:r>
    </w:p>
    <w:p>
      <w:pPr>
        <w:spacing w:after="0" w:line="15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owns 45 percent of Red Iron and TCFIF owns 55 percent of Red Iron. The company accounts for its investment in Red Iron under the equity method of accounting. The company and TCFIF each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$550 million secured revolving credit facility established under a credit agreement between Red Iron and TCFIF. The company’s total investment in Red Iron as of February 2, 2018 was $23.1 million. The company has not guaranteed the outstanding indebtedness of Red Iron.</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agreed to repurchase products repossessed by Red Iron and the TCFIF Canadian affiliate, up to a maximum aggregate amount of $7.5 million in a calendar year. Under the repurchase agreement between Red Iron and the company, Red Iron provides financing for certain dealers and distributors. These transactions are structured as an advance in the form of a payment by Red Iron to the company on behalf of a distributor or dealer with respect to invoices financed by Red Iron. These payments extinguish the obligation of the dealer or distributor to make payment to the company under the terms of the applicable invoice.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separate agreements between Red Iron and the dealers and distributors, Red Iron provides loans to the dealers and distributors for the advances paid by Red Iron to the company. The net amount of receivables financed for dealers and distributors under this arrangement for the three months ended February 2, 2018 and February 3, 2017 were $386.3 million and $375.0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31, 2018, Red Iron’s total assets were $463.1 million and total liabilities were $411.8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Inventories are valued at the lower of cost or net realizable value, with cost determined by the last-in, first-out (“LIFO”) method for a majority of the company's inventories and the first-in, first-out (“FIFO”) method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Inventories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36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February 2, 2018</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February 3, 2017</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October 31, 2017</w:t>
            </w:r>
          </w:p>
        </w:tc>
      </w:tr>
      <w:tr>
        <w:trPr>
          <w:trHeight w:val="27"/>
        </w:trPr>
        <w:tc>
          <w:tcPr>
            <w:tcW w:w="46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Raw materials and work in process</w:t>
            </w:r>
          </w:p>
        </w:tc>
        <w:tc>
          <w:tcPr>
            <w:tcW w:w="2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114,150</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107,170</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100,077</w:t>
            </w:r>
          </w:p>
        </w:tc>
      </w:tr>
      <w:tr>
        <w:trPr>
          <w:trHeight w:val="27"/>
        </w:trPr>
        <w:tc>
          <w:tcPr>
            <w:tcW w:w="46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 and service parts</w:t>
            </w:r>
          </w:p>
        </w:tc>
        <w:tc>
          <w:tcPr>
            <w:tcW w:w="2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391,994</w:t>
            </w: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353,290</w:t>
            </w:r>
          </w:p>
        </w:tc>
        <w:tc>
          <w:tcPr>
            <w:tcW w:w="5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295,716</w:t>
            </w:r>
          </w:p>
        </w:tc>
      </w:tr>
      <w:tr>
        <w:trPr>
          <w:trHeight w:val="237"/>
        </w:trPr>
        <w:tc>
          <w:tcPr>
            <w:tcW w:w="46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FIFO value</w:t>
            </w:r>
          </w:p>
        </w:tc>
        <w:tc>
          <w:tcPr>
            <w:tcW w:w="2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506,144</w:t>
            </w: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460,460</w:t>
            </w:r>
          </w:p>
        </w:tc>
        <w:tc>
          <w:tcPr>
            <w:tcW w:w="5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395,793</w:t>
            </w:r>
          </w:p>
        </w:tc>
      </w:tr>
      <w:tr>
        <w:trPr>
          <w:trHeight w:val="27"/>
        </w:trPr>
        <w:tc>
          <w:tcPr>
            <w:tcW w:w="46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adjustment to LIFO value</w:t>
            </w:r>
          </w:p>
        </w:tc>
        <w:tc>
          <w:tcPr>
            <w:tcW w:w="2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66,801</w:t>
            </w: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58,357</w:t>
            </w:r>
          </w:p>
        </w:tc>
        <w:tc>
          <w:tcPr>
            <w:tcW w:w="5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66,801</w:t>
            </w:r>
          </w:p>
        </w:tc>
      </w:tr>
      <w:tr>
        <w:trPr>
          <w:trHeight w:val="237"/>
        </w:trPr>
        <w:tc>
          <w:tcPr>
            <w:tcW w:w="4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inventories, net</w:t>
            </w:r>
          </w:p>
        </w:tc>
        <w:tc>
          <w:tcPr>
            <w:tcW w:w="25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439,343</w:t>
            </w:r>
          </w:p>
        </w:tc>
        <w:tc>
          <w:tcPr>
            <w:tcW w:w="5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402,103</w:t>
            </w:r>
          </w:p>
        </w:tc>
        <w:tc>
          <w:tcPr>
            <w:tcW w:w="5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328,992</w:t>
            </w:r>
          </w:p>
        </w:tc>
      </w:tr>
      <w:tr>
        <w:trPr>
          <w:trHeight w:val="27"/>
        </w:trPr>
        <w:tc>
          <w:tcPr>
            <w:tcW w:w="46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net carrying amount of goodwill for the first three months of fiscal 2018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Professional</w:t>
            </w:r>
          </w:p>
        </w:tc>
        <w:tc>
          <w:tcPr>
            <w:tcW w:w="300" w:type="dxa"/>
            <w:vAlign w:val="bottom"/>
          </w:tcPr>
          <w:p>
            <w:pPr>
              <w:spacing w:after="0"/>
              <w:rPr>
                <w:sz w:val="18"/>
                <w:szCs w:val="18"/>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Residential</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39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2980" w:type="dxa"/>
            <w:vAlign w:val="bottom"/>
          </w:tcPr>
          <w:p>
            <w:pPr>
              <w:spacing w:after="0"/>
              <w:rPr>
                <w:sz w:val="20"/>
                <w:szCs w:val="20"/>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b w:val="1"/>
                <w:bCs w:val="1"/>
                <w:color w:val="auto"/>
              </w:rPr>
              <w:t>Segment</w:t>
            </w:r>
          </w:p>
        </w:tc>
        <w:tc>
          <w:tcPr>
            <w:tcW w:w="300" w:type="dxa"/>
            <w:vAlign w:val="bottom"/>
          </w:tcPr>
          <w:p>
            <w:pPr>
              <w:spacing w:after="0"/>
              <w:rPr>
                <w:sz w:val="20"/>
                <w:szCs w:val="20"/>
                <w:color w:val="auto"/>
              </w:rPr>
            </w:pPr>
          </w:p>
        </w:tc>
        <w:tc>
          <w:tcPr>
            <w:tcW w:w="1280" w:type="dxa"/>
            <w:vAlign w:val="bottom"/>
          </w:tcPr>
          <w:p>
            <w:pPr>
              <w:jc w:val="right"/>
              <w:ind w:right="330"/>
              <w:spacing w:after="0"/>
              <w:rPr>
                <w:sz w:val="20"/>
                <w:szCs w:val="20"/>
                <w:color w:val="auto"/>
              </w:rPr>
            </w:pPr>
            <w:r>
              <w:rPr>
                <w:rFonts w:ascii="Arial" w:cs="Arial" w:eastAsia="Arial" w:hAnsi="Arial"/>
                <w:sz w:val="18"/>
                <w:szCs w:val="18"/>
                <w:b w:val="1"/>
                <w:bCs w:val="1"/>
                <w:color w:val="auto"/>
              </w:rPr>
              <w:t>Segment</w:t>
            </w:r>
          </w:p>
        </w:tc>
        <w:tc>
          <w:tcPr>
            <w:tcW w:w="4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39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October 31, 2017</w:t>
            </w:r>
          </w:p>
        </w:tc>
        <w:tc>
          <w:tcPr>
            <w:tcW w:w="2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194,464</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10,565</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205,029</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Translation adjustments</w:t>
            </w:r>
          </w:p>
        </w:tc>
        <w:tc>
          <w:tcPr>
            <w:tcW w:w="29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793</w:t>
            </w:r>
          </w:p>
        </w:tc>
        <w:tc>
          <w:tcPr>
            <w:tcW w:w="3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132</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925</w:t>
            </w:r>
          </w:p>
        </w:tc>
      </w:tr>
      <w:tr>
        <w:trPr>
          <w:trHeight w:val="27"/>
        </w:trPr>
        <w:tc>
          <w:tcPr>
            <w:tcW w:w="39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February 2, 2018</w:t>
            </w:r>
          </w:p>
        </w:tc>
        <w:tc>
          <w:tcPr>
            <w:tcW w:w="2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195,257</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10,697</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205,954</w:t>
            </w:r>
          </w:p>
        </w:tc>
      </w:tr>
      <w:tr>
        <w:trPr>
          <w:trHeight w:val="20"/>
        </w:trPr>
        <w:tc>
          <w:tcPr>
            <w:tcW w:w="3980" w:type="dxa"/>
            <w:vAlign w:val="bottom"/>
            <w:tcBorders>
              <w:top w:val="single" w:sz="8" w:color="auto"/>
              <w:bottom w:val="single" w:sz="8" w:color="auto"/>
            </w:tcBorders>
          </w:tcPr>
          <w:p>
            <w:pPr>
              <w:spacing w:after="0" w:line="20" w:lineRule="exact"/>
              <w:rPr>
                <w:sz w:val="1"/>
                <w:szCs w:val="1"/>
                <w:color w:val="auto"/>
              </w:rPr>
            </w:pPr>
          </w:p>
        </w:tc>
        <w:tc>
          <w:tcPr>
            <w:tcW w:w="29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980" w:type="dxa"/>
            <w:vAlign w:val="bottom"/>
          </w:tcPr>
          <w:p>
            <w:pPr>
              <w:spacing w:after="0"/>
              <w:rPr>
                <w:sz w:val="24"/>
                <w:szCs w:val="24"/>
                <w:color w:val="auto"/>
              </w:rPr>
            </w:pPr>
          </w:p>
        </w:tc>
        <w:tc>
          <w:tcPr>
            <w:tcW w:w="2980" w:type="dxa"/>
            <w:vAlign w:val="bottom"/>
          </w:tcPr>
          <w:p>
            <w:pPr>
              <w:jc w:val="right"/>
              <w:ind w:right="1110"/>
              <w:spacing w:after="0"/>
              <w:rPr>
                <w:sz w:val="20"/>
                <w:szCs w:val="20"/>
                <w:color w:val="auto"/>
              </w:rPr>
            </w:pPr>
            <w:r>
              <w:rPr>
                <w:rFonts w:ascii="Arial" w:cs="Arial" w:eastAsia="Arial" w:hAnsi="Arial"/>
                <w:sz w:val="18"/>
                <w:szCs w:val="18"/>
                <w:color w:val="auto"/>
              </w:rPr>
              <w:t>8</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intangible assets as of February 2, 2018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Gross Carrying</w:t>
            </w:r>
          </w:p>
        </w:tc>
        <w:tc>
          <w:tcPr>
            <w:tcW w:w="26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Accumulated</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520" w:type="dxa"/>
            <w:vAlign w:val="bottom"/>
          </w:tcPr>
          <w:p>
            <w:pPr>
              <w:spacing w:after="0"/>
              <w:rPr>
                <w:sz w:val="20"/>
                <w:szCs w:val="20"/>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20"/>
                <w:szCs w:val="20"/>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Amortization</w:t>
            </w:r>
          </w:p>
        </w:tc>
        <w:tc>
          <w:tcPr>
            <w:tcW w:w="42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Net</w:t>
            </w:r>
          </w:p>
        </w:tc>
      </w:tr>
      <w:tr>
        <w:trPr>
          <w:trHeight w:val="27"/>
        </w:trPr>
        <w:tc>
          <w:tcPr>
            <w:tcW w:w="6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15,193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(11,775)</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3,418</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5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6,924</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(6,807)</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7"/>
        </w:trPr>
        <w:tc>
          <w:tcPr>
            <w:tcW w:w="6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Customer-related</w:t>
            </w:r>
          </w:p>
        </w:tc>
        <w:tc>
          <w:tcPr>
            <w:tcW w:w="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87,742</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(20,160)</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67,582</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5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30,370</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(27,549)</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2,821</w:t>
            </w:r>
          </w:p>
        </w:tc>
      </w:tr>
      <w:tr>
        <w:trPr>
          <w:trHeight w:val="27"/>
        </w:trPr>
        <w:tc>
          <w:tcPr>
            <w:tcW w:w="6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2,384</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800</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(800)</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143,413</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(68,780)</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74,633</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Non-amortizable - trade names</w:t>
            </w:r>
          </w:p>
        </w:tc>
        <w:tc>
          <w:tcPr>
            <w:tcW w:w="5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27,733</w:t>
            </w:r>
          </w:p>
        </w:tc>
        <w:tc>
          <w:tcPr>
            <w:tcW w:w="2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27,733</w:t>
            </w:r>
          </w:p>
        </w:tc>
      </w:tr>
      <w:tr>
        <w:trPr>
          <w:trHeight w:val="27"/>
        </w:trPr>
        <w:tc>
          <w:tcPr>
            <w:tcW w:w="6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intangible assets, net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171,146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(68,780)</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102,366</w:t>
            </w:r>
          </w:p>
        </w:tc>
      </w:tr>
      <w:tr>
        <w:trPr>
          <w:trHeight w:val="20"/>
        </w:trPr>
        <w:tc>
          <w:tcPr>
            <w:tcW w:w="6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6380" w:type="dxa"/>
            <w:vAlign w:val="bottom"/>
          </w:tcPr>
          <w:p>
            <w:pPr>
              <w:spacing w:after="0"/>
              <w:rPr>
                <w:sz w:val="20"/>
                <w:szCs w:val="20"/>
                <w:color w:val="auto"/>
              </w:rPr>
            </w:pPr>
            <w:r>
              <w:rPr>
                <w:rFonts w:ascii="Arial" w:cs="Arial" w:eastAsia="Arial" w:hAnsi="Arial"/>
                <w:sz w:val="18"/>
                <w:szCs w:val="18"/>
                <w:color w:val="auto"/>
                <w:w w:val="96"/>
              </w:rPr>
              <w:t>The components of other intangible assets as of October 31, 2017 were as follows:</w:t>
            </w:r>
          </w:p>
        </w:tc>
        <w:tc>
          <w:tcPr>
            <w:tcW w:w="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35"/>
        </w:trPr>
        <w:tc>
          <w:tcPr>
            <w:tcW w:w="63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r>
        <w:trPr>
          <w:trHeight w:val="218"/>
        </w:trPr>
        <w:tc>
          <w:tcPr>
            <w:tcW w:w="6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Gross Carrying</w:t>
            </w:r>
          </w:p>
        </w:tc>
        <w:tc>
          <w:tcPr>
            <w:tcW w:w="26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Accumulated</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520" w:type="dxa"/>
            <w:vAlign w:val="bottom"/>
          </w:tcPr>
          <w:p>
            <w:pPr>
              <w:spacing w:after="0"/>
              <w:rPr>
                <w:sz w:val="20"/>
                <w:szCs w:val="20"/>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20"/>
                <w:szCs w:val="20"/>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Amortization</w:t>
            </w:r>
          </w:p>
        </w:tc>
        <w:tc>
          <w:tcPr>
            <w:tcW w:w="42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Net</w:t>
            </w:r>
          </w:p>
        </w:tc>
      </w:tr>
      <w:tr>
        <w:trPr>
          <w:trHeight w:val="27"/>
        </w:trPr>
        <w:tc>
          <w:tcPr>
            <w:tcW w:w="6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15,162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(11,599)</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3,563</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5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6,896</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(6,775)</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121</w:t>
            </w:r>
          </w:p>
        </w:tc>
      </w:tr>
      <w:tr>
        <w:trPr>
          <w:trHeight w:val="27"/>
        </w:trPr>
        <w:tc>
          <w:tcPr>
            <w:tcW w:w="6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Customer-related</w:t>
            </w:r>
          </w:p>
        </w:tc>
        <w:tc>
          <w:tcPr>
            <w:tcW w:w="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87,461</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(18,940)</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68,521</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5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30,212</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(26,939)</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3,273</w:t>
            </w:r>
          </w:p>
        </w:tc>
      </w:tr>
      <w:tr>
        <w:trPr>
          <w:trHeight w:val="27"/>
        </w:trPr>
        <w:tc>
          <w:tcPr>
            <w:tcW w:w="6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2,330</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800</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(800)</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142,861</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(66,690)</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76,171</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Non-amortizable - trade names</w:t>
            </w:r>
          </w:p>
        </w:tc>
        <w:tc>
          <w:tcPr>
            <w:tcW w:w="5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27,572</w:t>
            </w:r>
          </w:p>
        </w:tc>
        <w:tc>
          <w:tcPr>
            <w:tcW w:w="2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27,572</w:t>
            </w:r>
          </w:p>
        </w:tc>
      </w:tr>
      <w:tr>
        <w:trPr>
          <w:trHeight w:val="27"/>
        </w:trPr>
        <w:tc>
          <w:tcPr>
            <w:tcW w:w="6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intangible assets, net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170,433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(66,690)</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103,743</w:t>
            </w:r>
          </w:p>
        </w:tc>
      </w:tr>
      <w:tr>
        <w:trPr>
          <w:trHeight w:val="20"/>
        </w:trPr>
        <w:tc>
          <w:tcPr>
            <w:tcW w:w="6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Amortization expense for intangible assets during the first quarter of fiscal 2018 was $1.9 million, compared to $2.4 million for the same period last fiscal year. Estimated amortization expense for the remainder of fiscal 2018 and succeeding fiscal years is as follows: fiscal 2018 (remainder), $4.8 million; fiscal 2019, $5.8 million; fiscal 2020, $5.3 million; fiscal 2021, $4.9 million; fiscal 2022, $4.7 million; fiscal 2023, $4.7 million; and after fiscal 2023, $44.4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AOCL, net of tax,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38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February 2, 2018</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February 3, 2017</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October 31, 2017</w:t>
            </w:r>
          </w:p>
        </w:tc>
      </w:tr>
      <w:tr>
        <w:trPr>
          <w:trHeight w:val="27"/>
        </w:trPr>
        <w:tc>
          <w:tcPr>
            <w:tcW w:w="44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28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10,162</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31,177</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21,303</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Pension and post-retirement benefits</w:t>
            </w:r>
          </w:p>
        </w:tc>
        <w:tc>
          <w:tcPr>
            <w:tcW w:w="28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2,281</w:t>
            </w:r>
          </w:p>
        </w:tc>
        <w:tc>
          <w:tcPr>
            <w:tcW w:w="5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6,495</w:t>
            </w:r>
          </w:p>
        </w:tc>
        <w:tc>
          <w:tcPr>
            <w:tcW w:w="5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2,012</w:t>
            </w:r>
          </w:p>
        </w:tc>
      </w:tr>
      <w:tr>
        <w:trPr>
          <w:trHeight w:val="27"/>
        </w:trPr>
        <w:tc>
          <w:tcPr>
            <w:tcW w:w="44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hedging derivative instruments</w:t>
            </w:r>
          </w:p>
        </w:tc>
        <w:tc>
          <w:tcPr>
            <w:tcW w:w="28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3,584</w:t>
            </w:r>
          </w:p>
        </w:tc>
        <w:tc>
          <w:tcPr>
            <w:tcW w:w="5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w:t>
            </w: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w:t>
            </w:r>
          </w:p>
        </w:tc>
      </w:tr>
      <w:tr>
        <w:trPr>
          <w:trHeight w:val="237"/>
        </w:trPr>
        <w:tc>
          <w:tcPr>
            <w:tcW w:w="4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accumulated other comprehensive loss</w:t>
            </w:r>
          </w:p>
        </w:tc>
        <w:tc>
          <w:tcPr>
            <w:tcW w:w="28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16,027</w:t>
            </w:r>
          </w:p>
        </w:tc>
        <w:tc>
          <w:tcPr>
            <w:tcW w:w="5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38,098</w:t>
            </w:r>
          </w:p>
        </w:tc>
        <w:tc>
          <w:tcPr>
            <w:tcW w:w="5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24,120</w:t>
            </w:r>
          </w:p>
        </w:tc>
      </w:tr>
      <w:tr>
        <w:trPr>
          <w:trHeight w:val="27"/>
        </w:trPr>
        <w:tc>
          <w:tcPr>
            <w:tcW w:w="44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56"/>
        </w:trPr>
        <w:tc>
          <w:tcPr>
            <w:tcW w:w="4460" w:type="dxa"/>
            <w:vAlign w:val="bottom"/>
          </w:tcPr>
          <w:p>
            <w:pPr>
              <w:spacing w:after="0"/>
              <w:rPr>
                <w:sz w:val="24"/>
                <w:szCs w:val="24"/>
                <w:color w:val="auto"/>
              </w:rPr>
            </w:pPr>
          </w:p>
        </w:tc>
        <w:tc>
          <w:tcPr>
            <w:tcW w:w="2800" w:type="dxa"/>
            <w:vAlign w:val="bottom"/>
          </w:tcPr>
          <w:p>
            <w:pPr>
              <w:jc w:val="right"/>
              <w:ind w:right="1410"/>
              <w:spacing w:after="0"/>
              <w:rPr>
                <w:sz w:val="20"/>
                <w:szCs w:val="20"/>
                <w:color w:val="auto"/>
              </w:rPr>
            </w:pPr>
            <w:r>
              <w:rPr>
                <w:rFonts w:ascii="Arial" w:cs="Arial" w:eastAsia="Arial" w:hAnsi="Arial"/>
                <w:sz w:val="18"/>
                <w:szCs w:val="18"/>
                <w:color w:val="auto"/>
              </w:rPr>
              <w:t>9</w:t>
            </w: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and activity of AOCL for the first three months of fiscal 2018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Foreign</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Cash Flow</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Currency</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Pension and Post-</w:t>
            </w:r>
          </w:p>
        </w:tc>
        <w:tc>
          <w:tcPr>
            <w:tcW w:w="26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Hedging</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Translation</w:t>
            </w:r>
          </w:p>
        </w:tc>
        <w:tc>
          <w:tcPr>
            <w:tcW w:w="300" w:type="dxa"/>
            <w:vAlign w:val="bottom"/>
          </w:tcPr>
          <w:p>
            <w:pPr>
              <w:spacing w:after="0"/>
              <w:rPr>
                <w:sz w:val="18"/>
                <w:szCs w:val="18"/>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Retirement</w:t>
            </w:r>
          </w:p>
        </w:tc>
        <w:tc>
          <w:tcPr>
            <w:tcW w:w="26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Derivative</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600" w:type="dxa"/>
            <w:vAlign w:val="bottom"/>
          </w:tcPr>
          <w:p>
            <w:pPr>
              <w:spacing w:after="0"/>
              <w:rPr>
                <w:sz w:val="20"/>
                <w:szCs w:val="20"/>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Adjustments</w:t>
            </w:r>
          </w:p>
        </w:tc>
        <w:tc>
          <w:tcPr>
            <w:tcW w:w="300" w:type="dxa"/>
            <w:vAlign w:val="bottom"/>
          </w:tcPr>
          <w:p>
            <w:pPr>
              <w:spacing w:after="0"/>
              <w:rPr>
                <w:sz w:val="20"/>
                <w:szCs w:val="20"/>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Benefits</w:t>
            </w:r>
          </w:p>
        </w:tc>
        <w:tc>
          <w:tcPr>
            <w:tcW w:w="260" w:type="dxa"/>
            <w:vAlign w:val="bottom"/>
          </w:tcPr>
          <w:p>
            <w:pPr>
              <w:spacing w:after="0"/>
              <w:rPr>
                <w:sz w:val="20"/>
                <w:szCs w:val="20"/>
                <w:color w:val="auto"/>
              </w:rPr>
            </w:pPr>
          </w:p>
        </w:tc>
        <w:tc>
          <w:tcPr>
            <w:tcW w:w="13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Instruments</w:t>
            </w:r>
          </w:p>
        </w:tc>
        <w:tc>
          <w:tcPr>
            <w:tcW w:w="40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4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October 31, 2017</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21,303</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2,012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24,120</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w w:val="99"/>
              </w:rPr>
              <w:t>Other comprehensive (income) loss before reclassifications</w:t>
            </w:r>
          </w:p>
        </w:tc>
        <w:tc>
          <w:tcPr>
            <w:tcW w:w="6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(11,141)</w:t>
            </w:r>
          </w:p>
        </w:tc>
        <w:tc>
          <w:tcPr>
            <w:tcW w:w="30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269</w:t>
            </w:r>
          </w:p>
        </w:tc>
        <w:tc>
          <w:tcPr>
            <w:tcW w:w="2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3,612</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(7,260)</w:t>
            </w:r>
          </w:p>
        </w:tc>
      </w:tr>
      <w:tr>
        <w:trPr>
          <w:trHeight w:val="27"/>
        </w:trPr>
        <w:tc>
          <w:tcPr>
            <w:tcW w:w="4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AOCL</w:t>
            </w:r>
          </w:p>
        </w:tc>
        <w:tc>
          <w:tcPr>
            <w:tcW w:w="6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w:t>
            </w:r>
          </w:p>
        </w:tc>
      </w:tr>
      <w:tr>
        <w:trPr>
          <w:trHeight w:val="237"/>
        </w:trPr>
        <w:tc>
          <w:tcPr>
            <w:tcW w:w="4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current period other comprehensive (income) loss</w:t>
            </w:r>
          </w:p>
        </w:tc>
        <w:tc>
          <w:tcPr>
            <w:tcW w:w="6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(11,141)</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269</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2,779</w:t>
            </w:r>
          </w:p>
        </w:tc>
        <w:tc>
          <w:tcPr>
            <w:tcW w:w="4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(8,093)</w:t>
            </w:r>
          </w:p>
        </w:tc>
      </w:tr>
      <w:tr>
        <w:trPr>
          <w:trHeight w:val="27"/>
        </w:trPr>
        <w:tc>
          <w:tcPr>
            <w:tcW w:w="4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February 2, 2018</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10,162</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2,281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3,584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16,027</w:t>
            </w:r>
          </w:p>
        </w:tc>
      </w:tr>
      <w:tr>
        <w:trPr>
          <w:trHeight w:val="20"/>
        </w:trPr>
        <w:tc>
          <w:tcPr>
            <w:tcW w:w="4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and activity of AOCL for the first three months of fiscal 2017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Foreign</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Cash Flow</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Currency</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Pension and Post-</w:t>
            </w:r>
          </w:p>
        </w:tc>
        <w:tc>
          <w:tcPr>
            <w:tcW w:w="26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Hedging</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Translation</w:t>
            </w:r>
          </w:p>
        </w:tc>
        <w:tc>
          <w:tcPr>
            <w:tcW w:w="300" w:type="dxa"/>
            <w:vAlign w:val="bottom"/>
          </w:tcPr>
          <w:p>
            <w:pPr>
              <w:spacing w:after="0"/>
              <w:rPr>
                <w:sz w:val="18"/>
                <w:szCs w:val="18"/>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Retirement</w:t>
            </w:r>
          </w:p>
        </w:tc>
        <w:tc>
          <w:tcPr>
            <w:tcW w:w="26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Derivative</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600" w:type="dxa"/>
            <w:vAlign w:val="bottom"/>
          </w:tcPr>
          <w:p>
            <w:pPr>
              <w:spacing w:after="0"/>
              <w:rPr>
                <w:sz w:val="20"/>
                <w:szCs w:val="20"/>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Adjustments</w:t>
            </w:r>
          </w:p>
        </w:tc>
        <w:tc>
          <w:tcPr>
            <w:tcW w:w="300" w:type="dxa"/>
            <w:vAlign w:val="bottom"/>
          </w:tcPr>
          <w:p>
            <w:pPr>
              <w:spacing w:after="0"/>
              <w:rPr>
                <w:sz w:val="20"/>
                <w:szCs w:val="20"/>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Benefits</w:t>
            </w:r>
          </w:p>
        </w:tc>
        <w:tc>
          <w:tcPr>
            <w:tcW w:w="260" w:type="dxa"/>
            <w:vAlign w:val="bottom"/>
          </w:tcPr>
          <w:p>
            <w:pPr>
              <w:spacing w:after="0"/>
              <w:rPr>
                <w:sz w:val="20"/>
                <w:szCs w:val="20"/>
                <w:color w:val="auto"/>
              </w:rPr>
            </w:pPr>
          </w:p>
        </w:tc>
        <w:tc>
          <w:tcPr>
            <w:tcW w:w="13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Instruments</w:t>
            </w:r>
          </w:p>
        </w:tc>
        <w:tc>
          <w:tcPr>
            <w:tcW w:w="40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4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October 31, 2016</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31,430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6,359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38,436</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w w:val="99"/>
              </w:rPr>
              <w:t>Other comprehensive (income) loss before reclassifications</w:t>
            </w:r>
          </w:p>
        </w:tc>
        <w:tc>
          <w:tcPr>
            <w:tcW w:w="6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30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136</w:t>
            </w:r>
          </w:p>
        </w:tc>
        <w:tc>
          <w:tcPr>
            <w:tcW w:w="2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4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AOCL</w:t>
            </w:r>
          </w:p>
        </w:tc>
        <w:tc>
          <w:tcPr>
            <w:tcW w:w="6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37"/>
        </w:trPr>
        <w:tc>
          <w:tcPr>
            <w:tcW w:w="4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current period other comprehensive (income) loss</w:t>
            </w:r>
          </w:p>
        </w:tc>
        <w:tc>
          <w:tcPr>
            <w:tcW w:w="6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136</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4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w:t>
            </w:r>
          </w:p>
        </w:tc>
      </w:tr>
      <w:tr>
        <w:trPr>
          <w:trHeight w:val="27"/>
        </w:trPr>
        <w:tc>
          <w:tcPr>
            <w:tcW w:w="4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February 3, 2017</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31,177</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6,495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38,098</w:t>
            </w:r>
          </w:p>
        </w:tc>
      </w:tr>
      <w:tr>
        <w:trPr>
          <w:trHeight w:val="20"/>
        </w:trPr>
        <w:tc>
          <w:tcPr>
            <w:tcW w:w="4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 xml:space="preserve">For additional information on the components reclassified from AOCL to the respective line items in net earnings for derivative instruments, refer to Note 12,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costs related to stock-based awards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39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February 2, 2018</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February 3, 2017</w:t>
            </w:r>
          </w:p>
        </w:tc>
      </w:tr>
      <w:tr>
        <w:trPr>
          <w:trHeight w:val="27"/>
        </w:trPr>
        <w:tc>
          <w:tcPr>
            <w:tcW w:w="59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 awards</w:t>
            </w:r>
          </w:p>
        </w:tc>
        <w:tc>
          <w:tcPr>
            <w:tcW w:w="29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1,175</w:t>
            </w:r>
          </w:p>
        </w:tc>
        <w:tc>
          <w:tcPr>
            <w:tcW w:w="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1,392</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29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1,005</w:t>
            </w:r>
          </w:p>
        </w:tc>
        <w:tc>
          <w:tcPr>
            <w:tcW w:w="6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576</w:t>
            </w:r>
          </w:p>
        </w:tc>
      </w:tr>
      <w:tr>
        <w:trPr>
          <w:trHeight w:val="27"/>
        </w:trPr>
        <w:tc>
          <w:tcPr>
            <w:tcW w:w="59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 awards</w:t>
            </w:r>
          </w:p>
        </w:tc>
        <w:tc>
          <w:tcPr>
            <w:tcW w:w="29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w:t>
            </w: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Unrestricted common stock awards</w:t>
            </w:r>
          </w:p>
        </w:tc>
        <w:tc>
          <w:tcPr>
            <w:tcW w:w="29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530</w:t>
            </w:r>
          </w:p>
        </w:tc>
        <w:tc>
          <w:tcPr>
            <w:tcW w:w="6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538</w:t>
            </w:r>
          </w:p>
        </w:tc>
      </w:tr>
      <w:tr>
        <w:trPr>
          <w:trHeight w:val="27"/>
        </w:trPr>
        <w:tc>
          <w:tcPr>
            <w:tcW w:w="59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compensation cost for stock-based awards</w:t>
            </w:r>
          </w:p>
        </w:tc>
        <w:tc>
          <w:tcPr>
            <w:tcW w:w="29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3,124</w:t>
            </w:r>
          </w:p>
        </w:tc>
        <w:tc>
          <w:tcPr>
            <w:tcW w:w="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3,618</w:t>
            </w:r>
          </w:p>
        </w:tc>
      </w:tr>
      <w:tr>
        <w:trPr>
          <w:trHeight w:val="20"/>
        </w:trPr>
        <w:tc>
          <w:tcPr>
            <w:tcW w:w="5940" w:type="dxa"/>
            <w:vAlign w:val="bottom"/>
            <w:tcBorders>
              <w:top w:val="single" w:sz="8" w:color="auto"/>
              <w:bottom w:val="single" w:sz="8" w:color="auto"/>
            </w:tcBorders>
          </w:tcPr>
          <w:p>
            <w:pPr>
              <w:spacing w:after="0" w:line="20" w:lineRule="exact"/>
              <w:rPr>
                <w:sz w:val="1"/>
                <w:szCs w:val="1"/>
                <w:color w:val="auto"/>
              </w:rPr>
            </w:pPr>
          </w:p>
        </w:tc>
        <w:tc>
          <w:tcPr>
            <w:tcW w:w="29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first quarter of fiscal years 2018 and 2017, 8,388 and 11,412 shares, respectively, of fully vested unrestricted common stock awards were granted to certain members of the company's Board of Directors as a component of their compensation for their service on the board and are recorded in selling, general and administrative expense in the Condensed Consolidated Statements of Earnings.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Toro Company Amended and Restated 2010 Equity and Incentive Plan, as amended and restated (the “2010 plan”), 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on an annual basis in the first quarter of the company’s fiscal year. Options generally vest one-third each year over a three-year period and have a ten-year term. Other options granted to certain employees vest in full on the three-year anniversary of the date of grant and have a ten-year term. Compensation expense equal to the grant date fair value is generally recognized for these awards over the vesting period. Stock options granted to executive officers and other employees are subject to accelerated expensing if the option holder meets the retirement definition set forth in the 2010 plan.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that case, the fair value of the options is expensed in the fiscal year of grant because generally the option holder must be employed after the last day of the fiscal year in which the stock options are granted in order for the options to continue to vest following retirement. Similarly, if a non-employee director has served on the company’s Board of Directors for ten full fiscal years or more, the awards vest immediately upon retirement, and therefore, the fair value of the options granted is fully expensed on the date of the grant.</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fair value of each stock option is estimated on the date of grant using the Black-Scholes valuation method with the assumptions noted in the table below. The expected life is a significant assumption as it determines the period for which the risk-free interest rate, stock price volatility, and dividend yield must be applied. The expected life is the average length of time in which executive officers, other employees, and non-employee directors are expected to exercise their stock options, which is primarily based on historical exercise experience. The company groups executive officers and non-employee directors for valuation purposes based on similar historical exercise behavior. Expected stock price volatilities are based on the daily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historical cash dividends paid, expected future cash dividends and dividend yield, and expected changes in the company’s stock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weighted-average valuation assumptions for options granted in the following fiscal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3620" w:type="dxa"/>
            <w:vAlign w:val="bottom"/>
          </w:tcPr>
          <w:p>
            <w:pPr>
              <w:ind w:left="2380"/>
              <w:spacing w:after="0"/>
              <w:rPr>
                <w:sz w:val="20"/>
                <w:szCs w:val="20"/>
                <w:color w:val="auto"/>
              </w:rPr>
            </w:pPr>
            <w:r>
              <w:rPr>
                <w:rFonts w:ascii="Arial" w:cs="Arial" w:eastAsia="Arial" w:hAnsi="Arial"/>
                <w:sz w:val="18"/>
                <w:szCs w:val="18"/>
                <w:b w:val="1"/>
                <w:bCs w:val="1"/>
                <w:color w:val="auto"/>
              </w:rPr>
              <w:t>Fiscal 2018</w:t>
            </w:r>
          </w:p>
        </w:tc>
        <w:tc>
          <w:tcPr>
            <w:tcW w:w="1520" w:type="dxa"/>
            <w:vAlign w:val="bottom"/>
          </w:tcPr>
          <w:p>
            <w:pPr>
              <w:ind w:left="360"/>
              <w:spacing w:after="0"/>
              <w:rPr>
                <w:sz w:val="20"/>
                <w:szCs w:val="20"/>
                <w:color w:val="auto"/>
              </w:rPr>
            </w:pPr>
            <w:r>
              <w:rPr>
                <w:rFonts w:ascii="Arial" w:cs="Arial" w:eastAsia="Arial" w:hAnsi="Arial"/>
                <w:sz w:val="18"/>
                <w:szCs w:val="18"/>
                <w:b w:val="1"/>
                <w:bCs w:val="1"/>
                <w:color w:val="auto"/>
              </w:rPr>
              <w:t>Fiscal 2017</w:t>
            </w:r>
          </w:p>
        </w:tc>
      </w:tr>
      <w:tr>
        <w:trPr>
          <w:trHeight w:val="27"/>
        </w:trPr>
        <w:tc>
          <w:tcPr>
            <w:tcW w:w="628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of option in years</w:t>
            </w:r>
          </w:p>
        </w:tc>
        <w:tc>
          <w:tcPr>
            <w:tcW w:w="3620" w:type="dxa"/>
            <w:vAlign w:val="bottom"/>
            <w:tcBorders>
              <w:bottom w:val="single" w:sz="8" w:color="CCEEFF"/>
            </w:tcBorders>
            <w:shd w:val="clear" w:color="auto" w:fill="CCEEFF"/>
          </w:tcPr>
          <w:p>
            <w:pPr>
              <w:jc w:val="center"/>
              <w:ind w:left="1930"/>
              <w:spacing w:after="0"/>
              <w:rPr>
                <w:sz w:val="20"/>
                <w:szCs w:val="20"/>
                <w:color w:val="auto"/>
              </w:rPr>
            </w:pPr>
            <w:r>
              <w:rPr>
                <w:rFonts w:ascii="Arial" w:cs="Arial" w:eastAsia="Arial" w:hAnsi="Arial"/>
                <w:sz w:val="18"/>
                <w:szCs w:val="18"/>
                <w:color w:val="auto"/>
                <w:w w:val="91"/>
              </w:rPr>
              <w:t>6.05</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6.02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3620" w:type="dxa"/>
            <w:vAlign w:val="bottom"/>
          </w:tcPr>
          <w:p>
            <w:pPr>
              <w:jc w:val="center"/>
              <w:ind w:left="1930"/>
              <w:spacing w:after="0"/>
              <w:rPr>
                <w:sz w:val="20"/>
                <w:szCs w:val="20"/>
                <w:color w:val="auto"/>
              </w:rPr>
            </w:pPr>
            <w:r>
              <w:rPr>
                <w:rFonts w:ascii="Arial" w:cs="Arial" w:eastAsia="Arial" w:hAnsi="Arial"/>
                <w:sz w:val="18"/>
                <w:szCs w:val="18"/>
                <w:color w:val="auto"/>
                <w:w w:val="91"/>
              </w:rPr>
              <w:t>20.60%</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22.15%</w:t>
            </w:r>
          </w:p>
        </w:tc>
      </w:tr>
      <w:tr>
        <w:trPr>
          <w:trHeight w:val="27"/>
        </w:trPr>
        <w:tc>
          <w:tcPr>
            <w:tcW w:w="62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3620" w:type="dxa"/>
            <w:vAlign w:val="bottom"/>
            <w:tcBorders>
              <w:bottom w:val="single" w:sz="8" w:color="CCEEFF"/>
            </w:tcBorders>
            <w:shd w:val="clear" w:color="auto" w:fill="CCEEFF"/>
          </w:tcPr>
          <w:p>
            <w:pPr>
              <w:jc w:val="center"/>
              <w:ind w:left="1910"/>
              <w:spacing w:after="0"/>
              <w:rPr>
                <w:sz w:val="20"/>
                <w:szCs w:val="20"/>
                <w:color w:val="auto"/>
              </w:rPr>
            </w:pPr>
            <w:r>
              <w:rPr>
                <w:rFonts w:ascii="Arial" w:cs="Arial" w:eastAsia="Arial" w:hAnsi="Arial"/>
                <w:sz w:val="18"/>
                <w:szCs w:val="18"/>
                <w:color w:val="auto"/>
                <w:w w:val="90"/>
              </w:rPr>
              <w:t>2.21%</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3620" w:type="dxa"/>
            <w:vAlign w:val="bottom"/>
          </w:tcPr>
          <w:p>
            <w:pPr>
              <w:jc w:val="center"/>
              <w:ind w:left="1910"/>
              <w:spacing w:after="0"/>
              <w:rPr>
                <w:sz w:val="20"/>
                <w:szCs w:val="20"/>
                <w:color w:val="auto"/>
              </w:rPr>
            </w:pPr>
            <w:r>
              <w:rPr>
                <w:rFonts w:ascii="Arial" w:cs="Arial" w:eastAsia="Arial" w:hAnsi="Arial"/>
                <w:sz w:val="18"/>
                <w:szCs w:val="18"/>
                <w:color w:val="auto"/>
                <w:w w:val="90"/>
              </w:rPr>
              <w:t>0.97%</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1.01%</w:t>
            </w:r>
          </w:p>
        </w:tc>
      </w:tr>
      <w:tr>
        <w:trPr>
          <w:trHeight w:val="27"/>
        </w:trPr>
        <w:tc>
          <w:tcPr>
            <w:tcW w:w="62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weighted-average fair value at date of grant</w:t>
            </w:r>
          </w:p>
        </w:tc>
        <w:tc>
          <w:tcPr>
            <w:tcW w:w="3620" w:type="dxa"/>
            <w:vAlign w:val="bottom"/>
            <w:tcBorders>
              <w:bottom w:val="single" w:sz="8" w:color="CCEEFF"/>
            </w:tcBorders>
            <w:shd w:val="clear" w:color="auto" w:fill="CCEEFF"/>
          </w:tcPr>
          <w:p>
            <w:pPr>
              <w:jc w:val="center"/>
              <w:ind w:left="1910"/>
              <w:spacing w:after="0"/>
              <w:rPr>
                <w:sz w:val="20"/>
                <w:szCs w:val="20"/>
                <w:color w:val="auto"/>
              </w:rPr>
            </w:pPr>
            <w:r>
              <w:rPr>
                <w:rFonts w:ascii="Arial" w:cs="Arial" w:eastAsia="Arial" w:hAnsi="Arial"/>
                <w:sz w:val="18"/>
                <w:szCs w:val="18"/>
                <w:color w:val="auto"/>
                <w:w w:val="90"/>
              </w:rPr>
              <w:t>$14.29</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$12.55</w:t>
            </w:r>
          </w:p>
        </w:tc>
      </w:tr>
      <w:tr>
        <w:trPr>
          <w:trHeight w:val="20"/>
        </w:trPr>
        <w:tc>
          <w:tcPr>
            <w:tcW w:w="6280" w:type="dxa"/>
            <w:vAlign w:val="bottom"/>
            <w:shd w:val="clear" w:color="auto" w:fill="000000"/>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2010 Plan, the company grants performance share awards to executive officers and other employees under which they are entitled to receive shares of the company’s common stock contingent on the achievement of performance goals of the company and businesses of the company, which are generally measured over a three-year period. The number of shares of common stock a participant receives will be increased (up to 200 percent of target levels) or reduced (down to zero) based on the level of achievement of performance goals and vest at the end of a three-year period. Performance share awards are generally granted on an annual basis in the first quarter of the company’s fiscal year. Compensation expense is recognized for these awards on a straight-line basis over the vesting period based on the per share fair value as of the date of grant and the probability of achieving each performance goal. The per share fair value of performance share awards granted during the first quarter of fiscal 2018 and 2017 was $65.40 and $54.52,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2010 plan, restricted stock unit awards are generally granted to certain employees that are not executive officers. Occasionally, restricted stock unit awards may be granted, including to executive officers, in connection with hiring, mid-year promotions, leadership transition, or retention. Restricted stock unit awards generally vest one-third each year over a three-year period, or vest in full on the three-year anniversary of the date of grant. Such awards may have performance-based rather than time-based vesting requirements. Compensation expense equal to the grant date fair value, which is equal to the closing price of the company’s common stock on the date of grant multiplied by the number of shares subject to the restricted stock unit awards, is recognized for these awards over the vesting period. The per share weighted-average fair value of restricted stock unit awards granted during the first three months of fiscal 2018 and 2017 was $65.93 and $56.67,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basic and diluted weighted-average shares of common stock outstanding are as follows:</w:t>
      </w:r>
    </w:p>
    <w:p>
      <w:pPr>
        <w:spacing w:after="0" w:line="167" w:lineRule="exact"/>
        <w:rPr>
          <w:sz w:val="20"/>
          <w:szCs w:val="20"/>
          <w:color w:val="auto"/>
        </w:rPr>
      </w:pPr>
    </w:p>
    <w:p>
      <w:pPr>
        <w:ind w:left="908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760" w:type="dxa"/>
            <w:vAlign w:val="bottom"/>
          </w:tcPr>
          <w:p>
            <w:pPr>
              <w:jc w:val="right"/>
              <w:ind w:right="350"/>
              <w:spacing w:after="0"/>
              <w:rPr>
                <w:sz w:val="20"/>
                <w:szCs w:val="20"/>
                <w:color w:val="auto"/>
              </w:rPr>
            </w:pPr>
            <w:r>
              <w:rPr>
                <w:rFonts w:ascii="Arial" w:cs="Arial" w:eastAsia="Arial" w:hAnsi="Arial"/>
                <w:sz w:val="18"/>
                <w:szCs w:val="18"/>
                <w:b w:val="1"/>
                <w:bCs w:val="1"/>
                <w:color w:val="auto"/>
              </w:rPr>
              <w:t>February 2,</w:t>
            </w:r>
          </w:p>
        </w:tc>
        <w:tc>
          <w:tcPr>
            <w:tcW w:w="1460" w:type="dxa"/>
            <w:vAlign w:val="bottom"/>
          </w:tcPr>
          <w:p>
            <w:pPr>
              <w:jc w:val="right"/>
              <w:ind w:right="210"/>
              <w:spacing w:after="0"/>
              <w:rPr>
                <w:sz w:val="20"/>
                <w:szCs w:val="20"/>
                <w:color w:val="auto"/>
              </w:rPr>
            </w:pPr>
            <w:r>
              <w:rPr>
                <w:rFonts w:ascii="Arial" w:cs="Arial" w:eastAsia="Arial" w:hAnsi="Arial"/>
                <w:sz w:val="18"/>
                <w:szCs w:val="18"/>
                <w:b w:val="1"/>
                <w:bCs w:val="1"/>
                <w:color w:val="auto"/>
              </w:rPr>
              <w:t>February 3,</w:t>
            </w:r>
          </w:p>
        </w:tc>
      </w:tr>
      <w:tr>
        <w:trPr>
          <w:trHeight w:val="234"/>
        </w:trPr>
        <w:tc>
          <w:tcPr>
            <w:tcW w:w="8200" w:type="dxa"/>
            <w:vAlign w:val="bottom"/>
            <w:gridSpan w:val="4"/>
          </w:tcPr>
          <w:p>
            <w:pPr>
              <w:ind w:left="40"/>
              <w:spacing w:after="0"/>
              <w:rPr>
                <w:sz w:val="20"/>
                <w:szCs w:val="20"/>
                <w:color w:val="auto"/>
              </w:rPr>
            </w:pPr>
            <w:r>
              <w:rPr>
                <w:rFonts w:ascii="Arial" w:cs="Arial" w:eastAsia="Arial" w:hAnsi="Arial"/>
                <w:sz w:val="18"/>
                <w:szCs w:val="18"/>
                <w:b w:val="1"/>
                <w:bCs w:val="1"/>
                <w:color w:val="auto"/>
              </w:rPr>
              <w:t>(Shares in thousands)</w:t>
            </w:r>
          </w:p>
        </w:tc>
        <w:tc>
          <w:tcPr>
            <w:tcW w:w="17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4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6"/>
        </w:trPr>
        <w:tc>
          <w:tcPr>
            <w:tcW w:w="820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i w:val="1"/>
                <w:iCs w:val="1"/>
                <w:color w:val="auto"/>
              </w:rPr>
              <w:t>Basic</w:t>
            </w:r>
          </w:p>
        </w:tc>
        <w:tc>
          <w:tcPr>
            <w:tcW w:w="17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62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r>
      <w:tr>
        <w:trPr>
          <w:trHeight w:val="243"/>
        </w:trPr>
        <w:tc>
          <w:tcPr>
            <w:tcW w:w="8200" w:type="dxa"/>
            <w:vAlign w:val="bottom"/>
            <w:gridSpan w:val="4"/>
          </w:tcPr>
          <w:p>
            <w:pPr>
              <w:ind w:left="40"/>
              <w:spacing w:after="0"/>
              <w:rPr>
                <w:sz w:val="20"/>
                <w:szCs w:val="20"/>
                <w:color w:val="auto"/>
              </w:rPr>
            </w:pPr>
            <w:r>
              <w:rPr>
                <w:rFonts w:ascii="Arial" w:cs="Arial" w:eastAsia="Arial" w:hAnsi="Arial"/>
                <w:sz w:val="18"/>
                <w:szCs w:val="18"/>
                <w:color w:val="auto"/>
              </w:rPr>
              <w:t>Weighted-average number of shares of common stock</w:t>
            </w: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107,173</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108,585</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8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Assumed issuance of contingent shares</w:t>
            </w:r>
          </w:p>
        </w:tc>
        <w:tc>
          <w:tcPr>
            <w:tcW w:w="1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52</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37"/>
        </w:trPr>
        <w:tc>
          <w:tcPr>
            <w:tcW w:w="82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Weighted-average number of shares of common stock and assumed issuance of contingent shares</w:t>
            </w:r>
          </w:p>
        </w:tc>
        <w:tc>
          <w:tcPr>
            <w:tcW w:w="17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107,225</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108,627</w:t>
            </w:r>
          </w:p>
        </w:tc>
      </w:tr>
      <w:tr>
        <w:trPr>
          <w:trHeight w:val="67"/>
        </w:trPr>
        <w:tc>
          <w:tcPr>
            <w:tcW w:w="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r>
      <w:tr>
        <w:trPr>
          <w:trHeight w:val="183"/>
        </w:trPr>
        <w:tc>
          <w:tcPr>
            <w:tcW w:w="8200" w:type="dxa"/>
            <w:vAlign w:val="bottom"/>
            <w:gridSpan w:val="4"/>
            <w:shd w:val="clear" w:color="auto" w:fill="CCEEFF"/>
          </w:tcPr>
          <w:p>
            <w:pPr>
              <w:ind w:left="40"/>
              <w:spacing w:after="0" w:line="183" w:lineRule="exact"/>
              <w:rPr>
                <w:sz w:val="20"/>
                <w:szCs w:val="20"/>
                <w:color w:val="auto"/>
              </w:rPr>
            </w:pPr>
            <w:r>
              <w:rPr>
                <w:rFonts w:ascii="Arial" w:cs="Arial" w:eastAsia="Arial" w:hAnsi="Arial"/>
                <w:sz w:val="18"/>
                <w:szCs w:val="18"/>
                <w:i w:val="1"/>
                <w:iCs w:val="1"/>
                <w:color w:val="auto"/>
              </w:rPr>
              <w:t>Diluted</w:t>
            </w:r>
          </w:p>
        </w:tc>
        <w:tc>
          <w:tcPr>
            <w:tcW w:w="17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762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r>
      <w:tr>
        <w:trPr>
          <w:trHeight w:val="243"/>
        </w:trPr>
        <w:tc>
          <w:tcPr>
            <w:tcW w:w="8200" w:type="dxa"/>
            <w:vAlign w:val="bottom"/>
            <w:gridSpan w:val="4"/>
          </w:tcPr>
          <w:p>
            <w:pPr>
              <w:ind w:left="40"/>
              <w:spacing w:after="0"/>
              <w:rPr>
                <w:sz w:val="20"/>
                <w:szCs w:val="20"/>
                <w:color w:val="auto"/>
              </w:rPr>
            </w:pPr>
            <w:r>
              <w:rPr>
                <w:rFonts w:ascii="Arial" w:cs="Arial" w:eastAsia="Arial" w:hAnsi="Arial"/>
                <w:sz w:val="18"/>
                <w:szCs w:val="18"/>
                <w:color w:val="auto"/>
              </w:rPr>
              <w:t>Weighted-average number of shares of common stock and assumed issuance of contingent shares</w:t>
            </w: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107,225</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108,627</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8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1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2,630</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2,147</w:t>
            </w:r>
          </w:p>
        </w:tc>
      </w:tr>
      <w:tr>
        <w:trPr>
          <w:trHeight w:val="222"/>
        </w:trPr>
        <w:tc>
          <w:tcPr>
            <w:tcW w:w="82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w w:val="93"/>
              </w:rPr>
              <w:t>Weighted-average number of shares of common stock, assumed issuance of contingent shares, and effect of</w:t>
            </w:r>
          </w:p>
        </w:tc>
        <w:tc>
          <w:tcPr>
            <w:tcW w:w="17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r>
      <w:tr>
        <w:trPr>
          <w:trHeight w:val="230"/>
        </w:trPr>
        <w:tc>
          <w:tcPr>
            <w:tcW w:w="8200" w:type="dxa"/>
            <w:vAlign w:val="bottom"/>
            <w:gridSpan w:val="4"/>
          </w:tcPr>
          <w:p>
            <w:pPr>
              <w:ind w:left="40"/>
              <w:spacing w:after="0"/>
              <w:rPr>
                <w:sz w:val="20"/>
                <w:szCs w:val="20"/>
                <w:color w:val="auto"/>
              </w:rPr>
            </w:pPr>
            <w:r>
              <w:rPr>
                <w:rFonts w:ascii="Arial" w:cs="Arial" w:eastAsia="Arial" w:hAnsi="Arial"/>
                <w:sz w:val="18"/>
                <w:szCs w:val="18"/>
                <w:color w:val="auto"/>
              </w:rPr>
              <w:t>dilutive securities</w:t>
            </w: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109,855</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110,774</w:t>
            </w:r>
          </w:p>
        </w:tc>
      </w:tr>
      <w:tr>
        <w:trPr>
          <w:trHeight w:val="27"/>
        </w:trPr>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Incremental shares from options and restricted stock units are computed under the treasury stock method. Options to purchase 305,911 and 317,757 shares of common stock during the first three months of fiscal 2018 and 2017, respectively, were excluded from diluted net earnings per share because they were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Data</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The Distribution segment, which consists of a wholly-owned domestic distributorship, has been combined with the company’s corporate activities and elimination of intersegment revenues and expenses that is shown as “Other” in the following tables due to the insignificance of the segment.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summarized financial information concerning the company’s 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4100" w:type="dxa"/>
            <w:vAlign w:val="bottom"/>
          </w:tcPr>
          <w:p>
            <w:pPr>
              <w:ind w:left="40"/>
              <w:spacing w:after="0"/>
              <w:rPr>
                <w:sz w:val="20"/>
                <w:szCs w:val="20"/>
                <w:color w:val="auto"/>
              </w:rPr>
            </w:pPr>
            <w:r>
              <w:rPr>
                <w:rFonts w:ascii="Arial" w:cs="Arial" w:eastAsia="Arial" w:hAnsi="Arial"/>
                <w:sz w:val="18"/>
                <w:szCs w:val="18"/>
                <w:b w:val="1"/>
                <w:bCs w:val="1"/>
                <w:color w:val="auto"/>
              </w:rPr>
              <w:t>Three Months Ended February 2, 2018</w:t>
            </w:r>
          </w:p>
        </w:tc>
        <w:tc>
          <w:tcPr>
            <w:tcW w:w="1260" w:type="dxa"/>
            <w:vAlign w:val="bottom"/>
          </w:tcPr>
          <w:p>
            <w:pPr>
              <w:spacing w:after="0"/>
              <w:rPr>
                <w:sz w:val="23"/>
                <w:szCs w:val="23"/>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Professional</w:t>
            </w:r>
          </w:p>
        </w:tc>
        <w:tc>
          <w:tcPr>
            <w:tcW w:w="320" w:type="dxa"/>
            <w:vAlign w:val="bottom"/>
          </w:tcPr>
          <w:p>
            <w:pPr>
              <w:spacing w:after="0"/>
              <w:rPr>
                <w:sz w:val="23"/>
                <w:szCs w:val="23"/>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Residential</w:t>
            </w:r>
          </w:p>
        </w:tc>
        <w:tc>
          <w:tcPr>
            <w:tcW w:w="400" w:type="dxa"/>
            <w:vAlign w:val="bottom"/>
          </w:tcPr>
          <w:p>
            <w:pPr>
              <w:spacing w:after="0"/>
              <w:rPr>
                <w:sz w:val="23"/>
                <w:szCs w:val="23"/>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Other</w:t>
            </w:r>
          </w:p>
        </w:tc>
        <w:tc>
          <w:tcPr>
            <w:tcW w:w="400" w:type="dxa"/>
            <w:vAlign w:val="bottom"/>
          </w:tcPr>
          <w:p>
            <w:pPr>
              <w:spacing w:after="0"/>
              <w:rPr>
                <w:sz w:val="23"/>
                <w:szCs w:val="23"/>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4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403,669</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142,507</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2,070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548,246</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Intersegment gross sales</w:t>
            </w:r>
          </w:p>
        </w:tc>
        <w:tc>
          <w:tcPr>
            <w:tcW w:w="12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6,458</w:t>
            </w:r>
          </w:p>
        </w:tc>
        <w:tc>
          <w:tcPr>
            <w:tcW w:w="3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(6,514)</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before income taxes</w:t>
            </w:r>
          </w:p>
        </w:tc>
        <w:tc>
          <w:tcPr>
            <w:tcW w:w="1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75,912</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15,713</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(25,240)</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66,385</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904,597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249,845</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362,364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1,516,806</w:t>
            </w:r>
          </w:p>
        </w:tc>
      </w:tr>
      <w:tr>
        <w:trPr>
          <w:trHeight w:val="27"/>
        </w:trPr>
        <w:tc>
          <w:tcPr>
            <w:tcW w:w="4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9"/>
        </w:trPr>
        <w:tc>
          <w:tcPr>
            <w:tcW w:w="4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237"/>
        </w:trPr>
        <w:tc>
          <w:tcPr>
            <w:tcW w:w="410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4100" w:type="dxa"/>
            <w:vAlign w:val="bottom"/>
          </w:tcPr>
          <w:p>
            <w:pPr>
              <w:ind w:left="40"/>
              <w:spacing w:after="0"/>
              <w:rPr>
                <w:sz w:val="20"/>
                <w:szCs w:val="20"/>
                <w:color w:val="auto"/>
              </w:rPr>
            </w:pPr>
            <w:r>
              <w:rPr>
                <w:rFonts w:ascii="Arial" w:cs="Arial" w:eastAsia="Arial" w:hAnsi="Arial"/>
                <w:sz w:val="18"/>
                <w:szCs w:val="18"/>
                <w:b w:val="1"/>
                <w:bCs w:val="1"/>
                <w:color w:val="auto"/>
              </w:rPr>
              <w:t>Three Months Ended February 3, 2017</w:t>
            </w:r>
          </w:p>
        </w:tc>
        <w:tc>
          <w:tcPr>
            <w:tcW w:w="1260" w:type="dxa"/>
            <w:vAlign w:val="bottom"/>
          </w:tcPr>
          <w:p>
            <w:pPr>
              <w:spacing w:after="0"/>
              <w:rPr>
                <w:sz w:val="23"/>
                <w:szCs w:val="23"/>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Professional</w:t>
            </w:r>
          </w:p>
        </w:tc>
        <w:tc>
          <w:tcPr>
            <w:tcW w:w="320" w:type="dxa"/>
            <w:vAlign w:val="bottom"/>
          </w:tcPr>
          <w:p>
            <w:pPr>
              <w:spacing w:after="0"/>
              <w:rPr>
                <w:sz w:val="23"/>
                <w:szCs w:val="23"/>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Residential</w:t>
            </w:r>
          </w:p>
        </w:tc>
        <w:tc>
          <w:tcPr>
            <w:tcW w:w="400" w:type="dxa"/>
            <w:vAlign w:val="bottom"/>
          </w:tcPr>
          <w:p>
            <w:pPr>
              <w:spacing w:after="0"/>
              <w:rPr>
                <w:sz w:val="23"/>
                <w:szCs w:val="23"/>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Other</w:t>
            </w:r>
          </w:p>
        </w:tc>
        <w:tc>
          <w:tcPr>
            <w:tcW w:w="400" w:type="dxa"/>
            <w:vAlign w:val="bottom"/>
          </w:tcPr>
          <w:p>
            <w:pPr>
              <w:spacing w:after="0"/>
              <w:rPr>
                <w:sz w:val="23"/>
                <w:szCs w:val="23"/>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4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371,809</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140,390</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3,640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515,839</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Intersegment gross sales</w:t>
            </w:r>
          </w:p>
        </w:tc>
        <w:tc>
          <w:tcPr>
            <w:tcW w:w="12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4,556</w:t>
            </w:r>
          </w:p>
        </w:tc>
        <w:tc>
          <w:tcPr>
            <w:tcW w:w="3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(4,630)</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before income taxes</w:t>
            </w:r>
          </w:p>
        </w:tc>
        <w:tc>
          <w:tcPr>
            <w:tcW w:w="1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68,166</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16,558</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(25,171)</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59,553</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854,384</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243,145</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305,384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1,402,913</w:t>
            </w:r>
          </w:p>
        </w:tc>
      </w:tr>
      <w:tr>
        <w:trPr>
          <w:trHeight w:val="27"/>
        </w:trPr>
        <w:tc>
          <w:tcPr>
            <w:tcW w:w="4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453"/>
        </w:trPr>
        <w:tc>
          <w:tcPr>
            <w:tcW w:w="4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jc w:val="right"/>
              <w:ind w:right="79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details of the Other segment operating loss before income taxes:</w:t>
      </w:r>
    </w:p>
    <w:p>
      <w:pPr>
        <w:spacing w:after="0" w:line="167" w:lineRule="exact"/>
        <w:rPr>
          <w:sz w:val="20"/>
          <w:szCs w:val="20"/>
          <w:color w:val="auto"/>
        </w:rPr>
      </w:pPr>
    </w:p>
    <w:p>
      <w:pPr>
        <w:ind w:left="908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34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February 2,</w:t>
            </w:r>
          </w:p>
        </w:tc>
        <w:tc>
          <w:tcPr>
            <w:tcW w:w="260" w:type="dxa"/>
            <w:vAlign w:val="bottom"/>
          </w:tcPr>
          <w:p>
            <w:pPr>
              <w:spacing w:after="0"/>
              <w:rPr>
                <w:sz w:val="18"/>
                <w:szCs w:val="18"/>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February 3,</w:t>
            </w:r>
          </w:p>
        </w:tc>
      </w:tr>
      <w:tr>
        <w:trPr>
          <w:trHeight w:val="234"/>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3080" w:type="dxa"/>
            <w:vAlign w:val="bottom"/>
          </w:tcPr>
          <w:p>
            <w:pPr>
              <w:spacing w:after="0"/>
              <w:rPr>
                <w:sz w:val="20"/>
                <w:szCs w:val="20"/>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4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3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(23,961)</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(4,818)</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(4,883)</w:t>
            </w:r>
          </w:p>
        </w:tc>
      </w:tr>
      <w:tr>
        <w:trPr>
          <w:trHeight w:val="27"/>
        </w:trPr>
        <w:tc>
          <w:tcPr>
            <w:tcW w:w="54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0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3,979</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3,673</w:t>
            </w:r>
          </w:p>
        </w:tc>
      </w:tr>
      <w:tr>
        <w:trPr>
          <w:trHeight w:val="237"/>
        </w:trPr>
        <w:tc>
          <w:tcPr>
            <w:tcW w:w="5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segment operating loss</w:t>
            </w:r>
          </w:p>
        </w:tc>
        <w:tc>
          <w:tcPr>
            <w:tcW w:w="3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(25,240)</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(25,171)</w:t>
            </w:r>
          </w:p>
        </w:tc>
      </w:tr>
      <w:tr>
        <w:trPr>
          <w:trHeight w:val="27"/>
        </w:trPr>
        <w:tc>
          <w:tcPr>
            <w:tcW w:w="54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Contingencies — Litigation</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 up and other costs and damages. The company is also typically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regularly reviews certain patents issued by the United States Patent and Trademark Office and foreign patent offices. Management believes these activities help minimize its risk of being a defendant in patent infringement litigation. The company is currently involved in patent litigation cases, including cases by or against competitors, where it is asserting and defending against claims of patent infringement. Such cases are at varying stages in the litigation process.</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records a liability in its Condensed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its Consolidated Results of Operations, Financial Position, or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Warranty Guarantees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products are warranted to ensure customer confidence in design, workmanship, and overall quality. Warranty coverage is generally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the company's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Service support outside of the warranty period is provided by authorized distributors and dealers at the customer's expense. The company sells extended warranty coverage on select products for a prescribed period after the original warranty period expires.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accrued warranties were as follows:</w:t>
      </w:r>
    </w:p>
    <w:p>
      <w:pPr>
        <w:spacing w:after="0" w:line="167" w:lineRule="exact"/>
        <w:rPr>
          <w:sz w:val="20"/>
          <w:szCs w:val="20"/>
          <w:color w:val="auto"/>
        </w:rPr>
      </w:pPr>
    </w:p>
    <w:p>
      <w:pPr>
        <w:ind w:left="908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4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February 2,</w:t>
            </w:r>
          </w:p>
        </w:tc>
        <w:tc>
          <w:tcPr>
            <w:tcW w:w="260" w:type="dxa"/>
            <w:vAlign w:val="bottom"/>
          </w:tcPr>
          <w:p>
            <w:pPr>
              <w:spacing w:after="0"/>
              <w:rPr>
                <w:sz w:val="18"/>
                <w:szCs w:val="18"/>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February 3,</w:t>
            </w:r>
          </w:p>
        </w:tc>
      </w:tr>
      <w:tr>
        <w:trPr>
          <w:trHeight w:val="234"/>
        </w:trPr>
        <w:tc>
          <w:tcPr>
            <w:tcW w:w="506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3480" w:type="dxa"/>
            <w:vAlign w:val="bottom"/>
          </w:tcPr>
          <w:p>
            <w:pPr>
              <w:spacing w:after="0"/>
              <w:rPr>
                <w:sz w:val="20"/>
                <w:szCs w:val="20"/>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06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74,155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72,158</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Warranty provisions</w:t>
            </w:r>
          </w:p>
        </w:tc>
        <w:tc>
          <w:tcPr>
            <w:tcW w:w="34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10,570</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9,615</w:t>
            </w:r>
          </w:p>
        </w:tc>
      </w:tr>
      <w:tr>
        <w:trPr>
          <w:trHeight w:val="27"/>
        </w:trPr>
        <w:tc>
          <w:tcPr>
            <w:tcW w:w="50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claims</w:t>
            </w:r>
          </w:p>
        </w:tc>
        <w:tc>
          <w:tcPr>
            <w:tcW w:w="3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(9,840)</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(9,794)</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Changes in estimates</w:t>
            </w:r>
          </w:p>
        </w:tc>
        <w:tc>
          <w:tcPr>
            <w:tcW w:w="34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594</w:t>
            </w:r>
          </w:p>
        </w:tc>
      </w:tr>
      <w:tr>
        <w:trPr>
          <w:trHeight w:val="27"/>
        </w:trPr>
        <w:tc>
          <w:tcPr>
            <w:tcW w:w="506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3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74,885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72,573</w:t>
            </w:r>
          </w:p>
        </w:tc>
      </w:tr>
      <w:tr>
        <w:trPr>
          <w:trHeight w:val="20"/>
        </w:trPr>
        <w:tc>
          <w:tcPr>
            <w:tcW w:w="5060" w:type="dxa"/>
            <w:vAlign w:val="bottom"/>
            <w:tcBorders>
              <w:top w:val="single" w:sz="8" w:color="auto"/>
              <w:bottom w:val="single" w:sz="8" w:color="auto"/>
            </w:tcBorders>
          </w:tcPr>
          <w:p>
            <w:pPr>
              <w:spacing w:after="0" w:line="20" w:lineRule="exact"/>
              <w:rPr>
                <w:sz w:val="1"/>
                <w:szCs w:val="1"/>
                <w:color w:val="auto"/>
              </w:rPr>
            </w:pPr>
          </w:p>
        </w:tc>
        <w:tc>
          <w:tcPr>
            <w:tcW w:w="34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Derivative Instruments and Hedging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Objective of Using Derivatives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exposed to foreign currency exchange rate risk arising from transactions in the normal course of business, such as sales to third party customers, sales and loans to wholly owned foreign subsidiaries, foreign plant operations, and purchases from suppliers.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reduce its exposure to foreign currency exchange rate risk, the company actively manages the exposure of its foreign currency exchange rate risk by entering into various derivative instruments to hedge against such risk, authorized under company policies that place controls on these hedging activities, with counterparties that are highly rated financial institutions. The company’s policy does not allow the use of derivative instruments for trading or speculative purposes. The company has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hedging activities primarily involve the use of forward currency contracts to hedge most foreign currency transactions, including forecasted sales and purchases denominated in foreign currencies. The company may also utilize forward currency contracts or cross currency swaps to offset intercompany loan exposures.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 derivative instruments are primarily based on the amount of exposure to the currency involved and an assessment of the near-term market value for each currency.</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recognizes all derivative instruments at fair value on the Condensed Consolidated Balance Sheets as either assets or liabilities. The accounting for changes in the fair value of a derivative instrument depends on whether it has been designated and qualifies as a cash flow hedging instrument.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Hedging Instruments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formally documents relationships between cash flow hedging instruments and the related hedged transactions, as well as its risk-management objective and strategy for undertaking cash flow hedging instruments. This process includes linking all cash flow hedging instruments to the forecasted transactions, such as sales to third parties, foreign plant operations, and purchases from suppliers. At the cash flow hedge’s inception and on an ongoing basis, the company formally assesses whether the cash flow hedging instruments have been highly effective in offsetting changes in the cash flows of the hedged transactions and whether those cash flow hedging instruments may be expected to remain highly effective in future periods.</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Changes in the fair values of the spot rate component of outstanding, highly effective cash flow hedging instruments included in the assessment of hedge effectiveness are recorded in other comprehensive income within AOCL on the Condensed Consolidated Balance Sheets and are subsequently reclassified to net earnings within the Condensed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The classification of gains or losses recognized on cash flow hedging instruments and excluded components within the Condensed Consolidated Statements of Earnings is the same as that of the underlying exposure. Results of cash flow</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hedging instruments, and the related excluded components, of sales and foreign plant operations are recorded in net sales and cost of sales, respectively. The maximum amount of time the company hedges its exposure to the variability in future cash flows for forecasted trade sales and purchases is two years. Results of cash flow hedges of intercompany loans are recorded in other income, net as an offset to the remeasurement of the foreign loan balance.</w:t>
      </w:r>
    </w:p>
    <w:p>
      <w:pPr>
        <w:spacing w:after="0" w:line="14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When it is determined that a derivative instrument is not, or has ceased to be, highly effective as a cash flow hedge, the company discontinues cash flow hedge accounting prospectively. The gain or loss on the dedesignated derivative instrument remains in AOCL and is reclassified to net earnings within the same Condensed Consolidated Statements of Earnings line item as the underlying exposure when the forecasted transaction affects net earnings. When the company discontinues cash flow hedge accounting because it is no longer probable, but it is still reasonably possible that the forecasted transaction will occur by the end of the originally expected period or within an additional two-month period of time thereafter, the gain or loss on the derivative instrument remains in AOCL and is reclassified to net earnings within the same Condensed Consolidated Statements of Earnings line item as the underlying exposure when the forecasted transaction affects net earnings. However, if it is probable that a forecasted transaction will not occur by the end of the originally specified time period or within an additional two-month period of time thereafter, the gains and losses that were in AOCL are immediately recognized in net earnings within other income, net in the Condensed Consolidated Statements of Earnings. In all situations in which cash flow hedge accounting is discontinued and the derivative instrument remains outstanding, the company carries the derivative instrument at its fair value on the Condensed Consolidated Balance Sheets, recognizing future changes in the fair value within other income, net in the Condensed Consolidated Statements of Earnings.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 2018, the notional amount outstanding of forward contracts designated as cash flow hedging instruments was $81.5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Not Designated as Cash Flow Hedging Instruments</w:t>
      </w:r>
    </w:p>
    <w:p>
      <w:pPr>
        <w:spacing w:after="0" w:line="225"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 company also enters into foreign currency contracts that include forward currency contracts to mitigate the remeasurement of specific assets and liabilities on the Condensed Consolidated Balance Sheets. These contracts are not designated as cash flow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Condensed Consolidated Statements of Earnings together with the transaction gain or loss from the hedged balance sheet position.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fair value and location of the company’s derivative instruments on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32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February 2, 2018</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February 3, 2017</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October 31, 2017</w:t>
            </w:r>
          </w:p>
        </w:tc>
      </w:tr>
      <w:tr>
        <w:trPr>
          <w:trHeight w:val="27"/>
        </w:trPr>
        <w:tc>
          <w:tcPr>
            <w:tcW w:w="50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ind w:left="40"/>
              <w:spacing w:after="0"/>
              <w:rPr>
                <w:sz w:val="20"/>
                <w:szCs w:val="20"/>
                <w:color w:val="auto"/>
              </w:rPr>
            </w:pPr>
            <w:r>
              <w:rPr>
                <w:rFonts w:ascii="Arial" w:cs="Arial" w:eastAsia="Arial" w:hAnsi="Arial"/>
                <w:sz w:val="18"/>
                <w:szCs w:val="18"/>
                <w:color w:val="auto"/>
              </w:rPr>
              <w:t>Derivative assets:</w:t>
            </w:r>
          </w:p>
        </w:tc>
        <w:tc>
          <w:tcPr>
            <w:tcW w:w="2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designated as cash flow hedging instruments</w:t>
            </w:r>
          </w:p>
        </w:tc>
        <w:tc>
          <w:tcPr>
            <w:tcW w:w="2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Forward currency contracts</w:t>
            </w:r>
          </w:p>
        </w:tc>
        <w:tc>
          <w:tcPr>
            <w:tcW w:w="23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974</w:t>
            </w:r>
          </w:p>
        </w:tc>
        <w:tc>
          <w:tcPr>
            <w:tcW w:w="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1,552</w:t>
            </w:r>
          </w:p>
        </w:tc>
        <w:tc>
          <w:tcPr>
            <w:tcW w:w="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i w:val="1"/>
                <w:iCs w:val="1"/>
                <w:color w:val="auto"/>
              </w:rPr>
              <w:t>Derivatives not designated as cash flow hedging instruments</w:t>
            </w:r>
          </w:p>
        </w:tc>
        <w:tc>
          <w:tcPr>
            <w:tcW w:w="2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380"/>
              <w:spacing w:after="0"/>
              <w:rPr>
                <w:sz w:val="20"/>
                <w:szCs w:val="20"/>
                <w:color w:val="auto"/>
              </w:rPr>
            </w:pPr>
            <w:r>
              <w:rPr>
                <w:rFonts w:ascii="Arial" w:cs="Arial" w:eastAsia="Arial" w:hAnsi="Arial"/>
                <w:sz w:val="18"/>
                <w:szCs w:val="18"/>
                <w:color w:val="auto"/>
              </w:rPr>
              <w:t>Forward currency contracts</w:t>
            </w:r>
          </w:p>
        </w:tc>
        <w:tc>
          <w:tcPr>
            <w:tcW w:w="2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6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795</w:t>
            </w:r>
          </w:p>
        </w:tc>
        <w:tc>
          <w:tcPr>
            <w:tcW w:w="6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50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3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1,154</w:t>
            </w:r>
          </w:p>
        </w:tc>
        <w:tc>
          <w:tcPr>
            <w:tcW w:w="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2,347</w:t>
            </w:r>
          </w:p>
        </w:tc>
        <w:tc>
          <w:tcPr>
            <w:tcW w:w="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w:t>
            </w:r>
          </w:p>
        </w:tc>
      </w:tr>
      <w:tr>
        <w:trPr>
          <w:trHeight w:val="20"/>
        </w:trPr>
        <w:tc>
          <w:tcPr>
            <w:tcW w:w="502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02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2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
        </w:trPr>
        <w:tc>
          <w:tcPr>
            <w:tcW w:w="50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designated as cash flow hedging instruments</w:t>
            </w:r>
          </w:p>
        </w:tc>
        <w:tc>
          <w:tcPr>
            <w:tcW w:w="2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2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Forward currency contracts</w:t>
            </w:r>
          </w:p>
        </w:tc>
        <w:tc>
          <w:tcPr>
            <w:tcW w:w="23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5,411</w:t>
            </w:r>
          </w:p>
        </w:tc>
        <w:tc>
          <w:tcPr>
            <w:tcW w:w="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1,363</w:t>
            </w:r>
          </w:p>
        </w:tc>
        <w:tc>
          <w:tcPr>
            <w:tcW w:w="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i w:val="1"/>
                <w:iCs w:val="1"/>
                <w:color w:val="auto"/>
              </w:rPr>
              <w:t>Derivatives not designated as cash flow hedging instruments</w:t>
            </w:r>
          </w:p>
        </w:tc>
        <w:tc>
          <w:tcPr>
            <w:tcW w:w="2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2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380"/>
              <w:spacing w:after="0"/>
              <w:rPr>
                <w:sz w:val="20"/>
                <w:szCs w:val="20"/>
                <w:color w:val="auto"/>
              </w:rPr>
            </w:pPr>
            <w:r>
              <w:rPr>
                <w:rFonts w:ascii="Arial" w:cs="Arial" w:eastAsia="Arial" w:hAnsi="Arial"/>
                <w:sz w:val="18"/>
                <w:szCs w:val="18"/>
                <w:color w:val="auto"/>
              </w:rPr>
              <w:t>Forward currency contracts</w:t>
            </w:r>
          </w:p>
        </w:tc>
        <w:tc>
          <w:tcPr>
            <w:tcW w:w="2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2,678</w:t>
            </w:r>
          </w:p>
        </w:tc>
        <w:tc>
          <w:tcPr>
            <w:tcW w:w="6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6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703</w:t>
            </w:r>
          </w:p>
        </w:tc>
      </w:tr>
      <w:tr>
        <w:trPr>
          <w:trHeight w:val="27"/>
        </w:trPr>
        <w:tc>
          <w:tcPr>
            <w:tcW w:w="50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3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8,089</w:t>
            </w:r>
          </w:p>
        </w:tc>
        <w:tc>
          <w:tcPr>
            <w:tcW w:w="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1,504</w:t>
            </w:r>
          </w:p>
        </w:tc>
        <w:tc>
          <w:tcPr>
            <w:tcW w:w="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2,266</w:t>
            </w:r>
          </w:p>
        </w:tc>
      </w:tr>
      <w:tr>
        <w:trPr>
          <w:trHeight w:val="20"/>
        </w:trPr>
        <w:tc>
          <w:tcPr>
            <w:tcW w:w="502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020" w:type="dxa"/>
            <w:vAlign w:val="bottom"/>
          </w:tcPr>
          <w:p>
            <w:pPr>
              <w:spacing w:after="0"/>
              <w:rPr>
                <w:sz w:val="24"/>
                <w:szCs w:val="24"/>
                <w:color w:val="auto"/>
              </w:rPr>
            </w:pPr>
          </w:p>
        </w:tc>
        <w:tc>
          <w:tcPr>
            <w:tcW w:w="2300" w:type="dxa"/>
            <w:vAlign w:val="bottom"/>
          </w:tcPr>
          <w:p>
            <w:pPr>
              <w:jc w:val="right"/>
              <w:ind w:right="1430"/>
              <w:spacing w:after="0"/>
              <w:rPr>
                <w:sz w:val="20"/>
                <w:szCs w:val="20"/>
                <w:color w:val="auto"/>
              </w:rPr>
            </w:pPr>
            <w:r>
              <w:rPr>
                <w:rFonts w:ascii="Arial" w:cs="Arial" w:eastAsia="Arial" w:hAnsi="Arial"/>
                <w:sz w:val="18"/>
                <w:szCs w:val="18"/>
                <w:color w:val="auto"/>
              </w:rPr>
              <w:t>15</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instruments at the net amount in its Condensed Consolidated Balance Sheets.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effects of the master netting arrangements on the fair value of the company’s derivative contracts that are recorded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91440</wp:posOffset>
            </wp:positionV>
            <wp:extent cx="72123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22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February 2, 2018</w:t>
            </w:r>
          </w:p>
        </w:tc>
        <w:tc>
          <w:tcPr>
            <w:tcW w:w="15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February 3, 2017</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8"/>
              </w:rPr>
              <w:t>October 31, 2017</w:t>
            </w:r>
          </w:p>
        </w:tc>
      </w:tr>
      <w:tr>
        <w:trPr>
          <w:trHeight w:val="27"/>
        </w:trPr>
        <w:tc>
          <w:tcPr>
            <w:tcW w:w="5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1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i w:val="1"/>
                <w:iCs w:val="1"/>
                <w:color w:val="auto"/>
              </w:rPr>
              <w:t>Forward currency contracts</w:t>
            </w:r>
          </w:p>
        </w:tc>
        <w:tc>
          <w:tcPr>
            <w:tcW w:w="1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amounts of recognized assets</w:t>
            </w:r>
          </w:p>
        </w:tc>
        <w:tc>
          <w:tcPr>
            <w:tcW w:w="12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1,154</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2,347</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1,055</w:t>
            </w:r>
          </w:p>
        </w:tc>
      </w:tr>
      <w:tr>
        <w:trPr>
          <w:trHeight w:val="243"/>
        </w:trPr>
        <w:tc>
          <w:tcPr>
            <w:tcW w:w="5960" w:type="dxa"/>
            <w:vAlign w:val="bottom"/>
          </w:tcPr>
          <w:p>
            <w:pPr>
              <w:ind w:left="160"/>
              <w:spacing w:after="0"/>
              <w:rPr>
                <w:sz w:val="20"/>
                <w:szCs w:val="20"/>
                <w:color w:val="auto"/>
              </w:rPr>
            </w:pPr>
            <w:r>
              <w:rPr>
                <w:rFonts w:ascii="Arial" w:cs="Arial" w:eastAsia="Arial" w:hAnsi="Arial"/>
                <w:sz w:val="18"/>
                <w:szCs w:val="18"/>
                <w:color w:val="auto"/>
              </w:rPr>
              <w:t>Gross liabilities offset in the balance sheets</w:t>
            </w:r>
          </w:p>
        </w:tc>
        <w:tc>
          <w:tcPr>
            <w:tcW w:w="126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amounts of assets presented in the Consolidated Balance Sheets</w:t>
            </w:r>
          </w:p>
        </w:tc>
        <w:tc>
          <w:tcPr>
            <w:tcW w:w="12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1,154</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2,347</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1,041</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96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
        </w:trPr>
        <w:tc>
          <w:tcPr>
            <w:tcW w:w="5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Forward currency contracts</w:t>
            </w:r>
          </w:p>
        </w:tc>
        <w:tc>
          <w:tcPr>
            <w:tcW w:w="1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60"/>
              <w:spacing w:after="0"/>
              <w:rPr>
                <w:sz w:val="20"/>
                <w:szCs w:val="20"/>
                <w:color w:val="auto"/>
              </w:rPr>
            </w:pPr>
            <w:r>
              <w:rPr>
                <w:rFonts w:ascii="Arial" w:cs="Arial" w:eastAsia="Arial" w:hAnsi="Arial"/>
                <w:sz w:val="18"/>
                <w:szCs w:val="18"/>
                <w:color w:val="auto"/>
              </w:rPr>
              <w:t>Gross amounts of recognized liabilities</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(8,089)</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(1,614)</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(2,266)</w:t>
            </w:r>
          </w:p>
        </w:tc>
      </w:tr>
      <w:tr>
        <w:trPr>
          <w:trHeight w:val="27"/>
        </w:trPr>
        <w:tc>
          <w:tcPr>
            <w:tcW w:w="5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assets offset in the balance sheets</w:t>
            </w:r>
          </w:p>
        </w:tc>
        <w:tc>
          <w:tcPr>
            <w:tcW w:w="1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110</w:t>
            </w: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5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amounts of liabilities presented in the Consolidated Balance Sheets</w:t>
            </w:r>
          </w:p>
        </w:tc>
        <w:tc>
          <w:tcPr>
            <w:tcW w:w="12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(8,089)</w:t>
            </w:r>
          </w:p>
        </w:tc>
        <w:tc>
          <w:tcPr>
            <w:tcW w:w="5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(1,504)</w:t>
            </w:r>
          </w:p>
        </w:tc>
        <w:tc>
          <w:tcPr>
            <w:tcW w:w="5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(2,266)</w:t>
            </w:r>
          </w:p>
        </w:tc>
      </w:tr>
      <w:tr>
        <w:trPr>
          <w:trHeight w:val="27"/>
        </w:trPr>
        <w:tc>
          <w:tcPr>
            <w:tcW w:w="5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9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the impact and location of the amounts reclassified from AOCL into earnings on the Condensed Consolidated Statements of Earnings and the impact of derivative instruments on the Condensed Consolidated Statements of Comprehensive Income for the company's derivatives designated as cash flow hedging instruments for the three months ended February 2, 2018 and February 3, 2017:</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5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w w:val="97"/>
              </w:rPr>
              <w:t>Three Months Ended</w:t>
            </w: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3"/>
          </w:tcPr>
          <w:p>
            <w:pPr>
              <w:spacing w:after="0"/>
              <w:rPr>
                <w:sz w:val="2"/>
                <w:szCs w:val="2"/>
                <w:color w:val="auto"/>
              </w:rPr>
            </w:pPr>
          </w:p>
        </w:tc>
      </w:tr>
      <w:tr>
        <w:trPr>
          <w:trHeight w:val="218"/>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1"/>
              </w:rPr>
              <w:t>Gain (Loss) Reclassified from AOCL</w:t>
            </w:r>
          </w:p>
        </w:tc>
        <w:tc>
          <w:tcPr>
            <w:tcW w:w="240" w:type="dxa"/>
            <w:vAlign w:val="bottom"/>
          </w:tcPr>
          <w:p>
            <w:pPr>
              <w:spacing w:after="0"/>
              <w:rPr>
                <w:sz w:val="18"/>
                <w:szCs w:val="18"/>
                <w:color w:val="auto"/>
              </w:rPr>
            </w:pPr>
          </w:p>
        </w:tc>
        <w:tc>
          <w:tcPr>
            <w:tcW w:w="288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91"/>
              </w:rPr>
              <w:t>Gain (Loss) Recognized in OCI on</w:t>
            </w:r>
          </w:p>
        </w:tc>
      </w:tr>
      <w:tr>
        <w:trPr>
          <w:trHeight w:val="234"/>
        </w:trPr>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into Earnings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Derivatives</w:t>
            </w:r>
          </w:p>
        </w:tc>
        <w:tc>
          <w:tcPr>
            <w:tcW w:w="760" w:type="dxa"/>
            <w:vAlign w:val="bottom"/>
          </w:tcPr>
          <w:p>
            <w:pPr>
              <w:spacing w:after="0"/>
              <w:rPr>
                <w:sz w:val="20"/>
                <w:szCs w:val="20"/>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7"/>
              </w:rPr>
              <w:t>February 2, 2018</w:t>
            </w:r>
          </w:p>
        </w:tc>
        <w:tc>
          <w:tcPr>
            <w:tcW w:w="15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February 3, 2017</w:t>
            </w:r>
          </w:p>
        </w:tc>
        <w:tc>
          <w:tcPr>
            <w:tcW w:w="15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February 2, 2018</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February 3, 2017</w:t>
            </w:r>
          </w:p>
        </w:tc>
      </w:tr>
      <w:tr>
        <w:trPr>
          <w:trHeight w:val="27"/>
        </w:trPr>
        <w:tc>
          <w:tcPr>
            <w:tcW w:w="5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Derivatives designated as cash flow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Forward currency contracts</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(1,011)</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(2,678)</w:t>
            </w:r>
          </w:p>
        </w:tc>
        <w:tc>
          <w:tcPr>
            <w:tcW w:w="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43"/>
        </w:trPr>
        <w:tc>
          <w:tcPr>
            <w:tcW w:w="5120" w:type="dxa"/>
            <w:vAlign w:val="bottom"/>
          </w:tcPr>
          <w:p>
            <w:pPr>
              <w:ind w:left="260"/>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178</w:t>
            </w:r>
          </w:p>
        </w:tc>
        <w:tc>
          <w:tcPr>
            <w:tcW w:w="6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(762)</w:t>
            </w:r>
          </w:p>
        </w:tc>
        <w:tc>
          <w:tcPr>
            <w:tcW w:w="2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7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5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derivatives designated as cash flow hedging instruments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(2,779)</w:t>
            </w:r>
          </w:p>
        </w:tc>
        <w:tc>
          <w:tcPr>
            <w:tcW w:w="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0"/>
        </w:trPr>
        <w:tc>
          <w:tcPr>
            <w:tcW w:w="5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first quarter of fiscal 2018 and fiscal 2017, the company did not discontinue cash flow hedge accounting on any forward currency contracts designated as cash flow hedging instruments. As of February 2, 2018, the company expects to reclassify approximately $4.9 million of losses from AOCL to earnings during the next twelve months.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impact and location of derivative instruments on the Condensed Consolidated Statements of Earnings for the company’s derivatives designated as cash flow hedging instruments and the related components excluded from effectiveness testing: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0" w:type="dxa"/>
            <w:vAlign w:val="bottom"/>
            <w:gridSpan w:val="8"/>
          </w:tcPr>
          <w:p>
            <w:pPr>
              <w:jc w:val="right"/>
              <w:ind w:right="39"/>
              <w:spacing w:after="0"/>
              <w:rPr>
                <w:sz w:val="20"/>
                <w:szCs w:val="20"/>
                <w:color w:val="auto"/>
              </w:rPr>
            </w:pPr>
            <w:r>
              <w:rPr>
                <w:rFonts w:ascii="Arial" w:cs="Arial" w:eastAsia="Arial" w:hAnsi="Arial"/>
                <w:sz w:val="16"/>
                <w:szCs w:val="16"/>
                <w:b w:val="1"/>
                <w:bCs w:val="1"/>
                <w:color w:val="auto"/>
                <w:w w:val="92"/>
              </w:rPr>
              <w:t>Gain (Loss) Recognized in Earnings on Cash Flow Hedging Instruments</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3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 2018</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February 3, 2017</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3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209"/>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w w:val="92"/>
              </w:rPr>
              <w:t>Other Income,</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w w:val="98"/>
              </w:rPr>
              <w:t>Other Income,</w:t>
            </w:r>
          </w:p>
        </w:tc>
      </w:tr>
      <w:tr>
        <w:trPr>
          <w:trHeight w:val="210"/>
        </w:trPr>
        <w:tc>
          <w:tcPr>
            <w:tcW w:w="390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80" w:type="dxa"/>
            <w:vAlign w:val="bottom"/>
          </w:tcPr>
          <w:p>
            <w:pPr>
              <w:spacing w:after="0"/>
              <w:rPr>
                <w:sz w:val="18"/>
                <w:szCs w:val="18"/>
                <w:color w:val="auto"/>
              </w:rPr>
            </w:pPr>
          </w:p>
        </w:tc>
        <w:tc>
          <w:tcPr>
            <w:tcW w:w="1000" w:type="dxa"/>
            <w:vAlign w:val="bottom"/>
          </w:tcPr>
          <w:p>
            <w:pPr>
              <w:jc w:val="right"/>
              <w:ind w:right="199"/>
              <w:spacing w:after="0"/>
              <w:rPr>
                <w:sz w:val="20"/>
                <w:szCs w:val="20"/>
                <w:color w:val="auto"/>
              </w:rPr>
            </w:pPr>
            <w:r>
              <w:rPr>
                <w:rFonts w:ascii="Arial" w:cs="Arial" w:eastAsia="Arial" w:hAnsi="Arial"/>
                <w:sz w:val="16"/>
                <w:szCs w:val="16"/>
                <w:b w:val="1"/>
                <w:bCs w:val="1"/>
                <w:color w:val="auto"/>
                <w:w w:val="97"/>
              </w:rPr>
              <w:t>Net Sales</w:t>
            </w:r>
          </w:p>
        </w:tc>
        <w:tc>
          <w:tcPr>
            <w:tcW w:w="220" w:type="dxa"/>
            <w:vAlign w:val="bottom"/>
          </w:tcPr>
          <w:p>
            <w:pPr>
              <w:spacing w:after="0"/>
              <w:rPr>
                <w:sz w:val="18"/>
                <w:szCs w:val="18"/>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b w:val="1"/>
                <w:bCs w:val="1"/>
                <w:color w:val="auto"/>
                <w:w w:val="86"/>
              </w:rPr>
              <w:t>Cost of Sales</w:t>
            </w:r>
          </w:p>
        </w:tc>
        <w:tc>
          <w:tcPr>
            <w:tcW w:w="120" w:type="dxa"/>
            <w:vAlign w:val="bottom"/>
          </w:tcPr>
          <w:p>
            <w:pPr>
              <w:spacing w:after="0"/>
              <w:rPr>
                <w:sz w:val="18"/>
                <w:szCs w:val="18"/>
                <w:color w:val="auto"/>
              </w:rPr>
            </w:pPr>
          </w:p>
        </w:tc>
        <w:tc>
          <w:tcPr>
            <w:tcW w:w="1160" w:type="dxa"/>
            <w:vAlign w:val="bottom"/>
          </w:tcPr>
          <w:p>
            <w:pPr>
              <w:jc w:val="right"/>
              <w:ind w:right="439"/>
              <w:spacing w:after="0"/>
              <w:rPr>
                <w:sz w:val="20"/>
                <w:szCs w:val="20"/>
                <w:color w:val="auto"/>
              </w:rPr>
            </w:pPr>
            <w:r>
              <w:rPr>
                <w:rFonts w:ascii="Arial" w:cs="Arial" w:eastAsia="Arial" w:hAnsi="Arial"/>
                <w:sz w:val="16"/>
                <w:szCs w:val="16"/>
                <w:b w:val="1"/>
                <w:bCs w:val="1"/>
                <w:color w:val="auto"/>
              </w:rPr>
              <w:t>Net</w:t>
            </w:r>
          </w:p>
        </w:tc>
        <w:tc>
          <w:tcPr>
            <w:tcW w:w="2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Net Sales</w:t>
            </w:r>
          </w:p>
        </w:tc>
        <w:tc>
          <w:tcPr>
            <w:tcW w:w="2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w w:val="86"/>
              </w:rPr>
              <w:t>Cost of Sales</w:t>
            </w:r>
          </w:p>
        </w:tc>
        <w:tc>
          <w:tcPr>
            <w:tcW w:w="300" w:type="dxa"/>
            <w:vAlign w:val="bottom"/>
          </w:tcPr>
          <w:p>
            <w:pPr>
              <w:spacing w:after="0"/>
              <w:rPr>
                <w:sz w:val="18"/>
                <w:szCs w:val="18"/>
                <w:color w:val="auto"/>
              </w:rPr>
            </w:pPr>
          </w:p>
        </w:tc>
        <w:tc>
          <w:tcPr>
            <w:tcW w:w="840" w:type="dxa"/>
            <w:vAlign w:val="bottom"/>
          </w:tcPr>
          <w:p>
            <w:pPr>
              <w:jc w:val="right"/>
              <w:ind w:right="359"/>
              <w:spacing w:after="0"/>
              <w:rPr>
                <w:sz w:val="20"/>
                <w:szCs w:val="20"/>
                <w:color w:val="auto"/>
              </w:rPr>
            </w:pPr>
            <w:r>
              <w:rPr>
                <w:rFonts w:ascii="Arial" w:cs="Arial" w:eastAsia="Arial" w:hAnsi="Arial"/>
                <w:sz w:val="16"/>
                <w:szCs w:val="16"/>
                <w:b w:val="1"/>
                <w:bCs w:val="1"/>
                <w:color w:val="auto"/>
              </w:rPr>
              <w:t>Net</w:t>
            </w:r>
          </w:p>
        </w:tc>
      </w:tr>
      <w:tr>
        <w:trPr>
          <w:trHeight w:val="33"/>
        </w:trPr>
        <w:tc>
          <w:tcPr>
            <w:tcW w:w="3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3"/>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Consolidated Statements of Earnings income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3"/>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(expense) amounts in which the effects of cash flow</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hedging instruments are recorded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548,246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(344,007)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4,281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515,839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(322,359)</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3,866</w:t>
            </w:r>
          </w:p>
        </w:tc>
      </w:tr>
      <w:tr>
        <w:trPr>
          <w:trHeight w:val="220"/>
        </w:trPr>
        <w:tc>
          <w:tcPr>
            <w:tcW w:w="3900" w:type="dxa"/>
            <w:vAlign w:val="bottom"/>
          </w:tcPr>
          <w:p>
            <w:pPr>
              <w:ind w:left="40"/>
              <w:spacing w:after="0"/>
              <w:rPr>
                <w:sz w:val="20"/>
                <w:szCs w:val="20"/>
                <w:color w:val="auto"/>
              </w:rPr>
            </w:pPr>
            <w:r>
              <w:rPr>
                <w:rFonts w:ascii="Arial" w:cs="Arial" w:eastAsia="Arial" w:hAnsi="Arial"/>
                <w:sz w:val="16"/>
                <w:szCs w:val="16"/>
                <w:i w:val="1"/>
                <w:iCs w:val="1"/>
                <w:color w:val="auto"/>
              </w:rPr>
              <w:t>Gain (loss) on derivatives designated as cash flow</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6"/>
        </w:trPr>
        <w:tc>
          <w:tcPr>
            <w:tcW w:w="3900" w:type="dxa"/>
            <w:vAlign w:val="bottom"/>
          </w:tcPr>
          <w:p>
            <w:pPr>
              <w:ind w:left="40"/>
              <w:spacing w:after="0"/>
              <w:rPr>
                <w:sz w:val="20"/>
                <w:szCs w:val="20"/>
                <w:color w:val="auto"/>
              </w:rPr>
            </w:pPr>
            <w:r>
              <w:rPr>
                <w:rFonts w:ascii="Arial" w:cs="Arial" w:eastAsia="Arial" w:hAnsi="Arial"/>
                <w:sz w:val="16"/>
                <w:szCs w:val="16"/>
                <w:i w:val="1"/>
                <w:iCs w:val="1"/>
                <w:color w:val="auto"/>
              </w:rPr>
              <w:t>hedging instruments: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33"/>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Forward currency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20"/>
        </w:trPr>
        <w:tc>
          <w:tcPr>
            <w:tcW w:w="3900" w:type="dxa"/>
            <w:vAlign w:val="bottom"/>
          </w:tcPr>
          <w:p>
            <w:pPr>
              <w:ind w:left="280"/>
              <w:spacing w:after="0"/>
              <w:rPr>
                <w:sz w:val="20"/>
                <w:szCs w:val="20"/>
                <w:color w:val="auto"/>
              </w:rPr>
            </w:pPr>
            <w:r>
              <w:rPr>
                <w:rFonts w:ascii="Arial" w:cs="Arial" w:eastAsia="Arial" w:hAnsi="Arial"/>
                <w:sz w:val="16"/>
                <w:szCs w:val="16"/>
                <w:color w:val="auto"/>
              </w:rPr>
              <w:t>Amount of gain (loss) reclassified from AOCL into</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6"/>
        </w:trPr>
        <w:tc>
          <w:tcPr>
            <w:tcW w:w="3900" w:type="dxa"/>
            <w:vAlign w:val="bottom"/>
          </w:tcPr>
          <w:p>
            <w:pPr>
              <w:ind w:left="280"/>
              <w:spacing w:after="0"/>
              <w:rPr>
                <w:sz w:val="20"/>
                <w:szCs w:val="20"/>
                <w:color w:val="auto"/>
              </w:rPr>
            </w:pPr>
            <w:r>
              <w:rPr>
                <w:rFonts w:ascii="Arial" w:cs="Arial" w:eastAsia="Arial" w:hAnsi="Arial"/>
                <w:sz w:val="16"/>
                <w:szCs w:val="16"/>
                <w:color w:val="auto"/>
              </w:rPr>
              <w:t>earnings</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(1,011)</w:t>
            </w:r>
          </w:p>
        </w:tc>
        <w:tc>
          <w:tcPr>
            <w:tcW w:w="220" w:type="dxa"/>
            <w:vAlign w:val="bottom"/>
          </w:tcPr>
          <w:p>
            <w:pPr>
              <w:spacing w:after="0"/>
              <w:rPr>
                <w:sz w:val="17"/>
                <w:szCs w:val="17"/>
                <w:color w:val="auto"/>
              </w:rPr>
            </w:pP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439</w:t>
            </w:r>
          </w:p>
        </w:tc>
        <w:tc>
          <w:tcPr>
            <w:tcW w:w="22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(762)</w:t>
            </w:r>
          </w:p>
        </w:tc>
        <w:tc>
          <w:tcPr>
            <w:tcW w:w="30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3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(loss) on components excluded from</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03"/>
        </w:trPr>
        <w:tc>
          <w:tcPr>
            <w:tcW w:w="390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4"/>
              </w:rPr>
              <w:t>effectiveness testing recognized in earnings based on</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9"/>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fair value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w:t>
            </w:r>
          </w:p>
        </w:tc>
      </w:tr>
      <w:tr>
        <w:trPr>
          <w:trHeight w:val="20"/>
        </w:trPr>
        <w:tc>
          <w:tcPr>
            <w:tcW w:w="39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impact and location of derivative instruments on the Condensed Consolidated Statements of Earnings for the company’s derivatives not designated as cash flow hedging instruments:</w:t>
      </w:r>
    </w:p>
    <w:p>
      <w:pPr>
        <w:spacing w:after="0" w:line="112" w:lineRule="exact"/>
        <w:rPr>
          <w:sz w:val="20"/>
          <w:szCs w:val="20"/>
          <w:color w:val="auto"/>
        </w:rPr>
      </w:pPr>
    </w:p>
    <w:p>
      <w:pPr>
        <w:ind w:left="908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4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February 2,</w:t>
            </w:r>
          </w:p>
        </w:tc>
        <w:tc>
          <w:tcPr>
            <w:tcW w:w="260" w:type="dxa"/>
            <w:vAlign w:val="bottom"/>
          </w:tcPr>
          <w:p>
            <w:pPr>
              <w:spacing w:after="0"/>
              <w:rPr>
                <w:sz w:val="18"/>
                <w:szCs w:val="18"/>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February 3,</w:t>
            </w:r>
          </w:p>
        </w:tc>
      </w:tr>
      <w:tr>
        <w:trPr>
          <w:trHeight w:val="234"/>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460" w:type="dxa"/>
            <w:vAlign w:val="bottom"/>
          </w:tcPr>
          <w:p>
            <w:pPr>
              <w:spacing w:after="0"/>
              <w:rPr>
                <w:sz w:val="20"/>
                <w:szCs w:val="20"/>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70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Gain (loss) on derivatives not designated as cash flow hedging instruments</w:t>
            </w:r>
          </w:p>
        </w:tc>
        <w:tc>
          <w:tcPr>
            <w:tcW w:w="1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Forward currency contracts</w:t>
            </w:r>
          </w:p>
        </w:tc>
        <w:tc>
          <w:tcPr>
            <w:tcW w:w="14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1,144</w:t>
            </w:r>
          </w:p>
        </w:tc>
      </w:tr>
      <w:tr>
        <w:trPr>
          <w:trHeight w:val="237"/>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gain (loss) on derivatives not designated as cash flow hedging instruments</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(1,816)</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1,144</w:t>
            </w:r>
          </w:p>
        </w:tc>
      </w:tr>
      <w:tr>
        <w:trPr>
          <w:trHeight w:val="27"/>
        </w:trPr>
        <w:tc>
          <w:tcPr>
            <w:tcW w:w="70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70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Fair Value Measurements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categorizes its assets and liabilities measured at fair value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Unadjusted quoted prices in active markets for identical assets or liabilities.</w:t>
      </w:r>
    </w:p>
    <w:p>
      <w:pPr>
        <w:spacing w:after="0" w:line="225"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Observable inputs other than Level 1 prices, such as quoted prices for similar assets or liabilities in active markets; quoted prices for</w:t>
      </w:r>
      <w:r>
        <w:rPr>
          <w:rFonts w:ascii="Arial" w:cs="Arial" w:eastAsia="Arial" w:hAnsi="Arial"/>
          <w:sz w:val="18"/>
          <w:szCs w:val="18"/>
          <w:b w:val="1"/>
          <w:bCs w:val="1"/>
          <w:color w:val="auto"/>
        </w:rPr>
        <w:t xml:space="preserve"> </w:t>
      </w:r>
      <w:r>
        <w:rPr>
          <w:rFonts w:ascii="Arial" w:cs="Arial" w:eastAsia="Arial" w:hAnsi="Arial"/>
          <w:sz w:val="18"/>
          <w:szCs w:val="18"/>
          <w:color w:val="auto"/>
        </w:rPr>
        <w:t>identical assets or liabilities in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Unobservable inputs reflecting management’s assumptions about the inputs used in pricing the asset or liability.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derivative instruments consist of forward currency contracts that are measured at fair value on a recurring basis. The fair value of forward currency contracts is determined based on observable market transactions of forward currency prices and spot currency rates as of the reporting date. There were no transfers between levels for the company's recurring fair value measurements during the three months ended February 2, 2018 and February 3, 2017, or the twelve months ended October 31, 2017.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tables present, by level within the fair value hierarchy, the company's financial assets and liabilities that are measured at fair value on a recurring basis as of February 2, 2018, February 3, 2017, and October 31, 2017, according to the valuation technique utilized to determine their fair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gridSpan w:val="5"/>
          </w:tcPr>
          <w:p>
            <w:pPr>
              <w:ind w:left="400"/>
              <w:spacing w:after="0"/>
              <w:rPr>
                <w:sz w:val="20"/>
                <w:szCs w:val="20"/>
                <w:color w:val="auto"/>
              </w:rPr>
            </w:pPr>
            <w:r>
              <w:rPr>
                <w:rFonts w:ascii="Arial" w:cs="Arial" w:eastAsia="Arial" w:hAnsi="Arial"/>
                <w:sz w:val="18"/>
                <w:szCs w:val="18"/>
                <w:b w:val="1"/>
                <w:bCs w:val="1"/>
                <w:color w:val="auto"/>
              </w:rPr>
              <w:t>Fair Value Measurements Using Inputs Considered as:</w:t>
            </w:r>
          </w:p>
        </w:tc>
      </w:tr>
      <w:tr>
        <w:trPr>
          <w:trHeight w:val="27"/>
        </w:trPr>
        <w:tc>
          <w:tcPr>
            <w:tcW w:w="2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February 2, 2018</w:t>
            </w:r>
          </w:p>
        </w:tc>
        <w:tc>
          <w:tcPr>
            <w:tcW w:w="112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 Value</w:t>
            </w:r>
          </w:p>
        </w:tc>
        <w:tc>
          <w:tcPr>
            <w:tcW w:w="360" w:type="dxa"/>
            <w:vAlign w:val="bottom"/>
          </w:tcPr>
          <w:p>
            <w:pPr>
              <w:spacing w:after="0"/>
              <w:rPr>
                <w:sz w:val="20"/>
                <w:szCs w:val="20"/>
                <w:color w:val="auto"/>
              </w:rPr>
            </w:pPr>
          </w:p>
        </w:tc>
        <w:tc>
          <w:tcPr>
            <w:tcW w:w="1480" w:type="dxa"/>
            <w:vAlign w:val="bottom"/>
          </w:tcPr>
          <w:p>
            <w:pPr>
              <w:ind w:left="260"/>
              <w:spacing w:after="0"/>
              <w:rPr>
                <w:sz w:val="20"/>
                <w:szCs w:val="20"/>
                <w:color w:val="auto"/>
              </w:rPr>
            </w:pPr>
            <w:r>
              <w:rPr>
                <w:rFonts w:ascii="Arial" w:cs="Arial" w:eastAsia="Arial" w:hAnsi="Arial"/>
                <w:sz w:val="18"/>
                <w:szCs w:val="18"/>
                <w:b w:val="1"/>
                <w:bCs w:val="1"/>
                <w:color w:val="auto"/>
              </w:rPr>
              <w:t>Level 1</w:t>
            </w:r>
          </w:p>
        </w:tc>
        <w:tc>
          <w:tcPr>
            <w:tcW w:w="46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Level 2</w:t>
            </w:r>
          </w:p>
        </w:tc>
        <w:tc>
          <w:tcPr>
            <w:tcW w:w="480" w:type="dxa"/>
            <w:vAlign w:val="bottom"/>
          </w:tcPr>
          <w:p>
            <w:pPr>
              <w:spacing w:after="0"/>
              <w:rPr>
                <w:sz w:val="20"/>
                <w:szCs w:val="20"/>
                <w:color w:val="auto"/>
              </w:rPr>
            </w:pPr>
          </w:p>
        </w:tc>
        <w:tc>
          <w:tcPr>
            <w:tcW w:w="1440" w:type="dxa"/>
            <w:vAlign w:val="bottom"/>
          </w:tcPr>
          <w:p>
            <w:pPr>
              <w:ind w:left="260"/>
              <w:spacing w:after="0"/>
              <w:rPr>
                <w:sz w:val="20"/>
                <w:szCs w:val="20"/>
                <w:color w:val="auto"/>
              </w:rPr>
            </w:pPr>
            <w:r>
              <w:rPr>
                <w:rFonts w:ascii="Arial" w:cs="Arial" w:eastAsia="Arial" w:hAnsi="Arial"/>
                <w:sz w:val="18"/>
                <w:szCs w:val="18"/>
                <w:b w:val="1"/>
                <w:bCs w:val="1"/>
                <w:color w:val="auto"/>
              </w:rPr>
              <w:t>Level 3</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Forward currency contracts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1,154</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ind w:left="11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1,154</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ind w:left="116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1,154</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1,154</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0"/>
        </w:trPr>
        <w:tc>
          <w:tcPr>
            <w:tcW w:w="29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9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7"/>
        </w:trPr>
        <w:tc>
          <w:tcPr>
            <w:tcW w:w="2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Forward currency contracts</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8,089</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8,089</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37"/>
        </w:trPr>
        <w:tc>
          <w:tcPr>
            <w:tcW w:w="2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8,089</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8,089</w:t>
            </w:r>
          </w:p>
        </w:tc>
        <w:tc>
          <w:tcPr>
            <w:tcW w:w="4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16"/>
        </w:trPr>
        <w:tc>
          <w:tcPr>
            <w:tcW w:w="29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gridSpan w:val="5"/>
          </w:tcPr>
          <w:p>
            <w:pPr>
              <w:ind w:left="400"/>
              <w:spacing w:after="0"/>
              <w:rPr>
                <w:sz w:val="20"/>
                <w:szCs w:val="20"/>
                <w:color w:val="auto"/>
              </w:rPr>
            </w:pPr>
            <w:r>
              <w:rPr>
                <w:rFonts w:ascii="Arial" w:cs="Arial" w:eastAsia="Arial" w:hAnsi="Arial"/>
                <w:sz w:val="18"/>
                <w:szCs w:val="18"/>
                <w:b w:val="1"/>
                <w:bCs w:val="1"/>
                <w:color w:val="auto"/>
              </w:rPr>
              <w:t>Fair Value Measurements Using Inputs Considered as:</w:t>
            </w:r>
          </w:p>
        </w:tc>
      </w:tr>
      <w:tr>
        <w:trPr>
          <w:trHeight w:val="27"/>
        </w:trPr>
        <w:tc>
          <w:tcPr>
            <w:tcW w:w="2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February 3, 2017</w:t>
            </w:r>
          </w:p>
        </w:tc>
        <w:tc>
          <w:tcPr>
            <w:tcW w:w="112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 Value</w:t>
            </w:r>
          </w:p>
        </w:tc>
        <w:tc>
          <w:tcPr>
            <w:tcW w:w="360" w:type="dxa"/>
            <w:vAlign w:val="bottom"/>
          </w:tcPr>
          <w:p>
            <w:pPr>
              <w:spacing w:after="0"/>
              <w:rPr>
                <w:sz w:val="20"/>
                <w:szCs w:val="20"/>
                <w:color w:val="auto"/>
              </w:rPr>
            </w:pPr>
          </w:p>
        </w:tc>
        <w:tc>
          <w:tcPr>
            <w:tcW w:w="1480" w:type="dxa"/>
            <w:vAlign w:val="bottom"/>
          </w:tcPr>
          <w:p>
            <w:pPr>
              <w:ind w:left="260"/>
              <w:spacing w:after="0"/>
              <w:rPr>
                <w:sz w:val="20"/>
                <w:szCs w:val="20"/>
                <w:color w:val="auto"/>
              </w:rPr>
            </w:pPr>
            <w:r>
              <w:rPr>
                <w:rFonts w:ascii="Arial" w:cs="Arial" w:eastAsia="Arial" w:hAnsi="Arial"/>
                <w:sz w:val="18"/>
                <w:szCs w:val="18"/>
                <w:b w:val="1"/>
                <w:bCs w:val="1"/>
                <w:color w:val="auto"/>
              </w:rPr>
              <w:t>Level 1</w:t>
            </w:r>
          </w:p>
        </w:tc>
        <w:tc>
          <w:tcPr>
            <w:tcW w:w="46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Level 2</w:t>
            </w:r>
          </w:p>
        </w:tc>
        <w:tc>
          <w:tcPr>
            <w:tcW w:w="480" w:type="dxa"/>
            <w:vAlign w:val="bottom"/>
          </w:tcPr>
          <w:p>
            <w:pPr>
              <w:spacing w:after="0"/>
              <w:rPr>
                <w:sz w:val="20"/>
                <w:szCs w:val="20"/>
                <w:color w:val="auto"/>
              </w:rPr>
            </w:pPr>
          </w:p>
        </w:tc>
        <w:tc>
          <w:tcPr>
            <w:tcW w:w="1440" w:type="dxa"/>
            <w:vAlign w:val="bottom"/>
          </w:tcPr>
          <w:p>
            <w:pPr>
              <w:ind w:left="260"/>
              <w:spacing w:after="0"/>
              <w:rPr>
                <w:sz w:val="20"/>
                <w:szCs w:val="20"/>
                <w:color w:val="auto"/>
              </w:rPr>
            </w:pPr>
            <w:r>
              <w:rPr>
                <w:rFonts w:ascii="Arial" w:cs="Arial" w:eastAsia="Arial" w:hAnsi="Arial"/>
                <w:sz w:val="18"/>
                <w:szCs w:val="18"/>
                <w:b w:val="1"/>
                <w:bCs w:val="1"/>
                <w:color w:val="auto"/>
              </w:rPr>
              <w:t>Level 3</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Forward currency contracts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2,347</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ind w:left="11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2,347</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ind w:left="116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2,347</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2,347</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0"/>
        </w:trPr>
        <w:tc>
          <w:tcPr>
            <w:tcW w:w="29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9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7"/>
        </w:trPr>
        <w:tc>
          <w:tcPr>
            <w:tcW w:w="2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Forward currency contracts</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1,504</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1,504</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37"/>
        </w:trPr>
        <w:tc>
          <w:tcPr>
            <w:tcW w:w="2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1,504</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1,504</w:t>
            </w:r>
          </w:p>
        </w:tc>
        <w:tc>
          <w:tcPr>
            <w:tcW w:w="4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16"/>
        </w:trPr>
        <w:tc>
          <w:tcPr>
            <w:tcW w:w="29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gridSpan w:val="5"/>
          </w:tcPr>
          <w:p>
            <w:pPr>
              <w:ind w:left="400"/>
              <w:spacing w:after="0"/>
              <w:rPr>
                <w:sz w:val="20"/>
                <w:szCs w:val="20"/>
                <w:color w:val="auto"/>
              </w:rPr>
            </w:pPr>
            <w:r>
              <w:rPr>
                <w:rFonts w:ascii="Arial" w:cs="Arial" w:eastAsia="Arial" w:hAnsi="Arial"/>
                <w:sz w:val="18"/>
                <w:szCs w:val="18"/>
                <w:b w:val="1"/>
                <w:bCs w:val="1"/>
                <w:color w:val="auto"/>
              </w:rPr>
              <w:t>Fair Value Measurements Using Inputs Considered as:</w:t>
            </w:r>
          </w:p>
        </w:tc>
      </w:tr>
      <w:tr>
        <w:trPr>
          <w:trHeight w:val="27"/>
        </w:trPr>
        <w:tc>
          <w:tcPr>
            <w:tcW w:w="2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October 31, 2017</w:t>
            </w:r>
          </w:p>
        </w:tc>
        <w:tc>
          <w:tcPr>
            <w:tcW w:w="112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 Value</w:t>
            </w:r>
          </w:p>
        </w:tc>
        <w:tc>
          <w:tcPr>
            <w:tcW w:w="360" w:type="dxa"/>
            <w:vAlign w:val="bottom"/>
          </w:tcPr>
          <w:p>
            <w:pPr>
              <w:spacing w:after="0"/>
              <w:rPr>
                <w:sz w:val="20"/>
                <w:szCs w:val="20"/>
                <w:color w:val="auto"/>
              </w:rPr>
            </w:pPr>
          </w:p>
        </w:tc>
        <w:tc>
          <w:tcPr>
            <w:tcW w:w="1480" w:type="dxa"/>
            <w:vAlign w:val="bottom"/>
          </w:tcPr>
          <w:p>
            <w:pPr>
              <w:ind w:left="260"/>
              <w:spacing w:after="0"/>
              <w:rPr>
                <w:sz w:val="20"/>
                <w:szCs w:val="20"/>
                <w:color w:val="auto"/>
              </w:rPr>
            </w:pPr>
            <w:r>
              <w:rPr>
                <w:rFonts w:ascii="Arial" w:cs="Arial" w:eastAsia="Arial" w:hAnsi="Arial"/>
                <w:sz w:val="18"/>
                <w:szCs w:val="18"/>
                <w:b w:val="1"/>
                <w:bCs w:val="1"/>
                <w:color w:val="auto"/>
              </w:rPr>
              <w:t>Level 1</w:t>
            </w:r>
          </w:p>
        </w:tc>
        <w:tc>
          <w:tcPr>
            <w:tcW w:w="46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Level 2</w:t>
            </w:r>
          </w:p>
        </w:tc>
        <w:tc>
          <w:tcPr>
            <w:tcW w:w="480" w:type="dxa"/>
            <w:vAlign w:val="bottom"/>
          </w:tcPr>
          <w:p>
            <w:pPr>
              <w:spacing w:after="0"/>
              <w:rPr>
                <w:sz w:val="20"/>
                <w:szCs w:val="20"/>
                <w:color w:val="auto"/>
              </w:rPr>
            </w:pPr>
          </w:p>
        </w:tc>
        <w:tc>
          <w:tcPr>
            <w:tcW w:w="1440" w:type="dxa"/>
            <w:vAlign w:val="bottom"/>
          </w:tcPr>
          <w:p>
            <w:pPr>
              <w:ind w:left="260"/>
              <w:spacing w:after="0"/>
              <w:rPr>
                <w:sz w:val="20"/>
                <w:szCs w:val="20"/>
                <w:color w:val="auto"/>
              </w:rPr>
            </w:pPr>
            <w:r>
              <w:rPr>
                <w:rFonts w:ascii="Arial" w:cs="Arial" w:eastAsia="Arial" w:hAnsi="Arial"/>
                <w:sz w:val="18"/>
                <w:szCs w:val="18"/>
                <w:b w:val="1"/>
                <w:bCs w:val="1"/>
                <w:color w:val="auto"/>
              </w:rPr>
              <w:t>Level 3</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Forward currency contracts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1,041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ind w:left="11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1,041</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ind w:left="116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1,041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1,041</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0"/>
        </w:trPr>
        <w:tc>
          <w:tcPr>
            <w:tcW w:w="29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9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7"/>
        </w:trPr>
        <w:tc>
          <w:tcPr>
            <w:tcW w:w="2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Forward currency contracts</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2,266</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2,266</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37"/>
        </w:trPr>
        <w:tc>
          <w:tcPr>
            <w:tcW w:w="2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2,266</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2,266</w:t>
            </w:r>
          </w:p>
        </w:tc>
        <w:tc>
          <w:tcPr>
            <w:tcW w:w="4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measures certain assets and liabilities at fair value on a nonrecurring basis. Assets and liabilities that are measured at fair value on a nonrecurring basis include long-lived assets, goodwill and indefinite-lived intangible assets, which are generally recorded at fair value as a result of an impairment charge. Assets acquired and liabilities assumed as part of acquisitions are measured at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Measurements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the company's short-term financial instruments, including cash and cash equivalents, accounts receivable, accounts payable, and short-term debt, including current maturities of long-term debt, approximate their fair values due to their short-term nature.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evaluated all subsequent events and concluded that no subsequent events have occurred that would require recognition in the Condensed Consolidated Financial Statements or disclosure in the Notes to the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expressly stated otherwise, the comparisons presented in this MD&amp;A refer to the same period in the prior fiscal year. Our MD&amp;A is presented in as follows:</w:t>
      </w:r>
    </w:p>
    <w:p>
      <w:pPr>
        <w:spacing w:after="0" w:line="214" w:lineRule="exact"/>
        <w:rPr>
          <w:sz w:val="20"/>
          <w:szCs w:val="20"/>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Company Overview</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Segments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Position</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Financial Measures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Forward-Looking Information</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provided non-GAAP financial measures, which are not calculated or presented in accordance with accounting principles generally accepted in the United States ("GAAP"), as information supplemental and in addition to the financial measures presented in this report that are calculated and presented in accordance with GAAP. This MD&amp;A contains certain non-GAAP financial measures, consisting of adjusted effective tax rate, adjusted net earnings, and adjusted net earnings per diluted share as measures of our operating performance. Management believes these measures may be useful in performing meaningful comparisons of past and present operating results, to understand the performance of our ongoing operations, and how management views the business. Reconciliations of adjusted non-GAAP financial measures to the most directly comparable reported GAAP financial measures are included in the section titled "Non-GAAP Financial Measures" within this MD&amp;A. These measures, however, should not be construed as an alternative to any other measure of performance determined in accordance with GAAP.</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This MD&amp;A should be read in conjunction with the MD&amp;A included in Part II, Item 7 of our Annual Report on Form 10-K for the fiscal year ended October 31, 2017. This discussion contains various “Forward-Looking Statements” within the meaning of</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Private Securities Litigation Reform Act of 1995 and we refer readers to the section titled “Forward-Looking Information” located at the end of Part I, Item 2 of this report for more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Toro Company is in the business of designing, manufacturing, and marketing professional turf maintenance equipment and services, turf irrigation systems, landscaping equipment and lighting products, snow and ice management products, agricultural irrigation systems, rental and specialty construction equipment, and residential yard and snow thrower products. We sell our products worldwide through a network of distributors, dealers, mass retailers, hardware retailers, home centers, as well as online (direct to end-users). We classify our operations into three reportable business segments: Professional, Residential, and Distribution. Our Distribution segment, which consists of our wholly owned domestic distributorship, has been combined with our corporate activities and elimination of intersegment revenues and expenses and is presented as “Other."</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strive to provide innovative, well-built, and dependable products supported by an extensive service network. A significant portion of our net sales has historically been, and we expect will continue to be, attributable to new and enhanced products. We define new products as those introduced in the current and previous two fiscal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Tax Reform</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22, 2017, the United States ("U.S.") enacted Public Law No. 115-97 (“Tax Act”), originally introduced as the Tax Cuts and Jobs Act, to significantly modify the Internal Revenue Code. The Tax Act reduced the U.S. federal corporate tax rate from 35.0 percent to 21.0 percent, created a territorial tax system with an exemption for foreign dividends, and imposed a one-time deemed repatriation tax on a U.S. company's historical undistributed earnings and profits of foreign affiliates. The tax rate change was effective January 1, 2018, resulting in a blended statutory tax rate of 23.3 percent for the fiscal year ended October 31, 2018. Among other provisions, the Tax Act also increased expensing for certain business assets, created new taxes on certain foreign sourced earnings, adopted limitations on business interest expense deductions, repealed deductions for income attributable to domestic production activities, and added other anti-base erosion rules. The effective dates for the provisions set forth in the Tax Act vary as to when the provisions will apply to Toro.</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response to the Tax Act, the SEC provided guidance by issuing Staff Accounting Bulletin No. 118 (“SAB 118”). SAB 118 allows companies to record provisional amounts during a measurement period with respect to the impacts of the Tax Act for which the accounting requirements under ASC Topic 740 are not complete, but a reasonable estimate has been determined. The measurement period under SAB 118 ends when a company has obtained, prepared, and analyzed the information that was needed in order to complete the accounting requirements under ASC Topic 740, but cannot exceed one year.</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the first quarter of fiscal 2018, we have not completed the accounting for the effects of the Tax Act. However, we have estimated the impacts of the Tax Act in its annual effective tax rate, and have recorded provisional amounts for the remeasurement of deferred tax assets and liabilities and the deemed repatriation tax.</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have recorded provisional amounts for the items expected to most significantly impact our financial statements this year, our evaluation is not complete and, accordingly, we have not yet reached a final conclusion on the overall impacts of the Tax Act. We need additional time to obtain, prepare, and analyze information related to the applicable provisions of the Tax Act. The actual impact of the Tax Act may differ from the provisional amounts, due to, among other things, changes in interpretations and assumptions we have made, guidance that may be issued, and changes in our structure or business model. Please reference the sections below titled "Provision for income taxes" and "Net earnings" within this MD&amp;A for further information regarding the impacts of the Tax Act on us for the first quarter of fiscal 2018.</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Reconciliations of adjusted non-GAAP financial measures to the most directly comparable reported GAAP financial measures are included in the section titled "Non-GAAP Financial Measures" within this MD&amp;A.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first quarter of fiscal 2018, our net sales increased 6.3 percent, as compared to the first quarter of fiscal 2017. Professional segment net sales increased 8.6 percent for the first quarter comparison, primarily due to strong channel demand for our landscape contractor zero-turn radius riding mowers ahead of our key selling season, continued growth in our golf and grounds business, increased shipments of our rental and specialty construction equipment due to continued strong retail demand, and increased shipments of our ag-irrigation products due to favorable weather conditions. These Professional segment increases were partially offset by lower shipments of our snow and ice management products due to lower than average snowfall in key customer markets. Residential segment net sales were up 1.5 percent for the first quarter comparison, mainly due to channel demand for our zero-turn radius mowers in preparation for our key selling season ahead, partially offset by lower residential snow product and service part sales which were impacted by below average snowfall early in the season, paired with below average snow events in the Midwest.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Changes in foreign currency exchange rates resulted in an increase of our net sales of approximately $3.3 million for the first quarter of fiscal 2018.</w:t>
      </w:r>
    </w:p>
    <w:p>
      <w:pPr>
        <w:spacing w:after="0" w:line="2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Due to the one-time impacts of the Tax Act, the reported first quarter of fiscal 2018 net earnings were $22.6 million, which was lower than the comparable fiscal 2017 reported net earnings of $45.0 million. Adjusted first quarter of fiscal 2018 net earnings were $52.1 million, compared to adjusted net earnings of $40.1 million in the comparable 2017 period, an increase of 30.0 percent. The adjusted net earnings growth for the first quarter of fiscal 2018 was primarily attributable to increased sales while leveraging selling, general, and administrative expenses ("SG&amp;A"). Lower gross margin partially offset the adjusted net earnings growth, due primarily to higher commodity costs and unfavorable product mix within our segments, partially offset by favorable foreign currency exchange rate fluctuations. Reconciliations of adjusted non-GAAP financial measures to the most directly comparable reported GAAP financial measures are included in the section titled "Non-GAAP Financial Measures" within this MD&amp;A.</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increased our cash dividend for the first quarter of fiscal 2018 by 14.3 percent to $0.20 per share compared to the $0.175 per share cash dividend paid in the first quarter of fiscal 2017.</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Inventory levels increased $37.2 million, or 9.3 percent, as of the end of the first quarter of fiscal 2018 mainly driven by higher planned sales for our upcoming key selling season and the impact of foreign currency exchange rates. Accounts receivable increased $14.9 million, or 8.1 percent, largely due to higher sales volume and the impact of foreign currency exchange rates. As of the end of the first quarter of fiscal 2018, field inventory levels were higher for both the Professional and Residential segments due to strong anticipated demand as we move into our key selling season.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Three-Year Employee Initiative - "Vision 2020"</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current multi-year employee initiative, "Vision 2020", which began with our 2018 fiscal year, focuses on driving profitable growth with an emphasis on innovation and serving our customers, which we believe will generate further momentum for the organization. Through our Vision 2020 initiative, we have set specific goals intended to help us drive organic revenue and operating earnings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Organic Revenue Growth</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intend to pursue strategic growth of our existing businesses and product categories with an organic revenue goal to achieve at least five percent or more of organic revenue growth in each of the three fiscal years of this initiative. For purposes of this goal, we define organic revenue growth as the increase in net sales, less net sales from acquisitions that occurred in the current fiscal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as part of our new Vision 2020 initiative growth goals, we have set an operating earnings goal to increase operating earnings as a percentage of net sales to 15.5 percent or higher by the end of fiscal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Worldwide consolidated net sales for the first quarter of fiscal 2018 were $548.2 million, up 6.3 percent compared to $515.8 million in the first quarter of fiscal 2017. The net sales increase for the quarter comparison was primarily due to strong channel demand for our Professional segment and Residential segment zero-turn radius riding mowers ahead of our key selling season, sales growth in our golf and grounds business, increased shipments of our rental and specialty construction equipment due to continued strong retail demand, and increased shipments of our ag-irrigation products due to favorable weather conditions. The net sales increase was partially offset by lower sales of our Professional segment and Residential segment snow and ice management products due to lower than average snowfall and snow events in key customer markets.</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sales in international markets increased by 11.8 percent for the first quarter of fiscal 2018, mainly due to increased shipments of our Professional segment and Residential segment zero-turn radius riding mowers, growth of our golf and grounds business, and sales of Perrot-branded irrigation products. Changes in foreign currency exchange rates positively impacted our international net sales by approximately $3.3 million for the first quarter of fiscal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major operating costs and other income as a percentage of net sales:</w:t>
      </w:r>
    </w:p>
    <w:p>
      <w:pPr>
        <w:spacing w:after="0" w:line="167" w:lineRule="exact"/>
        <w:rPr>
          <w:sz w:val="20"/>
          <w:szCs w:val="20"/>
          <w:color w:val="auto"/>
        </w:rPr>
      </w:pPr>
    </w:p>
    <w:p>
      <w:pPr>
        <w:ind w:left="888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4040" w:type="dxa"/>
            <w:vAlign w:val="bottom"/>
          </w:tcPr>
          <w:p>
            <w:pPr>
              <w:jc w:val="right"/>
              <w:ind w:right="150"/>
              <w:spacing w:after="0"/>
              <w:rPr>
                <w:sz w:val="20"/>
                <w:szCs w:val="20"/>
                <w:color w:val="auto"/>
              </w:rPr>
            </w:pPr>
            <w:r>
              <w:rPr>
                <w:rFonts w:ascii="Arial" w:cs="Arial" w:eastAsia="Arial" w:hAnsi="Arial"/>
                <w:sz w:val="18"/>
                <w:szCs w:val="18"/>
                <w:b w:val="1"/>
                <w:bCs w:val="1"/>
                <w:color w:val="auto"/>
              </w:rPr>
              <w:t>February 2, 2018</w:t>
            </w:r>
          </w:p>
        </w:tc>
        <w:tc>
          <w:tcPr>
            <w:tcW w:w="1720" w:type="dxa"/>
            <w:vAlign w:val="bottom"/>
          </w:tcPr>
          <w:p>
            <w:pPr>
              <w:jc w:val="right"/>
              <w:ind w:right="90"/>
              <w:spacing w:after="0"/>
              <w:rPr>
                <w:sz w:val="20"/>
                <w:szCs w:val="20"/>
                <w:color w:val="auto"/>
              </w:rPr>
            </w:pPr>
            <w:r>
              <w:rPr>
                <w:rFonts w:ascii="Arial" w:cs="Arial" w:eastAsia="Arial" w:hAnsi="Arial"/>
                <w:sz w:val="18"/>
                <w:szCs w:val="18"/>
                <w:b w:val="1"/>
                <w:bCs w:val="1"/>
                <w:color w:val="auto"/>
              </w:rPr>
              <w:t>February 3, 2017</w:t>
            </w:r>
          </w:p>
        </w:tc>
      </w:tr>
      <w:tr>
        <w:trPr>
          <w:trHeight w:val="27"/>
        </w:trPr>
        <w:tc>
          <w:tcPr>
            <w:tcW w:w="566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100.0%</w:t>
            </w: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100.0%</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4040" w:type="dxa"/>
            <w:vAlign w:val="bottom"/>
          </w:tcPr>
          <w:p>
            <w:pPr>
              <w:jc w:val="right"/>
              <w:ind w:right="230"/>
              <w:spacing w:after="0"/>
              <w:rPr>
                <w:sz w:val="20"/>
                <w:szCs w:val="20"/>
                <w:color w:val="auto"/>
              </w:rPr>
            </w:pPr>
            <w:r>
              <w:rPr>
                <w:rFonts w:ascii="Arial" w:cs="Arial" w:eastAsia="Arial" w:hAnsi="Arial"/>
                <w:sz w:val="18"/>
                <w:szCs w:val="18"/>
                <w:color w:val="auto"/>
              </w:rPr>
              <w:t>(62.7)</w:t>
            </w:r>
          </w:p>
        </w:tc>
        <w:tc>
          <w:tcPr>
            <w:tcW w:w="1720" w:type="dxa"/>
            <w:vAlign w:val="bottom"/>
          </w:tcPr>
          <w:p>
            <w:pPr>
              <w:jc w:val="right"/>
              <w:ind w:right="170"/>
              <w:spacing w:after="0"/>
              <w:rPr>
                <w:sz w:val="20"/>
                <w:szCs w:val="20"/>
                <w:color w:val="auto"/>
              </w:rPr>
            </w:pPr>
            <w:r>
              <w:rPr>
                <w:rFonts w:ascii="Arial" w:cs="Arial" w:eastAsia="Arial" w:hAnsi="Arial"/>
                <w:sz w:val="18"/>
                <w:szCs w:val="18"/>
                <w:color w:val="auto"/>
              </w:rPr>
              <w:t>(62.5)</w:t>
            </w:r>
          </w:p>
        </w:tc>
      </w:tr>
      <w:tr>
        <w:trPr>
          <w:trHeight w:val="27"/>
        </w:trPr>
        <w:tc>
          <w:tcPr>
            <w:tcW w:w="566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40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37.3</w:t>
            </w:r>
          </w:p>
        </w:tc>
        <w:tc>
          <w:tcPr>
            <w:tcW w:w="17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37.5</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4040" w:type="dxa"/>
            <w:vAlign w:val="bottom"/>
          </w:tcPr>
          <w:p>
            <w:pPr>
              <w:jc w:val="right"/>
              <w:ind w:right="230"/>
              <w:spacing w:after="0"/>
              <w:rPr>
                <w:sz w:val="20"/>
                <w:szCs w:val="20"/>
                <w:color w:val="auto"/>
              </w:rPr>
            </w:pPr>
            <w:r>
              <w:rPr>
                <w:rFonts w:ascii="Arial" w:cs="Arial" w:eastAsia="Arial" w:hAnsi="Arial"/>
                <w:sz w:val="18"/>
                <w:szCs w:val="18"/>
                <w:color w:val="auto"/>
              </w:rPr>
              <w:t>(25.1)</w:t>
            </w:r>
          </w:p>
        </w:tc>
        <w:tc>
          <w:tcPr>
            <w:tcW w:w="1720" w:type="dxa"/>
            <w:vAlign w:val="bottom"/>
          </w:tcPr>
          <w:p>
            <w:pPr>
              <w:jc w:val="right"/>
              <w:ind w:right="170"/>
              <w:spacing w:after="0"/>
              <w:rPr>
                <w:sz w:val="20"/>
                <w:szCs w:val="20"/>
                <w:color w:val="auto"/>
              </w:rPr>
            </w:pPr>
            <w:r>
              <w:rPr>
                <w:rFonts w:ascii="Arial" w:cs="Arial" w:eastAsia="Arial" w:hAnsi="Arial"/>
                <w:sz w:val="18"/>
                <w:szCs w:val="18"/>
                <w:color w:val="auto"/>
              </w:rPr>
              <w:t>(25.8)</w:t>
            </w:r>
          </w:p>
        </w:tc>
      </w:tr>
      <w:tr>
        <w:trPr>
          <w:trHeight w:val="27"/>
        </w:trPr>
        <w:tc>
          <w:tcPr>
            <w:tcW w:w="566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40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12.2</w:t>
            </w:r>
          </w:p>
        </w:tc>
        <w:tc>
          <w:tcPr>
            <w:tcW w:w="17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11.7</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4040" w:type="dxa"/>
            <w:vAlign w:val="bottom"/>
          </w:tcPr>
          <w:p>
            <w:pPr>
              <w:jc w:val="right"/>
              <w:ind w:right="230"/>
              <w:spacing w:after="0"/>
              <w:rPr>
                <w:sz w:val="20"/>
                <w:szCs w:val="20"/>
                <w:color w:val="auto"/>
              </w:rPr>
            </w:pPr>
            <w:r>
              <w:rPr>
                <w:rFonts w:ascii="Arial" w:cs="Arial" w:eastAsia="Arial" w:hAnsi="Arial"/>
                <w:sz w:val="18"/>
                <w:szCs w:val="18"/>
                <w:color w:val="auto"/>
              </w:rPr>
              <w:t>(0.9)</w:t>
            </w:r>
          </w:p>
        </w:tc>
        <w:tc>
          <w:tcPr>
            <w:tcW w:w="1720" w:type="dxa"/>
            <w:vAlign w:val="bottom"/>
          </w:tcPr>
          <w:p>
            <w:pPr>
              <w:jc w:val="right"/>
              <w:ind w:right="170"/>
              <w:spacing w:after="0"/>
              <w:rPr>
                <w:sz w:val="20"/>
                <w:szCs w:val="20"/>
                <w:color w:val="auto"/>
              </w:rPr>
            </w:pPr>
            <w:r>
              <w:rPr>
                <w:rFonts w:ascii="Arial" w:cs="Arial" w:eastAsia="Arial" w:hAnsi="Arial"/>
                <w:sz w:val="18"/>
                <w:szCs w:val="18"/>
                <w:color w:val="auto"/>
              </w:rPr>
              <w:t>(0.9)</w:t>
            </w:r>
          </w:p>
        </w:tc>
      </w:tr>
      <w:tr>
        <w:trPr>
          <w:trHeight w:val="27"/>
        </w:trPr>
        <w:tc>
          <w:tcPr>
            <w:tcW w:w="56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40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0.8</w:t>
            </w:r>
          </w:p>
        </w:tc>
        <w:tc>
          <w:tcPr>
            <w:tcW w:w="17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0.7</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4040" w:type="dxa"/>
            <w:vAlign w:val="bottom"/>
          </w:tcPr>
          <w:p>
            <w:pPr>
              <w:jc w:val="right"/>
              <w:ind w:right="230"/>
              <w:spacing w:after="0"/>
              <w:rPr>
                <w:sz w:val="20"/>
                <w:szCs w:val="20"/>
                <w:color w:val="auto"/>
              </w:rPr>
            </w:pPr>
            <w:r>
              <w:rPr>
                <w:rFonts w:ascii="Arial" w:cs="Arial" w:eastAsia="Arial" w:hAnsi="Arial"/>
                <w:sz w:val="18"/>
                <w:szCs w:val="18"/>
                <w:color w:val="auto"/>
              </w:rPr>
              <w:t>(8.0)</w:t>
            </w:r>
          </w:p>
        </w:tc>
        <w:tc>
          <w:tcPr>
            <w:tcW w:w="1720" w:type="dxa"/>
            <w:vAlign w:val="bottom"/>
          </w:tcPr>
          <w:p>
            <w:pPr>
              <w:jc w:val="right"/>
              <w:ind w:right="170"/>
              <w:spacing w:after="0"/>
              <w:rPr>
                <w:sz w:val="20"/>
                <w:szCs w:val="20"/>
                <w:color w:val="auto"/>
              </w:rPr>
            </w:pPr>
            <w:r>
              <w:rPr>
                <w:rFonts w:ascii="Arial" w:cs="Arial" w:eastAsia="Arial" w:hAnsi="Arial"/>
                <w:sz w:val="18"/>
                <w:szCs w:val="18"/>
                <w:color w:val="auto"/>
              </w:rPr>
              <w:t>(2.8)</w:t>
            </w:r>
          </w:p>
        </w:tc>
      </w:tr>
      <w:tr>
        <w:trPr>
          <w:trHeight w:val="27"/>
        </w:trPr>
        <w:tc>
          <w:tcPr>
            <w:tcW w:w="566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9"/>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4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4.1%</w:t>
            </w: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8.7%</w:t>
            </w:r>
          </w:p>
        </w:tc>
      </w:tr>
      <w:tr>
        <w:trPr>
          <w:trHeight w:val="20"/>
        </w:trPr>
        <w:tc>
          <w:tcPr>
            <w:tcW w:w="5660" w:type="dxa"/>
            <w:vAlign w:val="bottom"/>
            <w:tcBorders>
              <w:top w:val="single" w:sz="8" w:color="auto"/>
              <w:bottom w:val="single" w:sz="8" w:color="auto"/>
            </w:tcBorders>
          </w:tcPr>
          <w:p>
            <w:pPr>
              <w:spacing w:after="0" w:line="20" w:lineRule="exact"/>
              <w:rPr>
                <w:sz w:val="1"/>
                <w:szCs w:val="1"/>
                <w:color w:val="auto"/>
              </w:rPr>
            </w:pPr>
          </w:p>
        </w:tc>
        <w:tc>
          <w:tcPr>
            <w:tcW w:w="40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percentage of net sales, gross profit for the first quarter of fiscal 2018 was 37.3 percent, down 20 basis points when compared to the first quarter of fiscal 2017. This decrease was primarily due to higher commodity costs and unfavorable product mix within our segments, partially offset by favorable foreign currency exchange rate fluctuations.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SG&amp;A expense increased $4.4 million, or 3.3 percent, for the first quarter of fiscal 2018 when compared to the first quarter of fiscal 2017. As a percentage of net sales, SG&amp;A expense decreased 70 basis points to 25.1 percent for the first quarter of fiscal 2018. The decrease as a percentage of net sales was primarily due to the leveraging of expenses over higher sales volume.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for the first quarter of fiscal 2018 decreased by 1.3 percent.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net for the first quarter of fiscal 2018 increased by $0.4 million or 10.7 percent when compared to the first quarter of fiscal 2017. This increase was driven mainly by higher interest income on marketable securities, partially offset by foreign currency exchange rate losses.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effective tax rate for the first quarter of fiscal 2018 was 66.0 percent compared to 24.5 percent in the first quarter of 2017. The first quarter of fiscal 2018 effective tax rate was significantly impacted by the enactment of the Tax Act. This increase was driven by the provisional remeasurement of deferred tax assets and liabilities, which resulted in a non-cash discrete tax charge of $20.5 million, and the provisional calculation of the deemed repatriation tax, which resulted in a discrete tax charge of $12.6 million, payable over eight years. The unfavorable impact of these one-time charges was partially offset by a benefit of $4.9 million resulting from the reduction in the federal corporate tax rate. The adjusted effective tax rate for the first quarter of fiscal 2018 was 21.5 percent, compared to an adjusted effective tax rate of 32.7 percent in the same period last year. The adjusted effective tax rate excludes one-time charges associated with the Tax Act of $33.1 million and a benefit of $3.6 million for the excess tax deduction for share-based compensation. Reconciliations of adjusted non-GAAP financial measures to the most directly comparable reported GAAP financial measures are included in the section titled "Non-GAAP Financial Measures" within this MD&amp;A.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Net earnings for the first quarter of fiscal 2018 were $22.6 million, or $0.21 per diluted share, compared to $45.0 million, or $0.41 per diluted share, for the first quarter of fiscal 2017. The first quarter of fiscal 2018 net earnings were significantly impacted by the enactment of the Tax Act. As previously mentioned, the impact from the enactment of the Tax Act was driven by the provisional remeasurement of deferred tax assets and liabilities, which resulted in a non-cash discrete tax charge of $20.5 million, and the provisional calculation of the deemed repatriation tax, which resulted in a discrete tax charge of $12.6 million, payable over eight years. The unfavorable impact of these one-time charges was partially offset by a benefit of $4.9 million resulting from the reduction in the federal corporate tax rate. Adjusted net earnings for the first quarter of fiscal 2018 were $52.1 million, or $0.48 per diluted share, compared to $40.1 million, or $0.37 per diluted share, for the first quarter of fiscal 2017, an increase of 30.0 percent. The first quarter of fiscal 2018 adjusted net earnings excludes one-time charges associated with the Tax Act of $33.1 million, or $0.30 per diluted share and a benefit of $3.6 million, or $0.03 per diluted share, for the excess tax deduction for share-based compensation. The first quarter of fiscal 2017 adjusted net earnings excludes a benefit of $4.9 million, or $0.04 per diluted share, for the excess tax deduction for share-based compensation. Reconciliations of adjusted non-GAAP financial measures to the most directly comparable reported GAAP financial measures are included in the section titled "Non-GAAP Financial Measures" within this MD&amp;A.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operate in three reportable business segments: Professional, Residential, and Distribution. Our Distribution segment, which consists of our wholly-owned domestic distributorship, has been combined with our corporate activities and elimination of intersegment revenues and expenses that is shown as “Other” in the following tables. Operating earnings for our Professional and Residential segments are defined as operating earnings plus other income, net. Operating loss for “Other” includes operating earnings (loss), corporate activities, other income, net, and interest expense.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sales by reportable business segment: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2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c>
          <w:tcPr>
            <w:tcW w:w="1480" w:type="dxa"/>
            <w:vAlign w:val="bottom"/>
          </w:tcPr>
          <w:p>
            <w:pPr>
              <w:spacing w:after="0"/>
              <w:rPr>
                <w:sz w:val="20"/>
                <w:szCs w:val="20"/>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27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February 2, 2018</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February 3, 2017</w:t>
            </w:r>
          </w:p>
        </w:tc>
        <w:tc>
          <w:tcPr>
            <w:tcW w:w="34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b w:val="1"/>
                <w:bCs w:val="1"/>
                <w:color w:val="auto"/>
              </w:rPr>
              <w:t>$ Change</w:t>
            </w:r>
          </w:p>
        </w:tc>
        <w:tc>
          <w:tcPr>
            <w:tcW w:w="1480" w:type="dxa"/>
            <w:vAlign w:val="bottom"/>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8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w:t>
            </w:r>
          </w:p>
        </w:tc>
        <w:tc>
          <w:tcPr>
            <w:tcW w:w="16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403,669</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371,809</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31,860</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8.6 %</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16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142,507</w:t>
            </w: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140,390</w:t>
            </w:r>
          </w:p>
        </w:tc>
        <w:tc>
          <w:tcPr>
            <w:tcW w:w="340" w:type="dxa"/>
            <w:vAlign w:val="bottom"/>
          </w:tcPr>
          <w:p>
            <w:pPr>
              <w:spacing w:after="0"/>
              <w:rPr>
                <w:sz w:val="21"/>
                <w:szCs w:val="21"/>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2,117</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1.5</w:t>
            </w:r>
          </w:p>
        </w:tc>
      </w:tr>
      <w:tr>
        <w:trPr>
          <w:trHeight w:val="27"/>
        </w:trPr>
        <w:tc>
          <w:tcPr>
            <w:tcW w:w="38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2,070</w:t>
            </w: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3,640</w:t>
            </w:r>
          </w:p>
        </w:tc>
        <w:tc>
          <w:tcPr>
            <w:tcW w:w="3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(1,570)</w:t>
            </w: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(43.1)</w:t>
            </w:r>
          </w:p>
        </w:tc>
      </w:tr>
      <w:tr>
        <w:trPr>
          <w:trHeight w:val="237"/>
        </w:trPr>
        <w:tc>
          <w:tcPr>
            <w:tcW w:w="38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net sales*</w:t>
            </w:r>
          </w:p>
        </w:tc>
        <w:tc>
          <w:tcPr>
            <w:tcW w:w="16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548,246</w:t>
            </w:r>
          </w:p>
        </w:tc>
        <w:tc>
          <w:tcPr>
            <w:tcW w:w="5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515,839</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32,407</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6.3 %</w:t>
            </w:r>
          </w:p>
        </w:tc>
      </w:tr>
      <w:tr>
        <w:trPr>
          <w:trHeight w:val="67"/>
        </w:trPr>
        <w:tc>
          <w:tcPr>
            <w:tcW w:w="386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78"/>
        </w:trPr>
        <w:tc>
          <w:tcPr>
            <w:tcW w:w="386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*Includes international net sales of:</w:t>
            </w: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146,790</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131,242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15,548</w:t>
            </w:r>
          </w:p>
        </w:tc>
        <w:tc>
          <w:tcPr>
            <w:tcW w:w="1480" w:type="dxa"/>
            <w:vAlign w:val="bottom"/>
          </w:tcPr>
          <w:p>
            <w:pPr>
              <w:jc w:val="right"/>
              <w:spacing w:after="0"/>
              <w:rPr>
                <w:sz w:val="20"/>
                <w:szCs w:val="20"/>
                <w:color w:val="auto"/>
              </w:rPr>
            </w:pPr>
            <w:r>
              <w:rPr>
                <w:rFonts w:ascii="Arial" w:cs="Arial" w:eastAsia="Arial" w:hAnsi="Arial"/>
                <w:sz w:val="18"/>
                <w:szCs w:val="18"/>
                <w:color w:val="auto"/>
              </w:rPr>
              <w:t>11.8 %</w:t>
            </w:r>
          </w:p>
        </w:tc>
      </w:tr>
      <w:tr>
        <w:trPr>
          <w:trHeight w:val="27"/>
        </w:trPr>
        <w:tc>
          <w:tcPr>
            <w:tcW w:w="38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reportable business segment earnings (loss) before income taxes: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2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c>
          <w:tcPr>
            <w:tcW w:w="1480" w:type="dxa"/>
            <w:vAlign w:val="bottom"/>
          </w:tcPr>
          <w:p>
            <w:pPr>
              <w:spacing w:after="0"/>
              <w:rPr>
                <w:sz w:val="20"/>
                <w:szCs w:val="20"/>
                <w:color w:val="auto"/>
              </w:rPr>
            </w:pPr>
          </w:p>
        </w:tc>
      </w:tr>
      <w:tr>
        <w:trPr>
          <w:trHeight w:val="27"/>
        </w:trPr>
        <w:tc>
          <w:tcPr>
            <w:tcW w:w="39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27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February 2, 2018</w:t>
            </w:r>
          </w:p>
        </w:tc>
        <w:tc>
          <w:tcPr>
            <w:tcW w:w="15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February 3, 2017</w:t>
            </w:r>
          </w:p>
        </w:tc>
        <w:tc>
          <w:tcPr>
            <w:tcW w:w="32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b w:val="1"/>
                <w:bCs w:val="1"/>
                <w:color w:val="auto"/>
              </w:rPr>
              <w:t>$ Change</w:t>
            </w:r>
          </w:p>
        </w:tc>
        <w:tc>
          <w:tcPr>
            <w:tcW w:w="1480" w:type="dxa"/>
            <w:vAlign w:val="bottom"/>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9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w:t>
            </w:r>
          </w:p>
        </w:tc>
        <w:tc>
          <w:tcPr>
            <w:tcW w:w="16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75,912</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68,166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7,746</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11.4 %</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164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15,713</w:t>
            </w:r>
          </w:p>
        </w:tc>
        <w:tc>
          <w:tcPr>
            <w:tcW w:w="52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16,558</w:t>
            </w:r>
          </w:p>
        </w:tc>
        <w:tc>
          <w:tcPr>
            <w:tcW w:w="320" w:type="dxa"/>
            <w:vAlign w:val="bottom"/>
          </w:tcPr>
          <w:p>
            <w:pPr>
              <w:spacing w:after="0"/>
              <w:rPr>
                <w:sz w:val="21"/>
                <w:szCs w:val="21"/>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(845)</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(5.1)</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(25,240)</w:t>
            </w: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(25,171)</w:t>
            </w: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(69)</w:t>
            </w: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r>
      <w:tr>
        <w:trPr>
          <w:trHeight w:val="237"/>
        </w:trPr>
        <w:tc>
          <w:tcPr>
            <w:tcW w:w="39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earnings before income taxes</w:t>
            </w:r>
          </w:p>
        </w:tc>
        <w:tc>
          <w:tcPr>
            <w:tcW w:w="16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66,385</w:t>
            </w:r>
          </w:p>
        </w:tc>
        <w:tc>
          <w:tcPr>
            <w:tcW w:w="5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59,553</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6,832</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11.5 %</w:t>
            </w:r>
          </w:p>
        </w:tc>
      </w:tr>
      <w:tr>
        <w:trPr>
          <w:trHeight w:val="27"/>
        </w:trPr>
        <w:tc>
          <w:tcPr>
            <w:tcW w:w="39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Worldwide net sales for our Professional segment in the first quarter of fiscal 2018 increased 8.6 percent. This increase was primarily due to strong channel demand for our landscape contractor zero-turn radius riding mowers ahead of our key selling season, continued growth in our golf and grounds business with increased shipments of our Reelmaster® and Greensmaster® series mowers, increased shipments of our rental and specialty construction equipment due to continued strong retail demand, and increased shipments of our ag-irrigation products due to favorable weather conditions when compared to the first quarter of fiscal 2017. The net sales increase was partially offset by lower shipments of our snow and ice management products due to lower than average snowfall in key customer markets.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Operating earnings for the Professional segment in the first quarter of fiscal 2018 increased by 11.4 percent compared to the first quarter of fiscal 2017, and when expressed as a percentage of net sales, increased to 18.8 percent from 18.3 percent. As a percentage of net sales, the operating earnings increase was primarily due to leveraging SG&amp;A expense over higher sales volume, but was impacted by lower gross margins. The lower gross margins were mainly due to higher commodity costs and unfavorable segment product mix, partially offset by favorable foreign currency exchange rate fluctuations.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Worldwide net sales for our Residential segment in the first quarter of fiscal 2018 increased 1.5 percent compared to the prior fiscal year period. This increase was primarily due to channel demand for our zero-turn radius mowers ahead of our key selling season, partially offset by lower residential snow product and service part sales, which were impacted by below average snowfall early in the season, paired with below average snow events in the Midwest.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earnings for the Residential segment in the first quarter of fiscal 2018 decreased 5.1 percent compared to the first quarter of fiscal 2017, and when expressed as a percentage of net sales, decreased to 11.0 percent from 11.8 percent. As a percentage of net sales, the operating earnings decrease was primarily due to higher SG&amp;A expense, driven by higher warranty expense due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 mix and higher marketing expense, in addition to lower gross margins. Gross margins decreased mainly due to higher commodity costs and unfavorable segment product mix, partially offset by favorable foreign currency exchange rate fluctuations.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sales for the Other segment include sales from our wholly owned domestic distribution company less sales from the Professional and Residential segments to the distribution company. The Other segment net sales in the first quarter of fiscal 2018 decreased by $1.6 million, due to strong Professional segment sales to our wholly owned domestic distribution company that are eliminated in our other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loss for the Other segment decreased $0.1 million for the first quarter of fiscal 2018, primarily due to higher corporate expense, offset by higher interest income on marketable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strategy continues to place emphasis on improving asset utilization with a focus on reducing the amount of working capital in the supply chain, adjusting production plans, and maintaining or improving order replenishment and service levels to end users. Our average net working capital as a percentage of net sales for the twelve months ended February 2, 2018, was 13.8 percent compared to 15.1 percent for the twelve months ended February 3, 2017. We calculate our average net working capital as average net accounts receivable plus net inventory, less accounts payable for a twelve month period as percentage of rolling twelve month net sales.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Inventory levels were up $37.2 million, or 9.3 percent, as of the end of the first quarter of fiscal 2018 compared to the end of the first quarter of fiscal 2017, mainly driven by higher planned sales for our upcoming key selling season and the impact of foreign currency exchange rates. Accounts receivable as of the end of the first quarter of fiscal 2018 increased $14.9 million, or 8.1 percent, compared to the end of the first quarter of fiscal 2017, primarily due to higher sales volume and the impact of foreign currency exchange rates. Our average days sales outstanding for receivables decreased to 30.1 days, based on sales for the last twelve months ended February 2, 2018, compared to 30.8 days for the twelve months ended February 3, 2017. In addition, accounts payable increased $34.1 million, or 14.7 percent, as of the end of our first quarter of fiscal 2018 compared to the end of the first quarter of fiscal 2017, mainly due to negotiating payment terms with suppliers as a component of our working capital initiatives.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provided by operating activities for the first three months of fiscal 2018 decreased $7.2 million compared to the first three months of fiscal 2017, driven by changes in working capital, mainly cash used for purchases of inventory. Cash used in investing activities decreased $24.7 million during the first three months of fiscal 2018 compared to the first three months of fiscal 2017, primarily due to cash utilized for the acquisition of Perrot that closed during the first quarter of fiscal 2017. Cash used in financing activities for the first three months of fiscal 2018 decreased $8.1 million compared to the first three months of fiscal 2017, mainly due to less cash utilized for common stock repurchases, partially offset by higher payments on long-term debt and increased common stock dividends paid.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renovation of existing facilities, as well as for financing receivables from customers that are not financed with Red Iron. Our accounts receivable balances historically increase between January and April as a result of typically higher sales volumes and extended payment terms made available to our customers, and typically decrease between May and December when payments are received. We believe that the funds available through existing financing arrangements and forecasted cash flows will be sufficient to provide the necessary capital resources for our anticipated working capital needs, capital expenditures, investments, debt repayments, quarterly cash dividend payments, and common stock repurchases for at least the next twelve months. As of February 2, 2018, cash and short-term investments held by our foreign subsidiaries were approximately $154.6 million.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Seasonal cash requirements are financed from operations, cash on hand, and with short-term financing arrangements, including our $150.0 million unsecured senior five-year revolving credit facility that expires in October 2019. Included in our $150.0 million revolving credit facility is a $20.0 million sublimit for standby letters of credit and a $20.0 million sublimit for swingline loans. At our election, and with the approval of the named borrowers on the revolving credit facility and the election of the lenders to fund such increase, the aggregate maximum principal amount available under the facility may be increased by an amount up to $100.0 million. Funds are available under the revolving credit facility for working capital, capital expenditures, and other lawful purposes, including, but not limited to, acquisitions and common stock repurchases. Interest expense on this credit line is determined based on a LIBOR rate (or other rates quoted by the Administrative Agent, Bank of America, N.A.) plus a basis point spread defined in the credit agreement. In addition, our non-U.S. operations maintain short-term lines of credit in the aggregate amount of approximately $9.7 million. These facilities bear interest at various rates depending on the rates in their respective countries of operation. As of February 2, 2018 and February 3, 2017, we had no outstanding short-term debt under these lines of credit. As of February 2, 2018, we had $8.6 million of outstanding letters of credit and $151.1 million of unutilized availability under our credit agreements.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as of February 2, 2018, we had $315.5 million outstanding in long-term debt that includes $100.0 million of 7.8 percent debentures due June 15, 2027, $123.8 million of 6.625 percent senior notes due May 1, 2037, a $94.3 million term loan, and partially offsetting debt issuance costs and deferred charges of $2.6 million related to our outstanding long-term debt. The term loan bears interest based on a LIBOR rate (or other rates quoted by the Administrative Agent, Bank of America, N.A.) plus a basis point spread defined in the credit agreement. The term loan can be repaid in part or in full at any time without penalty, but in any event must be paid in full by October 2019.</w:t>
      </w:r>
    </w:p>
    <w:p>
      <w:pPr>
        <w:spacing w:after="0" w:line="18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revolving and term loan credit facility contains standard covenants, including, without limitation, financial covenants, such as the maintenance of minimum interest coverage and maximum debt to earnings before interest, taxes, depreciation, and amortization (“EBITDA”) ratios; and negative covenants, which among other things, limit loans and investments, disposition of assets, consolidations and mergers, transactions with affiliates, restricted payments, contingent obligations, liens, and other matters customarily restricted in such agreements. Most of these restrictions are subject to certain minimum thresholds and exceptions. Under the revolving credit facility, we are not limited in the amount for payments of cash dividends and common stock repurchases as long as our debt to EBITDA ratio from the previous quarter compliance certificate is less than or equal to 3.25, provided that immediately after giving effect of any such proposed action, no default or event of default would exist. As of February 2, 2018, we were not limited in the amount for payments of cash dividends and common stock repurchases. We were in compliance with all covenants related to our credit agreement for our revolving credit facility as of February 2, 2018, and we expect to be in compliance with all covenants during the remainder of fiscal 2018. If we were out of compliance with any covenant required by this credit agreement following the applicable cure period, the banks could terminate their commitments unless we could negotiate a covenant waiver from the banks. In addition, our long-term senior notes, debentures, term loan, and any amounts outstanding under the revolving credit facility could become due and payable if we were unable to obtain a covenant waiver or refinance our short-term debt under our credit agreement. If our credit rating falls below investment grade and/or our average debt to EBITDA ratio rises above 1.50, the basis point spread over LIBOR (or other rates quoted by the Administrative Agent, Bank of America, N.A.) we currently pay on outstanding debt under the credit agreement would increase. However, the credit commitment could not be canceled by the banks based solely on a ratings downgrade. Our debt rating for long-term unsecured senior, non-credit enhanced debt was unchanged during the first quarter of fiscal 2018 by Standard and Poor’s Ratings Group at BBB and by Moody’s Investors Service at Baa3.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Board of Directors approved a cash dividend of $0.20 per share for the first quarter of fiscal 2018 that was paid on January 10, 2018. This was an increase of 14.3 percent over our cash dividend of $0.175 per share for the first quarter of fiscal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 Arrangements and Contractual Obligations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Red Iron joint venture with TCFIF provides inventory financing to certain distributors and dealers of our products in the U.S. that enables them to carry representative inventories of our products. Some independent international dealers continue to finance their products with a third party finance company. This third party financing company purchased $8.7 million of receivables from us during the first three months of fiscal 2018. As of February 2, 2018, $12.9 million of receivables financed by a third party financing company, excluding Red Iron, were outstanding. See our most recently filed Annual Report on Form 10-K for further details regarding our customer financing arrangements and contractual obligations.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subject to the effects of inflation, deflation, and changing prices. In the first three months of fiscal 2018, the average cost of commodities and components purchased were higher compared to the average cost of commodities and components purchased in the first three months of fiscal 2017. We intend to continue to closely follow the cost of commodities and components that affect our product lines, and we anticipate that the average cost for some commodities and components to be higher for the remainder of fiscal 2018, as compared to fiscal 2017. Historically, we have mitigated, and we currently expect that we would mitigate, any commodity cost increases, in part, by collaborating with suppliers, reviewing alternative sourcing options, substituting materials, utilization of Lean methods, engaging in internal cost reduction efforts, and increasing prices on some of our products, all as appropriate.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provided non-GAAP financial measures, which are not calculated or presented in accordance with GAAP, as information supplemental and in addition to the most directly comparable financial measures that are calculated and presented in accordance with GAAP. Such non-GAAP financial measures should not be considered superior to, as a substitute for, or as an alternative to, and should be considered in conjunction with, the GAAP financial measures. The non-GAAP financial measures may differ from similar measures used by other companies.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provides reconciliations of financial measures calculated and reported in accordance with GAAP as well as adjusted non-GAAP financial measures. We believe these measures may be useful in performing meaningful comparisons of past and present operating results, to understand the performance of our ongoing operations, and how management views the business. The following is a reconciliation of our net earnings, diluted earnings per share ("EPS"), and effective tax rate to our adjusted net earnings, adjusted diluted EPS, and adjusted effective tax rate: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200" w:type="dxa"/>
            <w:vAlign w:val="bottom"/>
          </w:tcPr>
          <w:p>
            <w:pPr>
              <w:spacing w:after="0"/>
              <w:rPr>
                <w:sz w:val="20"/>
                <w:szCs w:val="20"/>
                <w:color w:val="auto"/>
              </w:rPr>
            </w:pPr>
          </w:p>
        </w:tc>
        <w:tc>
          <w:tcPr>
            <w:tcW w:w="256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Net Earnings</w:t>
            </w:r>
          </w:p>
        </w:tc>
        <w:tc>
          <w:tcPr>
            <w:tcW w:w="260" w:type="dxa"/>
            <w:vAlign w:val="bottom"/>
          </w:tcPr>
          <w:p>
            <w:pPr>
              <w:spacing w:after="0"/>
              <w:rPr>
                <w:sz w:val="20"/>
                <w:szCs w:val="20"/>
                <w:color w:val="auto"/>
              </w:rPr>
            </w:pPr>
          </w:p>
        </w:tc>
        <w:tc>
          <w:tcPr>
            <w:tcW w:w="2640" w:type="dxa"/>
            <w:vAlign w:val="bottom"/>
            <w:gridSpan w:val="3"/>
          </w:tcPr>
          <w:p>
            <w:pPr>
              <w:jc w:val="right"/>
              <w:ind w:right="910"/>
              <w:spacing w:after="0"/>
              <w:rPr>
                <w:sz w:val="20"/>
                <w:szCs w:val="20"/>
                <w:color w:val="auto"/>
              </w:rPr>
            </w:pPr>
            <w:r>
              <w:rPr>
                <w:rFonts w:ascii="Arial" w:cs="Arial" w:eastAsia="Arial" w:hAnsi="Arial"/>
                <w:sz w:val="18"/>
                <w:szCs w:val="18"/>
                <w:b w:val="1"/>
                <w:bCs w:val="1"/>
                <w:color w:val="auto"/>
              </w:rPr>
              <w:t>Diluted EPS</w:t>
            </w:r>
          </w:p>
        </w:tc>
        <w:tc>
          <w:tcPr>
            <w:tcW w:w="284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Effective Tax Rate</w:t>
            </w:r>
          </w:p>
        </w:tc>
      </w:tr>
      <w:tr>
        <w:trPr>
          <w:trHeight w:val="27"/>
        </w:trPr>
        <w:tc>
          <w:tcPr>
            <w:tcW w:w="2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February 2,</w:t>
            </w:r>
          </w:p>
        </w:tc>
        <w:tc>
          <w:tcPr>
            <w:tcW w:w="20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February 3,</w:t>
            </w:r>
          </w:p>
        </w:tc>
        <w:tc>
          <w:tcPr>
            <w:tcW w:w="26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February 2,</w:t>
            </w:r>
          </w:p>
        </w:tc>
        <w:tc>
          <w:tcPr>
            <w:tcW w:w="200" w:type="dxa"/>
            <w:vAlign w:val="bottom"/>
          </w:tcPr>
          <w:p>
            <w:pPr>
              <w:spacing w:after="0"/>
              <w:rPr>
                <w:sz w:val="18"/>
                <w:szCs w:val="18"/>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b w:val="1"/>
                <w:bCs w:val="1"/>
                <w:color w:val="auto"/>
                <w:w w:val="92"/>
              </w:rPr>
              <w:t>February 3,</w:t>
            </w:r>
          </w:p>
        </w:tc>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February 2,</w:t>
            </w: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rPr>
              <w:t>February 3,</w:t>
            </w:r>
          </w:p>
        </w:tc>
      </w:tr>
      <w:tr>
        <w:trPr>
          <w:trHeight w:val="234"/>
        </w:trPr>
        <w:tc>
          <w:tcPr>
            <w:tcW w:w="2920" w:type="dxa"/>
            <w:vAlign w:val="bottom"/>
          </w:tcPr>
          <w:p>
            <w:pPr>
              <w:ind w:left="4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5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7"/>
        </w:trPr>
        <w:tc>
          <w:tcPr>
            <w:tcW w:w="2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Reported - GAAP</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22,604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44,990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0.41</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66.0 %</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70"/>
        </w:trPr>
        <w:tc>
          <w:tcPr>
            <w:tcW w:w="2920" w:type="dxa"/>
            <w:vAlign w:val="bottom"/>
          </w:tcPr>
          <w:p>
            <w:pPr>
              <w:ind w:left="40"/>
              <w:spacing w:after="0" w:line="270" w:lineRule="exact"/>
              <w:rPr>
                <w:sz w:val="20"/>
                <w:szCs w:val="20"/>
                <w:color w:val="auto"/>
              </w:rPr>
            </w:pPr>
            <w:r>
              <w:rPr>
                <w:rFonts w:ascii="Arial" w:cs="Arial" w:eastAsia="Arial" w:hAnsi="Arial"/>
                <w:sz w:val="18"/>
                <w:szCs w:val="18"/>
                <w:color w:val="auto"/>
              </w:rPr>
              <w:t>Impacts of tax reform</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29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w w:val="97"/>
              </w:rPr>
              <w:t>Net deferred tax asset revaluation</w:t>
            </w:r>
            <w:r>
              <w:rPr>
                <w:rFonts w:ascii="Arial" w:cs="Arial" w:eastAsia="Arial" w:hAnsi="Arial"/>
                <w:sz w:val="25"/>
                <w:szCs w:val="25"/>
                <w:color w:val="auto"/>
                <w:w w:val="97"/>
                <w:vertAlign w:val="superscript"/>
              </w:rPr>
              <w:t>2</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20,513</w:t>
            </w: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0.19</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920" w:type="dxa"/>
            <w:vAlign w:val="bottom"/>
          </w:tcPr>
          <w:p>
            <w:pPr>
              <w:ind w:left="180"/>
              <w:spacing w:after="0" w:line="270" w:lineRule="exact"/>
              <w:rPr>
                <w:sz w:val="20"/>
                <w:szCs w:val="20"/>
                <w:color w:val="auto"/>
              </w:rPr>
            </w:pPr>
            <w:r>
              <w:rPr>
                <w:rFonts w:ascii="Arial" w:cs="Arial" w:eastAsia="Arial" w:hAnsi="Arial"/>
                <w:sz w:val="18"/>
                <w:szCs w:val="18"/>
                <w:color w:val="auto"/>
              </w:rPr>
              <w:t>Deemed repatriation tax</w:t>
            </w:r>
            <w:r>
              <w:rPr>
                <w:rFonts w:ascii="Arial" w:cs="Arial" w:eastAsia="Arial" w:hAnsi="Arial"/>
                <w:sz w:val="25"/>
                <w:szCs w:val="25"/>
                <w:color w:val="auto"/>
                <w:vertAlign w:val="superscript"/>
              </w:rPr>
              <w:t>3</w:t>
            </w:r>
          </w:p>
        </w:tc>
        <w:tc>
          <w:tcPr>
            <w:tcW w:w="200" w:type="dxa"/>
            <w:vAlign w:val="bottom"/>
          </w:tcPr>
          <w:p>
            <w:pPr>
              <w:spacing w:after="0"/>
              <w:rPr>
                <w:sz w:val="23"/>
                <w:szCs w:val="23"/>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12,600</w:t>
            </w:r>
          </w:p>
        </w:tc>
        <w:tc>
          <w:tcPr>
            <w:tcW w:w="20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0.11</w:t>
            </w:r>
          </w:p>
        </w:tc>
        <w:tc>
          <w:tcPr>
            <w:tcW w:w="200" w:type="dxa"/>
            <w:vAlign w:val="bottom"/>
          </w:tcPr>
          <w:p>
            <w:pPr>
              <w:spacing w:after="0"/>
              <w:rPr>
                <w:sz w:val="23"/>
                <w:szCs w:val="23"/>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(19.0)%</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9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Benefit of the excess tax deduction for</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57"/>
        </w:trPr>
        <w:tc>
          <w:tcPr>
            <w:tcW w:w="2920" w:type="dxa"/>
            <w:vAlign w:val="bottom"/>
            <w:tcBorders>
              <w:bottom w:val="single" w:sz="8" w:color="auto"/>
            </w:tcBorders>
            <w:shd w:val="clear" w:color="auto" w:fill="CCEEFF"/>
          </w:tcPr>
          <w:p>
            <w:pPr>
              <w:ind w:left="40"/>
              <w:spacing w:after="0" w:line="257" w:lineRule="exact"/>
              <w:rPr>
                <w:sz w:val="20"/>
                <w:szCs w:val="20"/>
                <w:color w:val="auto"/>
              </w:rPr>
            </w:pPr>
            <w:r>
              <w:rPr>
                <w:rFonts w:ascii="Arial" w:cs="Arial" w:eastAsia="Arial" w:hAnsi="Arial"/>
                <w:sz w:val="18"/>
                <w:szCs w:val="18"/>
                <w:color w:val="auto"/>
              </w:rPr>
              <w:t>share-based compensation</w:t>
            </w:r>
            <w:r>
              <w:rPr>
                <w:rFonts w:ascii="Arial" w:cs="Arial" w:eastAsia="Arial" w:hAnsi="Arial"/>
                <w:sz w:val="25"/>
                <w:szCs w:val="25"/>
                <w:color w:val="auto"/>
                <w:vertAlign w:val="superscript"/>
              </w:rPr>
              <w:t>4</w:t>
            </w: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(3,576)</w:t>
            </w:r>
          </w:p>
        </w:tc>
        <w:tc>
          <w:tcPr>
            <w:tcW w:w="2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(4,868)</w:t>
            </w:r>
          </w:p>
        </w:tc>
        <w:tc>
          <w:tcPr>
            <w:tcW w:w="2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(0.04)</w:t>
            </w:r>
          </w:p>
        </w:tc>
        <w:tc>
          <w:tcPr>
            <w:tcW w:w="15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5.4 %</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37"/>
        </w:trPr>
        <w:tc>
          <w:tcPr>
            <w:tcW w:w="2920" w:type="dxa"/>
            <w:vAlign w:val="bottom"/>
          </w:tcPr>
          <w:p>
            <w:pPr>
              <w:ind w:left="40"/>
              <w:spacing w:after="0"/>
              <w:rPr>
                <w:sz w:val="20"/>
                <w:szCs w:val="20"/>
                <w:color w:val="auto"/>
              </w:rPr>
            </w:pPr>
            <w:r>
              <w:rPr>
                <w:rFonts w:ascii="Arial" w:cs="Arial" w:eastAsia="Arial" w:hAnsi="Arial"/>
                <w:sz w:val="18"/>
                <w:szCs w:val="18"/>
                <w:color w:val="auto"/>
              </w:rPr>
              <w:t>As Adjusted - Non-GAAP</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52,141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40,122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0.48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0.37</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21.5 %</w:t>
            </w:r>
          </w:p>
        </w:tc>
        <w:tc>
          <w:tcPr>
            <w:tcW w:w="130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7"/>
        </w:trPr>
        <w:tc>
          <w:tcPr>
            <w:tcW w:w="2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180" w:hanging="172"/>
        <w:spacing w:after="0" w:line="217" w:lineRule="auto"/>
        <w:tabs>
          <w:tab w:leader="none" w:pos="18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The actual impact of the U.S. tax reform may differ from our estimates, due to, among other things, changes in interpretations and assumptions we have made, guidance that may be issued, and changes in our structure or business model.</w:t>
      </w:r>
    </w:p>
    <w:p>
      <w:pPr>
        <w:spacing w:after="0" w:line="172" w:lineRule="exact"/>
        <w:rPr>
          <w:sz w:val="20"/>
          <w:szCs w:val="20"/>
          <w:color w:val="auto"/>
        </w:rPr>
      </w:pPr>
    </w:p>
    <w:p>
      <w:pPr>
        <w:jc w:val="both"/>
        <w:ind w:left="180" w:hanging="172"/>
        <w:spacing w:after="0" w:line="225" w:lineRule="auto"/>
        <w:tabs>
          <w:tab w:leader="none" w:pos="180"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Signed into law on December 22, 2017, the Tax Act, reduced the U.S. federal corporate tax rate from 35.0 percent to 21.0 percent, effective January 1, 2018, resulting in a blended U.S. federal statutory tax rate of 23.3 percent for the fiscal year ended October 31, 2018. This reduction in rate requires the remeasurement of our net deferred taxes as of the date of enactment which resulted in a non-cash charge of $20.5 million.</w:t>
      </w:r>
    </w:p>
    <w:p>
      <w:pPr>
        <w:spacing w:after="0" w:line="201" w:lineRule="exact"/>
        <w:rPr>
          <w:sz w:val="20"/>
          <w:szCs w:val="20"/>
          <w:color w:val="auto"/>
        </w:rPr>
      </w:pPr>
    </w:p>
    <w:p>
      <w:pPr>
        <w:ind w:left="180" w:hanging="172"/>
        <w:spacing w:after="0" w:line="217" w:lineRule="auto"/>
        <w:tabs>
          <w:tab w:leader="none" w:pos="18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The Tax Act imposed a one-time deemed repatriation tax on our historical undistributed earnings and profits of foreign affiliates which resulted in a one-time charge of $12.6 million as of February 2, 2018, payable over eight years.</w:t>
      </w:r>
    </w:p>
    <w:p>
      <w:pPr>
        <w:spacing w:after="0" w:line="172" w:lineRule="exact"/>
        <w:rPr>
          <w:sz w:val="20"/>
          <w:szCs w:val="20"/>
          <w:color w:val="auto"/>
        </w:rPr>
      </w:pPr>
    </w:p>
    <w:p>
      <w:pPr>
        <w:jc w:val="both"/>
        <w:ind w:left="180" w:hanging="172"/>
        <w:spacing w:after="0" w:line="230" w:lineRule="auto"/>
        <w:tabs>
          <w:tab w:leader="none" w:pos="18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 xml:space="preserve">In the first quarter of fiscal 2017, we adopted Accounting Standards Update No. 2016-09, </w:t>
      </w:r>
      <w:r>
        <w:rPr>
          <w:rFonts w:ascii="Arial" w:cs="Arial" w:eastAsia="Arial" w:hAnsi="Arial"/>
          <w:sz w:val="16"/>
          <w:szCs w:val="16"/>
          <w:i w:val="1"/>
          <w:iCs w:val="1"/>
          <w:color w:val="auto"/>
        </w:rPr>
        <w:t>Stock-based Compensation: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which requires that any excess tax deduction for share-based compensation be immediately recorded within income tax expense. During the first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2018, we recorded a discrete tax benefit of $3.6 million as an excess tax deduction for share-based compensation. The Tax Act reduced the U.S. federal corporate tax rate which reduced the tax benefit related to share-based compensation by $1.6 million as of February 2, 2018.</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There have been no material changes to our critical accounting policies and estimates since our most recent Annual Report on Form 10-K for the fiscal year ended October 31, 2017. Refer to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Part II, Item 8, Note 1, </w:t>
      </w:r>
      <w:r>
        <w:rPr>
          <w:rFonts w:ascii="Arial" w:cs="Arial" w:eastAsia="Arial" w:hAnsi="Arial"/>
          <w:sz w:val="18"/>
          <w:szCs w:val="18"/>
          <w:i w:val="1"/>
          <w:iCs w:val="1"/>
          <w:color w:val="auto"/>
        </w:rPr>
        <w:t>Summary of Significant Accounting Policies and Related Data</w:t>
      </w:r>
      <w:r>
        <w:rPr>
          <w:rFonts w:ascii="Arial" w:cs="Arial" w:eastAsia="Arial" w:hAnsi="Arial"/>
          <w:sz w:val="18"/>
          <w:szCs w:val="18"/>
          <w:color w:val="auto"/>
        </w:rPr>
        <w:t>, within our Annual Report on Form 10-K for the fiscal year ended October 31, 2017 for a discussion of our critical accounting policies and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to be Adopted</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Updates ("ASU") No.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w:t>
      </w:r>
      <w:r>
        <w:rPr>
          <w:rFonts w:ascii="Arial" w:cs="Arial" w:eastAsia="Arial" w:hAnsi="Arial"/>
          <w:sz w:val="16"/>
          <w:szCs w:val="16"/>
          <w:color w:val="auto"/>
        </w:rPr>
        <w:t>that updates the principles for recognizing revenue. The core principle of the guidance is that an entity should recognize revenue to depict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transfer of promised goods or services to customers in an amount that reflects the consideration to which the entity expects to be entitled to in exchange for those goods or services. The guidance provides a five-step analysis of transactions to determine when and how revenue is recognized. The guidance also requires enhanced disclosures regarding the nature, amount, timing, and uncertainty of revenue and cash flows arising from an entity’s contracts with customers. In August 2015, the FASB issued ASU No. 2015-14,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deferred the effective date of this standard by one year. We expect to adopt this guidance on November 1, 2018, as required, based on the new effective date. The guidance permits the use of either a retrospective or cumulative effect transition method. We have elected to use a cumulative effect transition method for adoption of the amended guidance. We expect to adopt this guidance on November 1, 2018, as required, based on the new effective date. We are currently assessing our contracts with customers and developing related financial disclosures in order to evaluate the impact of the amended guidance on our existing revenue recognition policies, procedures, and internal controls. The majority of our revenue arrangements generally consist of a single performance obligation to transfer promised goods or services. While we have not identified any material differences in the amount and timing of revenue recognition related to ASU 2014-09, our evaluation is not complete and, accordingly, we have not yet reached a conclusion on the overall impacts of adopting ASU 2014-09.</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which, among other things, requires lessees to recognize most leases on-balance sheet. The standard requires the recognition of lease assets and lease liabilities by lessees for those leases classified as operating leases under previous GAAP. In January 2018, the FASB issued ASU No. 2018-01, </w:t>
      </w:r>
      <w:r>
        <w:rPr>
          <w:rFonts w:ascii="Arial" w:cs="Arial" w:eastAsia="Arial" w:hAnsi="Arial"/>
          <w:sz w:val="18"/>
          <w:szCs w:val="18"/>
          <w:i w:val="1"/>
          <w:iCs w:val="1"/>
          <w:color w:val="auto"/>
        </w:rPr>
        <w:t>Leases (Topic 842): Land Easement Practical Expedient for Transition to Topic 842</w:t>
      </w:r>
      <w:r>
        <w:rPr>
          <w:rFonts w:ascii="Arial" w:cs="Arial" w:eastAsia="Arial" w:hAnsi="Arial"/>
          <w:sz w:val="18"/>
          <w:szCs w:val="18"/>
          <w:color w:val="auto"/>
        </w:rPr>
        <w:t>, which provides an optional transition practical expedient to not evaluating existing or expired land easements under the amended lease guidance. ASU No. 2016-02, as augmented by ASU No. 2018-01, will become effective for us commencing in the first quarter of fiscal 2020. Entities are required to use a modified retrospective approach, with early adoption permitted. We are currently reviewing the revised guidance, assessing our leases, and related impact on our Consolidated Financial Statements.</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which simplifies the accounting for goodwill impairments by eliminating step 2 from the goodwill impairment test. The amended guidance will become effective for us commencing in the first quarter of fiscal 2021. We are currently evaluating the impact of this new standard on our Consolidated Financial Statements.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which provides guidance on the types of changes to the terms or conditions of share-based payment awards to which an entity would be required to apply modification accounting under Topic 718. The amended guidance will become effective for us commencing in the first quarter of fiscal 2019. Early adoption is permitted. We are currently evaluating the impact of this new standard on our Consolidated Financial Statements.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February 2018, the FASB issued ASU No. 2018-02, </w:t>
      </w:r>
      <w:r>
        <w:rPr>
          <w:rFonts w:ascii="Arial" w:cs="Arial" w:eastAsia="Arial" w:hAnsi="Arial"/>
          <w:sz w:val="18"/>
          <w:szCs w:val="18"/>
          <w:i w:val="1"/>
          <w:iCs w:val="1"/>
          <w:color w:val="auto"/>
        </w:rPr>
        <w:t>Income Statement - Reporting Comprehensive Income (Topic 220): Reclassification of Certain Tax</w:t>
      </w:r>
      <w:r>
        <w:rPr>
          <w:rFonts w:ascii="Arial" w:cs="Arial" w:eastAsia="Arial" w:hAnsi="Arial"/>
          <w:sz w:val="18"/>
          <w:szCs w:val="18"/>
          <w:color w:val="auto"/>
        </w:rPr>
        <w:t xml:space="preserve"> </w:t>
      </w:r>
      <w:r>
        <w:rPr>
          <w:rFonts w:ascii="Arial" w:cs="Arial" w:eastAsia="Arial" w:hAnsi="Arial"/>
          <w:sz w:val="18"/>
          <w:szCs w:val="18"/>
          <w:i w:val="1"/>
          <w:iCs w:val="1"/>
          <w:color w:val="auto"/>
        </w:rPr>
        <w:t>Effects from Accumulated Other Comprehensive Income</w:t>
      </w:r>
      <w:r>
        <w:rPr>
          <w:rFonts w:ascii="Arial" w:cs="Arial" w:eastAsia="Arial" w:hAnsi="Arial"/>
          <w:sz w:val="18"/>
          <w:szCs w:val="18"/>
          <w:color w:val="auto"/>
        </w:rPr>
        <w:t>, which provides for the reclassification of the stranded tax effect of remeasuring deferred tax</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 related to items within accumulated other comprehensive income ("AOCI") to retained earnings resulting from the Tax Act. The amendment also includes disclosure requirements regarding an entity's accounting policy for releasing income tax effects from AOCI. The amended guidance will become effective for us commencing in the first quarter of fiscal 2020. We are currently evaluating the impact of this new standard on our Consolidated Financial Statements.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all other recently issued accounting pronouncements from the FASB that we have not noted above, will not have a material impact on our Consolidated Financial Statements or do not apply to our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This Quarterly Report on Form 10-Q contains not only historical information, but also forward-looking statements within the meaning of Section 27A of the Securities Act of 1933, as amended (“Securities Act”), and Section 21E under the Securities Exchange Act of 1934, as amended (“Exchange Act”),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Forward-looking statements are based on our current expectations of future events, and often can be identified in this report and elsewhere by using words such as “expect,” “strive,” “looking ahead,” “outlook,” “guidance,” “forecast,” “goal,” “optimistic,” “anticipate,” “continue,” “plan,” “estimate,” “project,” “believe,” “should,” “could,” “will,” “would,” “possible,” “may,” “likely,” “intend,” “can,” “seek,” “potential,” “pro forma,” or the negative thereof and similar expressions or future dates. Our forward-looking statements generally relate to our future performance, including our anticipated operating results, liquidity requirements, and financial condition; our business strategies and goals; and the effect of laws, rules, regulations, tax reform, new accounting pronouncements, and outstanding litigation on our business and future performance.</w:t>
      </w:r>
    </w:p>
    <w:p>
      <w:pPr>
        <w:spacing w:after="0" w:line="18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Forward-looking statements involve risks and uncertainties that could cause actual results to differ materially from those projected or implied. The following are some of the factors known to us that could cause our actual results to differ materially from what we have anticipated in our forward-looking statements:</w:t>
      </w:r>
    </w:p>
    <w:p>
      <w:pPr>
        <w:spacing w:after="0" w:line="124" w:lineRule="exact"/>
        <w:rPr>
          <w:sz w:val="20"/>
          <w:szCs w:val="20"/>
          <w:color w:val="auto"/>
        </w:rPr>
      </w:pPr>
    </w:p>
    <w:p>
      <w:pPr>
        <w:jc w:val="both"/>
        <w:ind w:left="660" w:hanging="328"/>
        <w:spacing w:after="0" w:line="25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economic conditions and outlook in the United States and in other countries in which we conduct business could adversely affect our net sales and earnings, which include but are not limited to recessionary conditions; slow or negative economic growth rates; the impact of U.S. federal debt, state debt and sovereign debt defaults and austerity measures by certain European countries; slow down or reductions in levels of golf course development, renovation, and improvement; golf course closures; reduced levels of home ownership, construction, and sales; home foreclosures; negative consumer confidence; reduced consumer spending levels; increased unemployment rates; prolonged high unemployment rates; higher commodity and component costs and fuel prices; inflationary or deflationary pressures; reduced credit availability or unfavorable credit terms for our distributors, dealers, and end-user customers; higher short-term, mortgage, and other interest rates; and general economic and political conditions and expectations.</w:t>
      </w:r>
    </w:p>
    <w:p>
      <w:pPr>
        <w:spacing w:after="0" w:line="4"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Weather conditions, including unfavorable weather conditions exacerbated by global climate changes or otherwise, may reduce demand for some of our products and adversely affect our net sales and operating results, or may affect the timing of demand for some of our products and may adversely affect net sales and operating results in subsequent periods.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foreign currency exchange rates have in the past affected our operating results and could continue to result in declines in our net sales and net earnings.</w:t>
      </w: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the cost, or disruption in the availability, of raw materials, components, parts and accessories containing various commodities that we purchase, such as steel, aluminum, petroleum and natural gas-based resins, linerboard, copper, lead, rubber, engines, transmissions, transaxles, hydraulics, electric motors, and other commodities and components, and increases in our other costs of doing business, such as transportation costs or increased tariffs, duties or other charges as a result of changes to international trade agreements may adversely affect our profit margins and businesses.</w:t>
      </w:r>
    </w:p>
    <w:p>
      <w:pPr>
        <w:spacing w:after="0" w:line="2"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Professional segment net sales are dependent upon certain factors, including golf course revenues and the amount of investment in golf course renovations and improvements; the level of new golf course development and golf course closures; the extent to which property owners outsource their lawn care and snow and ice removal activities; residential and commercial construction activity; continued acceptance of, and demand for, ag-irrigation solutions; the timing and occurrence of winter weather conditions; demand for our products in the rental and specialty construction markets; availability of cash or credit to Professional segment customers on acceptable terms to finance new product purchases; and the amount of government revenues, budget, and spending levels for grounds maintenance equipment.</w:t>
      </w:r>
    </w:p>
    <w:p>
      <w:pPr>
        <w:spacing w:after="0" w:line="1"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Residential segment net sales are dependent upon consumers buying our products at dealers, mass retailers, and home centers, such as The Home Depot, Inc.; the amount of product placement at mass retailers and home centers; consumer confidence and spending levels; changing buying patterns of customers; and the impact of significant sales or promotional events.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financial performance, including our profit margins and net earnings, can be impacted depending on the mix of products we sell during a given period, as our Professional segment products generally have higher profit margins than our Residential segment products. Similarly, within each segment, if we experience lower sales of products that generally carry higher profit margins, our financial performance, including profit margins and net earnings, could be negatively impacted.</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intend to grow our business in part through acquisitions and alliances, strong customer relations, and new joint ventures and partnerships, which could be risky and harm our business, reputation, financial condition, and operating results, particularly if we are not able to successfully integrate such acquisitions and alliances, joint ventures, and partnerships.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spacing w:after="0" w:line="317" w:lineRule="auto"/>
        <w:rPr>
          <w:sz w:val="20"/>
          <w:szCs w:val="20"/>
          <w:color w:val="auto"/>
        </w:rPr>
      </w:pPr>
      <w:r>
        <w:rPr>
          <w:rFonts w:ascii="Arial" w:cs="Arial" w:eastAsia="Arial" w:hAnsi="Arial"/>
          <w:sz w:val="16"/>
          <w:szCs w:val="16"/>
          <w:color w:val="auto"/>
        </w:rPr>
        <w:t>If previous or future acquisitions do not produce the expected results or integration into our operations takes more time than expected, our business could be harmed. We cannot guarantee previous or future acquisitions, alliances, joint ventures or partnerships will in fact produce any benefits.</w:t>
      </w:r>
    </w:p>
    <w:p>
      <w:pPr>
        <w:spacing w:after="0" w:line="1" w:lineRule="exact"/>
        <w:rPr>
          <w:sz w:val="20"/>
          <w:szCs w:val="20"/>
          <w:color w:val="auto"/>
        </w:rPr>
      </w:pPr>
    </w:p>
    <w:p>
      <w:pPr>
        <w:jc w:val="both"/>
        <w:ind w:left="660" w:hanging="328"/>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manage our inventory levels to meet our customers' demand for our products is important for our business. If we underestimate or overestimate demand for our products and do not maintain appropriate inventory levels, our net sales and/or working capital could be negatively impacted.</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and operating results are subject to the inventory management decisions of our distribution channel customers. Any adjustments in the carrying amount of inventories by our distribution channel customers may impact our inventory management and working capital goals as well as operating results.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composition of, financial viability of, and/or the relationships with, our distribution channel customers could negatively impact our business and operating results.</w:t>
      </w: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face intense competition in all of our product lines with numerous manufacturers, including from some competitors that have larger operations and financial resources than us. We may not be able to compete effectively against competitors’ actions, which could harm our business and operating results.</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significant percentage of our consolidated net sales is generated outside of the United States, and we intend to continue to expand our international operations. Our international operations also require significant management attention and financial resources; expose us to difficulties presented by international economic, political, legal, regulatory, accounting, and business factors, including implications of withdrawal by the U.S. from, or revision to, international trade agreements, foreign policy changes between the U.S. and other countries, weakened international economic conditions, or the United Kingdom’s process for exiting the European Union; and may not be successful or produce desired levels of net sales. In addition, 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5"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continue to enhance existing products, as well as develop and market new products, that respond to customer needs and preferences and achieve market acceptance, including by incorporating new or emerging technologies that may become preferred by our customers, we may experience a decrease in demand for our products, and our net sales could be adversely affected.</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disruption, including as a result of natural or man-made disasters, climate change-related events, work slowdowns, strikes, or other events, at any of our facilities or in our manufacturing or other operations, or those of our distribution channel customers or suppliers, or our inability to cost-effectively expand existing facilities, open and manage new facilities, and/or move production between manufacturing facilities could adversely affect our business and operating results.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production labor needs fluctuate throughout the year and any failure by us to hire and/or retain a production labor force to adequately staff our manufacturing operations, or by our production labor force to adequately and safely perform their jobs could adversely affect our business, operating results, and reputation.</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Management information systems are critical to our business. If our information systems or information security practices, or those of our business partners or third party service providers, fail to adequately perform and/or protect sensitive or confidential information, or if we, our business partners, or third party service providers experience an interruption in, or breach of, the operation of such systems or practices, including by theft, loss or damage from unauthorized access, security breaches, natural or man-made disasters, cyber attacks, computer viruses, malware, phishing, denial of service attacks, power loss or other disruptive events, our business, reputation, financial condition, and operating results could be adversely affected.</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jc w:val="both"/>
        <w:ind w:left="660" w:hanging="328"/>
        <w:spacing w:after="0" w:line="265"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business, properties, and products are subject to governmental regulation with which compliance may require us to incur expenses or modify our products or operations and non-compliance may result in harm to our reputation and/or expose us to penalties. Governmental regulation may also adversely affect the demand for some of our products and our operating results. In addition, changes in laws and regulations in the U.S. or other countries in which we conduct business also may adversely affect our financial results, including as a result of, (i) taxation and tax policy changes, tax rate changes, new tax laws, new or revised tax law interpretations or guidance, including as a result of the Tax Act, (ii) changes to, or adoption of new, healthcare laws or regulations, or (iii) changes to international trade agreements that could result in additional duties or other charges on raw materials, components, parts or accessories we import.</w:t>
      </w:r>
    </w:p>
    <w:p>
      <w:pPr>
        <w:spacing w:after="0" w:line="1"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accounting standards or assumptions in applying accounting policies could adversely affect our financial statements, including our financial results and financial condition.</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Climate change legislation, regulations, or accords may adversely impact our operations.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line="29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Costs of complying with the various environmental laws related to our ownership and/or lease of real property, such as clean-up costs and liabilities that may be associated with certain hazardous waste disposal activities, could adversely affect our financial condition and operating results.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Legislative enactments could impact the competitive landscape within our markets and affect demand for our products.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operate in many different jurisdictions and we could be adversely affected by violations of the U.S. Foreign Corrupt Practices Act and similar worldwide anti-corruption laws. The continued expansion of our international operations could increase the risk of violations of these laws in the future.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subject to product quality issues, product liability claims, and other litigation from time to time that could adversely affect our business, reputation, operating results, or financial condition.</w:t>
      </w:r>
    </w:p>
    <w:p>
      <w:pPr>
        <w:jc w:val="both"/>
        <w:ind w:left="660" w:right="44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retain our executive officers or other key employees, attract and retain other qualified personnel, or successfully implement executive officer, key employee or other qualified personnel transitions, we may not be able to meet strategic objectives and our business could suffer.</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a result of our Red Iron joint venture, we are dependent upon the joint venture to provide competitive inventory financing programs to certain distributors and dealers of our products. Any material change in the availability or terms of credit offered to our customers by the joint venture, challenges or delays in transferring new distributors and dealers from any business we might acquire to this financing platform, any termination or disruption of our joint venture relationship or any delay in securing replacement credit sources could adversely affect our net sales and operating results.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 If we are unable to comply with the terms of our credit arrangements and indentures, especially the financial covenants, our credit arrangements could be terminated and our senior notes, debentures, term loan, and any amounts outstanding under our revolving credit facility could become due and payable.</w:t>
      </w:r>
    </w:p>
    <w:p>
      <w:pPr>
        <w:spacing w:after="0" w:line="2"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expanding and renovating our corporate and other facilities and could experience disruptions to our operations in connection with such efforts.</w:t>
      </w:r>
    </w:p>
    <w:p>
      <w:pPr>
        <w:ind w:left="660" w:hanging="328"/>
        <w:spacing w:after="0" w:line="290"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not achieve our projected financial information or other business initiatives, such as the goals of our "Vision 2020" initiative, in the time periods that we anticipate, or at all, which could have an adverse effect on our business, operating results and financial condition.</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our most recent Annual Report on Form 10-K, Part I, Item 1A, “Risk Factors,”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exposed to market risk stemming from changes in foreign currency exchange rates, interest rates, and commodity costs. We are also exposed to equity market risk pertaining to the trading price of our common stock. Changes in these factors could cause fluctuations in our earnings and cash flows. There have been no material changes to the market risk information regarding interest rate risk and equity market risk included in our Annual Report on Form 10-K for the fiscal year ended October 31, 2017. Refer below for further discussion on foreign currency exchange rate risk and commodity cost risk.</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Additionally, refer to Part II,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within our most recent Annual Report on Form 10-K for the fiscal year ended October 31, 2017 for a complete discussion of our market risk.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foreign currency exchange rate risk arising from transactions in the normal course of business, such as sales to third party customers, sales and loans to wholly owned foreign subsidiaries, foreign plant operations, and purchases from suppliers. Our primary foreign currency exchange rate exposures are with the Euro, the Australian dollar, the Canadian dollar, the British pound, the Mexican peso, the Japanese yen, the Chinese Renminbi, the Romanian New Leu against the U.S. dollar, and the Romanian New Leu against the Euro, including exposure as a result of the volatility and uncertainty that may arise as a result of the United Kingdom’s process for exiting the European Union. Because our products are manufactured or sourced primarily from the United States and Mexico, a stronger U.S. dollar and Mexican peso generally have a negative impact on our results from operations, while a weaker U.S. dollar and Mexican peso generally have a positive effect.</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reduce our exposure to foreign currency exchange rate risk, we actively manage the exposure of our foreign currency exchange rate risk by entering into various derivative instruments to hedge against such risk, authorized under company policies that place controls on these hedging activities, with counterparties that are highly rated financial institutions. Decisions on whether to use such derivative instruments are primarily based on the amount of exposure to the currency involved and an assessment of the near-term market value for each currency. Our worldwide foreign currency exchange rate exposures are reviewed monthly. The gains and losses on our derivative instruments offset changes in values of the related exposures. Therefore, changes in the values of our derivative instruments are highly correlated with changes in the market values of underlying hedged items both at inception and over the life of the derivative instrument. For additional information regarding our derivative instruments, see Note 12 in our Notes to Condensed Consolidated Financial Statements under the heading "Derivative Instruments and Hedging Activities" included in Item 1 of this Quarterly Report on Form 10-Q.</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foreign currency exchange contracts in the table below have maturity dates in fiscal 2018 through fiscal 2019. All items are non-trading and stated in U.S. dollars. Certain derivative instruments we hold do not meet the cash flow hedge accounting criteria; therefore, changes in their fair value are recorded in other income, net.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average contracted rate, notional amount, pre-tax value of derivative instruments in accumulated other comprehensive loss ("AOCL"), and fair value impact of derivative instruments in other income, net, as of, and for the fiscal period ended, February 2, 2018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960" w:type="dxa"/>
            <w:vAlign w:val="bottom"/>
          </w:tcPr>
          <w:p>
            <w:pPr>
              <w:jc w:val="right"/>
              <w:ind w:right="370"/>
              <w:spacing w:after="0"/>
              <w:rPr>
                <w:sz w:val="20"/>
                <w:szCs w:val="20"/>
                <w:color w:val="auto"/>
              </w:rPr>
            </w:pPr>
            <w:r>
              <w:rPr>
                <w:rFonts w:ascii="Arial" w:cs="Arial" w:eastAsia="Arial" w:hAnsi="Arial"/>
                <w:sz w:val="18"/>
                <w:szCs w:val="18"/>
                <w:b w:val="1"/>
                <w:bCs w:val="1"/>
                <w:color w:val="auto"/>
              </w:rPr>
              <w:t>Average</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rPr>
              <w:t>Pre-Tax Gain</w:t>
            </w: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w w:val="95"/>
              </w:rPr>
              <w:t>Fair Value Impact</w:t>
            </w:r>
          </w:p>
        </w:tc>
      </w:tr>
      <w:tr>
        <w:trPr>
          <w:trHeight w:val="234"/>
        </w:trPr>
        <w:tc>
          <w:tcPr>
            <w:tcW w:w="472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 except average contracted rate)</w:t>
            </w:r>
          </w:p>
        </w:tc>
        <w:tc>
          <w:tcPr>
            <w:tcW w:w="1960" w:type="dxa"/>
            <w:vAlign w:val="bottom"/>
          </w:tcPr>
          <w:p>
            <w:pPr>
              <w:jc w:val="right"/>
              <w:ind w:right="50"/>
              <w:spacing w:after="0"/>
              <w:rPr>
                <w:sz w:val="20"/>
                <w:szCs w:val="20"/>
                <w:color w:val="auto"/>
              </w:rPr>
            </w:pPr>
            <w:r>
              <w:rPr>
                <w:rFonts w:ascii="Arial" w:cs="Arial" w:eastAsia="Arial" w:hAnsi="Arial"/>
                <w:sz w:val="18"/>
                <w:szCs w:val="18"/>
                <w:b w:val="1"/>
                <w:bCs w:val="1"/>
                <w:color w:val="auto"/>
              </w:rPr>
              <w:t>Contracted Rate</w:t>
            </w:r>
          </w:p>
        </w:tc>
        <w:tc>
          <w:tcPr>
            <w:tcW w:w="1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Notional Amount</w:t>
            </w:r>
          </w:p>
        </w:tc>
        <w:tc>
          <w:tcPr>
            <w:tcW w:w="20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(Loss) in AOCL</w:t>
            </w:r>
          </w:p>
        </w:tc>
        <w:tc>
          <w:tcPr>
            <w:tcW w:w="280" w:type="dxa"/>
            <w:vAlign w:val="bottom"/>
          </w:tcPr>
          <w:p>
            <w:pPr>
              <w:spacing w:after="0"/>
              <w:rPr>
                <w:sz w:val="20"/>
                <w:szCs w:val="20"/>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Gain (Loss)</w:t>
            </w:r>
          </w:p>
        </w:tc>
      </w:tr>
      <w:tr>
        <w:trPr>
          <w:trHeight w:val="27"/>
        </w:trPr>
        <w:tc>
          <w:tcPr>
            <w:tcW w:w="47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Buy US dollar/Sell Australian dollar</w:t>
            </w:r>
          </w:p>
        </w:tc>
        <w:tc>
          <w:tcPr>
            <w:tcW w:w="1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0.7744</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34,023.4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(722.3)</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(909.7)</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Buy US dollar/Sell Canadian dollar</w:t>
            </w:r>
          </w:p>
        </w:tc>
        <w:tc>
          <w:tcPr>
            <w:tcW w:w="1960" w:type="dxa"/>
            <w:vAlign w:val="bottom"/>
          </w:tcPr>
          <w:p>
            <w:pPr>
              <w:jc w:val="right"/>
              <w:ind w:right="50"/>
              <w:spacing w:after="0"/>
              <w:rPr>
                <w:sz w:val="20"/>
                <w:szCs w:val="20"/>
                <w:color w:val="auto"/>
              </w:rPr>
            </w:pPr>
            <w:r>
              <w:rPr>
                <w:rFonts w:ascii="Arial" w:cs="Arial" w:eastAsia="Arial" w:hAnsi="Arial"/>
                <w:sz w:val="18"/>
                <w:szCs w:val="18"/>
                <w:color w:val="auto"/>
              </w:rPr>
              <w:t>1.3003</w:t>
            </w: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7,267.5</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(424.9)</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47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Buy US dollar/Sell Euro</w:t>
            </w:r>
          </w:p>
        </w:tc>
        <w:tc>
          <w:tcPr>
            <w:tcW w:w="1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1.1839</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74,110.6</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(3,251.5)</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(1,704.2)</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Buy US dollar/Sell British pound</w:t>
            </w:r>
          </w:p>
        </w:tc>
        <w:tc>
          <w:tcPr>
            <w:tcW w:w="1960" w:type="dxa"/>
            <w:vAlign w:val="bottom"/>
          </w:tcPr>
          <w:p>
            <w:pPr>
              <w:jc w:val="right"/>
              <w:ind w:right="50"/>
              <w:spacing w:after="0"/>
              <w:rPr>
                <w:sz w:val="20"/>
                <w:szCs w:val="20"/>
                <w:color w:val="auto"/>
              </w:rPr>
            </w:pPr>
            <w:r>
              <w:rPr>
                <w:rFonts w:ascii="Arial" w:cs="Arial" w:eastAsia="Arial" w:hAnsi="Arial"/>
                <w:sz w:val="18"/>
                <w:szCs w:val="18"/>
                <w:color w:val="auto"/>
              </w:rPr>
              <w:t>1.3475</w:t>
            </w: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31,328.4</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(1,104.9)</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(926.1)</w:t>
            </w:r>
          </w:p>
        </w:tc>
      </w:tr>
      <w:tr>
        <w:trPr>
          <w:trHeight w:val="27"/>
        </w:trPr>
        <w:tc>
          <w:tcPr>
            <w:tcW w:w="47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Buy Mexican peso/Sell US dollar</w:t>
            </w:r>
          </w:p>
        </w:tc>
        <w:tc>
          <w:tcPr>
            <w:tcW w:w="1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21.5331</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8,436.8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663.1</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722.2</w:t>
            </w:r>
          </w:p>
        </w:tc>
      </w:tr>
      <w:tr>
        <w:trPr>
          <w:trHeight w:val="20"/>
        </w:trPr>
        <w:tc>
          <w:tcPr>
            <w:tcW w:w="47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on the Consolidated Balance Sheets, and would not impact net earnings.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Cost Risk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Some raw materials used in our products are exposed to commodity cost changes. Our primary commodity cost exposures are with steel, aluminum, petroleum and natural gas-based resins, and linerboard. In addition, we are a purchaser of components and parts containing various commodities, including steel, aluminum, copper, lead, rubber, and others that are integrated into our end products. We generally purchase commodities and components based upon market prices that are established with vendors as part of the purchase process and generally attempt to obtain firm pricing from most of our suppliers for volumes consistent with planned production. Additionally, we enter into fixed-price contracts for future purchases of natural gas in the normal course of operations as a means to manage natural gas price risks. Further information regarding changing costs of commodities is presented in Item 2 of this Quarterly Report on Form 10-Q, in the section titled “Inflation.”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maintain disclosure controls and procedures (as defined in Exchange Act Rules 13a-15(e) and 15d-15(e)) that are designed to provide reasonable assurance that information required to be disclosed by us in the reports we file or submit under the Securities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disclosure. There was no change in our internal control over financial reporting that occurred during our first quarter ended February 2, 2018 that has materially affected, or is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a party to litigation in the ordinary course of business. Litigation occasionally involves claims for punitive, as well as compensatory, damages arising out of the use of our products. Although we are self-insured to some extent, we maintain insurance against certain product liability losses. We are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United States Patent and Trademark Office and foreign patent offices. We believe these activities help us minimize our risk of being a defendant in patent infringement litigation. We are currently involved in patent litigation cases, including cases by or against competitors, where we are asserting and defending against claims of patent infringement. Such cases are at varying stages in the litigation process.</w:t>
      </w:r>
    </w:p>
    <w:p>
      <w:pPr>
        <w:spacing w:after="0" w:line="16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a description of our material legal proceedings, see Note 10 in our Notes to Condensed Consolidated Financial Statements under the heading “Contingencies - Litigation” included in Item 1 of this Quarterly Report on Form 10-Q, which is incorporated into this Part II. Item 1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affected by risks specific to us as well as factors that affect all businesses operating in a global market. The significant factors known to us that could materially adversely affect our business, financial condition, or operating results or could cause our actual results to differ materially from our anticipated results or other expectations, including those expressed in any forward-looking statement made in this report, are described in our most recently filed Annual Report on Form 10-K (Item 1A. Risk Factors). There has been no material change in those risk factors.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information with respect to shares of our common stock purchased by the company during each of the three fiscal months in our first quarter ended February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Total Number of Shares</w:t>
            </w:r>
          </w:p>
        </w:tc>
        <w:tc>
          <w:tcPr>
            <w:tcW w:w="1920" w:type="dxa"/>
            <w:vAlign w:val="bottom"/>
          </w:tcPr>
          <w:p>
            <w:pPr>
              <w:spacing w:after="0"/>
              <w:rPr>
                <w:sz w:val="18"/>
                <w:szCs w:val="18"/>
                <w:color w:val="auto"/>
              </w:rPr>
            </w:pPr>
          </w:p>
        </w:tc>
      </w:tr>
      <w:tr>
        <w:trPr>
          <w:trHeight w:val="216"/>
        </w:trPr>
        <w:tc>
          <w:tcPr>
            <w:tcW w:w="4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20" w:type="dxa"/>
            <w:vAlign w:val="bottom"/>
          </w:tcPr>
          <w:p>
            <w:pPr>
              <w:jc w:val="right"/>
              <w:ind w:right="490"/>
              <w:spacing w:after="0"/>
              <w:rPr>
                <w:sz w:val="20"/>
                <w:szCs w:val="20"/>
                <w:color w:val="auto"/>
              </w:rPr>
            </w:pPr>
            <w:r>
              <w:rPr>
                <w:rFonts w:ascii="Arial" w:cs="Arial" w:eastAsia="Arial" w:hAnsi="Arial"/>
                <w:sz w:val="18"/>
                <w:szCs w:val="18"/>
                <w:b w:val="1"/>
                <w:bCs w:val="1"/>
                <w:color w:val="auto"/>
              </w:rPr>
              <w:t>(or Units)</w:t>
            </w:r>
          </w:p>
        </w:tc>
        <w:tc>
          <w:tcPr>
            <w:tcW w:w="1920" w:type="dxa"/>
            <w:vAlign w:val="bottom"/>
          </w:tcPr>
          <w:p>
            <w:pPr>
              <w:jc w:val="center"/>
              <w:ind w:left="30"/>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4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Average</w:t>
            </w:r>
          </w:p>
        </w:tc>
        <w:tc>
          <w:tcPr>
            <w:tcW w:w="2020" w:type="dxa"/>
            <w:vAlign w:val="bottom"/>
          </w:tcPr>
          <w:p>
            <w:pPr>
              <w:jc w:val="center"/>
              <w:ind w:left="50"/>
              <w:spacing w:after="0"/>
              <w:rPr>
                <w:sz w:val="20"/>
                <w:szCs w:val="20"/>
                <w:color w:val="auto"/>
              </w:rPr>
            </w:pPr>
            <w:r>
              <w:rPr>
                <w:rFonts w:ascii="Arial" w:cs="Arial" w:eastAsia="Arial" w:hAnsi="Arial"/>
                <w:sz w:val="18"/>
                <w:szCs w:val="18"/>
                <w:b w:val="1"/>
                <w:bCs w:val="1"/>
                <w:color w:val="auto"/>
                <w:w w:val="86"/>
              </w:rPr>
              <w:t>Purchased As</w:t>
            </w:r>
          </w:p>
        </w:tc>
        <w:tc>
          <w:tcPr>
            <w:tcW w:w="192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Shares (or Units) that</w:t>
            </w:r>
          </w:p>
        </w:tc>
      </w:tr>
      <w:tr>
        <w:trPr>
          <w:trHeight w:val="216"/>
        </w:trPr>
        <w:tc>
          <w:tcPr>
            <w:tcW w:w="4100" w:type="dxa"/>
            <w:vAlign w:val="bottom"/>
          </w:tcPr>
          <w:p>
            <w:pPr>
              <w:spacing w:after="0"/>
              <w:rPr>
                <w:sz w:val="18"/>
                <w:szCs w:val="18"/>
                <w:color w:val="auto"/>
              </w:rPr>
            </w:pPr>
          </w:p>
        </w:tc>
        <w:tc>
          <w:tcPr>
            <w:tcW w:w="2100" w:type="dxa"/>
            <w:vAlign w:val="bottom"/>
          </w:tcPr>
          <w:p>
            <w:pPr>
              <w:jc w:val="center"/>
              <w:ind w:left="470"/>
              <w:spacing w:after="0"/>
              <w:rPr>
                <w:sz w:val="20"/>
                <w:szCs w:val="20"/>
                <w:color w:val="auto"/>
              </w:rPr>
            </w:pPr>
            <w:r>
              <w:rPr>
                <w:rFonts w:ascii="Arial" w:cs="Arial" w:eastAsia="Arial" w:hAnsi="Arial"/>
                <w:sz w:val="18"/>
                <w:szCs w:val="18"/>
                <w:b w:val="1"/>
                <w:bCs w:val="1"/>
                <w:color w:val="auto"/>
                <w:w w:val="91"/>
              </w:rPr>
              <w:t>Total Number of</w:t>
            </w:r>
          </w:p>
        </w:tc>
        <w:tc>
          <w:tcPr>
            <w:tcW w:w="22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Price Paid</w:t>
            </w:r>
          </w:p>
        </w:tc>
        <w:tc>
          <w:tcPr>
            <w:tcW w:w="20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Part of Publicly</w:t>
            </w:r>
          </w:p>
        </w:tc>
        <w:tc>
          <w:tcPr>
            <w:tcW w:w="192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May Yet Be Purchased</w:t>
            </w:r>
          </w:p>
        </w:tc>
      </w:tr>
      <w:tr>
        <w:trPr>
          <w:trHeight w:val="216"/>
        </w:trPr>
        <w:tc>
          <w:tcPr>
            <w:tcW w:w="4100" w:type="dxa"/>
            <w:vAlign w:val="bottom"/>
          </w:tcPr>
          <w:p>
            <w:pPr>
              <w:spacing w:after="0"/>
              <w:rPr>
                <w:sz w:val="18"/>
                <w:szCs w:val="18"/>
                <w:color w:val="auto"/>
              </w:rPr>
            </w:pPr>
          </w:p>
        </w:tc>
        <w:tc>
          <w:tcPr>
            <w:tcW w:w="2100" w:type="dxa"/>
            <w:vAlign w:val="bottom"/>
          </w:tcPr>
          <w:p>
            <w:pPr>
              <w:jc w:val="center"/>
              <w:ind w:left="470"/>
              <w:spacing w:after="0"/>
              <w:rPr>
                <w:sz w:val="20"/>
                <w:szCs w:val="20"/>
                <w:color w:val="auto"/>
              </w:rPr>
            </w:pPr>
            <w:r>
              <w:rPr>
                <w:rFonts w:ascii="Arial" w:cs="Arial" w:eastAsia="Arial" w:hAnsi="Arial"/>
                <w:sz w:val="18"/>
                <w:szCs w:val="18"/>
                <w:b w:val="1"/>
                <w:bCs w:val="1"/>
                <w:color w:val="auto"/>
                <w:w w:val="89"/>
              </w:rPr>
              <w:t>Shares (or Units)</w:t>
            </w:r>
          </w:p>
        </w:tc>
        <w:tc>
          <w:tcPr>
            <w:tcW w:w="22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per Share</w:t>
            </w:r>
          </w:p>
        </w:tc>
        <w:tc>
          <w:tcPr>
            <w:tcW w:w="202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Announced Plans or</w:t>
            </w:r>
          </w:p>
        </w:tc>
        <w:tc>
          <w:tcPr>
            <w:tcW w:w="19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Under the Plans or</w:t>
            </w:r>
          </w:p>
        </w:tc>
      </w:tr>
      <w:tr>
        <w:trPr>
          <w:trHeight w:val="261"/>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2100" w:type="dxa"/>
            <w:vAlign w:val="bottom"/>
            <w:tcBorders>
              <w:bottom w:val="single" w:sz="8" w:color="auto"/>
            </w:tcBorders>
          </w:tcPr>
          <w:p>
            <w:pPr>
              <w:jc w:val="center"/>
              <w:ind w:left="470"/>
              <w:spacing w:after="0" w:line="262" w:lineRule="exact"/>
              <w:rPr>
                <w:sz w:val="20"/>
                <w:szCs w:val="20"/>
                <w:color w:val="auto"/>
              </w:rPr>
            </w:pPr>
            <w:r>
              <w:rPr>
                <w:rFonts w:ascii="Arial" w:cs="Arial" w:eastAsia="Arial" w:hAnsi="Arial"/>
                <w:sz w:val="18"/>
                <w:szCs w:val="18"/>
                <w:b w:val="1"/>
                <w:bCs w:val="1"/>
                <w:color w:val="auto"/>
                <w:w w:val="85"/>
              </w:rPr>
              <w:t>Purchased</w:t>
            </w:r>
            <w:r>
              <w:rPr>
                <w:rFonts w:ascii="Arial" w:cs="Arial" w:eastAsia="Arial" w:hAnsi="Arial"/>
                <w:sz w:val="25"/>
                <w:szCs w:val="25"/>
                <w:b w:val="1"/>
                <w:bCs w:val="1"/>
                <w:color w:val="auto"/>
                <w:w w:val="85"/>
                <w:vertAlign w:val="superscript"/>
              </w:rPr>
              <w:t>1,2</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7"/>
              </w:rPr>
              <w:t>(or Unit)</w:t>
            </w:r>
          </w:p>
        </w:tc>
        <w:tc>
          <w:tcPr>
            <w:tcW w:w="2020" w:type="dxa"/>
            <w:vAlign w:val="bottom"/>
            <w:tcBorders>
              <w:bottom w:val="single" w:sz="8" w:color="auto"/>
            </w:tcBorders>
          </w:tcPr>
          <w:p>
            <w:pPr>
              <w:jc w:val="center"/>
              <w:ind w:left="70"/>
              <w:spacing w:after="0" w:line="262" w:lineRule="exact"/>
              <w:rPr>
                <w:sz w:val="20"/>
                <w:szCs w:val="20"/>
                <w:color w:val="auto"/>
              </w:rPr>
            </w:pPr>
            <w:r>
              <w:rPr>
                <w:rFonts w:ascii="Arial" w:cs="Arial" w:eastAsia="Arial" w:hAnsi="Arial"/>
                <w:sz w:val="18"/>
                <w:szCs w:val="18"/>
                <w:b w:val="1"/>
                <w:bCs w:val="1"/>
                <w:color w:val="auto"/>
                <w:w w:val="87"/>
              </w:rPr>
              <w:t>Programs</w:t>
            </w:r>
            <w:r>
              <w:rPr>
                <w:rFonts w:ascii="Arial" w:cs="Arial" w:eastAsia="Arial" w:hAnsi="Arial"/>
                <w:sz w:val="25"/>
                <w:szCs w:val="25"/>
                <w:b w:val="1"/>
                <w:bCs w:val="1"/>
                <w:color w:val="auto"/>
                <w:w w:val="87"/>
                <w:vertAlign w:val="superscript"/>
              </w:rPr>
              <w:t>1</w:t>
            </w:r>
          </w:p>
        </w:tc>
        <w:tc>
          <w:tcPr>
            <w:tcW w:w="1920" w:type="dxa"/>
            <w:vAlign w:val="bottom"/>
            <w:tcBorders>
              <w:bottom w:val="single" w:sz="8" w:color="auto"/>
            </w:tcBorders>
          </w:tcPr>
          <w:p>
            <w:pPr>
              <w:jc w:val="center"/>
              <w:ind w:left="10"/>
              <w:spacing w:after="0" w:line="262" w:lineRule="exact"/>
              <w:rPr>
                <w:sz w:val="20"/>
                <w:szCs w:val="20"/>
                <w:color w:val="auto"/>
              </w:rPr>
            </w:pPr>
            <w:r>
              <w:rPr>
                <w:rFonts w:ascii="Arial" w:cs="Arial" w:eastAsia="Arial" w:hAnsi="Arial"/>
                <w:sz w:val="18"/>
                <w:szCs w:val="18"/>
                <w:b w:val="1"/>
                <w:bCs w:val="1"/>
                <w:color w:val="auto"/>
                <w:w w:val="87"/>
              </w:rPr>
              <w:t>Programs</w:t>
            </w:r>
            <w:r>
              <w:rPr>
                <w:rFonts w:ascii="Arial" w:cs="Arial" w:eastAsia="Arial" w:hAnsi="Arial"/>
                <w:sz w:val="25"/>
                <w:szCs w:val="25"/>
                <w:b w:val="1"/>
                <w:bCs w:val="1"/>
                <w:color w:val="auto"/>
                <w:w w:val="87"/>
                <w:vertAlign w:val="superscript"/>
              </w:rPr>
              <w:t>1</w:t>
            </w: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November 1, 2017 through December 1, 2017</w:t>
            </w:r>
          </w:p>
        </w:tc>
        <w:tc>
          <w:tcPr>
            <w:tcW w:w="2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293,499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62.54</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293,499</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4,688,379</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December 2, 2017 through December 29, 2017</w:t>
            </w:r>
          </w:p>
        </w:tc>
        <w:tc>
          <w:tcPr>
            <w:tcW w:w="2100" w:type="dxa"/>
            <w:vAlign w:val="bottom"/>
          </w:tcPr>
          <w:p>
            <w:pPr>
              <w:jc w:val="right"/>
              <w:ind w:right="50"/>
              <w:spacing w:after="0"/>
              <w:rPr>
                <w:sz w:val="20"/>
                <w:szCs w:val="20"/>
                <w:color w:val="auto"/>
              </w:rPr>
            </w:pPr>
            <w:r>
              <w:rPr>
                <w:rFonts w:ascii="Arial" w:cs="Arial" w:eastAsia="Arial" w:hAnsi="Arial"/>
                <w:sz w:val="18"/>
                <w:szCs w:val="18"/>
                <w:color w:val="auto"/>
              </w:rPr>
              <w:t>188,016</w:t>
            </w:r>
          </w:p>
        </w:tc>
        <w:tc>
          <w:tcPr>
            <w:tcW w:w="22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65.07</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188,016</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4,500,363</w:t>
            </w:r>
          </w:p>
        </w:tc>
      </w:tr>
      <w:tr>
        <w:trPr>
          <w:trHeight w:val="27"/>
        </w:trPr>
        <w:tc>
          <w:tcPr>
            <w:tcW w:w="4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30, 2017 through February 2, 2018</w:t>
            </w:r>
          </w:p>
        </w:tc>
        <w:tc>
          <w:tcPr>
            <w:tcW w:w="2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294,199</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66.55</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292,619</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4,207,744</w:t>
            </w:r>
          </w:p>
        </w:tc>
      </w:tr>
      <w:tr>
        <w:trPr>
          <w:trHeight w:val="237"/>
        </w:trPr>
        <w:tc>
          <w:tcPr>
            <w:tcW w:w="4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775,714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64.68</w:t>
            </w: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774,134</w:t>
            </w:r>
          </w:p>
        </w:tc>
        <w:tc>
          <w:tcPr>
            <w:tcW w:w="1920" w:type="dxa"/>
            <w:vAlign w:val="bottom"/>
          </w:tcPr>
          <w:p>
            <w:pPr>
              <w:spacing w:after="0"/>
              <w:rPr>
                <w:sz w:val="20"/>
                <w:szCs w:val="20"/>
                <w:color w:val="auto"/>
              </w:rPr>
            </w:pPr>
          </w:p>
        </w:tc>
      </w:tr>
      <w:tr>
        <w:trPr>
          <w:trHeight w:val="27"/>
        </w:trPr>
        <w:tc>
          <w:tcPr>
            <w:tcW w:w="4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920" w:type="dxa"/>
            <w:vAlign w:val="bottom"/>
          </w:tcPr>
          <w:p>
            <w:pPr>
              <w:spacing w:after="0"/>
              <w:rPr>
                <w:sz w:val="2"/>
                <w:szCs w:val="2"/>
                <w:color w:val="auto"/>
              </w:rPr>
            </w:pP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180" w:hanging="172"/>
        <w:spacing w:after="0" w:line="239" w:lineRule="auto"/>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On December 3, 2015, the company’s Board of Directors authorized the repurchase of 8,000,000 shares of the company’s common stock in open-market or in privately negotiated transactions. This program has no expiration date but may be terminated by the company’s Board of Directors at any time. The company repurchased 774,134 shares during the period indicated above under this program and 4,207,744 shares remained available to repurchase under this program as of February 2, 2018.</w:t>
      </w:r>
    </w:p>
    <w:p>
      <w:pPr>
        <w:spacing w:after="0" w:line="172" w:lineRule="exact"/>
        <w:rPr>
          <w:sz w:val="20"/>
          <w:szCs w:val="20"/>
          <w:color w:val="auto"/>
        </w:rPr>
      </w:pPr>
    </w:p>
    <w:p>
      <w:pPr>
        <w:jc w:val="both"/>
        <w:ind w:left="180" w:hanging="172"/>
        <w:spacing w:after="0" w:line="225" w:lineRule="auto"/>
        <w:tabs>
          <w:tab w:leader="none" w:pos="18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Includes 1,580 units (shares) of the company’s common stock purchased in open-market transactions at an average price of $66.00 per share on behalf of a rabbi trust formed to pay benefit obligations of the company to participants in deferred compensation plans. These 1,580 shares were not repurchased under the company’s repurchase program described in footnote 1 above.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7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760" w:type="dxa"/>
            <w:vAlign w:val="bottom"/>
            <w:gridSpan w:val="2"/>
          </w:tcPr>
          <w:p>
            <w:pPr>
              <w:spacing w:after="0"/>
              <w:rPr>
                <w:sz w:val="20"/>
                <w:szCs w:val="20"/>
                <w:color w:val="auto"/>
              </w:rPr>
            </w:pPr>
            <w:r>
              <w:rPr>
                <w:rFonts w:ascii="Arial" w:cs="Arial" w:eastAsia="Arial" w:hAnsi="Arial"/>
                <w:sz w:val="18"/>
                <w:szCs w:val="18"/>
                <w:color w:val="auto"/>
              </w:rPr>
              <w:t>ITEM 6. EXHIBITS</w:t>
            </w:r>
          </w:p>
        </w:tc>
        <w:tc>
          <w:tcPr>
            <w:tcW w:w="7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1760" w:type="dxa"/>
            <w:vAlign w:val="bottom"/>
            <w:gridSpan w:val="2"/>
          </w:tcPr>
          <w:p>
            <w:pPr>
              <w:ind w:left="40"/>
              <w:spacing w:after="0"/>
              <w:rPr>
                <w:sz w:val="20"/>
                <w:szCs w:val="20"/>
                <w:color w:val="auto"/>
              </w:rPr>
            </w:pPr>
            <w:r>
              <w:rPr>
                <w:rFonts w:ascii="Arial" w:cs="Arial" w:eastAsia="Arial" w:hAnsi="Arial"/>
                <w:sz w:val="18"/>
                <w:szCs w:val="18"/>
                <w:color w:val="auto"/>
              </w:rPr>
              <w:t>(a)   Exhibit No.</w:t>
            </w:r>
          </w:p>
        </w:tc>
        <w:tc>
          <w:tcPr>
            <w:tcW w:w="9640" w:type="dxa"/>
            <w:vAlign w:val="bottom"/>
            <w:gridSpan w:val="9"/>
          </w:tcPr>
          <w:p>
            <w:pPr>
              <w:spacing w:after="0"/>
              <w:rPr>
                <w:sz w:val="20"/>
                <w:szCs w:val="20"/>
                <w:color w:val="auto"/>
              </w:rPr>
            </w:pPr>
            <w:r>
              <w:rPr>
                <w:rFonts w:ascii="Arial" w:cs="Arial" w:eastAsia="Arial" w:hAnsi="Arial"/>
                <w:sz w:val="18"/>
                <w:szCs w:val="18"/>
                <w:color w:val="auto"/>
              </w:rPr>
              <w:t>Description</w:t>
            </w:r>
          </w:p>
        </w:tc>
      </w:tr>
      <w:tr>
        <w:trPr>
          <w:trHeight w:val="554"/>
        </w:trPr>
        <w:tc>
          <w:tcPr>
            <w:tcW w:w="1760" w:type="dxa"/>
            <w:vAlign w:val="bottom"/>
            <w:gridSpan w:val="2"/>
          </w:tcPr>
          <w:p>
            <w:pPr>
              <w:ind w:left="500"/>
              <w:spacing w:after="0"/>
              <w:rPr>
                <w:sz w:val="20"/>
                <w:szCs w:val="20"/>
                <w:color w:val="auto"/>
              </w:rPr>
            </w:pPr>
            <w:r>
              <w:rPr>
                <w:rFonts w:ascii="Arial" w:cs="Arial" w:eastAsia="Arial" w:hAnsi="Arial"/>
                <w:sz w:val="18"/>
                <w:szCs w:val="18"/>
                <w:color w:val="auto"/>
              </w:rPr>
              <w:t>3.1 and 4.1</w:t>
            </w:r>
          </w:p>
        </w:tc>
        <w:tc>
          <w:tcPr>
            <w:tcW w:w="9620" w:type="dxa"/>
            <w:vAlign w:val="bottom"/>
            <w:tcBorders>
              <w:bottom w:val="single" w:sz="8" w:color="0000FF"/>
            </w:tcBorders>
            <w:gridSpan w:val="8"/>
          </w:tcPr>
          <w:p>
            <w:pPr>
              <w:spacing w:after="0"/>
              <w:rPr>
                <w:rFonts w:ascii="Arial" w:cs="Arial" w:eastAsia="Arial" w:hAnsi="Arial"/>
                <w:sz w:val="18"/>
                <w:szCs w:val="18"/>
                <w:color w:val="0000FF"/>
                <w:w w:val="92"/>
              </w:rPr>
            </w:pPr>
            <w:hyperlink r:id="rId35">
              <w:r>
                <w:rPr>
                  <w:rFonts w:ascii="Arial" w:cs="Arial" w:eastAsia="Arial" w:hAnsi="Arial"/>
                  <w:sz w:val="18"/>
                  <w:szCs w:val="18"/>
                  <w:color w:val="0000FF"/>
                  <w:w w:val="92"/>
                </w:rPr>
                <w:t>Restated Certificate of Incorporation of The Toro Company (incorporated by reference to Exhibit 3.1 to Registrant’s Current Report</w:t>
              </w:r>
            </w:hyperlink>
          </w:p>
        </w:tc>
        <w:tc>
          <w:tcPr>
            <w:tcW w:w="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72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on Form 8-K dated June 17, 2008, Commission File No. 1-8649).</w:t>
              </w:r>
            </w:hyperlink>
          </w:p>
        </w:tc>
        <w:tc>
          <w:tcPr>
            <w:tcW w:w="4920" w:type="dxa"/>
            <w:vAlign w:val="bottom"/>
            <w:gridSpan w:val="6"/>
          </w:tcPr>
          <w:p>
            <w:pPr>
              <w:spacing w:after="0"/>
              <w:rPr>
                <w:sz w:val="17"/>
                <w:szCs w:val="17"/>
                <w:color w:val="auto"/>
              </w:rPr>
            </w:pPr>
          </w:p>
        </w:tc>
      </w:tr>
      <w:tr>
        <w:trPr>
          <w:trHeight w:val="574"/>
        </w:trPr>
        <w:tc>
          <w:tcPr>
            <w:tcW w:w="1760" w:type="dxa"/>
            <w:vAlign w:val="bottom"/>
            <w:gridSpan w:val="2"/>
          </w:tcPr>
          <w:p>
            <w:pPr>
              <w:ind w:left="500"/>
              <w:spacing w:after="0"/>
              <w:rPr>
                <w:sz w:val="20"/>
                <w:szCs w:val="20"/>
                <w:color w:val="auto"/>
              </w:rPr>
            </w:pPr>
            <w:r>
              <w:rPr>
                <w:rFonts w:ascii="Arial" w:cs="Arial" w:eastAsia="Arial" w:hAnsi="Arial"/>
                <w:sz w:val="18"/>
                <w:szCs w:val="18"/>
                <w:color w:val="auto"/>
              </w:rPr>
              <w:t>3.2 and 4.2</w:t>
            </w:r>
          </w:p>
        </w:tc>
        <w:tc>
          <w:tcPr>
            <w:tcW w:w="9640" w:type="dxa"/>
            <w:vAlign w:val="bottom"/>
            <w:gridSpan w:val="9"/>
          </w:tcPr>
          <w:p>
            <w:pPr>
              <w:spacing w:after="0"/>
              <w:rPr>
                <w:rFonts w:ascii="Arial" w:cs="Arial" w:eastAsia="Arial" w:hAnsi="Arial"/>
                <w:sz w:val="18"/>
                <w:szCs w:val="18"/>
                <w:color w:val="0000FF"/>
                <w:w w:val="92"/>
              </w:rPr>
            </w:pPr>
            <w:hyperlink r:id="rId36">
              <w:r>
                <w:rPr>
                  <w:rFonts w:ascii="Arial" w:cs="Arial" w:eastAsia="Arial" w:hAnsi="Arial"/>
                  <w:sz w:val="18"/>
                  <w:szCs w:val="18"/>
                  <w:color w:val="0000FF"/>
                  <w:w w:val="92"/>
                </w:rPr>
                <w:t>Certificate of Amendment to Restated Certificate of Incorporation of The Toro Company (incorporated by reference to Exhibit 3.1 to</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2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Registrant’s Current Report on Form 8-K dated March 12, 2013, Commission File No. 1-8649).</w:t>
              </w:r>
            </w:hyperlink>
          </w:p>
        </w:tc>
        <w:tc>
          <w:tcPr>
            <w:tcW w:w="20" w:type="dxa"/>
            <w:vAlign w:val="bottom"/>
          </w:tcPr>
          <w:p>
            <w:pPr>
              <w:spacing w:after="0"/>
              <w:rPr>
                <w:sz w:val="17"/>
                <w:szCs w:val="17"/>
                <w:color w:val="auto"/>
              </w:rPr>
            </w:pPr>
          </w:p>
        </w:tc>
      </w:tr>
      <w:tr>
        <w:trPr>
          <w:trHeight w:val="20"/>
        </w:trPr>
        <w:tc>
          <w:tcPr>
            <w:tcW w:w="1760" w:type="dxa"/>
            <w:vAlign w:val="bottom"/>
            <w:gridSpan w:val="2"/>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760" w:type="dxa"/>
            <w:vAlign w:val="bottom"/>
            <w:gridSpan w:val="2"/>
          </w:tcPr>
          <w:p>
            <w:pPr>
              <w:ind w:left="500"/>
              <w:spacing w:after="0"/>
              <w:rPr>
                <w:sz w:val="20"/>
                <w:szCs w:val="20"/>
                <w:color w:val="auto"/>
              </w:rPr>
            </w:pPr>
            <w:r>
              <w:rPr>
                <w:rFonts w:ascii="Arial" w:cs="Arial" w:eastAsia="Arial" w:hAnsi="Arial"/>
                <w:sz w:val="18"/>
                <w:szCs w:val="18"/>
                <w:color w:val="auto"/>
              </w:rPr>
              <w:t>3.3 and 4.3</w:t>
            </w:r>
          </w:p>
        </w:tc>
        <w:tc>
          <w:tcPr>
            <w:tcW w:w="9640" w:type="dxa"/>
            <w:vAlign w:val="bottom"/>
            <w:tcBorders>
              <w:bottom w:val="single" w:sz="8" w:color="0000FF"/>
            </w:tcBorders>
            <w:gridSpan w:val="9"/>
          </w:tcPr>
          <w:p>
            <w:pPr>
              <w:spacing w:after="0"/>
              <w:rPr>
                <w:rFonts w:ascii="Arial" w:cs="Arial" w:eastAsia="Arial" w:hAnsi="Arial"/>
                <w:sz w:val="18"/>
                <w:szCs w:val="18"/>
                <w:color w:val="0000FF"/>
                <w:w w:val="93"/>
              </w:rPr>
            </w:pPr>
            <w:hyperlink r:id="rId37">
              <w:r>
                <w:rPr>
                  <w:rFonts w:ascii="Arial" w:cs="Arial" w:eastAsia="Arial" w:hAnsi="Arial"/>
                  <w:sz w:val="18"/>
                  <w:szCs w:val="18"/>
                  <w:color w:val="0000FF"/>
                  <w:w w:val="93"/>
                </w:rPr>
                <w:t>Amended and Restated Bylaws of The Toro Company (incorporated by reference to Exhibit 3.1 to Registrant’s Current Report on</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6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37">
              <w:r>
                <w:rPr>
                  <w:rFonts w:ascii="Arial" w:cs="Arial" w:eastAsia="Arial" w:hAnsi="Arial"/>
                  <w:sz w:val="18"/>
                  <w:szCs w:val="18"/>
                  <w:color w:val="0000FF"/>
                  <w:w w:val="91"/>
                </w:rPr>
                <w:t>Form 8-K dated July 19, 2016, Commission File No. 1-8649).</w:t>
              </w:r>
            </w:hyperlink>
          </w:p>
        </w:tc>
        <w:tc>
          <w:tcPr>
            <w:tcW w:w="5180" w:type="dxa"/>
            <w:vAlign w:val="bottom"/>
            <w:gridSpan w:val="7"/>
          </w:tcPr>
          <w:p>
            <w:pPr>
              <w:spacing w:after="0"/>
              <w:rPr>
                <w:sz w:val="17"/>
                <w:szCs w:val="17"/>
                <w:color w:val="auto"/>
              </w:rPr>
            </w:pPr>
          </w:p>
        </w:tc>
      </w:tr>
      <w:tr>
        <w:trPr>
          <w:trHeight w:val="546"/>
        </w:trPr>
        <w:tc>
          <w:tcPr>
            <w:tcW w:w="1280" w:type="dxa"/>
            <w:vAlign w:val="bottom"/>
          </w:tcPr>
          <w:p>
            <w:pPr>
              <w:ind w:left="500"/>
              <w:spacing w:after="0"/>
              <w:rPr>
                <w:sz w:val="20"/>
                <w:szCs w:val="20"/>
                <w:color w:val="auto"/>
              </w:rPr>
            </w:pPr>
            <w:r>
              <w:rPr>
                <w:rFonts w:ascii="Arial" w:cs="Arial" w:eastAsia="Arial" w:hAnsi="Arial"/>
                <w:sz w:val="18"/>
                <w:szCs w:val="18"/>
                <w:color w:val="auto"/>
              </w:rPr>
              <w:t>4.4</w:t>
            </w:r>
          </w:p>
        </w:tc>
        <w:tc>
          <w:tcPr>
            <w:tcW w:w="48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Arial" w:cs="Arial" w:eastAsia="Arial" w:hAnsi="Arial"/>
                <w:sz w:val="18"/>
                <w:szCs w:val="18"/>
                <w:color w:val="auto"/>
                <w:w w:val="93"/>
              </w:rPr>
              <w:t>Indenture dated as of January 31, 1997, between Registrant and First National Trust Association, as Trustee, relating to The Toro</w:t>
            </w:r>
          </w:p>
        </w:tc>
      </w:tr>
      <w:tr>
        <w:trPr>
          <w:trHeight w:val="216"/>
        </w:trPr>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40" w:type="dxa"/>
            <w:vAlign w:val="bottom"/>
            <w:gridSpan w:val="9"/>
          </w:tcPr>
          <w:p>
            <w:pPr>
              <w:spacing w:after="0"/>
              <w:rPr>
                <w:sz w:val="20"/>
                <w:szCs w:val="20"/>
                <w:color w:val="auto"/>
              </w:rPr>
            </w:pPr>
            <w:r>
              <w:rPr>
                <w:rFonts w:ascii="Arial" w:cs="Arial" w:eastAsia="Arial" w:hAnsi="Arial"/>
                <w:sz w:val="18"/>
                <w:szCs w:val="18"/>
                <w:color w:val="auto"/>
                <w:w w:val="96"/>
              </w:rPr>
              <w:t>Company’s 7.80% Debentures due June 15, 2027 (incorporated by reference to Exhibit 4(a) to Registrant’s Current Report on</w:t>
            </w:r>
          </w:p>
        </w:tc>
      </w:tr>
      <w:tr>
        <w:trPr>
          <w:trHeight w:val="216"/>
        </w:trPr>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40" w:type="dxa"/>
            <w:vAlign w:val="bottom"/>
            <w:gridSpan w:val="9"/>
          </w:tcPr>
          <w:p>
            <w:pPr>
              <w:spacing w:after="0"/>
              <w:rPr>
                <w:sz w:val="20"/>
                <w:szCs w:val="20"/>
                <w:color w:val="auto"/>
              </w:rPr>
            </w:pPr>
            <w:r>
              <w:rPr>
                <w:rFonts w:ascii="Arial" w:cs="Arial" w:eastAsia="Arial" w:hAnsi="Arial"/>
                <w:sz w:val="18"/>
                <w:szCs w:val="18"/>
                <w:color w:val="auto"/>
                <w:w w:val="94"/>
              </w:rPr>
              <w:t>Form 8-K dated June 24, 1997, Commission File No. 1-8649). (Filed on paper - hyperlink is not required pursuant to Rule 105 of</w:t>
            </w:r>
          </w:p>
        </w:tc>
      </w:tr>
      <w:tr>
        <w:trPr>
          <w:trHeight w:val="230"/>
        </w:trPr>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40" w:type="dxa"/>
            <w:vAlign w:val="bottom"/>
            <w:gridSpan w:val="9"/>
          </w:tcPr>
          <w:p>
            <w:pPr>
              <w:spacing w:after="0"/>
              <w:rPr>
                <w:sz w:val="20"/>
                <w:szCs w:val="20"/>
                <w:color w:val="auto"/>
              </w:rPr>
            </w:pPr>
            <w:r>
              <w:rPr>
                <w:rFonts w:ascii="Arial" w:cs="Arial" w:eastAsia="Arial" w:hAnsi="Arial"/>
                <w:sz w:val="18"/>
                <w:szCs w:val="18"/>
                <w:color w:val="auto"/>
              </w:rPr>
              <w:t>Regulation S-T)</w:t>
            </w:r>
          </w:p>
        </w:tc>
      </w:tr>
      <w:tr>
        <w:trPr>
          <w:trHeight w:val="500"/>
        </w:trPr>
        <w:tc>
          <w:tcPr>
            <w:tcW w:w="1280" w:type="dxa"/>
            <w:vAlign w:val="bottom"/>
          </w:tcPr>
          <w:p>
            <w:pPr>
              <w:ind w:left="500"/>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24"/>
                <w:szCs w:val="24"/>
                <w:color w:val="auto"/>
              </w:rPr>
            </w:pPr>
          </w:p>
        </w:tc>
        <w:tc>
          <w:tcPr>
            <w:tcW w:w="9640" w:type="dxa"/>
            <w:vAlign w:val="bottom"/>
            <w:tcBorders>
              <w:bottom w:val="single" w:sz="8" w:color="0000FF"/>
            </w:tcBorders>
            <w:gridSpan w:val="9"/>
          </w:tcPr>
          <w:p>
            <w:pPr>
              <w:spacing w:after="0"/>
              <w:rPr>
                <w:rFonts w:ascii="Arial" w:cs="Arial" w:eastAsia="Arial" w:hAnsi="Arial"/>
                <w:sz w:val="18"/>
                <w:szCs w:val="18"/>
                <w:color w:val="0000FF"/>
                <w:w w:val="93"/>
              </w:rPr>
            </w:pPr>
            <w:hyperlink r:id="rId38">
              <w:r>
                <w:rPr>
                  <w:rFonts w:ascii="Arial" w:cs="Arial" w:eastAsia="Arial" w:hAnsi="Arial"/>
                  <w:sz w:val="18"/>
                  <w:szCs w:val="18"/>
                  <w:color w:val="0000FF"/>
                  <w:w w:val="93"/>
                </w:rPr>
                <w:t>Indenture dated as of April 20, 2007, between Registrant and The Bank of New York Trust Company, N.A., as Trustee, relating to</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40" w:type="dxa"/>
            <w:vAlign w:val="bottom"/>
            <w:gridSpan w:val="9"/>
          </w:tcPr>
          <w:p>
            <w:pPr>
              <w:spacing w:after="0" w:line="196" w:lineRule="exact"/>
              <w:rPr>
                <w:rFonts w:ascii="Arial" w:cs="Arial" w:eastAsia="Arial" w:hAnsi="Arial"/>
                <w:sz w:val="18"/>
                <w:szCs w:val="18"/>
                <w:color w:val="0000FF"/>
                <w:w w:val="90"/>
              </w:rPr>
            </w:pPr>
            <w:hyperlink r:id="rId38">
              <w:r>
                <w:rPr>
                  <w:rFonts w:ascii="Arial" w:cs="Arial" w:eastAsia="Arial" w:hAnsi="Arial"/>
                  <w:sz w:val="18"/>
                  <w:szCs w:val="18"/>
                  <w:color w:val="0000FF"/>
                  <w:w w:val="90"/>
                </w:rPr>
                <w:t>The Toro Company’s 6.625% Notes due May 1, 2037 (incorporated by reference to Exhibit 4.3 to Registrant’s Registration Statement</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30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on Form S-3 filed with the Securities and Exchange Commission on April 23, 2007, Registration No. 333-142282).</w:t>
              </w:r>
            </w:hyperlink>
          </w:p>
        </w:tc>
        <w:tc>
          <w:tcPr>
            <w:tcW w:w="13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280" w:type="dxa"/>
            <w:vAlign w:val="bottom"/>
          </w:tcPr>
          <w:p>
            <w:pPr>
              <w:ind w:left="500"/>
              <w:spacing w:after="0"/>
              <w:rPr>
                <w:sz w:val="20"/>
                <w:szCs w:val="20"/>
                <w:color w:val="auto"/>
              </w:rPr>
            </w:pPr>
            <w:r>
              <w:rPr>
                <w:rFonts w:ascii="Arial" w:cs="Arial" w:eastAsia="Arial" w:hAnsi="Arial"/>
                <w:sz w:val="18"/>
                <w:szCs w:val="18"/>
                <w:color w:val="auto"/>
              </w:rPr>
              <w:t>4.6</w:t>
            </w:r>
          </w:p>
        </w:tc>
        <w:tc>
          <w:tcPr>
            <w:tcW w:w="480" w:type="dxa"/>
            <w:vAlign w:val="bottom"/>
          </w:tcPr>
          <w:p>
            <w:pPr>
              <w:spacing w:after="0"/>
              <w:rPr>
                <w:sz w:val="24"/>
                <w:szCs w:val="24"/>
                <w:color w:val="auto"/>
              </w:rPr>
            </w:pPr>
          </w:p>
        </w:tc>
        <w:tc>
          <w:tcPr>
            <w:tcW w:w="9640" w:type="dxa"/>
            <w:vAlign w:val="bottom"/>
            <w:gridSpan w:val="9"/>
          </w:tcPr>
          <w:p>
            <w:pPr>
              <w:spacing w:after="0"/>
              <w:rPr>
                <w:rFonts w:ascii="Arial" w:cs="Arial" w:eastAsia="Arial" w:hAnsi="Arial"/>
                <w:sz w:val="18"/>
                <w:szCs w:val="18"/>
                <w:color w:val="0000FF"/>
                <w:w w:val="93"/>
              </w:rPr>
            </w:pPr>
            <w:hyperlink r:id="rId39">
              <w:r>
                <w:rPr>
                  <w:rFonts w:ascii="Arial" w:cs="Arial" w:eastAsia="Arial" w:hAnsi="Arial"/>
                  <w:sz w:val="18"/>
                  <w:szCs w:val="18"/>
                  <w:color w:val="0000FF"/>
                  <w:w w:val="93"/>
                </w:rPr>
                <w:t>First Supplemental Indenture dated as of April 26, 2007, between Registrant and The Bank of New York Trust Company, N.A., as</w:t>
              </w:r>
            </w:hyperlink>
          </w:p>
        </w:tc>
      </w:tr>
      <w:tr>
        <w:trPr>
          <w:trHeight w:val="20"/>
        </w:trPr>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4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7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40" w:type="dxa"/>
            <w:vAlign w:val="bottom"/>
            <w:gridSpan w:val="9"/>
          </w:tcPr>
          <w:p>
            <w:pPr>
              <w:spacing w:after="0" w:line="196" w:lineRule="exact"/>
              <w:rPr>
                <w:rFonts w:ascii="Arial" w:cs="Arial" w:eastAsia="Arial" w:hAnsi="Arial"/>
                <w:sz w:val="18"/>
                <w:szCs w:val="18"/>
                <w:color w:val="0000FF"/>
                <w:w w:val="93"/>
              </w:rPr>
            </w:pPr>
            <w:hyperlink r:id="rId39">
              <w:r>
                <w:rPr>
                  <w:rFonts w:ascii="Arial" w:cs="Arial" w:eastAsia="Arial" w:hAnsi="Arial"/>
                  <w:sz w:val="18"/>
                  <w:szCs w:val="18"/>
                  <w:color w:val="0000FF"/>
                  <w:w w:val="93"/>
                </w:rPr>
                <w:t>Trustee, relating to The Toro Company’s 6.625% Notes due May 1, 2037 (incorporated by reference to Exhibit 4.1 to Registrant’s</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2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Current Report on Form 8-K dated April 23, 2007, Commission File No. 1-8649).</w:t>
              </w:r>
            </w:hyperlink>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4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ind w:left="500"/>
              <w:spacing w:after="0"/>
              <w:rPr>
                <w:sz w:val="20"/>
                <w:szCs w:val="20"/>
                <w:color w:val="auto"/>
              </w:rPr>
            </w:pPr>
            <w:r>
              <w:rPr>
                <w:rFonts w:ascii="Arial" w:cs="Arial" w:eastAsia="Arial" w:hAnsi="Arial"/>
                <w:sz w:val="18"/>
                <w:szCs w:val="18"/>
                <w:color w:val="auto"/>
              </w:rPr>
              <w:t>4.7</w:t>
            </w:r>
          </w:p>
        </w:tc>
        <w:tc>
          <w:tcPr>
            <w:tcW w:w="480" w:type="dxa"/>
            <w:vAlign w:val="bottom"/>
          </w:tcPr>
          <w:p>
            <w:pPr>
              <w:spacing w:after="0"/>
              <w:rPr>
                <w:sz w:val="24"/>
                <w:szCs w:val="24"/>
                <w:color w:val="auto"/>
              </w:rPr>
            </w:pPr>
          </w:p>
        </w:tc>
        <w:tc>
          <w:tcPr>
            <w:tcW w:w="9640" w:type="dxa"/>
            <w:vAlign w:val="bottom"/>
            <w:gridSpan w:val="9"/>
          </w:tcPr>
          <w:p>
            <w:pPr>
              <w:spacing w:after="0"/>
              <w:rPr>
                <w:rFonts w:ascii="Arial" w:cs="Arial" w:eastAsia="Arial" w:hAnsi="Arial"/>
                <w:sz w:val="18"/>
                <w:szCs w:val="18"/>
                <w:color w:val="0000FF"/>
                <w:w w:val="92"/>
              </w:rPr>
            </w:pPr>
            <w:hyperlink r:id="rId40">
              <w:r>
                <w:rPr>
                  <w:rFonts w:ascii="Arial" w:cs="Arial" w:eastAsia="Arial" w:hAnsi="Arial"/>
                  <w:sz w:val="18"/>
                  <w:szCs w:val="18"/>
                  <w:color w:val="0000FF"/>
                  <w:w w:val="92"/>
                </w:rPr>
                <w:t>Form of The Toro Company 6.625% Note due May 1, 2037 (incorporated by reference to Exhibit 4.2 to Registrant’s Current Report</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7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2"/>
              </w:rPr>
            </w:pPr>
            <w:hyperlink r:id="rId40">
              <w:r>
                <w:rPr>
                  <w:rFonts w:ascii="Arial" w:cs="Arial" w:eastAsia="Arial" w:hAnsi="Arial"/>
                  <w:sz w:val="18"/>
                  <w:szCs w:val="18"/>
                  <w:color w:val="0000FF"/>
                  <w:w w:val="92"/>
                </w:rPr>
                <w:t>on Form 8-K dated April 23, 2007, Commission File No. 1-8649).</w:t>
              </w:r>
            </w:hyperlink>
          </w:p>
        </w:tc>
        <w:tc>
          <w:tcPr>
            <w:tcW w:w="4860" w:type="dxa"/>
            <w:vAlign w:val="bottom"/>
            <w:tcBorders>
              <w:top w:val="single" w:sz="8" w:color="0000FF"/>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574"/>
        </w:trPr>
        <w:tc>
          <w:tcPr>
            <w:tcW w:w="1280" w:type="dxa"/>
            <w:vAlign w:val="bottom"/>
          </w:tcPr>
          <w:p>
            <w:pPr>
              <w:ind w:left="500"/>
              <w:spacing w:after="0"/>
              <w:rPr>
                <w:sz w:val="20"/>
                <w:szCs w:val="20"/>
                <w:color w:val="auto"/>
              </w:rPr>
            </w:pPr>
            <w:r>
              <w:rPr>
                <w:rFonts w:ascii="Arial" w:cs="Arial" w:eastAsia="Arial" w:hAnsi="Arial"/>
                <w:sz w:val="18"/>
                <w:szCs w:val="18"/>
                <w:color w:val="auto"/>
              </w:rPr>
              <w:t>31.1</w:t>
            </w:r>
          </w:p>
        </w:tc>
        <w:tc>
          <w:tcPr>
            <w:tcW w:w="480" w:type="dxa"/>
            <w:vAlign w:val="bottom"/>
          </w:tcPr>
          <w:p>
            <w:pPr>
              <w:spacing w:after="0"/>
              <w:rPr>
                <w:sz w:val="24"/>
                <w:szCs w:val="24"/>
                <w:color w:val="auto"/>
              </w:rPr>
            </w:pPr>
          </w:p>
        </w:tc>
        <w:tc>
          <w:tcPr>
            <w:tcW w:w="9640" w:type="dxa"/>
            <w:vAlign w:val="bottom"/>
            <w:gridSpan w:val="9"/>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Certification of Chief Executive Officer Pursuant to Rule 13a-14(a) (Section 302 of the Sarbanes-Oxley Act of 2002) (filed</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2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w:anchor="page36">
              <w:r>
                <w:rPr>
                  <w:rFonts w:ascii="Arial" w:cs="Arial" w:eastAsia="Arial" w:hAnsi="Arial"/>
                  <w:sz w:val="18"/>
                  <w:szCs w:val="18"/>
                  <w:color w:val="0000FF"/>
                </w:rPr>
                <w:t>herewith).</w:t>
              </w:r>
            </w:hyperlink>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9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ind w:left="500"/>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24"/>
                <w:szCs w:val="24"/>
                <w:color w:val="auto"/>
              </w:rPr>
            </w:pPr>
          </w:p>
        </w:tc>
        <w:tc>
          <w:tcPr>
            <w:tcW w:w="9620" w:type="dxa"/>
            <w:vAlign w:val="bottom"/>
            <w:tcBorders>
              <w:bottom w:val="single" w:sz="8" w:color="0000FF"/>
            </w:tcBorders>
            <w:gridSpan w:val="8"/>
          </w:tcPr>
          <w:p>
            <w:pPr>
              <w:spacing w:after="0"/>
              <w:rPr>
                <w:rFonts w:ascii="Arial" w:cs="Arial" w:eastAsia="Arial" w:hAnsi="Arial"/>
                <w:sz w:val="18"/>
                <w:szCs w:val="18"/>
                <w:color w:val="0000FF"/>
                <w:w w:val="92"/>
              </w:rPr>
            </w:pPr>
            <w:hyperlink w:anchor="page37">
              <w:r>
                <w:rPr>
                  <w:rFonts w:ascii="Arial" w:cs="Arial" w:eastAsia="Arial" w:hAnsi="Arial"/>
                  <w:sz w:val="18"/>
                  <w:szCs w:val="18"/>
                  <w:color w:val="0000FF"/>
                  <w:w w:val="92"/>
                </w:rPr>
                <w:t>Certification of Chief Financial Officer Pursuant to Rule 13a-14(a) (Section 302 of the Sarbanes-Oxley Act of 2002) (filed herewith).</w:t>
              </w:r>
            </w:hyperlink>
          </w:p>
        </w:tc>
        <w:tc>
          <w:tcPr>
            <w:tcW w:w="20" w:type="dxa"/>
            <w:vAlign w:val="bottom"/>
          </w:tcPr>
          <w:p>
            <w:pPr>
              <w:spacing w:after="0"/>
              <w:rPr>
                <w:sz w:val="24"/>
                <w:szCs w:val="24"/>
                <w:color w:val="auto"/>
              </w:rPr>
            </w:pPr>
          </w:p>
        </w:tc>
      </w:tr>
    </w:tbl>
    <w:p>
      <w:pPr>
        <w:spacing w:after="0" w:line="337" w:lineRule="exact"/>
        <w:rPr>
          <w:sz w:val="20"/>
          <w:szCs w:val="20"/>
          <w:color w:val="auto"/>
        </w:rPr>
      </w:pPr>
    </w:p>
    <w:p>
      <w:pPr>
        <w:ind w:left="1760" w:right="20" w:hanging="1266"/>
        <w:spacing w:after="0" w:line="277" w:lineRule="auto"/>
        <w:tabs>
          <w:tab w:leader="none" w:pos="1760" w:val="left"/>
        </w:tabs>
        <w:numPr>
          <w:ilvl w:val="0"/>
          <w:numId w:val="13"/>
        </w:numPr>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Certification of Chief Executive Officer and Chief Financial Officer Pursuant to 18 U.S.C. Section 1350, as Adopted Pursuant to</w:t>
        </w:r>
      </w:hyperlink>
      <w:r>
        <w:rPr>
          <w:rFonts w:ascii="Arial" w:cs="Arial" w:eastAsia="Arial" w:hAnsi="Arial"/>
          <w:sz w:val="18"/>
          <w:szCs w:val="18"/>
          <w:u w:val="single" w:color="auto"/>
          <w:color w:val="0000FF"/>
        </w:rPr>
        <w:t xml:space="preserve"> </w:t>
      </w:r>
      <w:hyperlink w:anchor="page38">
        <w:r>
          <w:rPr>
            <w:rFonts w:ascii="Arial" w:cs="Arial" w:eastAsia="Arial" w:hAnsi="Arial"/>
            <w:sz w:val="18"/>
            <w:szCs w:val="18"/>
            <w:u w:val="single" w:color="auto"/>
            <w:color w:val="0000FF"/>
          </w:rPr>
          <w:t>Section 906 of the Sarbanes-Oxley Act of 2002 (furnished herewith).</w:t>
        </w:r>
      </w:hyperlink>
    </w:p>
    <w:p>
      <w:pPr>
        <w:spacing w:after="0" w:line="279" w:lineRule="exact"/>
        <w:rPr>
          <w:rFonts w:ascii="Arial" w:cs="Arial" w:eastAsia="Arial" w:hAnsi="Arial"/>
          <w:sz w:val="18"/>
          <w:szCs w:val="18"/>
          <w:color w:val="auto"/>
        </w:rPr>
      </w:pPr>
    </w:p>
    <w:p>
      <w:pPr>
        <w:jc w:val="both"/>
        <w:ind w:left="1760" w:hanging="1266"/>
        <w:spacing w:after="0" w:line="274" w:lineRule="auto"/>
        <w:tabs>
          <w:tab w:leader="none" w:pos="1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following financial information from The Toro Company’s Quarterly Report on Form 10-Q for the quarterly period ended February 2, 2018, filed with the SEC on March 7, 2018, formatted in eXtensible Business Reporting Language (XBRL):</w:t>
      </w:r>
    </w:p>
    <w:p>
      <w:pPr>
        <w:ind w:left="2000" w:hanging="250"/>
        <w:spacing w:after="0"/>
        <w:tabs>
          <w:tab w:leader="none" w:pos="20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Condensed Consolidated Statements of Earnings for the three-month periods ended February 2, 2018 and February 3, 2017,</w:t>
      </w:r>
    </w:p>
    <w:p>
      <w:pPr>
        <w:spacing w:after="0" w:line="32" w:lineRule="exact"/>
        <w:rPr>
          <w:rFonts w:ascii="Arial" w:cs="Arial" w:eastAsia="Arial" w:hAnsi="Arial"/>
          <w:sz w:val="16"/>
          <w:szCs w:val="16"/>
          <w:color w:val="auto"/>
        </w:rPr>
      </w:pPr>
    </w:p>
    <w:p>
      <w:pPr>
        <w:jc w:val="both"/>
        <w:ind w:left="1760" w:hanging="10"/>
        <w:spacing w:after="0" w:line="281" w:lineRule="auto"/>
        <w:tabs>
          <w:tab w:leader="none" w:pos="2072" w:val="left"/>
        </w:tabs>
        <w:numPr>
          <w:ilvl w:val="1"/>
          <w:numId w:val="14"/>
        </w:numPr>
        <w:rPr>
          <w:rFonts w:ascii="Arial" w:cs="Arial" w:eastAsia="Arial" w:hAnsi="Arial"/>
          <w:sz w:val="16"/>
          <w:szCs w:val="16"/>
          <w:color w:val="auto"/>
        </w:rPr>
      </w:pPr>
      <w:r>
        <w:rPr>
          <w:rFonts w:ascii="Arial" w:cs="Arial" w:eastAsia="Arial" w:hAnsi="Arial"/>
          <w:sz w:val="16"/>
          <w:szCs w:val="16"/>
          <w:color w:val="auto"/>
        </w:rPr>
        <w:t>Condensed Consolidated Statements of Comprehensive Income for the three-month periods ended February 2, 2018 and February 3, 2017, (iii) Condensed Consolidated Balance Sheets as of February 2, 2018, February 3, 2017, and October 31, 2017,</w:t>
      </w:r>
    </w:p>
    <w:p>
      <w:pPr>
        <w:spacing w:after="0" w:line="1" w:lineRule="exact"/>
        <w:rPr>
          <w:rFonts w:ascii="Arial" w:cs="Arial" w:eastAsia="Arial" w:hAnsi="Arial"/>
          <w:sz w:val="16"/>
          <w:szCs w:val="16"/>
          <w:color w:val="auto"/>
        </w:rPr>
      </w:pPr>
    </w:p>
    <w:p>
      <w:pPr>
        <w:ind w:left="1760" w:right="20" w:hanging="10"/>
        <w:spacing w:after="0" w:line="261" w:lineRule="auto"/>
        <w:tabs>
          <w:tab w:leader="none" w:pos="2081"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Condensed Consolidated Statement of Cash Flows for the three-month periods ended February 2, 2018 and February 3, 2017, and (v) Notes to Condensed Consolidated Financial Statements (filed herewith).</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08"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 March 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Renee J. Peterson</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Treasurer and Chief Financial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(duly authorized officer, principal financial officer, and principal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M. Olson, certify that:</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00" w:hanging="320"/>
        <w:spacing w:after="0" w:line="250"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274" w:lineRule="auto"/>
        <w:tabs>
          <w:tab w:leader="none" w:pos="13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1"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2018</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702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M. Olson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Renee J. Peterson, certify that:</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00" w:hanging="320"/>
        <w:spacing w:after="0" w:line="250"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274" w:lineRule="auto"/>
        <w:tabs>
          <w:tab w:leader="none" w:pos="13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1"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2018</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702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Renee J. Peterson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Treasurer,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7" w:name="page38"/>
    <w:bookmarkEnd w:id="37"/>
    <w:p>
      <w:pPr>
        <w:ind w:left="10620"/>
        <w:spacing w:after="0"/>
        <w:rPr>
          <w:sz w:val="20"/>
          <w:szCs w:val="20"/>
          <w:color w:val="auto"/>
        </w:rPr>
      </w:pPr>
      <w:r>
        <w:rPr>
          <w:rFonts w:ascii="Arial" w:cs="Arial" w:eastAsia="Arial" w:hAnsi="Arial"/>
          <w:sz w:val="16"/>
          <w:szCs w:val="16"/>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Quarterly Report of The Toro Company (the “Company”) on Form 10-Q for the quarterly period ended February 2, 2018 as filed with the Securities and Exchange Commission on the date hereof (the “Report”), we, Richard M. Olson, Chairman of the Board, President, and Chief Executive Officer of the Company, and Renee J. Peterson, Vice President, Treasurer, and Chief Financial Officer of the Company, certify, pursuant to 18 U.S.C. Section 1350, as adopted pursuant to Section 906 of the Sarbanes-Oxley Act of 2002, that to our knowledge:</w:t>
      </w:r>
    </w:p>
    <w:p>
      <w:pPr>
        <w:spacing w:after="0" w:line="17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702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M. Olson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7,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702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Renee J. Peterson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Treasurer,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7, 2018</w:t>
      </w:r>
    </w:p>
    <w:p>
      <w:pPr>
        <w:spacing w:after="0" w:line="200" w:lineRule="exact"/>
        <w:rPr>
          <w:sz w:val="20"/>
          <w:szCs w:val="20"/>
          <w:color w:val="auto"/>
        </w:rPr>
      </w:pPr>
    </w:p>
    <w:p>
      <w:pPr>
        <w:spacing w:after="0" w:line="21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bullet"/>
      <w:start w:val="1"/>
    </w:lvl>
  </w:abstractNum>
  <w:abstractNum w:abstractNumId="4">
    <w:nsid w:val="1190CDE7"/>
    <w:multiLevelType w:val="hybridMultilevel"/>
    <w:lvl w:ilvl="0">
      <w:lvlJc w:val="left"/>
      <w:lvlText w:val="2"/>
      <w:numFmt w:val="bullet"/>
      <w:start w:val="1"/>
    </w:lvl>
  </w:abstractNum>
  <w:abstractNum w:abstractNumId="5">
    <w:nsid w:val="66EF438D"/>
    <w:multiLevelType w:val="hybridMultilevel"/>
    <w:lvl w:ilvl="0">
      <w:lvlJc w:val="left"/>
      <w:lvlText w:val="3"/>
      <w:numFmt w:val="bullet"/>
      <w:start w:val="1"/>
    </w:lvl>
  </w:abstractNum>
  <w:abstractNum w:abstractNumId="6">
    <w:nsid w:val="140E0F76"/>
    <w:multiLevelType w:val="hybridMultilevel"/>
    <w:lvl w:ilvl="0">
      <w:lvlJc w:val="left"/>
      <w:lvlText w:val="4"/>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bullet"/>
      <w:start w:val="1"/>
    </w:lvl>
  </w:abstractNum>
  <w:abstractNum w:abstractNumId="11">
    <w:nsid w:val="1BEFD79F"/>
    <w:multiLevelType w:val="hybridMultilevel"/>
    <w:lvl w:ilvl="0">
      <w:lvlJc w:val="left"/>
      <w:lvlText w:val="2"/>
      <w:numFmt w:val="bullet"/>
      <w:start w:val="1"/>
    </w:lvl>
  </w:abstractNum>
  <w:abstractNum w:abstractNumId="12">
    <w:nsid w:val="41A7C4C9"/>
    <w:multiLevelType w:val="hybridMultilevel"/>
    <w:lvl w:ilvl="0">
      <w:lvlJc w:val="left"/>
      <w:lvlText w:val="%1"/>
      <w:numFmt w:val="decimal"/>
      <w:start w:val="32"/>
    </w:lvl>
  </w:abstractNum>
  <w:abstractNum w:abstractNumId="13">
    <w:nsid w:val="6B68079A"/>
    <w:multiLevelType w:val="hybridMultilevel"/>
    <w:lvl w:ilvl="0">
      <w:lvlJc w:val="left"/>
      <w:lvlText w:val="%1"/>
      <w:numFmt w:val="decimal"/>
      <w:start w:val="101"/>
    </w:lvl>
    <w:lvl w:ilvl="1">
      <w:lvlJc w:val="left"/>
      <w:lvlText w:val="(%2)"/>
      <w:numFmt w:val="lowerRoman"/>
      <w:start w:val="1"/>
    </w:lvl>
  </w:abstractNum>
  <w:abstractNum w:abstractNumId="14">
    <w:nsid w:val="4E6AFB66"/>
    <w:multiLevelType w:val="hybridMultilevel"/>
    <w:lvl w:ilvl="0">
      <w:lvlJc w:val="left"/>
      <w:lvlText w:val="%1"/>
      <w:numFmt w:val="decimal"/>
      <w:start w:val="1"/>
    </w:lvl>
    <w:lvl w:ilvl="1">
      <w:lvlJc w:val="left"/>
      <w:lvlText w:val="(%2)"/>
      <w:numFmt w:val="lowerRoman"/>
      <w:start w:val="4"/>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35" Type="http://schemas.openxmlformats.org/officeDocument/2006/relationships/hyperlink" Target="http://www.sec.gov/Archives/edgar/data/737758/000073775808000033/form8-k06172008exhibitcert.htm" TargetMode="External"/><Relationship Id="rId36" Type="http://schemas.openxmlformats.org/officeDocument/2006/relationships/hyperlink" Target="http://www.sec.gov/Archives/edgar/data/737758/000119312513105223/d501846dex31.htm" TargetMode="External"/><Relationship Id="rId37" Type="http://schemas.openxmlformats.org/officeDocument/2006/relationships/hyperlink" Target="http://www.sec.gov/Archives/edgar/data/737758/000110465916133324/a16-15127_1ex3d1.htm" TargetMode="External"/><Relationship Id="rId38" Type="http://schemas.openxmlformats.org/officeDocument/2006/relationships/hyperlink" Target="http://www.sec.gov/Archives/edgar/data/737758/000110465907030051/a07-10570_1ex4d3.htm" TargetMode="External"/><Relationship Id="rId39" Type="http://schemas.openxmlformats.org/officeDocument/2006/relationships/hyperlink" Target="http://www.sec.gov/Archives/edgar/data/737758/000110465907031757/a07-10570_5ex4d1.htm" TargetMode="External"/><Relationship Id="rId40" Type="http://schemas.openxmlformats.org/officeDocument/2006/relationships/hyperlink" Target="http://www.sec.gov/Archives/edgar/data/737758/000110465907031757/a07-10570_5ex4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2019-12-29T00:41:33Z</dcterms:created>
  <dcterms:modified xsi:type="dcterms:W3CDTF">2019-12-29T00:41:33Z</dcterms:modified>
</cp:coreProperties>
</file>