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233680</wp:posOffset>
            </wp:positionH>
            <wp:positionV relativeFrom="page">
              <wp:posOffset>766445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723265</wp:posOffset>
            </wp:positionV>
            <wp:extent cx="70891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19"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5" w:lineRule="exact"/>
        <w:rPr>
          <w:sz w:val="24"/>
          <w:szCs w:val="24"/>
          <w:color w:val="auto"/>
        </w:rPr>
      </w:pPr>
    </w:p>
    <w:p>
      <w:pPr>
        <w:ind w:left="520" w:hanging="298"/>
        <w:spacing w:after="0"/>
        <w:tabs>
          <w:tab w:leader="none" w:pos="5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264" w:lineRule="exact"/>
        <w:rPr>
          <w:rFonts w:ascii="MS PGothic" w:cs="MS PGothic" w:eastAsia="MS PGothic" w:hAnsi="MS PGothic"/>
          <w:sz w:val="18"/>
          <w:szCs w:val="18"/>
          <w:color w:val="auto"/>
        </w:rPr>
      </w:pPr>
    </w:p>
    <w:p>
      <w:pPr>
        <w:ind w:left="3300"/>
        <w:spacing w:after="0"/>
        <w:rPr>
          <w:rFonts w:ascii="MS PGothic" w:cs="MS PGothic" w:eastAsia="MS PGothic" w:hAnsi="MS PGothic"/>
          <w:sz w:val="18"/>
          <w:szCs w:val="18"/>
          <w:color w:val="auto"/>
        </w:rPr>
      </w:pPr>
      <w:r>
        <w:rPr>
          <w:rFonts w:ascii="Times New Roman" w:cs="Times New Roman" w:eastAsia="Times New Roman" w:hAnsi="Times New Roman"/>
          <w:sz w:val="20"/>
          <w:szCs w:val="20"/>
          <w:b w:val="1"/>
          <w:bCs w:val="1"/>
          <w:color w:val="auto"/>
        </w:rPr>
        <w:t>For the fiscal year ended December 31, 2021</w:t>
      </w:r>
    </w:p>
    <w:p>
      <w:pPr>
        <w:spacing w:after="0" w:line="256" w:lineRule="exact"/>
        <w:rPr>
          <w:rFonts w:ascii="MS PGothic" w:cs="MS PGothic" w:eastAsia="MS PGothic" w:hAnsi="MS PGothic"/>
          <w:sz w:val="18"/>
          <w:szCs w:val="18"/>
          <w:color w:val="auto"/>
        </w:rPr>
      </w:pPr>
    </w:p>
    <w:p>
      <w:pPr>
        <w:ind w:left="5020"/>
        <w:spacing w:after="0"/>
        <w:rPr>
          <w:rFonts w:ascii="MS PGothic" w:cs="MS PGothic" w:eastAsia="MS PGothic" w:hAnsi="MS PGothic"/>
          <w:sz w:val="18"/>
          <w:szCs w:val="18"/>
          <w:color w:val="auto"/>
        </w:rPr>
      </w:pPr>
      <w:r>
        <w:rPr>
          <w:rFonts w:ascii="Times New Roman" w:cs="Times New Roman" w:eastAsia="Times New Roman" w:hAnsi="Times New Roman"/>
          <w:sz w:val="20"/>
          <w:szCs w:val="20"/>
          <w:b w:val="1"/>
          <w:bCs w:val="1"/>
          <w:color w:val="auto"/>
        </w:rPr>
        <w:t>OR</w:t>
      </w:r>
    </w:p>
    <w:p>
      <w:pPr>
        <w:spacing w:after="0" w:line="278" w:lineRule="exact"/>
        <w:rPr>
          <w:rFonts w:ascii="MS PGothic" w:cs="MS PGothic" w:eastAsia="MS PGothic" w:hAnsi="MS PGothic"/>
          <w:sz w:val="18"/>
          <w:szCs w:val="18"/>
          <w:color w:val="auto"/>
        </w:rPr>
      </w:pPr>
    </w:p>
    <w:p>
      <w:pPr>
        <w:ind w:left="300" w:hanging="298"/>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21"/>
          <w:szCs w:val="21"/>
          <w:b w:val="1"/>
          <w:bCs w:val="1"/>
          <w:color w:val="auto"/>
        </w:rPr>
        <w:t>TRANSITION REPORT PURSUANT TO SECTION 15(d) OF THE SECURITIES EXCHANGE ACT OF 1934</w:t>
      </w:r>
    </w:p>
    <w:p>
      <w:pPr>
        <w:spacing w:after="0" w:line="276" w:lineRule="exact"/>
        <w:rPr>
          <w:rFonts w:ascii="MS PGothic" w:cs="MS PGothic" w:eastAsia="MS PGothic" w:hAnsi="MS PGothic"/>
          <w:sz w:val="17"/>
          <w:szCs w:val="17"/>
          <w:color w:val="auto"/>
        </w:rPr>
      </w:pPr>
    </w:p>
    <w:p>
      <w:pPr>
        <w:ind w:left="2440"/>
        <w:spacing w:after="0"/>
        <w:rPr>
          <w:rFonts w:ascii="MS PGothic" w:cs="MS PGothic" w:eastAsia="MS PGothic" w:hAnsi="MS PGothic"/>
          <w:sz w:val="17"/>
          <w:szCs w:val="17"/>
          <w:color w:val="auto"/>
        </w:rPr>
      </w:pPr>
      <w:r>
        <w:rPr>
          <w:rFonts w:ascii="Times New Roman" w:cs="Times New Roman" w:eastAsia="Times New Roman" w:hAnsi="Times New Roman"/>
          <w:sz w:val="20"/>
          <w:szCs w:val="20"/>
          <w:b w:val="1"/>
          <w:bCs w:val="1"/>
          <w:color w:val="auto"/>
        </w:rPr>
        <w:t>For the transition period from _____________ to _____________</w:t>
      </w:r>
    </w:p>
    <w:p>
      <w:pPr>
        <w:spacing w:after="0" w:line="256" w:lineRule="exact"/>
        <w:rPr>
          <w:rFonts w:ascii="MS PGothic" w:cs="MS PGothic" w:eastAsia="MS PGothic" w:hAnsi="MS PGothic"/>
          <w:sz w:val="17"/>
          <w:szCs w:val="17"/>
          <w:color w:val="auto"/>
        </w:rPr>
      </w:pPr>
    </w:p>
    <w:p>
      <w:pPr>
        <w:ind w:left="3840"/>
        <w:spacing w:after="0"/>
        <w:rPr>
          <w:rFonts w:ascii="MS PGothic" w:cs="MS PGothic" w:eastAsia="MS PGothic" w:hAnsi="MS PGothic"/>
          <w:sz w:val="17"/>
          <w:szCs w:val="17"/>
          <w:color w:val="auto"/>
        </w:rPr>
      </w:pPr>
      <w:r>
        <w:rPr>
          <w:rFonts w:ascii="Times New Roman" w:cs="Times New Roman" w:eastAsia="Times New Roman" w:hAnsi="Times New Roman"/>
          <w:sz w:val="20"/>
          <w:szCs w:val="20"/>
          <w:color w:val="auto"/>
        </w:rPr>
        <w:t xml:space="preserve">Commission file number: </w:t>
      </w:r>
      <w:r>
        <w:rPr>
          <w:rFonts w:ascii="Times New Roman" w:cs="Times New Roman" w:eastAsia="Times New Roman" w:hAnsi="Times New Roman"/>
          <w:sz w:val="20"/>
          <w:szCs w:val="20"/>
          <w:b w:val="1"/>
          <w:bCs w:val="1"/>
          <w:color w:val="auto"/>
        </w:rPr>
        <w:t>1-8649</w:t>
      </w:r>
    </w:p>
    <w:p>
      <w:pPr>
        <w:spacing w:after="0" w:line="274"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20"/>
          <w:szCs w:val="20"/>
          <w:color w:val="auto"/>
        </w:rPr>
        <w:t>A. Full title of the plan and address of the plan, if different from that of the issuer named below:</w:t>
      </w:r>
    </w:p>
    <w:p>
      <w:pPr>
        <w:spacing w:after="0" w:line="234"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The Toro Company Retirement Plan</w:t>
      </w:r>
    </w:p>
    <w:p>
      <w:pPr>
        <w:spacing w:after="0" w:line="255"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20"/>
          <w:szCs w:val="20"/>
          <w:color w:val="auto"/>
        </w:rPr>
        <w:t>B. Name of issuer of the securities held pursuant to the plan and the address of its principal executive office:</w:t>
      </w:r>
    </w:p>
    <w:p>
      <w:pPr>
        <w:spacing w:after="0" w:line="218"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32"/>
          <w:szCs w:val="32"/>
          <w:b w:val="1"/>
          <w:bCs w:val="1"/>
          <w:color w:val="auto"/>
        </w:rPr>
        <w:t>The Toro Company</w:t>
      </w:r>
    </w:p>
    <w:p>
      <w:pPr>
        <w:spacing w:after="0" w:line="6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8111 Lyndale Avenue South</w:t>
      </w:r>
    </w:p>
    <w:p>
      <w:pPr>
        <w:spacing w:after="0" w:line="10"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Bloomington, MN 55420-1196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1487170</wp:posOffset>
            </wp:positionV>
            <wp:extent cx="70891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1461770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0640"/>
          </w:cols>
          <w:pgMar w:left="780" w:top="1440" w:right="4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340" w:type="dxa"/>
            <w:vAlign w:val="bottom"/>
            <w:gridSpan w:val="4"/>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9"/>
              </w:rPr>
              <w:t>THE TORO COMPANY RETIREMENT PLAN</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6"/>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80" w:type="dxa"/>
            <w:vAlign w:val="bottom"/>
          </w:tcPr>
          <w:p>
            <w:pPr>
              <w:jc w:val="center"/>
              <w:ind w:right="203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7"/>
        </w:trPr>
        <w:tc>
          <w:tcPr>
            <w:tcW w:w="878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4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 Number</w:t>
            </w:r>
          </w:p>
        </w:tc>
      </w:tr>
      <w:tr>
        <w:trPr>
          <w:trHeight w:val="182"/>
        </w:trPr>
        <w:tc>
          <w:tcPr>
            <w:tcW w:w="878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2400" w:type="dxa"/>
            <w:vAlign w:val="bottom"/>
            <w:gridSpan w:val="4"/>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1</w:t>
            </w:r>
          </w:p>
        </w:tc>
      </w:tr>
      <w:tr>
        <w:trPr>
          <w:trHeight w:val="20"/>
        </w:trPr>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2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Statements of Net Assets Available for Benefits</w:t>
            </w:r>
          </w:p>
        </w:tc>
        <w:tc>
          <w:tcPr>
            <w:tcW w:w="4560" w:type="dxa"/>
            <w:vAlign w:val="bottom"/>
            <w:gridSpan w:val="3"/>
          </w:tcPr>
          <w:p>
            <w:pPr>
              <w:spacing w:after="0"/>
              <w:rPr>
                <w:sz w:val="18"/>
                <w:szCs w:val="18"/>
                <w:color w:val="auto"/>
              </w:rPr>
            </w:pPr>
          </w:p>
        </w:tc>
        <w:tc>
          <w:tcPr>
            <w:tcW w:w="24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3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Statements of Changes in Net Assets Available for Benefits</w:t>
            </w:r>
          </w:p>
        </w:tc>
        <w:tc>
          <w:tcPr>
            <w:tcW w:w="4480" w:type="dxa"/>
            <w:vAlign w:val="bottom"/>
            <w:gridSpan w:val="2"/>
          </w:tcPr>
          <w:p>
            <w:pPr>
              <w:spacing w:after="0"/>
              <w:rPr>
                <w:sz w:val="18"/>
                <w:szCs w:val="18"/>
                <w:color w:val="auto"/>
              </w:rPr>
            </w:pPr>
          </w:p>
        </w:tc>
        <w:tc>
          <w:tcPr>
            <w:tcW w:w="24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Notes to Financial Statements</w:t>
            </w:r>
          </w:p>
        </w:tc>
        <w:tc>
          <w:tcPr>
            <w:tcW w:w="2140" w:type="dxa"/>
            <w:vAlign w:val="bottom"/>
            <w:gridSpan w:val="3"/>
          </w:tcPr>
          <w:p>
            <w:pPr>
              <w:spacing w:after="0"/>
              <w:rPr>
                <w:sz w:val="18"/>
                <w:szCs w:val="18"/>
                <w:color w:val="auto"/>
              </w:rPr>
            </w:pPr>
          </w:p>
        </w:tc>
        <w:tc>
          <w:tcPr>
            <w:tcW w:w="4480" w:type="dxa"/>
            <w:vAlign w:val="bottom"/>
            <w:gridSpan w:val="2"/>
          </w:tcPr>
          <w:p>
            <w:pPr>
              <w:spacing w:after="0"/>
              <w:rPr>
                <w:sz w:val="18"/>
                <w:szCs w:val="18"/>
                <w:color w:val="auto"/>
              </w:rPr>
            </w:pPr>
          </w:p>
        </w:tc>
        <w:tc>
          <w:tcPr>
            <w:tcW w:w="24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5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Schedule H, line 4i - Schedule of Assets (Held at End of Year)</w:t>
            </w:r>
          </w:p>
        </w:tc>
        <w:tc>
          <w:tcPr>
            <w:tcW w:w="4280" w:type="dxa"/>
            <w:vAlign w:val="bottom"/>
          </w:tcPr>
          <w:p>
            <w:pPr>
              <w:spacing w:after="0"/>
              <w:rPr>
                <w:sz w:val="18"/>
                <w:szCs w:val="18"/>
                <w:color w:val="auto"/>
              </w:rPr>
            </w:pPr>
          </w:p>
        </w:tc>
        <w:tc>
          <w:tcPr>
            <w:tcW w:w="24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r>
      <w:tr>
        <w:trPr>
          <w:trHeight w:val="209"/>
        </w:trPr>
        <w:tc>
          <w:tcPr>
            <w:tcW w:w="8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8"/>
                <w:szCs w:val="18"/>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Exhibit Index</w:t>
            </w:r>
          </w:p>
        </w:tc>
        <w:tc>
          <w:tcPr>
            <w:tcW w:w="7780" w:type="dxa"/>
            <w:vAlign w:val="bottom"/>
            <w:gridSpan w:val="6"/>
          </w:tcPr>
          <w:p>
            <w:pPr>
              <w:spacing w:after="0"/>
              <w:rPr>
                <w:sz w:val="18"/>
                <w:szCs w:val="18"/>
                <w:color w:val="auto"/>
              </w:rPr>
            </w:pPr>
          </w:p>
        </w:tc>
        <w:tc>
          <w:tcPr>
            <w:tcW w:w="22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11</w:t>
            </w:r>
          </w:p>
        </w:tc>
      </w:tr>
      <w:tr>
        <w:trPr>
          <w:trHeight w:val="20"/>
        </w:trPr>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180"/>
          </w:cols>
          <w:pgMar w:left="360" w:top="887"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Plan Participants and Plan Administrator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 Company Retirement Plan:</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Financial Statements</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Toro Company Retirement Plan (the Plan) as of December 31, 2021 and 2020, the related statements of changes in net assets available for benefits for the years ended December 31, 2021 and 2020, and the related notes (collectively, the financial statements). In our opinion, the financial statements present fairly, in all material respects, the net assets available for benefits of the Plan as of December 31, 2021 and 2020, and the changes in net assets available for benefits for the years ended December 31, 2021 and 2020, in conformity with U.S. generally accepted accounting principles.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these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Accompanying Supplemental Information</w:t>
      </w:r>
    </w:p>
    <w:p>
      <w:pPr>
        <w:spacing w:after="0" w:line="11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Schedule H, line 4i - Schedule of Assets (Held at End of Year) as of December 31, 2021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KPMG LLP</w:t>
      </w:r>
    </w:p>
    <w:p>
      <w:pPr>
        <w:spacing w:after="0" w:line="200" w:lineRule="exact"/>
        <w:rPr>
          <w:sz w:val="20"/>
          <w:szCs w:val="20"/>
          <w:color w:val="auto"/>
        </w:rPr>
      </w:pPr>
    </w:p>
    <w:p>
      <w:pPr>
        <w:spacing w:after="0" w:line="36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have not been able to determine the specific year that we began serving as the Plan’s auditor, however, we are aware that we have served as the Plan’s auditor since at least 1993.</w:t>
      </w: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June 29, 2022</w:t>
      </w:r>
    </w:p>
    <w:p>
      <w:pPr>
        <w:sectPr>
          <w:pgSz w:w="11900" w:h="16838" w:orient="portrait"/>
          <w:cols w:equalWidth="0" w:num="1">
            <w:col w:w="11220"/>
          </w:cols>
          <w:pgMar w:left="320" w:top="995" w:right="359" w:bottom="1440" w:gutter="0" w:footer="0" w:header="0"/>
        </w:sectPr>
      </w:pPr>
    </w:p>
    <w:bookmarkStart w:id="3" w:name="page4"/>
    <w:bookmarkEnd w:id="3"/>
    <w:p>
      <w:pPr>
        <w:ind w:left="3760"/>
        <w:spacing w:after="0"/>
        <w:rPr>
          <w:sz w:val="20"/>
          <w:szCs w:val="20"/>
          <w:color w:val="auto"/>
        </w:rPr>
      </w:pPr>
      <w:r>
        <w:rPr>
          <w:rFonts w:ascii="Times New Roman" w:cs="Times New Roman" w:eastAsia="Times New Roman" w:hAnsi="Times New Roman"/>
          <w:sz w:val="18"/>
          <w:szCs w:val="18"/>
          <w:b w:val="1"/>
          <w:bCs w:val="1"/>
          <w:color w:val="auto"/>
        </w:rPr>
        <w:t>THE TORO COMPANY RETIREMENT PLAN</w:t>
      </w:r>
    </w:p>
    <w:p>
      <w:pPr>
        <w:spacing w:after="0" w:line="5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Statements of Net Assets Available for Benefits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2021 and 2020</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4360" w:type="dxa"/>
            <w:vAlign w:val="bottom"/>
            <w:tcBorders>
              <w:top w:val="single" w:sz="8" w:color="auto"/>
              <w:bottom w:val="single" w:sz="8" w:color="auto"/>
            </w:tcBorders>
          </w:tcPr>
          <w:p>
            <w:pPr>
              <w:spacing w:after="0"/>
              <w:rPr>
                <w:sz w:val="21"/>
                <w:szCs w:val="21"/>
                <w:color w:val="auto"/>
              </w:rPr>
            </w:pPr>
          </w:p>
        </w:tc>
        <w:tc>
          <w:tcPr>
            <w:tcW w:w="304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8"/>
              </w:rPr>
              <w:t>ASSETS</w:t>
            </w:r>
          </w:p>
        </w:tc>
        <w:tc>
          <w:tcPr>
            <w:tcW w:w="4360" w:type="dxa"/>
            <w:vAlign w:val="bottom"/>
            <w:tcBorders>
              <w:bottom w:val="single" w:sz="8" w:color="CCEEFF"/>
            </w:tcBorders>
            <w:shd w:val="clear" w:color="auto" w:fill="CCEEFF"/>
          </w:tcPr>
          <w:p>
            <w:pPr>
              <w:spacing w:after="0"/>
              <w:rPr>
                <w:sz w:val="17"/>
                <w:szCs w:val="17"/>
                <w:color w:val="auto"/>
              </w:rPr>
            </w:pPr>
          </w:p>
        </w:tc>
        <w:tc>
          <w:tcPr>
            <w:tcW w:w="30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 held by trustee, at fair value</w:t>
            </w:r>
          </w:p>
        </w:tc>
        <w:tc>
          <w:tcPr>
            <w:tcW w:w="30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1,496,323,531</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1,413,712,662</w:t>
            </w:r>
          </w:p>
        </w:tc>
      </w:tr>
      <w:tr>
        <w:trPr>
          <w:trHeight w:val="270"/>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36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29"/>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w:t>
            </w:r>
          </w:p>
        </w:tc>
        <w:tc>
          <w:tcPr>
            <w:tcW w:w="30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Employer contribution receivable</w:t>
            </w:r>
          </w:p>
        </w:tc>
        <w:tc>
          <w:tcPr>
            <w:tcW w:w="304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14,395,906</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Employee contribution receivable</w:t>
            </w:r>
          </w:p>
        </w:tc>
        <w:tc>
          <w:tcPr>
            <w:tcW w:w="30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660,000</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Dividends receivable on The Toro Company Common Stock</w:t>
            </w:r>
          </w:p>
        </w:tc>
        <w:tc>
          <w:tcPr>
            <w:tcW w:w="304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1,192,570</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1,191,807</w:t>
            </w:r>
          </w:p>
        </w:tc>
      </w:tr>
      <w:tr>
        <w:trPr>
          <w:trHeight w:val="230"/>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30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540,220</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1,299,595</w:t>
            </w:r>
          </w:p>
        </w:tc>
      </w:tr>
      <w:tr>
        <w:trPr>
          <w:trHeight w:val="229"/>
        </w:trPr>
        <w:tc>
          <w:tcPr>
            <w:tcW w:w="20" w:type="dxa"/>
            <w:vAlign w:val="bottom"/>
            <w:tcBorders>
              <w:bottom w:val="single" w:sz="8" w:color="auto"/>
            </w:tcBorders>
          </w:tcPr>
          <w:p>
            <w:pPr>
              <w:spacing w:after="0"/>
              <w:rPr>
                <w:sz w:val="19"/>
                <w:szCs w:val="19"/>
                <w:color w:val="auto"/>
              </w:rPr>
            </w:pPr>
          </w:p>
        </w:tc>
        <w:tc>
          <w:tcPr>
            <w:tcW w:w="50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Assets in-transit from merged plan</w:t>
            </w:r>
          </w:p>
        </w:tc>
        <w:tc>
          <w:tcPr>
            <w:tcW w:w="30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7,309,025</w:t>
            </w:r>
          </w:p>
        </w:tc>
      </w:tr>
      <w:tr>
        <w:trPr>
          <w:trHeight w:val="223"/>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receivables</w:t>
            </w:r>
          </w:p>
        </w:tc>
        <w:tc>
          <w:tcPr>
            <w:tcW w:w="30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16,788,696</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9,800,427</w:t>
            </w:r>
          </w:p>
        </w:tc>
      </w:tr>
      <w:tr>
        <w:trPr>
          <w:trHeight w:val="270"/>
        </w:trPr>
        <w:tc>
          <w:tcPr>
            <w:tcW w:w="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4360" w:type="dxa"/>
            <w:vAlign w:val="bottom"/>
            <w:tcBorders>
              <w:bottom w:val="single" w:sz="8" w:color="auto"/>
            </w:tcBorders>
          </w:tcPr>
          <w:p>
            <w:pPr>
              <w:spacing w:after="0"/>
              <w:rPr>
                <w:sz w:val="23"/>
                <w:szCs w:val="23"/>
                <w:color w:val="auto"/>
              </w:rPr>
            </w:pPr>
          </w:p>
        </w:tc>
        <w:tc>
          <w:tcPr>
            <w:tcW w:w="30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r>
      <w:tr>
        <w:trPr>
          <w:trHeight w:val="248"/>
        </w:trPr>
        <w:tc>
          <w:tcPr>
            <w:tcW w:w="20" w:type="dxa"/>
            <w:vAlign w:val="bottom"/>
            <w:tcBorders>
              <w:bottom w:val="single" w:sz="8" w:color="auto"/>
            </w:tcBorders>
            <w:shd w:val="clear" w:color="auto" w:fill="CCEEFF"/>
          </w:tcPr>
          <w:p>
            <w:pPr>
              <w:spacing w:after="0"/>
              <w:rPr>
                <w:sz w:val="21"/>
                <w:szCs w:val="21"/>
                <w:color w:val="auto"/>
              </w:rPr>
            </w:pPr>
          </w:p>
        </w:tc>
        <w:tc>
          <w:tcPr>
            <w:tcW w:w="50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30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1,513,112,227</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1,423,513,089</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36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528"/>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tc>
        <w:tc>
          <w:tcPr>
            <w:tcW w:w="3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770"/>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40" w:type="dxa"/>
            <w:vAlign w:val="bottom"/>
          </w:tcPr>
          <w:p>
            <w:pPr>
              <w:jc w:val="right"/>
              <w:ind w:right="2330"/>
              <w:spacing w:after="0"/>
              <w:rPr>
                <w:sz w:val="20"/>
                <w:szCs w:val="20"/>
                <w:color w:val="auto"/>
              </w:rPr>
            </w:pPr>
            <w:r>
              <w:rPr>
                <w:rFonts w:ascii="Times New Roman" w:cs="Times New Roman" w:eastAsia="Times New Roman" w:hAnsi="Times New Roman"/>
                <w:sz w:val="18"/>
                <w:szCs w:val="18"/>
                <w:color w:val="auto"/>
              </w:rPr>
              <w:t>2</w:t>
            </w: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240"/>
          </w:cols>
          <w:pgMar w:left="320" w:top="941" w:right="339" w:bottom="1440" w:gutter="0" w:footer="0" w:header="0"/>
        </w:sectPr>
      </w:pPr>
    </w:p>
    <w:bookmarkStart w:id="4" w:name="page5"/>
    <w:bookmarkEnd w:id="4"/>
    <w:p>
      <w:pPr>
        <w:ind w:left="3760"/>
        <w:spacing w:after="0"/>
        <w:rPr>
          <w:sz w:val="20"/>
          <w:szCs w:val="20"/>
          <w:color w:val="auto"/>
        </w:rPr>
      </w:pPr>
      <w:r>
        <w:rPr>
          <w:rFonts w:ascii="Times New Roman" w:cs="Times New Roman" w:eastAsia="Times New Roman" w:hAnsi="Times New Roman"/>
          <w:sz w:val="18"/>
          <w:szCs w:val="18"/>
          <w:b w:val="1"/>
          <w:bCs w:val="1"/>
          <w:color w:val="auto"/>
        </w:rPr>
        <w:t>THE TORO COMPANY RETIREMENT PLAN</w:t>
      </w:r>
    </w:p>
    <w:p>
      <w:pPr>
        <w:spacing w:after="0" w:line="5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Statements of Changes in Net Assets Available for Benefits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2021 and 2020</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34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17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appreciation in the fair value of investments</w:t>
            </w:r>
          </w:p>
        </w:tc>
        <w:tc>
          <w:tcPr>
            <w:tcW w:w="1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141,904,290</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178,994,314</w:t>
            </w:r>
          </w:p>
        </w:tc>
      </w:tr>
      <w:tr>
        <w:trPr>
          <w:trHeight w:val="229"/>
        </w:trPr>
        <w:tc>
          <w:tcPr>
            <w:tcW w:w="63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and dividends</w:t>
            </w:r>
          </w:p>
        </w:tc>
        <w:tc>
          <w:tcPr>
            <w:tcW w:w="17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34,530,372</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17,787,694</w:t>
            </w:r>
          </w:p>
        </w:tc>
      </w:tr>
      <w:tr>
        <w:trPr>
          <w:trHeight w:val="223"/>
        </w:trPr>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investment income</w:t>
            </w:r>
          </w:p>
        </w:tc>
        <w:tc>
          <w:tcPr>
            <w:tcW w:w="174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176,434,662</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196,782,008</w:t>
            </w:r>
          </w:p>
        </w:tc>
      </w:tr>
      <w:tr>
        <w:trPr>
          <w:trHeight w:val="270"/>
        </w:trPr>
        <w:tc>
          <w:tcPr>
            <w:tcW w:w="634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Contributions:</w:t>
            </w:r>
          </w:p>
        </w:tc>
        <w:tc>
          <w:tcPr>
            <w:tcW w:w="17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Employer cash contributions</w:t>
            </w:r>
          </w:p>
        </w:tc>
        <w:tc>
          <w:tcPr>
            <w:tcW w:w="17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32,503,675</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17,619,041</w:t>
            </w:r>
          </w:p>
        </w:tc>
      </w:tr>
      <w:tr>
        <w:trPr>
          <w:trHeight w:val="230"/>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contributions</w:t>
            </w:r>
          </w:p>
        </w:tc>
        <w:tc>
          <w:tcPr>
            <w:tcW w:w="174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37,293,815</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31,487,302</w:t>
            </w:r>
          </w:p>
        </w:tc>
      </w:tr>
      <w:tr>
        <w:trPr>
          <w:trHeight w:val="229"/>
        </w:trPr>
        <w:tc>
          <w:tcPr>
            <w:tcW w:w="63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Rollover contributions</w:t>
            </w:r>
          </w:p>
        </w:tc>
        <w:tc>
          <w:tcPr>
            <w:tcW w:w="17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7,663,177</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32,074,713</w:t>
            </w:r>
          </w:p>
        </w:tc>
      </w:tr>
      <w:tr>
        <w:trPr>
          <w:trHeight w:val="223"/>
        </w:trPr>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contributions</w:t>
            </w:r>
          </w:p>
        </w:tc>
        <w:tc>
          <w:tcPr>
            <w:tcW w:w="174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77,460,667</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81,181,056</w:t>
            </w:r>
          </w:p>
        </w:tc>
      </w:tr>
      <w:tr>
        <w:trPr>
          <w:trHeight w:val="270"/>
        </w:trPr>
        <w:tc>
          <w:tcPr>
            <w:tcW w:w="634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Deductions from net assets:</w:t>
            </w:r>
          </w:p>
        </w:tc>
        <w:tc>
          <w:tcPr>
            <w:tcW w:w="17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 payments</w:t>
            </w:r>
          </w:p>
        </w:tc>
        <w:tc>
          <w:tcPr>
            <w:tcW w:w="17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(163,793,230)</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(167,277,895)</w:t>
            </w:r>
          </w:p>
        </w:tc>
      </w:tr>
      <w:tr>
        <w:trPr>
          <w:trHeight w:val="230"/>
        </w:trPr>
        <w:tc>
          <w:tcPr>
            <w:tcW w:w="6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Administrative and other</w:t>
            </w:r>
          </w:p>
        </w:tc>
        <w:tc>
          <w:tcPr>
            <w:tcW w:w="17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(502,961)</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(482,134)</w:t>
            </w:r>
          </w:p>
        </w:tc>
      </w:tr>
      <w:tr>
        <w:trPr>
          <w:trHeight w:val="223"/>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deductions from net assets</w:t>
            </w:r>
          </w:p>
        </w:tc>
        <w:tc>
          <w:tcPr>
            <w:tcW w:w="17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(164,296,191)</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(167,760,029)</w:t>
            </w:r>
          </w:p>
        </w:tc>
      </w:tr>
      <w:tr>
        <w:trPr>
          <w:trHeight w:val="270"/>
        </w:trPr>
        <w:tc>
          <w:tcPr>
            <w:tcW w:w="634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r>
      <w:tr>
        <w:trPr>
          <w:trHeight w:val="223"/>
        </w:trPr>
        <w:tc>
          <w:tcPr>
            <w:tcW w:w="6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net assets available for benefits</w:t>
            </w:r>
          </w:p>
        </w:tc>
        <w:tc>
          <w:tcPr>
            <w:tcW w:w="17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89,599,138</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110,203,035</w:t>
            </w:r>
          </w:p>
        </w:tc>
      </w:tr>
      <w:tr>
        <w:trPr>
          <w:trHeight w:val="250"/>
        </w:trPr>
        <w:tc>
          <w:tcPr>
            <w:tcW w:w="63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 of assets and participant notes receivable from merged plan</w:t>
            </w:r>
          </w:p>
        </w:tc>
        <w:tc>
          <w:tcPr>
            <w:tcW w:w="17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7,364,722</w:t>
            </w:r>
          </w:p>
        </w:tc>
      </w:tr>
      <w:tr>
        <w:trPr>
          <w:trHeight w:val="270"/>
        </w:trPr>
        <w:tc>
          <w:tcPr>
            <w:tcW w:w="63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17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6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Beginning of year</w:t>
            </w:r>
          </w:p>
        </w:tc>
        <w:tc>
          <w:tcPr>
            <w:tcW w:w="17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1,423,513,089</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1,305,945,332</w:t>
            </w:r>
          </w:p>
        </w:tc>
      </w:tr>
      <w:tr>
        <w:trPr>
          <w:trHeight w:val="248"/>
        </w:trPr>
        <w:tc>
          <w:tcPr>
            <w:tcW w:w="63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End of year</w:t>
            </w:r>
          </w:p>
        </w:tc>
        <w:tc>
          <w:tcPr>
            <w:tcW w:w="17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1,513,112,227</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1,423,513,089</w:t>
            </w:r>
          </w:p>
        </w:tc>
      </w:tr>
      <w:tr>
        <w:trPr>
          <w:trHeight w:val="20"/>
        </w:trPr>
        <w:tc>
          <w:tcPr>
            <w:tcW w:w="63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941" w:right="339" w:bottom="1440" w:gutter="0" w:footer="0" w:header="0"/>
        </w:sectPr>
      </w:pPr>
    </w:p>
    <w:bookmarkStart w:id="5" w:name="page6"/>
    <w:bookmarkEnd w:id="5"/>
    <w:p>
      <w:pPr>
        <w:ind w:left="3760"/>
        <w:spacing w:after="0"/>
        <w:rPr>
          <w:sz w:val="20"/>
          <w:szCs w:val="20"/>
          <w:color w:val="auto"/>
        </w:rPr>
      </w:pPr>
      <w:r>
        <w:rPr>
          <w:rFonts w:ascii="Times New Roman" w:cs="Times New Roman" w:eastAsia="Times New Roman" w:hAnsi="Times New Roman"/>
          <w:sz w:val="18"/>
          <w:szCs w:val="18"/>
          <w:b w:val="1"/>
          <w:bCs w:val="1"/>
          <w:color w:val="auto"/>
        </w:rPr>
        <w:t>THE TORO COMPANY RETIREMENT PLAN</w:t>
      </w:r>
    </w:p>
    <w:p>
      <w:pPr>
        <w:spacing w:after="0" w:line="5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2021 and 2020</w:t>
      </w:r>
    </w:p>
    <w:p>
      <w:pPr>
        <w:spacing w:after="0" w:line="200" w:lineRule="exact"/>
        <w:rPr>
          <w:sz w:val="20"/>
          <w:szCs w:val="20"/>
          <w:color w:val="auto"/>
        </w:rPr>
      </w:pPr>
    </w:p>
    <w:p>
      <w:pPr>
        <w:spacing w:after="0" w:line="266" w:lineRule="exact"/>
        <w:rPr>
          <w:sz w:val="20"/>
          <w:szCs w:val="20"/>
          <w:color w:val="auto"/>
        </w:rPr>
      </w:pPr>
    </w:p>
    <w:p>
      <w:pPr>
        <w:ind w:left="680" w:hanging="654"/>
        <w:spacing w:after="0"/>
        <w:tabs>
          <w:tab w:leader="none" w:pos="680" w:val="left"/>
        </w:tabs>
        <w:numPr>
          <w:ilvl w:val="0"/>
          <w:numId w:val="2"/>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Summary Description of Plan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description of The Toro Company Retirement Plan ("Plan") is provided for general information purposes only. Current and former employees ("Participants") of The Toro Company ("Company" or "Plan Administrator") and its related companies that adopt the Plan should refer to the Plan document, amended and restated effective January 1, 2016, for a more complete description of the Plan's provisions.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Plan is a defined contribution plan formed for the purpose of providing retirement benefits to Participants. The Plan is subject to the provisions of the Employee Retirement Income Security Act of 1974 ("ERISA"). There is a profit sharing portion and an employee stock ownership plan ("ESOP") portion of the Plan. The portions of Participant accounts that hold the Company's common stock, par value $1.00 per share ("Common Stock"), are included in the ESOP portion of the Plan. The portions of Participant accounts that do not hold the Company's Common Stock are included in the profit sharing portion of the Plan.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Eligibility for Participation in Plan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 employees of the Company are eligible to contribute to the Plan through their own salary reduction contributions after they have completed 30 consecutive days of employment. Once eligible, employees become automatically enrolled to make salary reduction contributions and become Participants, unless they affirmatively elect otherwise.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Contributions and Vesting</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Upon becoming eligible to contribute to the Plan, Participants are automatically enrolled to contribute four percent of their pre-tax compensation to the Plan through salary reduction contributions. However, Participants may affirmatively elect otherwise, either not to contribute to the Plan, to contribute at a different pre-tax rate, or to contribute on an after-tax basis with a Roth option. Participants who are automatically enrolled are automatically covered by an escalation provision that increases their rate of pre-tax contribution by one percent each calendar year, not to exceed 15 percent (ten percent prior to 2021) of the Participant's pre-tax compensation, beginning on the first payday on or after the first day of June, unless the Participant affirmatively elects otherwise. The Plan states that total contributions, including both pre-tax contributions and after-tax contributions, as applicable, cannot exceed 50 percent of a Participant's compensation. Participants can elect to contribute on a pre-tax, or after-tax basis under the Roth option, at a rate of their choosing, ranging from one percent to 50 percent of their compensation, in one percent increments, subject to contribution limits set by federal tax law and published by the Internal Revenue Service (“IRS”). Participants are immediately 100 percent vested in their own salary reduction contributions.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makes matching contributions to the Plan with respect to a Participant's salary reduction contributions. These matching contributions are equal to 100 percent of a Participant's salary reduction contributions, including catch-up contributions, not to exceed four percent of the Participant's eligible compensation. Such matching contributions vest in full upon completion of two years of vesting service, which is defined as a Plan year in which a Participant is credited with at least one hour of service.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Participants may also be eligible for discretionary annual contributions that may be made by the Company to the Plan on their behalf, which could include contributions in cash or contributions to the ESOP portion of the Plan in the form of Common Stock. Participants are eligible to receive discretionary annual contributions in a given year, if applicable, if they have already met the eligibility requirements to be a Participant in the Plan, were employed by the Company on the last day of the respective Plan year, and have completed 1,000 hours of service during the respective Plan year.</w:t>
      </w:r>
    </w:p>
    <w:p>
      <w:pPr>
        <w:spacing w:after="0" w:line="7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Discretionary annual contributions made by the Company in cash are invested based on a Participant's selection of investment options, and thus could be included in either the ESOP portion of the Plan or the profit sharing portion of the Plan depending on the Participant's investment elections. To the extent that a discretionary annual cash contribution is made by the Company for a Plan year, it is allocated among eligible Participants based on each Participant's eligible compensation for the Plan year, plus the Participant's eligible compensation above the Social Security taxable wage base. A discretionary annual cash contribution of $14.0 million was recorded by the Company on behalf of Participants related to the Plan year ended December 31, 2021, to be paid in 2022. No such discretionary annual contribution was recorded for the Plan year ended December 31, 2020, to be paid in 2021. To the extent that a discretionary annual contribution is made by the Company for a Plan year in the form of Common Stock, it is allocated based on the Participant's eligible compensation for the Plan year. The Company did not make ESOP</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941" w:right="339" w:bottom="1440" w:gutter="0" w:footer="0" w:header="0"/>
        </w:sectPr>
      </w:pPr>
    </w:p>
    <w:bookmarkStart w:id="6" w:name="page7"/>
    <w:bookmarkEnd w:id="6"/>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contributions in the form of Common Stock during the Plan years ended December 31, 2021 and 2020. Discretionary annual contributions made by the Company, including both contributions in cash and in the form of Common Stock, and earnings attributable thereto, vest at a rate of 20 percent after one year of vesting service, with an additional 20 percent vesting each year of vesting service thereafter until the Participant is 100 percent vested.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Rollovers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Participants may make rollover contributions to the Plan representing distributions from other qualified retirement plans. Participants are allowed to subsequently withdraw or transfer such amounts that they previously rolled into the Plan. Transfers of Participants’ interests are made by Fidelity Management Trust Company, acting as the trustee of the Plan ("Trustee"), and are recorded when paid or transferred,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Participant Accounts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Participants may choose to have their accounts, including those initially invested in Common Stock, invested in any of the investment options made available under the Plan or, subject to certain limitations, in Common Stock. No more than 25 percent of a Participant's contributions, and contributions made by the Company on their behalf, may be invested in Common Stock. All contributions to the Plan are made to a trust that holds all of the assets of the Plan.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Forfeiture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a Participant's termination of service due to resignation, discharge, or retirement prior to the Plan's retirement age of 65, the unvested portion of such Participant's account balance is forfeited. During the years ended December 31, 2021 and 2020, forfeited non-vested contributions and earnings attributable thereto, including matching contributions and discretionary annual contributions, as applicable, totaled $0.3 million and $0.2 million, respectively. Forfeited amounts are used to offset future Company contributions.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of Benefits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a Participant's termination of service due to death, disability, resignation, discharge, or retirement, such Participant, or a designated beneficiary in the event of termination of service due to death or disability, is eligible to receive distribution payments in the form of a lump-sum payment or in installments in an amount equal to the value of such Participant's vested interest in the Plan. Participants may request hardship withdrawals under IRS guidelines in the event of a defined financial hardship which cannot be reasonably met from other resources of the Participant. In addition, at age 59½, Participants are able to take in-service withdrawals in an amount equal to the value of the Participant's vested interest in the Plan. To the extent an account is invested in Common Stock, a withdrawal or distribution can be in the form of Common Stock or cash. Benefit payments are made by the Trustee and are recorded when paid or transferred, respectively.</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the outbreak of the novel coronavirus ("COVID-19"), on March 27, 2020, the Coronavirus, Aid, Relief, and Economic Security Act ("CARES Act") was signed into law. The CARES Act, in part, was intended to provide economic relief in the midst of the global COVID-19 pandemic by making certain relief provisions available to tax qualified retirement plans and their participants. The Plan adopted certain provisions of the CARES Act effective as of January 1, 2020, including those that allowed Participants to withdraw "coronavirus-related distributions" ("CARES Act Distributions") of up to $100,000 without penalty from January 1, 2020 until December 31, 2020. Participants, at their election, may repay such distributions to the Plan over a three-year period, or retain the distributed amounts, creating a taxable event. CARES Act Distributions were recorded as benefit payments in the Statement of Changes in Net Assets Available for Benefits for the year ended December 31, 2020. Additionally, the Plan adopted CARES Act provisions that waived required minimum distributions for the 2020 calendar year.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Mergers and Transfers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Venture Products Inc. 401(k) Retirement Plan and Trust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 2020, the Company completed its acquisition of Venture Products, Inc., a privately held Ohio corporation. Effective December 31, 2020, The Venture Products Inc. 401(k) Retirement Plan and Trust ("VPI Plan") merged with, and into, the Plan ("VPI Plan Merger"), including the formal transfer of all assets of the VPI Plan into the Plan. As of January 4, 2021, the formal transfer of all assets was completed.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Rights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Company has not expressed any intention to do so, the Company has the right under the Plan to discontinue contributions to the Plan at any time and may also terminate the Plan at any time subject to the provisions set forth in ERISA. In the event of termination of the Plan, Participant account balances would become fully vested and would be distributed to Participants.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999" w:right="339" w:bottom="1440" w:gutter="0" w:footer="0" w:header="0"/>
        </w:sectPr>
      </w:pPr>
    </w:p>
    <w:bookmarkStart w:id="7" w:name="page8"/>
    <w:bookmarkEnd w:id="7"/>
    <w:p>
      <w:pPr>
        <w:ind w:left="680" w:hanging="654"/>
        <w:spacing w:after="0"/>
        <w:tabs>
          <w:tab w:leader="none" w:pos="680" w:val="left"/>
        </w:tabs>
        <w:numPr>
          <w:ilvl w:val="0"/>
          <w:numId w:val="3"/>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Summary of Significant Accounting Policies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of the Plan are prepared in accordance with United States ("U.S.") generally accepted accounting principles ("GAAP") and are presented on the accrual basis of accounting.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Estimates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Financial Statements and any Supplemental Schedules in conformity with U.S. GAAP requires the Plan Administrator to make estimates and assumptions that affect the reported amounts of net assets available for benefits and disclosure of contingent assets and liabilities as of the date of the Financial Statements and the reported amounts of changes in net assets available for benefits during the reporting period. Actual results could differ from those estimates.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 has investments in a variety of investment funds that, in general, are exposed to various risks, such as interest rate and credit risk, as well as overall market volatility. Due to the level of risk associated with certain investments, it is reasonably possible that changes in the values of the investments will occur in the near term and that such changes could materially affect the amounts reported in the Statements of Net Assets Available for Benefits.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Investments and Income Recognition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Plan's investments are stated at fair value. Fair value is the price that would be received to sell an asset or paid to transfer a liability in an orderly transaction between market participants as of the measurement date. Refer to Note 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for additional information regarding the fair value measurements of the Plan's investments. Purchases and sales of all investments are recorded on a trade-date basis. Net appreciation, or depreciation, includes the Plan's gains, or losses, respectively, on investments bought and sold, as well as held during the year and is reflected in the Statements of Changes in Net Assets Available for Benefits. Interest is recorded on an accrual basis. Dividends are recorded on the ex-dividend date.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2021 and 2020, approximately 27 percent and 30 percent of the investments of the Plan, respectively, were invested in Common Stock. As a result of this concentration, net assets available for benefits are particularly sensitive to changes in the fair value of investments in Common Stock. The underlying value of the Common Stock is entirely dependent upon the performance of the Company and the market’s evaluation of such performance and other factors.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 from Participants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general, the Plan does not permit loans to Participants from their individual accounts. However, outstanding Participant loans transferred into the Plan as a result of a plan merger with, and into, the Plan remain outstanding in accordance with the existing terms of the promissory notes and plan loan policies in effect immediately before the merger. Participant loans are recorded as notes receivable from participants on the Statement of Net Assets Available for Benefits. Such Participant loans are valued at the unpaid principal balance plus any accrued but unpaid interest. Interest income is recorded on the accrual basis and related fees are recorded as administrative expense when incurred. No allowance for current expected credit losses has been recorded on the outstanding Participant loan balance as of December 31, 2021 or 2020.</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Indirect Investments in Fully Benefit-Responsive Investment Contracts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Plan indirectly invests in fully benefit-responsive investment contracts and security-backed contracts through the Plan's investment in the Vanguard Retirement Savings Trust IV, held as of December 31, 2021 and 2020. An investment contract is a contract issued by a financial institution to provide a consistent return to the buyer of the contract for a specified period of time. A security-backed contract has similar characteristics as a traditional investment contract and is comprised of two parts: the first part is a fixed-income security or portfolio of fixed-income securities; the second part is a contract value guarantee provided by a third party. Investments in the Vanguard Retirement Savings Trust IV were recorded at a fair value of $63.5 million and $80.1 million as of December 31, 2021 and 2020, respectively. Investments in the Vanguard Retirement Savings Trust IV are categorized as common collective trust funds for the years ended December 31, 2021 and 2020 in Note 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yield earned by the Vanguard Retirement Savings Trust IV was approximately three percent as of December 31, 2021 and 2020.</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Administrative costs of the Plan are shared by the Company and Participants, depending upon the type of administrative cost, and are recorded when the expense has been incurred. Investment management fees are netted against investment income.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23" w:right="339" w:bottom="1440" w:gutter="0" w:footer="0" w:header="0"/>
        </w:sectPr>
      </w:pPr>
    </w:p>
    <w:bookmarkStart w:id="8" w:name="page9"/>
    <w:bookmarkEnd w:id="8"/>
    <w:p>
      <w:pPr>
        <w:ind w:left="680" w:hanging="654"/>
        <w:spacing w:after="0"/>
        <w:tabs>
          <w:tab w:leader="none" w:pos="680" w:val="left"/>
        </w:tabs>
        <w:numPr>
          <w:ilvl w:val="0"/>
          <w:numId w:val="4"/>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Fair Value Measurement</w:t>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 categorizes its assets and liabilities into one of three levels based on the assumptions (inputs) used in valuing the asset or liability. Level 1 provides the most reliable measure of fair value, while Level 3 generally requires significant management judgment. The three levels are defined as follows:</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Level 1</w:t>
      </w:r>
      <w:r>
        <w:rPr>
          <w:rFonts w:ascii="Times New Roman" w:cs="Times New Roman" w:eastAsia="Times New Roman" w:hAnsi="Times New Roman"/>
          <w:sz w:val="18"/>
          <w:szCs w:val="18"/>
          <w:color w:val="auto"/>
        </w:rPr>
        <w:t>: Unadjusted quoted prices in active markets for identical assets or liabilities.</w:t>
      </w:r>
    </w:p>
    <w:p>
      <w:pPr>
        <w:spacing w:after="0" w:line="117"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Level 2</w:t>
      </w:r>
      <w:r>
        <w:rPr>
          <w:rFonts w:ascii="Times New Roman" w:cs="Times New Roman" w:eastAsia="Times New Roman" w:hAnsi="Times New Roman"/>
          <w:sz w:val="18"/>
          <w:szCs w:val="18"/>
          <w:color w:val="auto"/>
        </w:rPr>
        <w:t>: Observable inputs other than Level 1 prices, such as quoted prices for similar assets or liabilities in active markets; quoted prices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identical assets or liabilities in markets that are not active; or other inputs that are observable or can be corroborated by observable market data for substantially the full term of the assets or liabilities.</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Level 3</w:t>
      </w:r>
      <w:r>
        <w:rPr>
          <w:rFonts w:ascii="Times New Roman" w:cs="Times New Roman" w:eastAsia="Times New Roman" w:hAnsi="Times New Roman"/>
          <w:sz w:val="18"/>
          <w:szCs w:val="18"/>
          <w:color w:val="auto"/>
        </w:rPr>
        <w:t>: Unobservable inputs reflecting management’s assumptions about the inputs used in pricing the asset or liability.</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asset or liability's fair value measurement level within the fair value hierarchy is based on the lowest level of any input that is significant to the fair value measurement. Valuation techniques maximize the use of relevant observable inputs and minimize the use of unobservable inputs.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Plan's investments in mutual funds, money market funds, and Common Stock are classified as Level 1 assets in the fair value hierarchy. Mutual funds and investments in Common Stock are valued based on the unadjusted closing market price reported on the active market on which the individual securities are traded. Money market funds are open-end, actively traded mutual funds that are registered with the United States Securities and Exchange Commission and are valued at the daily closing price as reported by the fund. Investments held within the self-directed brokerage account are classified as Level 1 assets in the fair value hierarchy and primarily consist of mutual funds and common stocks that are valued based on the unadjusted closing market price reported on the active market on which the individual securities are traded. The Plan's investments in common collective trust funds are classified as Level 2 assets in the fair value hierarchy. Common collective trust funds have the characteristics of a structure similar to a mutual fund and are valued based on the readily determinable quoted market price that each fund publishes at the end of each day. While the underlying assets in a common collective trust fund are actively traded on an exchange, the funds themselves are not and, therefore, are classified as Level 2 assets in the fair value hierarchy.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Plan's assets measured at fair value as of December 31, 2021 and 2020 are summarized below:</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3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4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7"/>
                <w:szCs w:val="17"/>
                <w:b w:val="1"/>
                <w:bCs w:val="1"/>
                <w:color w:val="auto"/>
              </w:rPr>
              <w:t>Level 3</w:t>
            </w:r>
          </w:p>
        </w:tc>
      </w:tr>
      <w:tr>
        <w:trPr>
          <w:trHeight w:val="225"/>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Mutual funds</w:t>
            </w:r>
          </w:p>
        </w:tc>
        <w:tc>
          <w:tcPr>
            <w:tcW w:w="12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497,047,351</w:t>
            </w:r>
          </w:p>
        </w:tc>
        <w:tc>
          <w:tcPr>
            <w:tcW w:w="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497,047,351</w:t>
            </w:r>
          </w:p>
        </w:tc>
        <w:tc>
          <w:tcPr>
            <w:tcW w:w="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Common collective trust funds</w:t>
            </w:r>
          </w:p>
        </w:tc>
        <w:tc>
          <w:tcPr>
            <w:tcW w:w="128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569,520,812</w:t>
            </w:r>
          </w:p>
        </w:tc>
        <w:tc>
          <w:tcPr>
            <w:tcW w:w="40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569,520,812</w:t>
            </w:r>
          </w:p>
        </w:tc>
        <w:tc>
          <w:tcPr>
            <w:tcW w:w="4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Money market funds</w:t>
            </w:r>
          </w:p>
        </w:tc>
        <w:tc>
          <w:tcPr>
            <w:tcW w:w="128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13,532,972</w:t>
            </w: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13,532,972</w:t>
            </w: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Self-directed brokerage</w:t>
            </w:r>
          </w:p>
        </w:tc>
        <w:tc>
          <w:tcPr>
            <w:tcW w:w="128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19,044,902</w:t>
            </w:r>
          </w:p>
        </w:tc>
        <w:tc>
          <w:tcPr>
            <w:tcW w:w="40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19,044,902</w:t>
            </w:r>
          </w:p>
        </w:tc>
        <w:tc>
          <w:tcPr>
            <w:tcW w:w="40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r>
      <w:tr>
        <w:trPr>
          <w:trHeight w:val="230"/>
        </w:trPr>
        <w:tc>
          <w:tcPr>
            <w:tcW w:w="3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 Toro Company Common Stock</w:t>
            </w:r>
          </w:p>
        </w:tc>
        <w:tc>
          <w:tcPr>
            <w:tcW w:w="1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397,177,494</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397,177,494</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3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Investments at fair value</w:t>
            </w:r>
          </w:p>
        </w:tc>
        <w:tc>
          <w:tcPr>
            <w:tcW w:w="12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1,496,323,531</w:t>
            </w:r>
          </w:p>
        </w:tc>
        <w:tc>
          <w:tcPr>
            <w:tcW w:w="4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926,802,719</w:t>
            </w:r>
          </w:p>
        </w:tc>
        <w:tc>
          <w:tcPr>
            <w:tcW w:w="4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569,520,812</w:t>
            </w:r>
          </w:p>
        </w:tc>
        <w:tc>
          <w:tcPr>
            <w:tcW w:w="4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w:t>
            </w:r>
          </w:p>
        </w:tc>
      </w:tr>
      <w:tr>
        <w:trPr>
          <w:trHeight w:val="24"/>
        </w:trPr>
        <w:tc>
          <w:tcPr>
            <w:tcW w:w="3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3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2020</w:t>
            </w:r>
          </w:p>
        </w:tc>
        <w:tc>
          <w:tcPr>
            <w:tcW w:w="12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4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7"/>
                <w:szCs w:val="17"/>
                <w:b w:val="1"/>
                <w:bCs w:val="1"/>
                <w:color w:val="auto"/>
              </w:rPr>
              <w:t>Level 3</w:t>
            </w:r>
          </w:p>
        </w:tc>
      </w:tr>
      <w:tr>
        <w:trPr>
          <w:trHeight w:val="225"/>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Mutual funds</w:t>
            </w:r>
          </w:p>
        </w:tc>
        <w:tc>
          <w:tcPr>
            <w:tcW w:w="12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422,862,929</w:t>
            </w:r>
          </w:p>
        </w:tc>
        <w:tc>
          <w:tcPr>
            <w:tcW w:w="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422,862,929</w:t>
            </w:r>
          </w:p>
        </w:tc>
        <w:tc>
          <w:tcPr>
            <w:tcW w:w="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Common collective trust funds</w:t>
            </w:r>
          </w:p>
        </w:tc>
        <w:tc>
          <w:tcPr>
            <w:tcW w:w="128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526,523,993</w:t>
            </w:r>
          </w:p>
        </w:tc>
        <w:tc>
          <w:tcPr>
            <w:tcW w:w="40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526,523,993</w:t>
            </w:r>
          </w:p>
        </w:tc>
        <w:tc>
          <w:tcPr>
            <w:tcW w:w="4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Money market funds</w:t>
            </w:r>
          </w:p>
        </w:tc>
        <w:tc>
          <w:tcPr>
            <w:tcW w:w="128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19,030,982</w:t>
            </w: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19,030,982</w:t>
            </w: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Self-directed brokerage</w:t>
            </w:r>
          </w:p>
        </w:tc>
        <w:tc>
          <w:tcPr>
            <w:tcW w:w="128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14,688,721</w:t>
            </w:r>
          </w:p>
        </w:tc>
        <w:tc>
          <w:tcPr>
            <w:tcW w:w="40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14,688,721</w:t>
            </w:r>
          </w:p>
        </w:tc>
        <w:tc>
          <w:tcPr>
            <w:tcW w:w="40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r>
      <w:tr>
        <w:trPr>
          <w:trHeight w:val="230"/>
        </w:trPr>
        <w:tc>
          <w:tcPr>
            <w:tcW w:w="3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 Toro Company Common Stock</w:t>
            </w:r>
          </w:p>
        </w:tc>
        <w:tc>
          <w:tcPr>
            <w:tcW w:w="1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430,606,037</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430,606,037</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3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Investments at fair value</w:t>
            </w:r>
          </w:p>
        </w:tc>
        <w:tc>
          <w:tcPr>
            <w:tcW w:w="12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1,413,712,662</w:t>
            </w:r>
          </w:p>
        </w:tc>
        <w:tc>
          <w:tcPr>
            <w:tcW w:w="4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887,188,669</w:t>
            </w:r>
          </w:p>
        </w:tc>
        <w:tc>
          <w:tcPr>
            <w:tcW w:w="4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526,523,993</w:t>
            </w:r>
          </w:p>
        </w:tc>
        <w:tc>
          <w:tcPr>
            <w:tcW w:w="4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w:t>
            </w:r>
          </w:p>
        </w:tc>
      </w:tr>
      <w:tr>
        <w:trPr>
          <w:trHeight w:val="24"/>
        </w:trPr>
        <w:tc>
          <w:tcPr>
            <w:tcW w:w="3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123" w:right="339" w:bottom="1440" w:gutter="0" w:footer="0" w:header="0"/>
        </w:sectPr>
      </w:pPr>
    </w:p>
    <w:bookmarkStart w:id="9" w:name="page10"/>
    <w:bookmarkEnd w:id="9"/>
    <w:p>
      <w:pPr>
        <w:ind w:left="680" w:hanging="654"/>
        <w:spacing w:after="0"/>
        <w:tabs>
          <w:tab w:leader="none" w:pos="680" w:val="left"/>
        </w:tabs>
        <w:numPr>
          <w:ilvl w:val="0"/>
          <w:numId w:val="5"/>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Party-in-Interest Transactions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2021, the Trustee and the Company are parties-in-interest with respect to the Plan. The Plan’s investments are held by the Trustee, and some of the investment funds available to Participants include investment funds under a self-directed brokerage account and money market funds and mutual funds managed by the Trustee. Transactions between the Plan and the Trustee are exempt from being considered as "prohibited transactions" under ERISA Section 408(b). The Plan had no prohibited transactions with parties-in-interest during 2021 and 2020.</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Transactions involving Common Stock qualify as party-in-interest transactions that are exempt from the prohibited transaction rules under ERISA. At December 31, 2021 and 2020, the Plan held 3,975,233 and 4,540,219 shares of Common Stock, respectively, with a cost basis of approximately $75.8 million and $75.9 million, respectively. During the years ended December 31, 2021 and 2020, the Plan recorded dividend income on shares of Common Stock of $4.5 million and $4.9 million, respectively.</w:t>
      </w:r>
    </w:p>
    <w:p>
      <w:pPr>
        <w:spacing w:after="0" w:line="196" w:lineRule="exact"/>
        <w:rPr>
          <w:sz w:val="20"/>
          <w:szCs w:val="20"/>
          <w:color w:val="auto"/>
        </w:rPr>
      </w:pPr>
    </w:p>
    <w:p>
      <w:pPr>
        <w:ind w:left="680" w:hanging="654"/>
        <w:spacing w:after="0"/>
        <w:tabs>
          <w:tab w:leader="none" w:pos="680" w:val="left"/>
        </w:tabs>
        <w:numPr>
          <w:ilvl w:val="0"/>
          <w:numId w:val="6"/>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Plan Tax Status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Administrator received a favorable determination letter dated November 1, 2017 from the IRS stating that the Plan constitutes a qualified plan under Section 401(a) of the Internal Revenue Code ("IRC") and that the trust created under the Plan is exempt from federal income tax under Section 501(a) of the IRC. The Plan Administrator believes that the Plan is designed and is currently being operated in compliance with the applicable requirements of the IRC.</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GAAP requires the Plan Administrator to evaluate tax positions taken by the Plan and recognize a tax liability, or asset, if the Plan has taken an uncertain position that more likely than not would not be sustained upon examination by the IRS. The Plan Administrator has concluded that as of December 31, 2021, there are no uncertain tax positions taken or expected to be taken. The Plan is subject to routine audits by taxing jurisdictions; however, there are currently no audits for any tax periods in progress. The Plan's management believes that the Plan is no longer subject to income tax examinations for years prior to 2017.</w:t>
      </w:r>
    </w:p>
    <w:p>
      <w:pPr>
        <w:spacing w:after="0" w:line="186" w:lineRule="exact"/>
        <w:rPr>
          <w:sz w:val="20"/>
          <w:szCs w:val="20"/>
          <w:color w:val="auto"/>
        </w:rPr>
      </w:pPr>
    </w:p>
    <w:p>
      <w:pPr>
        <w:ind w:left="680" w:hanging="654"/>
        <w:spacing w:after="0"/>
        <w:tabs>
          <w:tab w:leader="none" w:pos="680" w:val="left"/>
        </w:tabs>
        <w:numPr>
          <w:ilvl w:val="0"/>
          <w:numId w:val="7"/>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Subsequent Events</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evaluated all subsequent events through June 29, 2022, the date that the Financial Statements were available to be issued, and concluded that no subsequent events have occurred that would require recognition in the Financial Statements or disclosure in the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123" w:right="339" w:bottom="1440" w:gutter="0" w:footer="0" w:header="0"/>
        </w:sectPr>
      </w:pPr>
    </w:p>
    <w:bookmarkStart w:id="10" w:name="page11"/>
    <w:bookmarkEnd w:id="10"/>
    <w:p>
      <w:pPr>
        <w:ind w:left="3760"/>
        <w:spacing w:after="0"/>
        <w:rPr>
          <w:sz w:val="20"/>
          <w:szCs w:val="20"/>
          <w:color w:val="auto"/>
        </w:rPr>
      </w:pPr>
      <w:r>
        <w:rPr>
          <w:rFonts w:ascii="Times New Roman" w:cs="Times New Roman" w:eastAsia="Times New Roman" w:hAnsi="Times New Roman"/>
          <w:sz w:val="18"/>
          <w:szCs w:val="18"/>
          <w:b w:val="1"/>
          <w:bCs w:val="1"/>
          <w:color w:val="auto"/>
        </w:rPr>
        <w:t>THE TORO COMPANY RETIREMENT PLAN</w:t>
      </w:r>
    </w:p>
    <w:p>
      <w:pPr>
        <w:spacing w:after="0" w:line="5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Schedule H, line 4i - Schedule of Assets (Held at End of Year)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2021</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0" w:type="dxa"/>
            <w:vAlign w:val="bottom"/>
            <w:tcBorders>
              <w:top w:val="single" w:sz="8" w:color="auto"/>
            </w:tcBorders>
          </w:tcPr>
          <w:p>
            <w:pPr>
              <w:spacing w:after="0"/>
              <w:rPr>
                <w:sz w:val="15"/>
                <w:szCs w:val="15"/>
                <w:color w:val="auto"/>
              </w:rPr>
            </w:pPr>
          </w:p>
        </w:tc>
        <w:tc>
          <w:tcPr>
            <w:tcW w:w="4560" w:type="dxa"/>
            <w:vAlign w:val="bottom"/>
            <w:tcBorders>
              <w:top w:val="single" w:sz="8" w:color="auto"/>
            </w:tcBorders>
          </w:tcPr>
          <w:p>
            <w:pPr>
              <w:spacing w:after="0"/>
              <w:rPr>
                <w:sz w:val="15"/>
                <w:szCs w:val="15"/>
                <w:color w:val="auto"/>
              </w:rPr>
            </w:pPr>
          </w:p>
        </w:tc>
        <w:tc>
          <w:tcPr>
            <w:tcW w:w="3820" w:type="dxa"/>
            <w:vAlign w:val="bottom"/>
            <w:tcBorders>
              <w:top w:val="single" w:sz="8" w:color="auto"/>
            </w:tcBorders>
          </w:tcPr>
          <w:p>
            <w:pPr>
              <w:ind w:left="340"/>
              <w:spacing w:after="0" w:line="175" w:lineRule="exact"/>
              <w:rPr>
                <w:sz w:val="20"/>
                <w:szCs w:val="20"/>
                <w:color w:val="auto"/>
              </w:rPr>
            </w:pPr>
            <w:r>
              <w:rPr>
                <w:rFonts w:ascii="Times New Roman" w:cs="Times New Roman" w:eastAsia="Times New Roman" w:hAnsi="Times New Roman"/>
                <w:sz w:val="16"/>
                <w:szCs w:val="16"/>
                <w:b w:val="1"/>
                <w:bCs w:val="1"/>
                <w:color w:val="auto"/>
              </w:rPr>
              <w:t>Description of Investment, Including Maturity</w:t>
            </w:r>
          </w:p>
        </w:tc>
        <w:tc>
          <w:tcPr>
            <w:tcW w:w="7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456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Identity of Issue, Borrower, Lessor, or Similar Party</w:t>
            </w:r>
          </w:p>
        </w:tc>
        <w:tc>
          <w:tcPr>
            <w:tcW w:w="382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b w:val="1"/>
                <w:bCs w:val="1"/>
                <w:color w:val="auto"/>
              </w:rPr>
              <w:t>Date, Rate of Interest, Collateral, Par or</w:t>
            </w:r>
          </w:p>
        </w:tc>
        <w:tc>
          <w:tcPr>
            <w:tcW w:w="740" w:type="dxa"/>
            <w:vAlign w:val="bottom"/>
            <w:vMerge w:val="restart"/>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Cost</w:t>
            </w:r>
          </w:p>
        </w:tc>
        <w:tc>
          <w:tcPr>
            <w:tcW w:w="340" w:type="dxa"/>
            <w:vAlign w:val="bottom"/>
          </w:tcPr>
          <w:p>
            <w:pPr>
              <w:spacing w:after="0"/>
              <w:rPr>
                <w:sz w:val="14"/>
                <w:szCs w:val="14"/>
                <w:color w:val="auto"/>
              </w:rPr>
            </w:pPr>
          </w:p>
        </w:tc>
        <w:tc>
          <w:tcPr>
            <w:tcW w:w="13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Current Value</w:t>
            </w:r>
          </w:p>
        </w:tc>
        <w:tc>
          <w:tcPr>
            <w:tcW w:w="0" w:type="dxa"/>
            <w:vAlign w:val="bottom"/>
          </w:tcPr>
          <w:p>
            <w:pPr>
              <w:spacing w:after="0"/>
              <w:rPr>
                <w:sz w:val="1"/>
                <w:szCs w:val="1"/>
                <w:color w:val="auto"/>
              </w:rPr>
            </w:pPr>
          </w:p>
        </w:tc>
      </w:tr>
      <w:tr>
        <w:trPr>
          <w:trHeight w:val="214"/>
        </w:trPr>
        <w:tc>
          <w:tcPr>
            <w:tcW w:w="400" w:type="dxa"/>
            <w:vAlign w:val="bottom"/>
            <w:tcBorders>
              <w:bottom w:val="single" w:sz="8" w:color="auto"/>
            </w:tcBorders>
          </w:tcPr>
          <w:p>
            <w:pPr>
              <w:spacing w:after="0"/>
              <w:rPr>
                <w:sz w:val="18"/>
                <w:szCs w:val="18"/>
                <w:color w:val="auto"/>
              </w:rPr>
            </w:pPr>
          </w:p>
        </w:tc>
        <w:tc>
          <w:tcPr>
            <w:tcW w:w="4560" w:type="dxa"/>
            <w:vAlign w:val="bottom"/>
            <w:tcBorders>
              <w:bottom w:val="single" w:sz="8" w:color="auto"/>
            </w:tcBorders>
            <w:vMerge w:val="continue"/>
          </w:tcPr>
          <w:p>
            <w:pPr>
              <w:spacing w:after="0"/>
              <w:rPr>
                <w:sz w:val="18"/>
                <w:szCs w:val="18"/>
                <w:color w:val="auto"/>
              </w:rPr>
            </w:pPr>
          </w:p>
        </w:tc>
        <w:tc>
          <w:tcPr>
            <w:tcW w:w="38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Maturity Value</w:t>
            </w:r>
          </w:p>
        </w:tc>
        <w:tc>
          <w:tcPr>
            <w:tcW w:w="74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shd w:val="clear" w:color="auto" w:fill="CCEEFF"/>
          </w:tcPr>
          <w:p>
            <w:pPr>
              <w:spacing w:after="0"/>
              <w:rPr>
                <w:sz w:val="18"/>
                <w:szCs w:val="18"/>
                <w:color w:val="auto"/>
              </w:rPr>
            </w:pPr>
          </w:p>
        </w:tc>
        <w:tc>
          <w:tcPr>
            <w:tcW w:w="4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 Rowe Price International Discovery Fund I Class</w:t>
            </w:r>
          </w:p>
        </w:tc>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Mutual Fund</w:t>
            </w:r>
          </w:p>
        </w:tc>
        <w:tc>
          <w:tcPr>
            <w:tcW w:w="74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21,679,051</w:t>
            </w:r>
          </w:p>
        </w:tc>
        <w:tc>
          <w:tcPr>
            <w:tcW w:w="0" w:type="dxa"/>
            <w:vAlign w:val="bottom"/>
          </w:tcPr>
          <w:p>
            <w:pPr>
              <w:spacing w:after="0"/>
              <w:rPr>
                <w:sz w:val="1"/>
                <w:szCs w:val="1"/>
                <w:color w:val="auto"/>
              </w:rPr>
            </w:pPr>
          </w:p>
        </w:tc>
      </w:tr>
      <w:tr>
        <w:trPr>
          <w:trHeight w:val="213"/>
        </w:trPr>
        <w:tc>
          <w:tcPr>
            <w:tcW w:w="400" w:type="dxa"/>
            <w:vAlign w:val="bottom"/>
          </w:tcPr>
          <w:p>
            <w:pPr>
              <w:spacing w:after="0"/>
              <w:rPr>
                <w:sz w:val="18"/>
                <w:szCs w:val="18"/>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Vanguard Institutional Index Fund</w:t>
            </w:r>
          </w:p>
        </w:tc>
        <w:tc>
          <w:tcPr>
            <w:tcW w:w="3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Mutual Fund</w:t>
            </w:r>
          </w:p>
        </w:tc>
        <w:tc>
          <w:tcPr>
            <w:tcW w:w="7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261,120,638</w:t>
            </w:r>
          </w:p>
        </w:tc>
        <w:tc>
          <w:tcPr>
            <w:tcW w:w="0" w:type="dxa"/>
            <w:vAlign w:val="bottom"/>
          </w:tcPr>
          <w:p>
            <w:pPr>
              <w:spacing w:after="0"/>
              <w:rPr>
                <w:sz w:val="1"/>
                <w:szCs w:val="1"/>
                <w:color w:val="auto"/>
              </w:rPr>
            </w:pPr>
          </w:p>
        </w:tc>
      </w:tr>
      <w:tr>
        <w:trPr>
          <w:trHeight w:val="219"/>
        </w:trPr>
        <w:tc>
          <w:tcPr>
            <w:tcW w:w="400" w:type="dxa"/>
            <w:vAlign w:val="bottom"/>
            <w:shd w:val="clear" w:color="auto" w:fill="CCEEFF"/>
          </w:tcPr>
          <w:p>
            <w:pPr>
              <w:spacing w:after="0"/>
              <w:rPr>
                <w:sz w:val="19"/>
                <w:szCs w:val="19"/>
                <w:color w:val="auto"/>
              </w:rPr>
            </w:pPr>
          </w:p>
        </w:tc>
        <w:tc>
          <w:tcPr>
            <w:tcW w:w="4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Vanguard Mid-Cap Index Fund Institutional Shares</w:t>
            </w:r>
          </w:p>
        </w:tc>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Mutual Fund</w:t>
            </w:r>
          </w:p>
        </w:tc>
        <w:tc>
          <w:tcPr>
            <w:tcW w:w="74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74,363,740</w:t>
            </w:r>
          </w:p>
        </w:tc>
        <w:tc>
          <w:tcPr>
            <w:tcW w:w="0" w:type="dxa"/>
            <w:vAlign w:val="bottom"/>
          </w:tcPr>
          <w:p>
            <w:pPr>
              <w:spacing w:after="0"/>
              <w:rPr>
                <w:sz w:val="1"/>
                <w:szCs w:val="1"/>
                <w:color w:val="auto"/>
              </w:rPr>
            </w:pPr>
          </w:p>
        </w:tc>
      </w:tr>
      <w:tr>
        <w:trPr>
          <w:trHeight w:val="213"/>
        </w:trPr>
        <w:tc>
          <w:tcPr>
            <w:tcW w:w="400" w:type="dxa"/>
            <w:vAlign w:val="bottom"/>
          </w:tcPr>
          <w:p>
            <w:pPr>
              <w:spacing w:after="0"/>
              <w:rPr>
                <w:sz w:val="18"/>
                <w:szCs w:val="18"/>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Vanguard Small-Cap Index Fund Institutional Shares</w:t>
            </w:r>
          </w:p>
        </w:tc>
        <w:tc>
          <w:tcPr>
            <w:tcW w:w="3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Mutual Fund</w:t>
            </w:r>
          </w:p>
        </w:tc>
        <w:tc>
          <w:tcPr>
            <w:tcW w:w="7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15,318,084</w:t>
            </w:r>
          </w:p>
        </w:tc>
        <w:tc>
          <w:tcPr>
            <w:tcW w:w="0" w:type="dxa"/>
            <w:vAlign w:val="bottom"/>
          </w:tcPr>
          <w:p>
            <w:pPr>
              <w:spacing w:after="0"/>
              <w:rPr>
                <w:sz w:val="1"/>
                <w:szCs w:val="1"/>
                <w:color w:val="auto"/>
              </w:rPr>
            </w:pPr>
          </w:p>
        </w:tc>
      </w:tr>
      <w:tr>
        <w:trPr>
          <w:trHeight w:val="219"/>
        </w:trPr>
        <w:tc>
          <w:tcPr>
            <w:tcW w:w="400" w:type="dxa"/>
            <w:vAlign w:val="bottom"/>
            <w:shd w:val="clear" w:color="auto" w:fill="CCEEFF"/>
          </w:tcPr>
          <w:p>
            <w:pPr>
              <w:spacing w:after="0"/>
              <w:rPr>
                <w:sz w:val="19"/>
                <w:szCs w:val="19"/>
                <w:color w:val="auto"/>
              </w:rPr>
            </w:pPr>
          </w:p>
        </w:tc>
        <w:tc>
          <w:tcPr>
            <w:tcW w:w="4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Vanguard Explorer Fund Admiral Shares</w:t>
            </w:r>
          </w:p>
        </w:tc>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Mutual Fund</w:t>
            </w:r>
          </w:p>
        </w:tc>
        <w:tc>
          <w:tcPr>
            <w:tcW w:w="74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28,231,972</w:t>
            </w:r>
          </w:p>
        </w:tc>
        <w:tc>
          <w:tcPr>
            <w:tcW w:w="0" w:type="dxa"/>
            <w:vAlign w:val="bottom"/>
          </w:tcPr>
          <w:p>
            <w:pPr>
              <w:spacing w:after="0"/>
              <w:rPr>
                <w:sz w:val="1"/>
                <w:szCs w:val="1"/>
                <w:color w:val="auto"/>
              </w:rPr>
            </w:pPr>
          </w:p>
        </w:tc>
      </w:tr>
      <w:tr>
        <w:trPr>
          <w:trHeight w:val="213"/>
        </w:trPr>
        <w:tc>
          <w:tcPr>
            <w:tcW w:w="400" w:type="dxa"/>
            <w:vAlign w:val="bottom"/>
          </w:tcPr>
          <w:p>
            <w:pPr>
              <w:spacing w:after="0"/>
              <w:rPr>
                <w:sz w:val="18"/>
                <w:szCs w:val="18"/>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Goldman Sachs Small Cap Value Fund Institutional Class</w:t>
            </w:r>
          </w:p>
        </w:tc>
        <w:tc>
          <w:tcPr>
            <w:tcW w:w="3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Mutual Fund</w:t>
            </w:r>
          </w:p>
        </w:tc>
        <w:tc>
          <w:tcPr>
            <w:tcW w:w="7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26,105,038</w:t>
            </w:r>
          </w:p>
        </w:tc>
        <w:tc>
          <w:tcPr>
            <w:tcW w:w="0" w:type="dxa"/>
            <w:vAlign w:val="bottom"/>
          </w:tcPr>
          <w:p>
            <w:pPr>
              <w:spacing w:after="0"/>
              <w:rPr>
                <w:sz w:val="1"/>
                <w:szCs w:val="1"/>
                <w:color w:val="auto"/>
              </w:rPr>
            </w:pPr>
          </w:p>
        </w:tc>
      </w:tr>
      <w:tr>
        <w:trPr>
          <w:trHeight w:val="219"/>
        </w:trPr>
        <w:tc>
          <w:tcPr>
            <w:tcW w:w="400" w:type="dxa"/>
            <w:vAlign w:val="bottom"/>
            <w:shd w:val="clear" w:color="auto" w:fill="CCEEFF"/>
          </w:tcPr>
          <w:p>
            <w:pPr>
              <w:spacing w:after="0"/>
              <w:rPr>
                <w:sz w:val="19"/>
                <w:szCs w:val="19"/>
                <w:color w:val="auto"/>
              </w:rPr>
            </w:pPr>
          </w:p>
        </w:tc>
        <w:tc>
          <w:tcPr>
            <w:tcW w:w="4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PIMCO International Bond Fund (Unhedged) Institutional Class</w:t>
            </w:r>
          </w:p>
        </w:tc>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Mutual Fund</w:t>
            </w:r>
          </w:p>
        </w:tc>
        <w:tc>
          <w:tcPr>
            <w:tcW w:w="74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3,799,266</w:t>
            </w:r>
          </w:p>
        </w:tc>
        <w:tc>
          <w:tcPr>
            <w:tcW w:w="0" w:type="dxa"/>
            <w:vAlign w:val="bottom"/>
          </w:tcPr>
          <w:p>
            <w:pPr>
              <w:spacing w:after="0"/>
              <w:rPr>
                <w:sz w:val="1"/>
                <w:szCs w:val="1"/>
                <w:color w:val="auto"/>
              </w:rPr>
            </w:pPr>
          </w:p>
        </w:tc>
      </w:tr>
      <w:tr>
        <w:trPr>
          <w:trHeight w:val="213"/>
        </w:trPr>
        <w:tc>
          <w:tcPr>
            <w:tcW w:w="400" w:type="dxa"/>
            <w:vAlign w:val="bottom"/>
          </w:tcPr>
          <w:p>
            <w:pPr>
              <w:spacing w:after="0"/>
              <w:rPr>
                <w:sz w:val="18"/>
                <w:szCs w:val="18"/>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PGIM Total Return Bond Fund Class R6</w:t>
            </w:r>
          </w:p>
        </w:tc>
        <w:tc>
          <w:tcPr>
            <w:tcW w:w="3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Mutual Fund</w:t>
            </w:r>
          </w:p>
        </w:tc>
        <w:tc>
          <w:tcPr>
            <w:tcW w:w="7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11,293,218</w:t>
            </w:r>
          </w:p>
        </w:tc>
        <w:tc>
          <w:tcPr>
            <w:tcW w:w="0" w:type="dxa"/>
            <w:vAlign w:val="bottom"/>
          </w:tcPr>
          <w:p>
            <w:pPr>
              <w:spacing w:after="0"/>
              <w:rPr>
                <w:sz w:val="1"/>
                <w:szCs w:val="1"/>
                <w:color w:val="auto"/>
              </w:rPr>
            </w:pPr>
          </w:p>
        </w:tc>
      </w:tr>
      <w:tr>
        <w:trPr>
          <w:trHeight w:val="219"/>
        </w:trPr>
        <w:tc>
          <w:tcPr>
            <w:tcW w:w="400" w:type="dxa"/>
            <w:vAlign w:val="bottom"/>
            <w:shd w:val="clear" w:color="auto" w:fill="CCEEFF"/>
          </w:tcPr>
          <w:p>
            <w:pPr>
              <w:spacing w:after="0"/>
              <w:rPr>
                <w:sz w:val="19"/>
                <w:szCs w:val="19"/>
                <w:color w:val="auto"/>
              </w:rPr>
            </w:pPr>
          </w:p>
        </w:tc>
        <w:tc>
          <w:tcPr>
            <w:tcW w:w="4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American Funds EuroPacific Growth Fund® Class R-6</w:t>
            </w:r>
          </w:p>
        </w:tc>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Mutual Fund</w:t>
            </w:r>
          </w:p>
        </w:tc>
        <w:tc>
          <w:tcPr>
            <w:tcW w:w="74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37,699,401</w:t>
            </w:r>
          </w:p>
        </w:tc>
        <w:tc>
          <w:tcPr>
            <w:tcW w:w="0" w:type="dxa"/>
            <w:vAlign w:val="bottom"/>
          </w:tcPr>
          <w:p>
            <w:pPr>
              <w:spacing w:after="0"/>
              <w:rPr>
                <w:sz w:val="1"/>
                <w:szCs w:val="1"/>
                <w:color w:val="auto"/>
              </w:rPr>
            </w:pPr>
          </w:p>
        </w:tc>
      </w:tr>
      <w:tr>
        <w:trPr>
          <w:trHeight w:val="213"/>
        </w:trPr>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Fidelity U.S. Bond Index Fund</w:t>
            </w:r>
          </w:p>
        </w:tc>
        <w:tc>
          <w:tcPr>
            <w:tcW w:w="3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Mutual Fund</w:t>
            </w:r>
          </w:p>
        </w:tc>
        <w:tc>
          <w:tcPr>
            <w:tcW w:w="7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17,436,943</w:t>
            </w:r>
          </w:p>
        </w:tc>
        <w:tc>
          <w:tcPr>
            <w:tcW w:w="0" w:type="dxa"/>
            <w:vAlign w:val="bottom"/>
          </w:tcPr>
          <w:p>
            <w:pPr>
              <w:spacing w:after="0"/>
              <w:rPr>
                <w:sz w:val="1"/>
                <w:szCs w:val="1"/>
                <w:color w:val="auto"/>
              </w:rPr>
            </w:pPr>
          </w:p>
        </w:tc>
      </w:tr>
      <w:tr>
        <w:trPr>
          <w:trHeight w:val="219"/>
        </w:trPr>
        <w:tc>
          <w:tcPr>
            <w:tcW w:w="400" w:type="dxa"/>
            <w:vAlign w:val="bottom"/>
            <w:shd w:val="clear" w:color="auto" w:fill="CCEEFF"/>
          </w:tcPr>
          <w:p>
            <w:pPr>
              <w:spacing w:after="0"/>
              <w:rPr>
                <w:sz w:val="19"/>
                <w:szCs w:val="19"/>
                <w:color w:val="auto"/>
              </w:rPr>
            </w:pPr>
          </w:p>
        </w:tc>
        <w:tc>
          <w:tcPr>
            <w:tcW w:w="4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Vanguard Retirement Savings Trust IV</w:t>
            </w:r>
          </w:p>
        </w:tc>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Common Collective Trust</w:t>
            </w:r>
          </w:p>
        </w:tc>
        <w:tc>
          <w:tcPr>
            <w:tcW w:w="74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63,516,498</w:t>
            </w:r>
          </w:p>
        </w:tc>
        <w:tc>
          <w:tcPr>
            <w:tcW w:w="0" w:type="dxa"/>
            <w:vAlign w:val="bottom"/>
          </w:tcPr>
          <w:p>
            <w:pPr>
              <w:spacing w:after="0"/>
              <w:rPr>
                <w:sz w:val="1"/>
                <w:szCs w:val="1"/>
                <w:color w:val="auto"/>
              </w:rPr>
            </w:pPr>
          </w:p>
        </w:tc>
      </w:tr>
      <w:tr>
        <w:trPr>
          <w:trHeight w:val="213"/>
        </w:trPr>
        <w:tc>
          <w:tcPr>
            <w:tcW w:w="400" w:type="dxa"/>
            <w:vAlign w:val="bottom"/>
          </w:tcPr>
          <w:p>
            <w:pPr>
              <w:spacing w:after="0"/>
              <w:rPr>
                <w:sz w:val="18"/>
                <w:szCs w:val="18"/>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Vanguard Target Retirement Income Trust II</w:t>
            </w:r>
          </w:p>
        </w:tc>
        <w:tc>
          <w:tcPr>
            <w:tcW w:w="3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Common Collective Trust</w:t>
            </w:r>
          </w:p>
        </w:tc>
        <w:tc>
          <w:tcPr>
            <w:tcW w:w="7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4,129,683</w:t>
            </w:r>
          </w:p>
        </w:tc>
        <w:tc>
          <w:tcPr>
            <w:tcW w:w="0" w:type="dxa"/>
            <w:vAlign w:val="bottom"/>
          </w:tcPr>
          <w:p>
            <w:pPr>
              <w:spacing w:after="0"/>
              <w:rPr>
                <w:sz w:val="1"/>
                <w:szCs w:val="1"/>
                <w:color w:val="auto"/>
              </w:rPr>
            </w:pPr>
          </w:p>
        </w:tc>
      </w:tr>
      <w:tr>
        <w:trPr>
          <w:trHeight w:val="219"/>
        </w:trPr>
        <w:tc>
          <w:tcPr>
            <w:tcW w:w="400" w:type="dxa"/>
            <w:vAlign w:val="bottom"/>
            <w:shd w:val="clear" w:color="auto" w:fill="CCEEFF"/>
          </w:tcPr>
          <w:p>
            <w:pPr>
              <w:spacing w:after="0"/>
              <w:rPr>
                <w:sz w:val="19"/>
                <w:szCs w:val="19"/>
                <w:color w:val="auto"/>
              </w:rPr>
            </w:pPr>
          </w:p>
        </w:tc>
        <w:tc>
          <w:tcPr>
            <w:tcW w:w="4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Vanguard Target 2015</w:t>
            </w:r>
          </w:p>
        </w:tc>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Common Collective Trust</w:t>
            </w:r>
          </w:p>
        </w:tc>
        <w:tc>
          <w:tcPr>
            <w:tcW w:w="74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9,031,402</w:t>
            </w:r>
          </w:p>
        </w:tc>
        <w:tc>
          <w:tcPr>
            <w:tcW w:w="0" w:type="dxa"/>
            <w:vAlign w:val="bottom"/>
          </w:tcPr>
          <w:p>
            <w:pPr>
              <w:spacing w:after="0"/>
              <w:rPr>
                <w:sz w:val="1"/>
                <w:szCs w:val="1"/>
                <w:color w:val="auto"/>
              </w:rPr>
            </w:pPr>
          </w:p>
        </w:tc>
      </w:tr>
      <w:tr>
        <w:trPr>
          <w:trHeight w:val="213"/>
        </w:trPr>
        <w:tc>
          <w:tcPr>
            <w:tcW w:w="400" w:type="dxa"/>
            <w:vAlign w:val="bottom"/>
          </w:tcPr>
          <w:p>
            <w:pPr>
              <w:spacing w:after="0"/>
              <w:rPr>
                <w:sz w:val="18"/>
                <w:szCs w:val="18"/>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Vanguard Target 2020</w:t>
            </w:r>
          </w:p>
        </w:tc>
        <w:tc>
          <w:tcPr>
            <w:tcW w:w="3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Common Collective Trust</w:t>
            </w:r>
          </w:p>
        </w:tc>
        <w:tc>
          <w:tcPr>
            <w:tcW w:w="7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32,637,209</w:t>
            </w:r>
          </w:p>
        </w:tc>
        <w:tc>
          <w:tcPr>
            <w:tcW w:w="0" w:type="dxa"/>
            <w:vAlign w:val="bottom"/>
          </w:tcPr>
          <w:p>
            <w:pPr>
              <w:spacing w:after="0"/>
              <w:rPr>
                <w:sz w:val="1"/>
                <w:szCs w:val="1"/>
                <w:color w:val="auto"/>
              </w:rPr>
            </w:pPr>
          </w:p>
        </w:tc>
      </w:tr>
      <w:tr>
        <w:trPr>
          <w:trHeight w:val="219"/>
        </w:trPr>
        <w:tc>
          <w:tcPr>
            <w:tcW w:w="400" w:type="dxa"/>
            <w:vAlign w:val="bottom"/>
            <w:shd w:val="clear" w:color="auto" w:fill="CCEEFF"/>
          </w:tcPr>
          <w:p>
            <w:pPr>
              <w:spacing w:after="0"/>
              <w:rPr>
                <w:sz w:val="19"/>
                <w:szCs w:val="19"/>
                <w:color w:val="auto"/>
              </w:rPr>
            </w:pPr>
          </w:p>
        </w:tc>
        <w:tc>
          <w:tcPr>
            <w:tcW w:w="4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Vanguard Target 2025</w:t>
            </w:r>
          </w:p>
        </w:tc>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Common Collective Trust</w:t>
            </w:r>
          </w:p>
        </w:tc>
        <w:tc>
          <w:tcPr>
            <w:tcW w:w="74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103,838,617</w:t>
            </w:r>
          </w:p>
        </w:tc>
        <w:tc>
          <w:tcPr>
            <w:tcW w:w="0" w:type="dxa"/>
            <w:vAlign w:val="bottom"/>
          </w:tcPr>
          <w:p>
            <w:pPr>
              <w:spacing w:after="0"/>
              <w:rPr>
                <w:sz w:val="1"/>
                <w:szCs w:val="1"/>
                <w:color w:val="auto"/>
              </w:rPr>
            </w:pPr>
          </w:p>
        </w:tc>
      </w:tr>
      <w:tr>
        <w:trPr>
          <w:trHeight w:val="213"/>
        </w:trPr>
        <w:tc>
          <w:tcPr>
            <w:tcW w:w="400" w:type="dxa"/>
            <w:vAlign w:val="bottom"/>
          </w:tcPr>
          <w:p>
            <w:pPr>
              <w:spacing w:after="0"/>
              <w:rPr>
                <w:sz w:val="18"/>
                <w:szCs w:val="18"/>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Vanguard Target 2030</w:t>
            </w:r>
          </w:p>
        </w:tc>
        <w:tc>
          <w:tcPr>
            <w:tcW w:w="3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Common Collective Trust</w:t>
            </w:r>
          </w:p>
        </w:tc>
        <w:tc>
          <w:tcPr>
            <w:tcW w:w="7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98,040,774</w:t>
            </w:r>
          </w:p>
        </w:tc>
        <w:tc>
          <w:tcPr>
            <w:tcW w:w="0" w:type="dxa"/>
            <w:vAlign w:val="bottom"/>
          </w:tcPr>
          <w:p>
            <w:pPr>
              <w:spacing w:after="0"/>
              <w:rPr>
                <w:sz w:val="1"/>
                <w:szCs w:val="1"/>
                <w:color w:val="auto"/>
              </w:rPr>
            </w:pPr>
          </w:p>
        </w:tc>
      </w:tr>
      <w:tr>
        <w:trPr>
          <w:trHeight w:val="219"/>
        </w:trPr>
        <w:tc>
          <w:tcPr>
            <w:tcW w:w="400" w:type="dxa"/>
            <w:vAlign w:val="bottom"/>
            <w:shd w:val="clear" w:color="auto" w:fill="CCEEFF"/>
          </w:tcPr>
          <w:p>
            <w:pPr>
              <w:spacing w:after="0"/>
              <w:rPr>
                <w:sz w:val="19"/>
                <w:szCs w:val="19"/>
                <w:color w:val="auto"/>
              </w:rPr>
            </w:pPr>
          </w:p>
        </w:tc>
        <w:tc>
          <w:tcPr>
            <w:tcW w:w="4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Vanguard Target 2035</w:t>
            </w:r>
          </w:p>
        </w:tc>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Common Collective Trust</w:t>
            </w:r>
          </w:p>
        </w:tc>
        <w:tc>
          <w:tcPr>
            <w:tcW w:w="74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77,336,779</w:t>
            </w:r>
          </w:p>
        </w:tc>
        <w:tc>
          <w:tcPr>
            <w:tcW w:w="0" w:type="dxa"/>
            <w:vAlign w:val="bottom"/>
          </w:tcPr>
          <w:p>
            <w:pPr>
              <w:spacing w:after="0"/>
              <w:rPr>
                <w:sz w:val="1"/>
                <w:szCs w:val="1"/>
                <w:color w:val="auto"/>
              </w:rPr>
            </w:pPr>
          </w:p>
        </w:tc>
      </w:tr>
      <w:tr>
        <w:trPr>
          <w:trHeight w:val="213"/>
        </w:trPr>
        <w:tc>
          <w:tcPr>
            <w:tcW w:w="400" w:type="dxa"/>
            <w:vAlign w:val="bottom"/>
          </w:tcPr>
          <w:p>
            <w:pPr>
              <w:spacing w:after="0"/>
              <w:rPr>
                <w:sz w:val="18"/>
                <w:szCs w:val="18"/>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Vanguard Target 2040</w:t>
            </w:r>
          </w:p>
        </w:tc>
        <w:tc>
          <w:tcPr>
            <w:tcW w:w="3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Common Collective Trust</w:t>
            </w:r>
          </w:p>
        </w:tc>
        <w:tc>
          <w:tcPr>
            <w:tcW w:w="7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60,908,500</w:t>
            </w:r>
          </w:p>
        </w:tc>
        <w:tc>
          <w:tcPr>
            <w:tcW w:w="0" w:type="dxa"/>
            <w:vAlign w:val="bottom"/>
          </w:tcPr>
          <w:p>
            <w:pPr>
              <w:spacing w:after="0"/>
              <w:rPr>
                <w:sz w:val="1"/>
                <w:szCs w:val="1"/>
                <w:color w:val="auto"/>
              </w:rPr>
            </w:pPr>
          </w:p>
        </w:tc>
      </w:tr>
      <w:tr>
        <w:trPr>
          <w:trHeight w:val="219"/>
        </w:trPr>
        <w:tc>
          <w:tcPr>
            <w:tcW w:w="400" w:type="dxa"/>
            <w:vAlign w:val="bottom"/>
            <w:shd w:val="clear" w:color="auto" w:fill="CCEEFF"/>
          </w:tcPr>
          <w:p>
            <w:pPr>
              <w:spacing w:after="0"/>
              <w:rPr>
                <w:sz w:val="19"/>
                <w:szCs w:val="19"/>
                <w:color w:val="auto"/>
              </w:rPr>
            </w:pPr>
          </w:p>
        </w:tc>
        <w:tc>
          <w:tcPr>
            <w:tcW w:w="4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Vanguard Target 2045</w:t>
            </w:r>
          </w:p>
        </w:tc>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Common Collective Trust</w:t>
            </w:r>
          </w:p>
        </w:tc>
        <w:tc>
          <w:tcPr>
            <w:tcW w:w="74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49,242,627</w:t>
            </w:r>
          </w:p>
        </w:tc>
        <w:tc>
          <w:tcPr>
            <w:tcW w:w="0" w:type="dxa"/>
            <w:vAlign w:val="bottom"/>
          </w:tcPr>
          <w:p>
            <w:pPr>
              <w:spacing w:after="0"/>
              <w:rPr>
                <w:sz w:val="1"/>
                <w:szCs w:val="1"/>
                <w:color w:val="auto"/>
              </w:rPr>
            </w:pPr>
          </w:p>
        </w:tc>
      </w:tr>
      <w:tr>
        <w:trPr>
          <w:trHeight w:val="213"/>
        </w:trPr>
        <w:tc>
          <w:tcPr>
            <w:tcW w:w="400" w:type="dxa"/>
            <w:vAlign w:val="bottom"/>
          </w:tcPr>
          <w:p>
            <w:pPr>
              <w:spacing w:after="0"/>
              <w:rPr>
                <w:sz w:val="18"/>
                <w:szCs w:val="18"/>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Vanguard Target 2050</w:t>
            </w:r>
          </w:p>
        </w:tc>
        <w:tc>
          <w:tcPr>
            <w:tcW w:w="3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Common Collective Trust</w:t>
            </w:r>
          </w:p>
        </w:tc>
        <w:tc>
          <w:tcPr>
            <w:tcW w:w="7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32,957,765</w:t>
            </w:r>
          </w:p>
        </w:tc>
        <w:tc>
          <w:tcPr>
            <w:tcW w:w="0" w:type="dxa"/>
            <w:vAlign w:val="bottom"/>
          </w:tcPr>
          <w:p>
            <w:pPr>
              <w:spacing w:after="0"/>
              <w:rPr>
                <w:sz w:val="1"/>
                <w:szCs w:val="1"/>
                <w:color w:val="auto"/>
              </w:rPr>
            </w:pPr>
          </w:p>
        </w:tc>
      </w:tr>
      <w:tr>
        <w:trPr>
          <w:trHeight w:val="219"/>
        </w:trPr>
        <w:tc>
          <w:tcPr>
            <w:tcW w:w="400" w:type="dxa"/>
            <w:vAlign w:val="bottom"/>
            <w:shd w:val="clear" w:color="auto" w:fill="CCEEFF"/>
          </w:tcPr>
          <w:p>
            <w:pPr>
              <w:spacing w:after="0"/>
              <w:rPr>
                <w:sz w:val="19"/>
                <w:szCs w:val="19"/>
                <w:color w:val="auto"/>
              </w:rPr>
            </w:pPr>
          </w:p>
        </w:tc>
        <w:tc>
          <w:tcPr>
            <w:tcW w:w="4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Vanguard Target 2055</w:t>
            </w:r>
          </w:p>
        </w:tc>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Common Collective Trust</w:t>
            </w:r>
          </w:p>
        </w:tc>
        <w:tc>
          <w:tcPr>
            <w:tcW w:w="74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24,700,900</w:t>
            </w:r>
          </w:p>
        </w:tc>
        <w:tc>
          <w:tcPr>
            <w:tcW w:w="0" w:type="dxa"/>
            <w:vAlign w:val="bottom"/>
          </w:tcPr>
          <w:p>
            <w:pPr>
              <w:spacing w:after="0"/>
              <w:rPr>
                <w:sz w:val="1"/>
                <w:szCs w:val="1"/>
                <w:color w:val="auto"/>
              </w:rPr>
            </w:pPr>
          </w:p>
        </w:tc>
      </w:tr>
      <w:tr>
        <w:trPr>
          <w:trHeight w:val="213"/>
        </w:trPr>
        <w:tc>
          <w:tcPr>
            <w:tcW w:w="400" w:type="dxa"/>
            <w:vAlign w:val="bottom"/>
          </w:tcPr>
          <w:p>
            <w:pPr>
              <w:spacing w:after="0"/>
              <w:rPr>
                <w:sz w:val="18"/>
                <w:szCs w:val="18"/>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Vanguard Target 2060</w:t>
            </w:r>
          </w:p>
        </w:tc>
        <w:tc>
          <w:tcPr>
            <w:tcW w:w="3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Common Collective Trust</w:t>
            </w:r>
          </w:p>
        </w:tc>
        <w:tc>
          <w:tcPr>
            <w:tcW w:w="7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9,701,350</w:t>
            </w:r>
          </w:p>
        </w:tc>
        <w:tc>
          <w:tcPr>
            <w:tcW w:w="0" w:type="dxa"/>
            <w:vAlign w:val="bottom"/>
          </w:tcPr>
          <w:p>
            <w:pPr>
              <w:spacing w:after="0"/>
              <w:rPr>
                <w:sz w:val="1"/>
                <w:szCs w:val="1"/>
                <w:color w:val="auto"/>
              </w:rPr>
            </w:pPr>
          </w:p>
        </w:tc>
      </w:tr>
      <w:tr>
        <w:trPr>
          <w:trHeight w:val="219"/>
        </w:trPr>
        <w:tc>
          <w:tcPr>
            <w:tcW w:w="400" w:type="dxa"/>
            <w:vAlign w:val="bottom"/>
            <w:shd w:val="clear" w:color="auto" w:fill="CCEEFF"/>
          </w:tcPr>
          <w:p>
            <w:pPr>
              <w:spacing w:after="0"/>
              <w:rPr>
                <w:sz w:val="19"/>
                <w:szCs w:val="19"/>
                <w:color w:val="auto"/>
              </w:rPr>
            </w:pPr>
          </w:p>
        </w:tc>
        <w:tc>
          <w:tcPr>
            <w:tcW w:w="4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Vanguard Target 2065</w:t>
            </w:r>
          </w:p>
        </w:tc>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Common Collective Trust</w:t>
            </w:r>
          </w:p>
        </w:tc>
        <w:tc>
          <w:tcPr>
            <w:tcW w:w="74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3,478,708</w:t>
            </w:r>
          </w:p>
        </w:tc>
        <w:tc>
          <w:tcPr>
            <w:tcW w:w="0" w:type="dxa"/>
            <w:vAlign w:val="bottom"/>
          </w:tcPr>
          <w:p>
            <w:pPr>
              <w:spacing w:after="0"/>
              <w:rPr>
                <w:sz w:val="1"/>
                <w:szCs w:val="1"/>
                <w:color w:val="auto"/>
              </w:rPr>
            </w:pPr>
          </w:p>
        </w:tc>
      </w:tr>
      <w:tr>
        <w:trPr>
          <w:trHeight w:val="213"/>
        </w:trPr>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Fidelity Treasury Only Money Market</w:t>
            </w:r>
          </w:p>
        </w:tc>
        <w:tc>
          <w:tcPr>
            <w:tcW w:w="3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Money Market Fund</w:t>
            </w:r>
          </w:p>
        </w:tc>
        <w:tc>
          <w:tcPr>
            <w:tcW w:w="7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13,532,972</w:t>
            </w:r>
          </w:p>
        </w:tc>
        <w:tc>
          <w:tcPr>
            <w:tcW w:w="0" w:type="dxa"/>
            <w:vAlign w:val="bottom"/>
          </w:tcPr>
          <w:p>
            <w:pPr>
              <w:spacing w:after="0"/>
              <w:rPr>
                <w:sz w:val="1"/>
                <w:szCs w:val="1"/>
                <w:color w:val="auto"/>
              </w:rPr>
            </w:pPr>
          </w:p>
        </w:tc>
      </w:tr>
      <w:tr>
        <w:trPr>
          <w:trHeight w:val="21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Fidelity Brokerage Link</w:t>
            </w:r>
          </w:p>
        </w:tc>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Pooled Brokerage Account</w:t>
            </w:r>
          </w:p>
        </w:tc>
        <w:tc>
          <w:tcPr>
            <w:tcW w:w="74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19,044,902</w:t>
            </w:r>
          </w:p>
        </w:tc>
        <w:tc>
          <w:tcPr>
            <w:tcW w:w="0" w:type="dxa"/>
            <w:vAlign w:val="bottom"/>
          </w:tcPr>
          <w:p>
            <w:pPr>
              <w:spacing w:after="0"/>
              <w:rPr>
                <w:sz w:val="1"/>
                <w:szCs w:val="1"/>
                <w:color w:val="auto"/>
              </w:rPr>
            </w:pPr>
          </w:p>
        </w:tc>
      </w:tr>
      <w:tr>
        <w:trPr>
          <w:trHeight w:val="213"/>
        </w:trPr>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 Toro Company</w:t>
            </w:r>
          </w:p>
        </w:tc>
        <w:tc>
          <w:tcPr>
            <w:tcW w:w="3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The Toro Company Common Stock</w:t>
            </w:r>
          </w:p>
        </w:tc>
        <w:tc>
          <w:tcPr>
            <w:tcW w:w="7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397,177,494</w:t>
            </w:r>
          </w:p>
        </w:tc>
        <w:tc>
          <w:tcPr>
            <w:tcW w:w="0" w:type="dxa"/>
            <w:vAlign w:val="bottom"/>
          </w:tcPr>
          <w:p>
            <w:pPr>
              <w:spacing w:after="0"/>
              <w:rPr>
                <w:sz w:val="1"/>
                <w:szCs w:val="1"/>
                <w:color w:val="auto"/>
              </w:rPr>
            </w:pPr>
          </w:p>
        </w:tc>
      </w:tr>
      <w:tr>
        <w:trPr>
          <w:trHeight w:val="216"/>
        </w:trPr>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5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Participant Loan Fund</w:t>
            </w:r>
          </w:p>
        </w:tc>
        <w:tc>
          <w:tcPr>
            <w:tcW w:w="38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Notes receivable from participants***</w:t>
            </w:r>
          </w:p>
        </w:tc>
        <w:tc>
          <w:tcPr>
            <w:tcW w:w="740" w:type="dxa"/>
            <w:vAlign w:val="bottom"/>
            <w:tcBorders>
              <w:bottom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540,220</w:t>
            </w:r>
          </w:p>
        </w:tc>
        <w:tc>
          <w:tcPr>
            <w:tcW w:w="0" w:type="dxa"/>
            <w:vAlign w:val="bottom"/>
          </w:tcPr>
          <w:p>
            <w:pPr>
              <w:spacing w:after="0"/>
              <w:rPr>
                <w:sz w:val="1"/>
                <w:szCs w:val="1"/>
                <w:color w:val="auto"/>
              </w:rPr>
            </w:pPr>
          </w:p>
        </w:tc>
      </w:tr>
      <w:tr>
        <w:trPr>
          <w:trHeight w:val="210"/>
        </w:trPr>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456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1,496,863,751</w:t>
            </w:r>
          </w:p>
        </w:tc>
        <w:tc>
          <w:tcPr>
            <w:tcW w:w="0" w:type="dxa"/>
            <w:vAlign w:val="bottom"/>
          </w:tcPr>
          <w:p>
            <w:pPr>
              <w:spacing w:after="0"/>
              <w:rPr>
                <w:sz w:val="1"/>
                <w:szCs w:val="1"/>
                <w:color w:val="auto"/>
              </w:rPr>
            </w:pPr>
          </w:p>
        </w:tc>
      </w:tr>
      <w:tr>
        <w:trPr>
          <w:trHeight w:val="23"/>
        </w:trPr>
        <w:tc>
          <w:tcPr>
            <w:tcW w:w="40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80"/>
        <w:spacing w:after="0"/>
        <w:tabs>
          <w:tab w:leader="none" w:pos="360" w:val="left"/>
        </w:tabs>
        <w:rPr>
          <w:sz w:val="20"/>
          <w:szCs w:val="20"/>
          <w:color w:val="auto"/>
        </w:rPr>
      </w:pPr>
      <w:r>
        <w:rPr>
          <w:rFonts w:ascii="Times New Roman" w:cs="Times New Roman" w:eastAsia="Times New Roman" w:hAnsi="Times New Roman"/>
          <w:sz w:val="14"/>
          <w:szCs w:val="14"/>
          <w:color w:val="auto"/>
        </w:rPr>
        <w:t>*</w:t>
        <w:tab/>
        <w:t>Party-in-interest as defined by ERISA.</w:t>
      </w:r>
    </w:p>
    <w:p>
      <w:pPr>
        <w:spacing w:after="0" w:line="55" w:lineRule="exact"/>
        <w:rPr>
          <w:sz w:val="20"/>
          <w:szCs w:val="20"/>
          <w:color w:val="auto"/>
        </w:rPr>
      </w:pPr>
    </w:p>
    <w:p>
      <w:pPr>
        <w:ind w:left="460" w:hanging="290"/>
        <w:spacing w:after="0"/>
        <w:tabs>
          <w:tab w:leader="none" w:pos="4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information is not required for Participant-directed investments and therefore is not included.</w:t>
      </w:r>
    </w:p>
    <w:p>
      <w:pPr>
        <w:spacing w:after="0" w:line="68" w:lineRule="exact"/>
        <w:rPr>
          <w:rFonts w:ascii="Times New Roman" w:cs="Times New Roman" w:eastAsia="Times New Roman" w:hAnsi="Times New Roman"/>
          <w:sz w:val="14"/>
          <w:szCs w:val="14"/>
          <w:color w:val="auto"/>
        </w:rPr>
      </w:pPr>
    </w:p>
    <w:p>
      <w:pPr>
        <w:ind w:left="520" w:hanging="35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176 loans outstanding with 1-5 year terms, maturing no later than September 2025, and interest rates of 4.25% - 6.50%.</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Report of Independent Registered Public Accounting Firm.</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941" w:right="339" w:bottom="1440" w:gutter="0" w:footer="0" w:header="0"/>
        </w:sectPr>
      </w:pPr>
    </w:p>
    <w:bookmarkStart w:id="11" w:name="page12"/>
    <w:bookmarkEnd w:id="11"/>
    <w:p>
      <w:pPr>
        <w:jc w:val="center"/>
        <w:ind w:right="-219"/>
        <w:spacing w:after="0"/>
        <w:rPr>
          <w:sz w:val="20"/>
          <w:szCs w:val="20"/>
          <w:color w:val="auto"/>
        </w:rPr>
      </w:pPr>
      <w:r>
        <w:rPr>
          <w:rFonts w:ascii="Times New Roman" w:cs="Times New Roman" w:eastAsia="Times New Roman" w:hAnsi="Times New Roman"/>
          <w:sz w:val="18"/>
          <w:szCs w:val="18"/>
          <w:color w:val="auto"/>
        </w:rPr>
        <w:t>SIGNATURES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00" w:lineRule="exact"/>
        <w:rPr>
          <w:sz w:val="20"/>
          <w:szCs w:val="20"/>
          <w:color w:val="auto"/>
        </w:rPr>
      </w:pPr>
    </w:p>
    <w:p>
      <w:pPr>
        <w:spacing w:after="0" w:line="36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Toro Company Retirement Plan</w:t>
      </w: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Date: June 29, 2022</w:t>
      </w:r>
      <w:r>
        <w:rPr>
          <w:sz w:val="20"/>
          <w:szCs w:val="20"/>
          <w:color w:val="auto"/>
        </w:rPr>
        <w:tab/>
      </w:r>
      <w:r>
        <w:rPr>
          <w:rFonts w:ascii="Times New Roman" w:cs="Times New Roman" w:eastAsia="Times New Roman" w:hAnsi="Times New Roman"/>
          <w:sz w:val="17"/>
          <w:szCs w:val="17"/>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Renee J. Peterson</w:t>
      </w:r>
    </w:p>
    <w:p>
      <w:pPr>
        <w:spacing w:after="0" w:line="1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Vice President, Chief Financial Officer of The Toro Company (duly</w:t>
      </w:r>
    </w:p>
    <w:p>
      <w:pPr>
        <w:ind w:left="5620"/>
        <w:spacing w:after="0" w:line="203" w:lineRule="auto"/>
        <w:rPr>
          <w:sz w:val="20"/>
          <w:szCs w:val="20"/>
          <w:color w:val="auto"/>
        </w:rPr>
      </w:pPr>
      <w:r>
        <w:rPr>
          <w:rFonts w:ascii="Times New Roman" w:cs="Times New Roman" w:eastAsia="Times New Roman" w:hAnsi="Times New Roman"/>
          <w:sz w:val="18"/>
          <w:szCs w:val="18"/>
          <w:color w:val="auto"/>
        </w:rPr>
        <w:t>authorized officer, principal financial officer, and principal accounting</w:t>
      </w:r>
    </w:p>
    <w:p>
      <w:pPr>
        <w:ind w:left="562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40"/>
          </w:cols>
          <w:pgMar w:left="320" w:top="891" w:right="539" w:bottom="1440" w:gutter="0" w:footer="0" w:header="0"/>
        </w:sectPr>
      </w:pPr>
    </w:p>
    <w:bookmarkStart w:id="12" w:name="page13"/>
    <w:bookmarkEnd w:id="12"/>
    <w:p>
      <w:pPr>
        <w:spacing w:after="0" w:line="95"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20" w:type="dxa"/>
            <w:vAlign w:val="bottom"/>
            <w:gridSpan w:val="2"/>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675"/>
        </w:trPr>
        <w:tc>
          <w:tcPr>
            <w:tcW w:w="2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r>
        <w:trPr>
          <w:trHeight w:val="223"/>
        </w:trPr>
        <w:tc>
          <w:tcPr>
            <w:tcW w:w="2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884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2"/>
        </w:trPr>
        <w:tc>
          <w:tcPr>
            <w:tcW w:w="2380" w:type="dxa"/>
            <w:vAlign w:val="bottom"/>
            <w:tcBorders>
              <w:left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8"/>
                <w:szCs w:val="18"/>
                <w:color w:val="auto"/>
              </w:rPr>
              <w:t>23.1</w:t>
            </w:r>
          </w:p>
        </w:tc>
        <w:tc>
          <w:tcPr>
            <w:tcW w:w="8840" w:type="dxa"/>
            <w:vAlign w:val="bottom"/>
            <w:tcBorders>
              <w:right w:val="single" w:sz="8" w:color="auto"/>
            </w:tcBorders>
            <w:gridSpan w:val="3"/>
          </w:tcPr>
          <w:p>
            <w:pPr>
              <w:ind w:left="20"/>
              <w:spacing w:after="0" w:line="182" w:lineRule="exact"/>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r>
      <w:tr>
        <w:trPr>
          <w:trHeight w:val="21"/>
        </w:trPr>
        <w:tc>
          <w:tcPr>
            <w:tcW w:w="2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360" w:type="dxa"/>
            <w:vAlign w:val="bottom"/>
            <w:tcBorders>
              <w:top w:val="single" w:sz="8" w:color="0000FF"/>
              <w:bottom w:val="single" w:sz="8" w:color="auto"/>
            </w:tcBorders>
          </w:tcPr>
          <w:p>
            <w:pPr>
              <w:spacing w:after="0" w:line="20" w:lineRule="exact"/>
              <w:rPr>
                <w:sz w:val="1"/>
                <w:szCs w:val="1"/>
                <w:color w:val="auto"/>
              </w:rPr>
            </w:pPr>
          </w:p>
        </w:tc>
        <w:tc>
          <w:tcPr>
            <w:tcW w:w="4460" w:type="dxa"/>
            <w:vAlign w:val="bottom"/>
            <w:tcBorders>
              <w:bottom w:val="single" w:sz="8" w:color="auto"/>
              <w:right w:val="single" w:sz="8" w:color="auto"/>
            </w:tcBorders>
          </w:tcPr>
          <w:p>
            <w:pPr>
              <w:spacing w:after="0" w:line="20" w:lineRule="exact"/>
              <w:rPr>
                <w:sz w:val="1"/>
                <w:szCs w:val="1"/>
                <w:color w:val="auto"/>
              </w:rPr>
            </w:pPr>
          </w:p>
        </w:tc>
      </w:tr>
      <w:tr>
        <w:trPr>
          <w:trHeight w:val="1100"/>
        </w:trPr>
        <w:tc>
          <w:tcPr>
            <w:tcW w:w="2380" w:type="dxa"/>
            <w:vAlign w:val="bottom"/>
          </w:tcPr>
          <w:p>
            <w:pPr>
              <w:spacing w:after="0"/>
              <w:rPr>
                <w:sz w:val="24"/>
                <w:szCs w:val="24"/>
                <w:color w:val="auto"/>
              </w:rPr>
            </w:pPr>
          </w:p>
        </w:tc>
        <w:tc>
          <w:tcPr>
            <w:tcW w:w="438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11</w:t>
            </w:r>
          </w:p>
        </w:tc>
        <w:tc>
          <w:tcPr>
            <w:tcW w:w="4460" w:type="dxa"/>
            <w:vAlign w:val="bottom"/>
          </w:tcPr>
          <w:p>
            <w:pPr>
              <w:spacing w:after="0"/>
              <w:rPr>
                <w:sz w:val="24"/>
                <w:szCs w:val="24"/>
                <w:color w:val="auto"/>
              </w:rPr>
            </w:pPr>
          </w:p>
        </w:tc>
      </w:tr>
    </w:tbl>
    <w:p>
      <w:pPr>
        <w:sectPr>
          <w:pgSz w:w="11900" w:h="16838" w:orient="portrait"/>
          <w:cols w:equalWidth="0" w:num="1">
            <w:col w:w="11220"/>
          </w:cols>
          <w:pgMar w:left="340" w:top="1440"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033-59563, 333-11860, 333-100004, 333-119504, and 333-215251) on Form S-8 of our report dated June 29, 2022, with respect to the financial statements and supplemental schedule of The Toro Company Retirement Plan.</w:t>
      </w: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KPMG LLP</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June 29, 2022</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4"/>
      <w:numFmt w:val="bullet"/>
      <w:start w:val="1"/>
    </w:lvl>
  </w:abstractNum>
  <w:abstractNum w:abstractNumId="5">
    <w:nsid w:val="79E2A9E3"/>
    <w:multiLevelType w:val="hybridMultilevel"/>
    <w:lvl w:ilvl="0">
      <w:lvlJc w:val="left"/>
      <w:lvlText w:val="5"/>
      <w:numFmt w:val="bullet"/>
      <w:start w:val="1"/>
    </w:lvl>
  </w:abstractNum>
  <w:abstractNum w:abstractNumId="6">
    <w:nsid w:val="7545E146"/>
    <w:multiLevelType w:val="hybridMultilevel"/>
    <w:lvl w:ilvl="0">
      <w:lvlJc w:val="left"/>
      <w:lvlText w:val="6"/>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2022-06-29T16:46:26Z</dcterms:created>
  <dcterms:modified xsi:type="dcterms:W3CDTF">2022-06-29T16:46:26Z</dcterms:modified>
</cp:coreProperties>
</file>