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264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2644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HOFFMAN MICHAEL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12/05/2013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Chairman, Pres. &amp; CEO</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66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40" w:type="dxa"/>
            <w:vAlign w:val="bottom"/>
            <w:gridSpan w:val="6"/>
            <w:vMerge w:val="restart"/>
          </w:tcPr>
          <w:p>
            <w:pPr>
              <w:ind w:left="4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60" w:type="dxa"/>
            <w:vAlign w:val="bottom"/>
            <w:gridSpan w:val="5"/>
            <w:vMerge w:val="continue"/>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80" w:type="dxa"/>
            <w:vAlign w:val="bottom"/>
            <w:gridSpan w:val="3"/>
          </w:tcPr>
          <w:p>
            <w:pPr>
              <w:ind w:left="480"/>
              <w:spacing w:after="0"/>
              <w:rPr>
                <w:sz w:val="20"/>
                <w:szCs w:val="20"/>
                <w:color w:val="auto"/>
              </w:rPr>
            </w:pPr>
            <w:r>
              <w:rPr>
                <w:rFonts w:ascii="Arial" w:cs="Arial" w:eastAsia="Arial" w:hAnsi="Arial"/>
                <w:sz w:val="13"/>
                <w:szCs w:val="13"/>
                <w:color w:val="auto"/>
              </w:rPr>
              <w:t>Line)</w:t>
            </w: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820" w:type="dxa"/>
            <w:vAlign w:val="bottom"/>
          </w:tcPr>
          <w:p>
            <w:pPr>
              <w:jc w:val="right"/>
              <w:ind w:right="305"/>
              <w:spacing w:after="0"/>
              <w:rPr>
                <w:sz w:val="20"/>
                <w:szCs w:val="20"/>
                <w:color w:val="auto"/>
              </w:rPr>
            </w:pPr>
            <w:r>
              <w:rPr>
                <w:rFonts w:ascii="Arial" w:cs="Arial" w:eastAsia="Arial" w:hAnsi="Arial"/>
                <w:sz w:val="17"/>
                <w:szCs w:val="17"/>
                <w:color w:val="0000FF"/>
              </w:rPr>
              <w:t>55420-1196</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0" w:type="dxa"/>
            <w:vAlign w:val="bottom"/>
            <w:gridSpan w:val="5"/>
          </w:tcPr>
          <w:p>
            <w:pPr>
              <w:ind w:left="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160" w:type="dxa"/>
            <w:vAlign w:val="bottom"/>
            <w:gridSpan w:val="4"/>
            <w:vMerge w:val="restart"/>
          </w:tcPr>
          <w:p>
            <w:pPr>
              <w:ind w:left="3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1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20" w:type="dxa"/>
            <w:vAlign w:val="bottom"/>
            <w:vMerge w:val="restart"/>
          </w:tcPr>
          <w:p>
            <w:pPr>
              <w:ind w:left="120"/>
              <w:spacing w:after="0"/>
              <w:rPr>
                <w:sz w:val="20"/>
                <w:szCs w:val="20"/>
                <w:color w:val="auto"/>
              </w:rPr>
            </w:pPr>
            <w:r>
              <w:rPr>
                <w:rFonts w:ascii="Arial" w:cs="Arial" w:eastAsia="Arial" w:hAnsi="Arial"/>
                <w:sz w:val="13"/>
                <w:szCs w:val="13"/>
                <w:color w:val="auto"/>
              </w:rPr>
              <w:t>(State)</w:t>
            </w:r>
          </w:p>
        </w:tc>
        <w:tc>
          <w:tcPr>
            <w:tcW w:w="2200" w:type="dxa"/>
            <w:vAlign w:val="bottom"/>
            <w:gridSpan w:val="2"/>
            <w:vMerge w:val="restart"/>
          </w:tcPr>
          <w:p>
            <w:pPr>
              <w:ind w:left="58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20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4340" w:type="dxa"/>
            <w:vAlign w:val="bottom"/>
            <w:tcBorders>
              <w:bottom w:val="single" w:sz="8" w:color="2C2C2C"/>
            </w:tcBorders>
            <w:gridSpan w:val="7"/>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360" w:type="dxa"/>
            <w:vAlign w:val="bottom"/>
            <w:tcBorders>
              <w:top w:val="single" w:sz="8" w:color="2C2C2C"/>
            </w:tcBorders>
            <w:gridSpan w:val="9"/>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2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0" w:type="dxa"/>
            <w:vAlign w:val="bottom"/>
            <w:gridSpan w:val="2"/>
          </w:tcPr>
          <w:p>
            <w:pPr>
              <w:ind w:left="11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0" w:type="dxa"/>
            <w:vAlign w:val="bottom"/>
            <w:gridSpan w:val="2"/>
          </w:tcPr>
          <w:p>
            <w:pPr>
              <w:ind w:left="11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2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0" w:type="dxa"/>
            <w:vAlign w:val="bottom"/>
            <w:gridSpan w:val="2"/>
          </w:tcPr>
          <w:p>
            <w:pPr>
              <w:ind w:left="11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0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200" w:type="dxa"/>
            <w:vAlign w:val="bottom"/>
            <w:tcBorders>
              <w:bottom w:val="single" w:sz="8" w:color="2C2C2C"/>
            </w:tcBorders>
            <w:gridSpan w:val="2"/>
          </w:tcPr>
          <w:p>
            <w:pPr>
              <w:jc w:val="right"/>
              <w:ind w:right="93"/>
              <w:spacing w:after="0"/>
              <w:rPr>
                <w:sz w:val="20"/>
                <w:szCs w:val="20"/>
                <w:color w:val="auto"/>
              </w:rPr>
            </w:pPr>
            <w:r>
              <w:rPr>
                <w:rFonts w:ascii="Arial" w:cs="Arial" w:eastAsia="Arial" w:hAnsi="Arial"/>
                <w:sz w:val="17"/>
                <w:szCs w:val="17"/>
                <w:color w:val="0000FF"/>
              </w:rPr>
              <w:t>12/05/2013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rPr>
              <w:t>62,300</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right="10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503,302.715</w:t>
            </w:r>
            <w:r>
              <w:rPr>
                <w:rFonts w:ascii="Arial" w:cs="Arial" w:eastAsia="Arial" w:hAnsi="Arial"/>
                <w:sz w:val="22"/>
                <w:szCs w:val="22"/>
                <w:color w:val="008000"/>
                <w:w w:val="88"/>
                <w:vertAlign w:val="superscript"/>
              </w:rPr>
              <w:t>(2)</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3"/>
                <w:szCs w:val="23"/>
                <w:color w:val="auto"/>
              </w:rPr>
            </w:pPr>
          </w:p>
        </w:tc>
        <w:tc>
          <w:tcPr>
            <w:tcW w:w="2200" w:type="dxa"/>
            <w:vAlign w:val="bottom"/>
            <w:gridSpan w:val="2"/>
          </w:tcPr>
          <w:p>
            <w:pPr>
              <w:jc w:val="right"/>
              <w:ind w:right="93"/>
              <w:spacing w:after="0"/>
              <w:rPr>
                <w:sz w:val="20"/>
                <w:szCs w:val="20"/>
                <w:color w:val="auto"/>
              </w:rPr>
            </w:pPr>
            <w:r>
              <w:rPr>
                <w:rFonts w:ascii="Arial" w:cs="Arial" w:eastAsia="Arial" w:hAnsi="Arial"/>
                <w:sz w:val="17"/>
                <w:szCs w:val="17"/>
                <w:color w:val="0000FF"/>
              </w:rPr>
              <w:t>12/05/2013</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F</w:t>
            </w:r>
          </w:p>
        </w:tc>
        <w:tc>
          <w:tcPr>
            <w:tcW w:w="840" w:type="dxa"/>
            <w:vAlign w:val="bottom"/>
          </w:tcPr>
          <w:p>
            <w:pPr>
              <w:jc w:val="right"/>
              <w:ind w:right="91"/>
              <w:spacing w:after="0"/>
              <w:rPr>
                <w:sz w:val="20"/>
                <w:szCs w:val="20"/>
                <w:color w:val="auto"/>
              </w:rPr>
            </w:pPr>
            <w:r>
              <w:rPr>
                <w:rFonts w:ascii="Arial" w:cs="Arial" w:eastAsia="Arial" w:hAnsi="Arial"/>
                <w:sz w:val="17"/>
                <w:szCs w:val="17"/>
                <w:color w:val="0000FF"/>
              </w:rPr>
              <w:t>27,898</w:t>
            </w:r>
          </w:p>
        </w:tc>
        <w:tc>
          <w:tcPr>
            <w:tcW w:w="500" w:type="dxa"/>
            <w:vAlign w:val="bottom"/>
          </w:tcPr>
          <w:p>
            <w:pPr>
              <w:jc w:val="center"/>
              <w:spacing w:after="0"/>
              <w:rPr>
                <w:sz w:val="20"/>
                <w:szCs w:val="20"/>
                <w:color w:val="auto"/>
              </w:rPr>
            </w:pPr>
            <w:r>
              <w:rPr>
                <w:rFonts w:ascii="Arial" w:cs="Arial" w:eastAsia="Arial" w:hAnsi="Arial"/>
                <w:sz w:val="17"/>
                <w:szCs w:val="17"/>
                <w:color w:val="0000FF"/>
              </w:rPr>
              <w:t>D</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59.31</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3"/>
              </w:rPr>
              <w:t>475,404.715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Michael J.</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Hoffman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8"/>
              </w:rPr>
              <w:t>121,007.055</w:t>
            </w:r>
            <w:r>
              <w:rPr>
                <w:rFonts w:ascii="Arial" w:cs="Arial" w:eastAsia="Arial" w:hAnsi="Arial"/>
                <w:sz w:val="22"/>
                <w:szCs w:val="22"/>
                <w:color w:val="008000"/>
                <w:w w:val="88"/>
                <w:vertAlign w:val="superscript"/>
              </w:rPr>
              <w:t>(3)</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Irrevocable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Lifetime</w:t>
            </w:r>
          </w:p>
        </w:tc>
        <w:tc>
          <w:tcPr>
            <w:tcW w:w="0" w:type="dxa"/>
            <w:vAlign w:val="bottom"/>
          </w:tcPr>
          <w:p>
            <w:pPr>
              <w:spacing w:after="0"/>
              <w:rPr>
                <w:sz w:val="1"/>
                <w:szCs w:val="1"/>
                <w:color w:val="auto"/>
              </w:rPr>
            </w:pPr>
          </w:p>
        </w:tc>
      </w:tr>
    </w:tbl>
    <w:p>
      <w:pPr>
        <w:ind w:left="10500"/>
        <w:spacing w:after="0"/>
        <w:rPr>
          <w:sz w:val="20"/>
          <w:szCs w:val="20"/>
          <w:color w:val="auto"/>
        </w:rPr>
      </w:pPr>
      <w:r>
        <w:rPr>
          <w:rFonts w:ascii="Arial" w:cs="Arial" w:eastAsia="Arial" w:hAnsi="Arial"/>
          <w:sz w:val="17"/>
          <w:szCs w:val="17"/>
          <w:color w:val="0000FF"/>
        </w:rPr>
        <w:t>Family</w:t>
      </w:r>
    </w:p>
    <w:p>
      <w:pPr>
        <w:spacing w:after="0" w:line="19"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Trust</w:t>
      </w:r>
    </w:p>
    <w:p>
      <w:pPr>
        <w:spacing w:after="0" w:line="146"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The Toro</w:t>
      </w:r>
    </w:p>
    <w:p>
      <w:pPr>
        <w:spacing w:after="0" w:line="26"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Company</w:t>
      </w:r>
    </w:p>
    <w:p>
      <w:pPr>
        <w:ind w:left="80"/>
        <w:spacing w:after="0"/>
        <w:tabs>
          <w:tab w:leader="none" w:pos="8400" w:val="left"/>
          <w:tab w:leader="none" w:pos="9920" w:val="left"/>
          <w:tab w:leader="none" w:pos="10480" w:val="left"/>
        </w:tabs>
        <w:rPr>
          <w:sz w:val="20"/>
          <w:szCs w:val="20"/>
          <w:color w:val="auto"/>
        </w:rPr>
      </w:pPr>
      <w:r>
        <w:rPr>
          <w:rFonts w:ascii="Arial" w:cs="Arial" w:eastAsia="Arial" w:hAnsi="Arial"/>
          <w:sz w:val="17"/>
          <w:szCs w:val="17"/>
          <w:color w:val="0000FF"/>
        </w:rPr>
        <w:t>Common Stock</w:t>
      </w:r>
      <w:r>
        <w:rPr>
          <w:sz w:val="20"/>
          <w:szCs w:val="20"/>
          <w:color w:val="auto"/>
        </w:rPr>
        <w:tab/>
      </w:r>
      <w:r>
        <w:rPr>
          <w:rFonts w:ascii="Arial" w:cs="Arial" w:eastAsia="Arial" w:hAnsi="Arial"/>
          <w:sz w:val="17"/>
          <w:szCs w:val="17"/>
          <w:color w:val="0000FF"/>
        </w:rPr>
        <w:t>65,514.189</w:t>
      </w:r>
      <w:r>
        <w:rPr>
          <w:rFonts w:ascii="Arial" w:cs="Arial" w:eastAsia="Arial" w:hAnsi="Arial"/>
          <w:sz w:val="22"/>
          <w:szCs w:val="22"/>
          <w:color w:val="008000"/>
          <w:vertAlign w:val="superscript"/>
        </w:rPr>
        <w:t>(4)</w:t>
      </w:r>
      <w:r>
        <w:rPr>
          <w:sz w:val="20"/>
          <w:szCs w:val="20"/>
          <w:color w:val="auto"/>
        </w:rPr>
        <w:tab/>
      </w:r>
      <w:r>
        <w:rPr>
          <w:rFonts w:ascii="Arial" w:cs="Arial" w:eastAsia="Arial" w:hAnsi="Arial"/>
          <w:sz w:val="17"/>
          <w:szCs w:val="17"/>
          <w:color w:val="0000FF"/>
        </w:rPr>
        <w:t>I</w:t>
      </w:r>
      <w:r>
        <w:rPr>
          <w:sz w:val="20"/>
          <w:szCs w:val="20"/>
          <w:color w:val="auto"/>
        </w:rPr>
        <w:tab/>
      </w:r>
      <w:r>
        <w:rPr>
          <w:rFonts w:ascii="Arial" w:cs="Arial" w:eastAsia="Arial" w:hAnsi="Arial"/>
          <w:sz w:val="15"/>
          <w:szCs w:val="15"/>
          <w:color w:val="0000FF"/>
        </w:rPr>
        <w:t>Investment,</w:t>
      </w:r>
    </w:p>
    <w:p>
      <w:pPr>
        <w:spacing w:after="0" w:line="1"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Savings &amp;</w:t>
      </w:r>
    </w:p>
    <w:p>
      <w:pPr>
        <w:spacing w:after="0" w:line="12"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ESOP</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323"/>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rPr>
              <w:t>98,487.387</w:t>
            </w:r>
            <w:r>
              <w:rPr>
                <w:rFonts w:ascii="Arial" w:cs="Arial" w:eastAsia="Arial" w:hAnsi="Arial"/>
                <w:sz w:val="22"/>
                <w:szCs w:val="22"/>
                <w:color w:val="008000"/>
                <w:vertAlign w:val="superscript"/>
              </w:rPr>
              <w:t>(5)</w:t>
            </w: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8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12/06/2013</w:t>
            </w:r>
          </w:p>
        </w:tc>
        <w:tc>
          <w:tcPr>
            <w:tcW w:w="118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75,300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(6)</w:t>
            </w:r>
          </w:p>
        </w:tc>
        <w:tc>
          <w:tcPr>
            <w:tcW w:w="760" w:type="dxa"/>
            <w:vAlign w:val="bottom"/>
          </w:tcPr>
          <w:p>
            <w:pPr>
              <w:ind w:left="80"/>
              <w:spacing w:after="0"/>
              <w:rPr>
                <w:sz w:val="20"/>
                <w:szCs w:val="20"/>
                <w:color w:val="auto"/>
              </w:rPr>
            </w:pPr>
            <w:r>
              <w:rPr>
                <w:rFonts w:ascii="Arial" w:cs="Arial" w:eastAsia="Arial" w:hAnsi="Arial"/>
                <w:sz w:val="13"/>
                <w:szCs w:val="13"/>
                <w:color w:val="0000FF"/>
              </w:rPr>
              <w:t>12/06/2023</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75,300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tcPr>
          <w:p>
            <w:pPr>
              <w:ind w:left="300"/>
              <w:spacing w:after="0"/>
              <w:rPr>
                <w:sz w:val="20"/>
                <w:szCs w:val="20"/>
                <w:color w:val="auto"/>
              </w:rPr>
            </w:pPr>
            <w:r>
              <w:rPr>
                <w:rFonts w:ascii="Arial" w:cs="Arial" w:eastAsia="Arial" w:hAnsi="Arial"/>
                <w:sz w:val="13"/>
                <w:szCs w:val="13"/>
                <w:color w:val="0000FF"/>
              </w:rPr>
              <w:t>75,300</w:t>
            </w:r>
          </w:p>
        </w:tc>
        <w:tc>
          <w:tcPr>
            <w:tcW w:w="880" w:type="dxa"/>
            <w:vAlign w:val="bottom"/>
          </w:tcPr>
          <w:p>
            <w:pPr>
              <w:ind w:left="460"/>
              <w:spacing w:after="0"/>
              <w:rPr>
                <w:sz w:val="20"/>
                <w:szCs w:val="20"/>
                <w:color w:val="auto"/>
              </w:rPr>
            </w:pPr>
            <w:r>
              <w:rPr>
                <w:rFonts w:ascii="Arial" w:cs="Arial" w:eastAsia="Arial" w:hAnsi="Arial"/>
                <w:sz w:val="13"/>
                <w:szCs w:val="13"/>
                <w:color w:val="0000FF"/>
              </w:rPr>
              <w:t>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2011 to Fiscal 2013 Performance Period under The Toro Company 2010 Equity and Incentive Plan, as amended (the "2010 Plan"), as approved by the registrant's Compensation &amp; Human Resources Committee of its Board of Directors on December 3, 2013, and which was conditioned upon and subject to confirmation by the registrant's Fiscal 2013 financial results that were released on December 5, 2013. Performance Share Awards are paid in shares of common stock under the 2010 Plan.</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731.774 shares of common stock acquired by the reporting person under The Toro Company Dividend Reinvestment Plan (the "DRIP") since the date of his last report.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301.846 shares of common stock acquired by the reporting person under the DRIP since the date of his last report.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163.45 shares of common stock acquired by the reporting person under the dividend reinvestment feature of The Toro Company Investment, Savings &amp; ESOP since the date of his last report.</w:t>
      </w:r>
    </w:p>
    <w:p>
      <w:pPr>
        <w:spacing w:after="0" w:line="63" w:lineRule="exact"/>
        <w:rPr>
          <w:rFonts w:ascii="Arial" w:cs="Arial" w:eastAsia="Arial" w:hAnsi="Arial"/>
          <w:sz w:val="12"/>
          <w:szCs w:val="12"/>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245.524 performance share units acquired by the reporting person under the dividend reinvestment feature of The Toro Company Deferred Compensation Plan for Officers since the date of his last report.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12/09/2013</w:t>
            </w: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820" w:type="dxa"/>
            <w:vAlign w:val="bottom"/>
          </w:tcPr>
          <w:p>
            <w:pPr>
              <w:spacing w:after="0"/>
              <w:rPr>
                <w:sz w:val="7"/>
                <w:szCs w:val="7"/>
                <w:color w:val="auto"/>
              </w:rPr>
            </w:pPr>
          </w:p>
        </w:tc>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240"/>
          </w:cols>
          <w:pgMar w:left="280" w:top="125" w:right="137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Exhibit 24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10" w:lineRule="exact"/>
        <w:rPr>
          <w:sz w:val="20"/>
          <w:szCs w:val="20"/>
          <w:color w:val="auto"/>
        </w:rPr>
      </w:pPr>
    </w:p>
    <w:p>
      <w:pPr>
        <w:ind w:right="3099"/>
        <w:spacing w:after="0" w:line="25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Timothy P. Dordell, Nancy A. McGrath and Angela D. Snavely, signing singly, true and lawful attorneys-in-fact relative to the filings identified below in connection with the undersigned's derivative and non-derivative securities of The Toro Company (the ?Company?) to:</w:t>
      </w:r>
    </w:p>
    <w:p>
      <w:pPr>
        <w:spacing w:after="0" w:line="200" w:lineRule="exact"/>
        <w:rPr>
          <w:sz w:val="20"/>
          <w:szCs w:val="20"/>
          <w:color w:val="auto"/>
        </w:rPr>
      </w:pPr>
    </w:p>
    <w:p>
      <w:pPr>
        <w:ind w:right="3099" w:firstLine="7"/>
        <w:spacing w:after="0" w:line="252" w:lineRule="auto"/>
        <w:tabs>
          <w:tab w:leader="none" w:pos="83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196" w:lineRule="exact"/>
        <w:rPr>
          <w:rFonts w:ascii="Courier New" w:cs="Courier New" w:eastAsia="Courier New" w:hAnsi="Courier New"/>
          <w:sz w:val="17"/>
          <w:szCs w:val="17"/>
          <w:color w:val="auto"/>
        </w:rPr>
      </w:pPr>
    </w:p>
    <w:p>
      <w:pPr>
        <w:ind w:right="3419" w:firstLine="7"/>
        <w:spacing w:after="0" w:line="252" w:lineRule="auto"/>
        <w:tabs>
          <w:tab w:leader="none" w:pos="83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196" w:lineRule="exact"/>
        <w:rPr>
          <w:rFonts w:ascii="Courier New" w:cs="Courier New" w:eastAsia="Courier New" w:hAnsi="Courier New"/>
          <w:sz w:val="17"/>
          <w:szCs w:val="17"/>
          <w:color w:val="auto"/>
        </w:rPr>
      </w:pPr>
    </w:p>
    <w:p>
      <w:pPr>
        <w:ind w:right="3099" w:firstLine="7"/>
        <w:spacing w:after="0" w:line="252" w:lineRule="auto"/>
        <w:tabs>
          <w:tab w:leader="none" w:pos="83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6" w:lineRule="exact"/>
        <w:rPr>
          <w:rFonts w:ascii="Courier New" w:cs="Courier New" w:eastAsia="Courier New" w:hAnsi="Courier New"/>
          <w:sz w:val="17"/>
          <w:szCs w:val="17"/>
          <w:color w:val="auto"/>
        </w:rPr>
      </w:pPr>
    </w:p>
    <w:p>
      <w:pPr>
        <w:ind w:right="3099" w:firstLine="7"/>
        <w:spacing w:after="0" w:line="251" w:lineRule="auto"/>
        <w:tabs>
          <w:tab w:leader="none" w:pos="83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299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198" w:lineRule="exact"/>
        <w:rPr>
          <w:sz w:val="20"/>
          <w:szCs w:val="20"/>
          <w:color w:val="auto"/>
        </w:rPr>
      </w:pPr>
    </w:p>
    <w:p>
      <w:pPr>
        <w:ind w:right="3099"/>
        <w:spacing w:after="0" w:line="252" w:lineRule="auto"/>
        <w:rPr>
          <w:sz w:val="20"/>
          <w:szCs w:val="20"/>
          <w:color w:val="auto"/>
        </w:rPr>
      </w:pPr>
      <w:r>
        <w:rPr>
          <w:rFonts w:ascii="Courier New" w:cs="Courier New" w:eastAsia="Courier New" w:hAnsi="Courier New"/>
          <w:sz w:val="17"/>
          <w:szCs w:val="17"/>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42" w:right="1440" w:bottom="1440" w:gutter="0" w:footer="0" w:header="0"/>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J. Hoffman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J. Hoffman</w:t>
      </w:r>
    </w:p>
    <w:p>
      <w:pPr>
        <w:spacing w:after="0" w:line="200" w:lineRule="exact"/>
        <w:rPr>
          <w:sz w:val="20"/>
          <w:szCs w:val="20"/>
          <w:color w:val="auto"/>
        </w:rPr>
      </w:pPr>
    </w:p>
    <w:p>
      <w:pPr>
        <w:sectPr>
          <w:pgSz w:w="11900" w:h="16838" w:orient="portrait"/>
          <w:cols w:equalWidth="0" w:num="2">
            <w:col w:w="960" w:space="720"/>
            <w:col w:w="8539"/>
          </w:cols>
          <w:pgMar w:left="240" w:top="142"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11/25/2013</w:t>
      </w:r>
    </w:p>
    <w:sectPr>
      <w:pgSz w:w="11900" w:h="16838" w:orient="portrait"/>
      <w:cols w:equalWidth="0" w:num="2">
        <w:col w:w="640" w:space="200"/>
        <w:col w:w="937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2019-12-17T02:33:42Z</dcterms:created>
  <dcterms:modified xsi:type="dcterms:W3CDTF">2019-12-17T02:33:42Z</dcterms:modified>
</cp:coreProperties>
</file>