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46736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67360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MCINTYRE J LAWRENCE</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08/29/2003</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623"/>
        <w:spacing w:after="0"/>
        <w:rPr>
          <w:sz w:val="20"/>
          <w:szCs w:val="20"/>
          <w:color w:val="auto"/>
        </w:rPr>
      </w:pPr>
      <w:r>
        <w:rPr>
          <w:rFonts w:ascii="Times New Roman" w:cs="Times New Roman" w:eastAsia="Times New Roman" w:hAnsi="Times New Roman"/>
          <w:sz w:val="18"/>
          <w:szCs w:val="18"/>
          <w:color w:val="0000FF"/>
        </w:rPr>
        <w:t>Vice President, Secy. &amp; G.C.</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6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BLOOMINGDALE MN</w:t>
            </w:r>
          </w:p>
        </w:tc>
        <w:tc>
          <w:tcPr>
            <w:tcW w:w="1640" w:type="dxa"/>
            <w:vAlign w:val="bottom"/>
          </w:tcPr>
          <w:p>
            <w:pPr>
              <w:jc w:val="right"/>
              <w:ind w:right="24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4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320" w:type="dxa"/>
            <w:vAlign w:val="bottom"/>
          </w:tcPr>
          <w:p>
            <w:pPr>
              <w:ind w:left="440"/>
              <w:spacing w:after="0"/>
              <w:rPr>
                <w:sz w:val="20"/>
                <w:szCs w:val="20"/>
                <w:color w:val="auto"/>
              </w:rPr>
            </w:pPr>
            <w:r>
              <w:rPr>
                <w:rFonts w:ascii="Arial" w:cs="Arial" w:eastAsia="Arial" w:hAnsi="Arial"/>
                <w:sz w:val="14"/>
                <w:szCs w:val="14"/>
                <w:color w:val="auto"/>
              </w:rPr>
              <w:t>(State)</w:t>
            </w:r>
          </w:p>
        </w:tc>
        <w:tc>
          <w:tcPr>
            <w:tcW w:w="164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60" w:type="dxa"/>
            <w:vAlign w:val="bottom"/>
            <w:gridSpan w:val="2"/>
          </w:tcPr>
          <w:p>
            <w:pPr>
              <w:ind w:left="660"/>
              <w:spacing w:after="0"/>
              <w:rPr>
                <w:sz w:val="20"/>
                <w:szCs w:val="20"/>
                <w:color w:val="auto"/>
              </w:rPr>
            </w:pPr>
            <w:r>
              <w:rPr>
                <w:rFonts w:ascii="Arial" w:cs="Arial" w:eastAsia="Arial" w:hAnsi="Arial"/>
                <w:sz w:val="12"/>
                <w:szCs w:val="12"/>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28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60"/>
              <w:spacing w:after="0" w:line="131"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6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8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9"/>
              </w:rPr>
              <w:t>Transaction</w:t>
            </w:r>
          </w:p>
        </w:tc>
        <w:tc>
          <w:tcPr>
            <w:tcW w:w="2100" w:type="dxa"/>
            <w:vAlign w:val="bottom"/>
            <w:gridSpan w:val="6"/>
          </w:tcPr>
          <w:p>
            <w:pPr>
              <w:ind w:left="10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60" w:type="dxa"/>
            <w:vAlign w:val="bottom"/>
            <w:gridSpan w:val="2"/>
          </w:tcPr>
          <w:p>
            <w:pPr>
              <w:ind w:left="660"/>
              <w:spacing w:after="0" w:line="135"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4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4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40" w:type="dxa"/>
            <w:vAlign w:val="bottom"/>
            <w:gridSpan w:val="2"/>
            <w:vMerge w:val="continue"/>
          </w:tcPr>
          <w:p>
            <w:pPr>
              <w:spacing w:after="0"/>
              <w:rPr>
                <w:sz w:val="11"/>
                <w:szCs w:val="11"/>
                <w:color w:val="auto"/>
              </w:rPr>
            </w:pPr>
          </w:p>
        </w:tc>
        <w:tc>
          <w:tcPr>
            <w:tcW w:w="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2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gridSpan w:val="2"/>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1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760"/>
              <w:spacing w:after="0"/>
              <w:rPr>
                <w:sz w:val="20"/>
                <w:szCs w:val="20"/>
                <w:color w:val="auto"/>
              </w:rPr>
            </w:pPr>
            <w:r>
              <w:rPr>
                <w:rFonts w:ascii="Times New Roman" w:cs="Times New Roman" w:eastAsia="Times New Roman" w:hAnsi="Times New Roman"/>
                <w:sz w:val="18"/>
                <w:szCs w:val="18"/>
                <w:color w:val="0000FF"/>
              </w:rPr>
              <w:t>08/29/2003</w:t>
            </w:r>
          </w:p>
        </w:tc>
        <w:tc>
          <w:tcPr>
            <w:tcW w:w="22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4"/>
                <w:szCs w:val="14"/>
                <w:color w:val="0000FF"/>
              </w:rPr>
              <w:t>S</w:t>
            </w:r>
          </w:p>
        </w:tc>
        <w:tc>
          <w:tcPr>
            <w:tcW w:w="106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8"/>
                <w:szCs w:val="18"/>
                <w:color w:val="0000FF"/>
              </w:rPr>
              <w:t>10,000</w:t>
            </w:r>
            <w:r>
              <w:rPr>
                <w:rFonts w:ascii="Times New Roman" w:cs="Times New Roman" w:eastAsia="Times New Roman" w:hAnsi="Times New Roman"/>
                <w:sz w:val="22"/>
                <w:szCs w:val="22"/>
                <w:color w:val="008000"/>
                <w:vertAlign w:val="superscript"/>
              </w:rPr>
              <w:t>(2)</w:t>
            </w:r>
          </w:p>
        </w:tc>
        <w:tc>
          <w:tcPr>
            <w:tcW w:w="3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8"/>
                <w:szCs w:val="18"/>
                <w:color w:val="0000FF"/>
              </w:rPr>
              <w:t>D</w:t>
            </w:r>
          </w:p>
        </w:tc>
        <w:tc>
          <w:tcPr>
            <w:tcW w:w="660" w:type="dxa"/>
            <w:vAlign w:val="bottom"/>
            <w:tcBorders>
              <w:bottom w:val="single" w:sz="8" w:color="2C2C2C"/>
            </w:tcBorders>
            <w:gridSpan w:val="3"/>
          </w:tcPr>
          <w:p>
            <w:pPr>
              <w:jc w:val="right"/>
              <w:ind w:right="19"/>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46.98</w:t>
            </w:r>
          </w:p>
        </w:tc>
        <w:tc>
          <w:tcPr>
            <w:tcW w:w="1240" w:type="dxa"/>
            <w:vAlign w:val="bottom"/>
            <w:tcBorders>
              <w:bottom w:val="single" w:sz="8" w:color="2C2C2C"/>
            </w:tcBorders>
            <w:gridSpan w:val="2"/>
          </w:tcPr>
          <w:p>
            <w:pPr>
              <w:ind w:left="240"/>
              <w:spacing w:after="0"/>
              <w:rPr>
                <w:sz w:val="20"/>
                <w:szCs w:val="20"/>
                <w:color w:val="auto"/>
              </w:rPr>
            </w:pPr>
            <w:r>
              <w:rPr>
                <w:rFonts w:ascii="Times New Roman" w:cs="Times New Roman" w:eastAsia="Times New Roman" w:hAnsi="Times New Roman"/>
                <w:sz w:val="18"/>
                <w:szCs w:val="18"/>
                <w:color w:val="0000FF"/>
              </w:rPr>
              <w:t>980.353</w:t>
            </w:r>
            <w:r>
              <w:rPr>
                <w:rFonts w:ascii="Times New Roman" w:cs="Times New Roman" w:eastAsia="Times New Roman" w:hAnsi="Times New Roman"/>
                <w:sz w:val="22"/>
                <w:szCs w:val="22"/>
                <w:color w:val="008000"/>
                <w:vertAlign w:val="superscript"/>
              </w:rPr>
              <w:t>(1)</w:t>
            </w:r>
          </w:p>
        </w:tc>
        <w:tc>
          <w:tcPr>
            <w:tcW w:w="92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40" w:type="dxa"/>
            <w:vAlign w:val="bottom"/>
            <w:tcBorders>
              <w:top w:val="single" w:sz="8" w:color="2C2C2C"/>
            </w:tcBorders>
            <w:gridSpan w:val="14"/>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460" w:type="dxa"/>
            <w:vAlign w:val="bottom"/>
            <w:gridSpan w:val="11"/>
          </w:tcPr>
          <w:p>
            <w:pPr>
              <w:ind w:left="580"/>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2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Amount</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Expiration</w:t>
            </w:r>
          </w:p>
        </w:tc>
        <w:tc>
          <w:tcPr>
            <w:tcW w:w="360" w:type="dxa"/>
            <w:vAlign w:val="bottom"/>
          </w:tcPr>
          <w:p>
            <w:pPr>
              <w:spacing w:after="0"/>
              <w:rPr>
                <w:sz w:val="11"/>
                <w:szCs w:val="11"/>
                <w:color w:val="auto"/>
              </w:rPr>
            </w:pPr>
          </w:p>
        </w:tc>
        <w:tc>
          <w:tcPr>
            <w:tcW w:w="760" w:type="dxa"/>
            <w:vAlign w:val="bottom"/>
            <w:gridSpan w:val="3"/>
          </w:tcPr>
          <w:p>
            <w:pPr>
              <w:ind w:left="160"/>
              <w:spacing w:after="0" w:line="135" w:lineRule="exact"/>
              <w:rPr>
                <w:sz w:val="20"/>
                <w:szCs w:val="20"/>
                <w:color w:val="auto"/>
              </w:rPr>
            </w:pPr>
            <w:r>
              <w:rPr>
                <w:rFonts w:ascii="Arial" w:cs="Arial" w:eastAsia="Arial" w:hAnsi="Arial"/>
                <w:sz w:val="12"/>
                <w:szCs w:val="12"/>
                <w:b w:val="1"/>
                <w:bCs w:val="1"/>
                <w:color w:val="auto"/>
              </w:rPr>
              <w:t>Number</w:t>
            </w: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8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3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38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360" w:type="dxa"/>
            <w:vAlign w:val="bottom"/>
            <w:vMerge w:val="continue"/>
          </w:tcPr>
          <w:p>
            <w:pPr>
              <w:spacing w:after="0"/>
              <w:rPr>
                <w:sz w:val="14"/>
                <w:szCs w:val="14"/>
                <w:color w:val="auto"/>
              </w:rPr>
            </w:pPr>
          </w:p>
        </w:tc>
        <w:tc>
          <w:tcPr>
            <w:tcW w:w="760" w:type="dxa"/>
            <w:vAlign w:val="bottom"/>
            <w:gridSpan w:val="3"/>
          </w:tcPr>
          <w:p>
            <w:pPr>
              <w:ind w:left="160"/>
              <w:spacing w:after="0"/>
              <w:rPr>
                <w:sz w:val="20"/>
                <w:szCs w:val="20"/>
                <w:color w:val="auto"/>
              </w:rPr>
            </w:pPr>
            <w:r>
              <w:rPr>
                <w:rFonts w:ascii="Arial" w:cs="Arial" w:eastAsia="Arial" w:hAnsi="Arial"/>
                <w:sz w:val="12"/>
                <w:szCs w:val="12"/>
                <w:b w:val="1"/>
                <w:bCs w:val="1"/>
                <w:color w:val="auto"/>
              </w:rPr>
              <w:t>Shares</w:t>
            </w: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32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 addition, reporting person owns directly 10,216.174 Common Stock Units, 5,108.071 Matching Units and 27,918.304 Performance Share Units in The Toro Company Deferred Compensation Plan for Officers and 10,144.405 shares indirectly in The Toro Company Investment, Savings and ESOP.</w:t>
      </w:r>
    </w:p>
    <w:p>
      <w:pPr>
        <w:spacing w:after="0" w:line="27"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Reporting person sold 10,000 shares to the Company in a private transaction.</w:t>
      </w:r>
    </w:p>
    <w:p>
      <w:pPr>
        <w:spacing w:after="0" w:line="50"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N. Jeanne Ryan</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0000FF"/>
                <w:w w:val="95"/>
              </w:rPr>
              <w:t>09/03/2003</w:t>
            </w:r>
          </w:p>
        </w:tc>
      </w:tr>
      <w:tr>
        <w:trPr>
          <w:trHeight w:val="20"/>
        </w:trPr>
        <w:tc>
          <w:tcPr>
            <w:tcW w:w="11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8"/>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6715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2019-12-16T04:29:08Z</dcterms:created>
  <dcterms:modified xsi:type="dcterms:W3CDTF">2019-12-16T04:29:08Z</dcterms:modified>
</cp:coreProperties>
</file>