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29, 2005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3">
            <w:col w:w="3980" w:space="720"/>
            <w:col w:w="2740" w:space="720"/>
            <w:col w:w="3260"/>
          </w:cols>
          <w:pgMar w:left="240" w:top="122" w:right="239" w:bottom="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122" w:right="239" w:bottom="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8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36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as of May 27, 2005 was 43,112,997.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THE TORO COMPANY</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INDEX TO FORM 10-Q</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480" w:type="dxa"/>
            <w:vAlign w:val="bottom"/>
            <w:gridSpan w:val="7"/>
            <w:vMerge w:val="restart"/>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Page Number</w:t>
            </w:r>
          </w:p>
        </w:tc>
        <w:tc>
          <w:tcPr>
            <w:tcW w:w="0" w:type="dxa"/>
            <w:vAlign w:val="bottom"/>
          </w:tcPr>
          <w:p>
            <w:pPr>
              <w:spacing w:after="0"/>
              <w:rPr>
                <w:sz w:val="1"/>
                <w:szCs w:val="1"/>
                <w:color w:val="auto"/>
              </w:rPr>
            </w:pPr>
          </w:p>
        </w:tc>
      </w:tr>
      <w:tr>
        <w:trPr>
          <w:trHeight w:val="174"/>
        </w:trPr>
        <w:tc>
          <w:tcPr>
            <w:tcW w:w="3140" w:type="dxa"/>
            <w:vAlign w:val="bottom"/>
            <w:tcBorders>
              <w:bottom w:val="single" w:sz="8" w:color="0000EE"/>
            </w:tcBorders>
            <w:gridSpan w:val="5"/>
            <w:vMerge w:val="continue"/>
          </w:tcPr>
          <w:p>
            <w:pPr>
              <w:spacing w:after="0"/>
              <w:rPr>
                <w:sz w:val="14"/>
                <w:szCs w:val="14"/>
                <w:color w:val="auto"/>
              </w:rPr>
            </w:pPr>
          </w:p>
        </w:tc>
        <w:tc>
          <w:tcPr>
            <w:tcW w:w="748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8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Item 1.</w:t>
              </w:r>
            </w:hyperlink>
          </w:p>
        </w:tc>
        <w:tc>
          <w:tcPr>
            <w:tcW w:w="1520" w:type="dxa"/>
            <w:vAlign w:val="bottom"/>
            <w:tcBorders>
              <w:bottom w:val="single" w:sz="8" w:color="0000EE"/>
            </w:tcBorders>
            <w:gridSpan w:val="2"/>
          </w:tcPr>
          <w:p>
            <w:pPr>
              <w:ind w:left="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5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Earnings (Unaudited) - Three and Six Months Ended April 29, 2005 and April 30, 2004</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Balance Sheets (Unaudited) - April 29, 2005, April 30, 2004, and October 31, 2004</w:t>
              </w:r>
            </w:hyperlink>
          </w:p>
        </w:tc>
        <w:tc>
          <w:tcPr>
            <w:tcW w:w="1340" w:type="dxa"/>
            <w:vAlign w:val="bottom"/>
            <w:tcBorders>
              <w:top w:val="single" w:sz="8" w:color="0000EE"/>
            </w:tcBorders>
            <w:gridSpan w:val="2"/>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Six Months Ended April 29, 2005 and April 30, 2004</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20" w:type="dxa"/>
            <w:vAlign w:val="bottom"/>
            <w:tcBorders>
              <w:top w:val="single" w:sz="8" w:color="0000EE"/>
            </w:tcBorders>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18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6-12</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Item 2.</w:t>
              </w:r>
            </w:hyperlink>
          </w:p>
        </w:tc>
        <w:tc>
          <w:tcPr>
            <w:tcW w:w="2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vMerge w:val="continue"/>
          </w:tcPr>
          <w:p>
            <w:pPr>
              <w:spacing w:after="0"/>
              <w:rPr>
                <w:sz w:val="24"/>
                <w:szCs w:val="24"/>
                <w:color w:val="auto"/>
              </w:rPr>
            </w:pPr>
          </w:p>
        </w:tc>
        <w:tc>
          <w:tcPr>
            <w:tcW w:w="6480" w:type="dxa"/>
            <w:vAlign w:val="bottom"/>
            <w:tcBorders>
              <w:bottom w:val="single" w:sz="8" w:color="0000EE"/>
            </w:tcBorders>
            <w:gridSpan w:val="7"/>
          </w:tcPr>
          <w:p>
            <w:pPr>
              <w:ind w:left="20"/>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13-22</w:t>
            </w:r>
          </w:p>
        </w:tc>
        <w:tc>
          <w:tcPr>
            <w:tcW w:w="0" w:type="dxa"/>
            <w:vAlign w:val="bottom"/>
          </w:tcPr>
          <w:p>
            <w:pPr>
              <w:spacing w:after="0"/>
              <w:rPr>
                <w:sz w:val="1"/>
                <w:szCs w:val="1"/>
                <w:color w:val="auto"/>
              </w:rPr>
            </w:pPr>
          </w:p>
        </w:tc>
      </w:tr>
      <w:tr>
        <w:trPr>
          <w:trHeight w:val="412"/>
        </w:trPr>
        <w:tc>
          <w:tcPr>
            <w:tcW w:w="580" w:type="dxa"/>
            <w:vAlign w:val="bottom"/>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Item 3.</w:t>
              </w:r>
            </w:hyperlink>
          </w:p>
        </w:tc>
        <w:tc>
          <w:tcPr>
            <w:tcW w:w="10040" w:type="dxa"/>
            <w:vAlign w:val="bottom"/>
            <w:gridSpan w:val="11"/>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tcBorders>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Item 4.</w:t>
              </w:r>
            </w:hyperlink>
          </w:p>
        </w:tc>
        <w:tc>
          <w:tcPr>
            <w:tcW w:w="432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72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3640" w:type="dxa"/>
            <w:vAlign w:val="bottom"/>
            <w:gridSpan w:val="2"/>
          </w:tcPr>
          <w:p>
            <w:pPr>
              <w:spacing w:after="0"/>
              <w:rPr>
                <w:sz w:val="17"/>
                <w:szCs w:val="17"/>
                <w:color w:val="auto"/>
              </w:rPr>
            </w:pPr>
          </w:p>
        </w:tc>
        <w:tc>
          <w:tcPr>
            <w:tcW w:w="4640" w:type="dxa"/>
            <w:vAlign w:val="bottom"/>
          </w:tcPr>
          <w:p>
            <w:pPr>
              <w:spacing w:after="0"/>
              <w:rPr>
                <w:sz w:val="17"/>
                <w:szCs w:val="17"/>
                <w:color w:val="auto"/>
              </w:rPr>
            </w:pPr>
          </w:p>
        </w:tc>
      </w:tr>
      <w:tr>
        <w:trPr>
          <w:trHeight w:val="412"/>
        </w:trPr>
        <w:tc>
          <w:tcPr>
            <w:tcW w:w="540" w:type="dxa"/>
            <w:vAlign w:val="bottom"/>
            <w:gridSpan w:val="2"/>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1.</w:t>
              </w:r>
            </w:hyperlink>
          </w:p>
        </w:tc>
        <w:tc>
          <w:tcPr>
            <w:tcW w:w="5940" w:type="dxa"/>
            <w:vAlign w:val="bottom"/>
            <w:gridSpan w:val="8"/>
          </w:tcPr>
          <w:p>
            <w:pPr>
              <w:ind w:left="60"/>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4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2.</w:t>
              </w:r>
            </w:hyperlink>
          </w:p>
        </w:tc>
        <w:tc>
          <w:tcPr>
            <w:tcW w:w="5940" w:type="dxa"/>
            <w:vAlign w:val="bottom"/>
            <w:tcBorders>
              <w:bottom w:val="single" w:sz="8" w:color="0000EE"/>
            </w:tcBorders>
            <w:gridSpan w:val="8"/>
          </w:tcPr>
          <w:p>
            <w:pPr>
              <w:ind w:left="6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Changes in Securities, Use of Proceeds, and Issuer Purchases of Equity Securities</w:t>
              </w:r>
            </w:hyperlink>
          </w:p>
        </w:tc>
        <w:tc>
          <w:tcPr>
            <w:tcW w:w="4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4.</w:t>
              </w:r>
            </w:hyperlink>
          </w:p>
        </w:tc>
        <w:tc>
          <w:tcPr>
            <w:tcW w:w="3820" w:type="dxa"/>
            <w:vAlign w:val="bottom"/>
            <w:tcBorders>
              <w:bottom w:val="single" w:sz="8" w:color="0000EE"/>
            </w:tcBorders>
            <w:gridSpan w:val="7"/>
          </w:tcPr>
          <w:p>
            <w:pPr>
              <w:ind w:left="60"/>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Submission of Matters to a Vote of Security Holders</w:t>
              </w:r>
            </w:hyperlink>
          </w:p>
        </w:tc>
        <w:tc>
          <w:tcPr>
            <w:tcW w:w="212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6.</w:t>
              </w:r>
            </w:hyperlink>
          </w:p>
        </w:tc>
        <w:tc>
          <w:tcPr>
            <w:tcW w:w="660" w:type="dxa"/>
            <w:vAlign w:val="bottom"/>
            <w:tcBorders>
              <w:bottom w:val="single" w:sz="8" w:color="0000EE"/>
            </w:tcBorders>
          </w:tcPr>
          <w:p>
            <w:pPr>
              <w:ind w:left="60"/>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5280" w:type="dxa"/>
            <w:vAlign w:val="bottom"/>
            <w:gridSpan w:val="7"/>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4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20" w:type="dxa"/>
            <w:vAlign w:val="bottom"/>
            <w:gridSpan w:val="9"/>
          </w:tcPr>
          <w:p>
            <w:pPr>
              <w:spacing w:after="0" w:line="196" w:lineRule="exact"/>
              <w:rPr>
                <w:sz w:val="20"/>
                <w:szCs w:val="20"/>
                <w:color w:val="auto"/>
              </w:rPr>
            </w:pPr>
            <w:r>
              <w:rPr>
                <w:rFonts w:ascii="Arial" w:cs="Arial" w:eastAsia="Arial" w:hAnsi="Arial"/>
                <w:sz w:val="18"/>
                <w:szCs w:val="18"/>
                <w:color w:val="0000EE"/>
              </w:rPr>
              <w:t>Annual Management Incentive Plan II</w:t>
            </w:r>
          </w:p>
        </w:tc>
        <w:tc>
          <w:tcPr>
            <w:tcW w:w="46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6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Certification of CEO</w:t>
            </w:r>
          </w:p>
        </w:tc>
        <w:tc>
          <w:tcPr>
            <w:tcW w:w="3740" w:type="dxa"/>
            <w:vAlign w:val="bottom"/>
            <w:gridSpan w:val="3"/>
          </w:tcPr>
          <w:p>
            <w:pPr>
              <w:spacing w:after="0"/>
              <w:rPr>
                <w:sz w:val="17"/>
                <w:szCs w:val="17"/>
                <w:color w:val="auto"/>
              </w:rPr>
            </w:pPr>
          </w:p>
        </w:tc>
        <w:tc>
          <w:tcPr>
            <w:tcW w:w="46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 and CFO</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08"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PART I. ITEM 1. FINANCIAL INFORMATION</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23" w:lineRule="exact"/>
              <w:rPr>
                <w:sz w:val="20"/>
                <w:szCs w:val="20"/>
                <w:color w:val="auto"/>
              </w:rPr>
            </w:pPr>
            <w:r>
              <w:rPr>
                <w:rFonts w:ascii="Arial" w:cs="Arial" w:eastAsia="Arial" w:hAnsi="Arial"/>
                <w:sz w:val="14"/>
                <w:szCs w:val="14"/>
                <w:color w:val="auto"/>
                <w:w w:val="97"/>
              </w:rPr>
              <w:t>April 29,</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w w:val="97"/>
              </w:rPr>
              <w:t>April 30,</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340"/>
              <w:spacing w:after="0" w:line="123" w:lineRule="exact"/>
              <w:rPr>
                <w:sz w:val="20"/>
                <w:szCs w:val="20"/>
                <w:color w:val="auto"/>
              </w:rPr>
            </w:pPr>
            <w:r>
              <w:rPr>
                <w:rFonts w:ascii="Arial" w:cs="Arial" w:eastAsia="Arial" w:hAnsi="Arial"/>
                <w:sz w:val="14"/>
                <w:szCs w:val="14"/>
                <w:color w:val="auto"/>
                <w:w w:val="97"/>
              </w:rPr>
              <w:t>April 29,</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w w:val="97"/>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2005</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628,441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548,027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975,354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861,600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411,798</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349,148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637,048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550,111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216,643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198,879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338,306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119,542</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117,147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221,781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213,162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from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97,101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116,525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(4,873)</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Earnings before income taxes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93,170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109,975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3"/>
              </w:rPr>
              <w:t>61,958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 of common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gridSpan w:val="2"/>
          </w:tcPr>
          <w:p>
            <w:pPr>
              <w:spacing w:after="0"/>
              <w:rPr>
                <w:sz w:val="20"/>
                <w:szCs w:val="20"/>
                <w:color w:val="auto"/>
              </w:rPr>
            </w:pPr>
            <w:r>
              <w:rPr>
                <w:rFonts w:ascii="Arial" w:cs="Arial" w:eastAsia="Arial" w:hAnsi="Arial"/>
                <w:sz w:val="18"/>
                <w:szCs w:val="18"/>
                <w:color w:val="auto"/>
              </w:rPr>
              <w:t>Diluted net earnings per share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44,754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49,725</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outstanding – Dilutive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46,592</w:t>
            </w:r>
          </w:p>
        </w:tc>
        <w:tc>
          <w:tcPr>
            <w:tcW w:w="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52,178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47,210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52,230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April 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April 30,</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14,449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31,825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544,871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484,763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256,926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238,472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56,265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665,175</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498,171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479,070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476,117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315,973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311,452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164,665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18,302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1,161,877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1,076,663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928,747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151,137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29,991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293,333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260,159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387,011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315,570</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175,024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175,069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13,065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12,228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4"/>
              </w:rPr>
              <w:t>Preferred stock, par value $1.00, authorized 1,000,000 voting and 850,000 non-voting shares, none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par value $1.00, authorized 100,000,000 shares, issued and outstanding 43,267,698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shares as of April 29, 2005 (net of 10,764,522 treasury shares), 48,460,692 shares as of April 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2004 (net of 5,571,528 treasury shares), and 45,036,658 shares as of October 31, 2004 (net of</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8,995,562 treasury shares)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43,268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48,461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376,269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465,197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420,819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1,161,877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1,076,663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340"/>
              <w:spacing w:after="0" w:line="123" w:lineRule="exact"/>
              <w:rPr>
                <w:sz w:val="20"/>
                <w:szCs w:val="20"/>
                <w:color w:val="auto"/>
              </w:rPr>
            </w:pPr>
            <w:r>
              <w:rPr>
                <w:rFonts w:ascii="Arial" w:cs="Arial" w:eastAsia="Arial" w:hAnsi="Arial"/>
                <w:sz w:val="14"/>
                <w:szCs w:val="14"/>
                <w:color w:val="auto"/>
              </w:rPr>
              <w:t>April 29,</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earnings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73,134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to net cash used in operating activities, net of acquisition: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Non-cash asset recovery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losses from an investment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Provision for 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disposal of property, plant, and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deferred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(238,162)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(20,248)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600"/>
              <w:spacing w:after="0"/>
              <w:rPr>
                <w:sz w:val="20"/>
                <w:szCs w:val="20"/>
                <w:color w:val="auto"/>
              </w:rPr>
            </w:pPr>
            <w:r>
              <w:rPr>
                <w:rFonts w:ascii="Arial" w:cs="Arial" w:eastAsia="Arial" w:hAnsi="Arial"/>
                <w:sz w:val="18"/>
                <w:szCs w:val="18"/>
                <w:color w:val="auto"/>
              </w:rPr>
              <w:t>Accounts payable, accrued expenses, and deferred revenue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75,888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(63,047)</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Proceeds from disposal of property, plant,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investment in affiliates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Increase in other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a business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Acquisition, net of cash acquired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short-term debt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150,007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Repayments of long-term debt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benefits from share-based arrangements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Toro common stock</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Dividends paid on Toro common 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Effect of exchange rates on cash</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90,756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AND SUBSIDIARIES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29,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April 29, 2005 cannot be annualized to determine the expected results for the fiscal year ending October 31, 2005. Certain amounts from prior period’s financial statements have been reclassified to conform to this period’s presentation.</w:t>
      </w:r>
    </w:p>
    <w:p>
      <w:pPr>
        <w:spacing w:after="0" w:line="137"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5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2004. The policies described in that report are used for preparing quarterly reports.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On March 15, 2005, the company’s Board of Directors declared a two-for-one stock split of the company’s common stock, effected in the form of a</w:t>
      </w:r>
    </w:p>
    <w:p>
      <w:pPr>
        <w:spacing w:after="0" w:line="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100 percent stock dividend paid on April 12, 2005. As a result of this action, approximately 21.7 million shares were issued to stockholders of record as of March 28, 2005. Par value of the common stock remains at $1.00 per share and accordingly, approximately $21.7 million was transferred from retained earnings to common stock. All references to the number of common shares and per common share amounts have been adjusted to give retroactive effect to the stock split for all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February 8, 2005, the company completed the acquisition of certain assets and assumed certain liabilities of Hayter Limited (Hayter). Hayter designs, manufactures, and markets residential and professional turf maintenance equipment primarily for the United Kingdom market, with expected additional sales to Toro of approximately $35 million for fiscal 2005. If the acquisition of Hayter would have been consummated as of November 1, 2004, the expected impact on Toro’s sales would have been an increase of approximately $50 million for fiscal 2005. The preliminary purchase price was approximately</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$35 million, which was paid in cash, and included $31 million of current assets; $10.6 million of property, plant, and equipment; $7.1 million of intangible assets; and $13.4 million of assumed liabilities. The purchase price allocation is preliminary, and has been allocated to the identifiable assets acquired and liabilities assumed based on their fair values, with the excess purchase price recorded as goodwill. The purchase price should be finalized during the third quarter of fiscal 2005, with any necessary adjustments based on settlement of the final working capital statement to be recorded at that time. See note sections entitled “Goodwill” and “Other Intangible Assets” for further details related to the acquired intangible assets.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color w:val="auto"/>
              </w:rPr>
              <w:t>Six Months Ended</w:t>
            </w:r>
          </w:p>
        </w:tc>
      </w:tr>
      <w:tr>
        <w:trPr>
          <w:trHeight w:val="123"/>
        </w:trPr>
        <w:tc>
          <w:tcPr>
            <w:tcW w:w="5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560"/>
              <w:spacing w:after="0" w:line="123" w:lineRule="exact"/>
              <w:rPr>
                <w:sz w:val="20"/>
                <w:szCs w:val="20"/>
                <w:color w:val="auto"/>
              </w:rPr>
            </w:pPr>
            <w:r>
              <w:rPr>
                <w:rFonts w:ascii="Arial" w:cs="Arial" w:eastAsia="Arial" w:hAnsi="Arial"/>
                <w:sz w:val="14"/>
                <w:szCs w:val="14"/>
                <w:color w:val="auto"/>
              </w:rPr>
              <w:t>April 29,</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440" w:type="dxa"/>
            <w:vAlign w:val="bottom"/>
          </w:tcPr>
          <w:p>
            <w:pPr>
              <w:spacing w:after="0"/>
              <w:rPr>
                <w:sz w:val="10"/>
                <w:szCs w:val="10"/>
                <w:color w:val="auto"/>
              </w:rPr>
            </w:pPr>
          </w:p>
        </w:tc>
        <w:tc>
          <w:tcPr>
            <w:tcW w:w="900" w:type="dxa"/>
            <w:vAlign w:val="bottom"/>
            <w:tcBorders>
              <w:top w:val="single" w:sz="8" w:color="auto"/>
            </w:tcBorders>
            <w:gridSpan w:val="3"/>
          </w:tcPr>
          <w:p>
            <w:pPr>
              <w:ind w:left="80"/>
              <w:spacing w:after="0" w:line="123" w:lineRule="exact"/>
              <w:rPr>
                <w:sz w:val="20"/>
                <w:szCs w:val="20"/>
                <w:color w:val="auto"/>
              </w:rPr>
            </w:pPr>
            <w:r>
              <w:rPr>
                <w:rFonts w:ascii="Arial" w:cs="Arial" w:eastAsia="Arial" w:hAnsi="Arial"/>
                <w:sz w:val="14"/>
                <w:szCs w:val="14"/>
                <w:color w:val="auto"/>
              </w:rPr>
              <w:t>April 29,</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r>
      <w:tr>
        <w:trPr>
          <w:trHeight w:val="167"/>
        </w:trPr>
        <w:tc>
          <w:tcPr>
            <w:tcW w:w="5320" w:type="dxa"/>
            <w:vAlign w:val="bottom"/>
          </w:tcPr>
          <w:p>
            <w:pPr>
              <w:spacing w:after="0"/>
              <w:rPr>
                <w:sz w:val="20"/>
                <w:szCs w:val="20"/>
                <w:color w:val="auto"/>
              </w:rPr>
            </w:pPr>
            <w:r>
              <w:rPr>
                <w:rFonts w:ascii="Arial" w:cs="Arial" w:eastAsia="Arial" w:hAnsi="Arial"/>
                <w:sz w:val="14"/>
                <w:szCs w:val="14"/>
                <w:color w:val="auto"/>
              </w:rPr>
              <w:t>(Dollars in thousands)</w:t>
            </w: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73,134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61,524</w:t>
            </w: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adjustments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5320" w:type="dxa"/>
            <w:vAlign w:val="bottom"/>
          </w:tcPr>
          <w:p>
            <w:pPr>
              <w:ind w:left="420"/>
              <w:spacing w:after="0"/>
              <w:rPr>
                <w:sz w:val="20"/>
                <w:szCs w:val="20"/>
                <w:color w:val="auto"/>
              </w:rPr>
            </w:pPr>
            <w:r>
              <w:rPr>
                <w:rFonts w:ascii="Arial" w:cs="Arial" w:eastAsia="Arial" w:hAnsi="Arial"/>
                <w:sz w:val="18"/>
                <w:szCs w:val="18"/>
                <w:color w:val="auto"/>
              </w:rPr>
              <w:t>Unrealized gain on derivative instruments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r>
      <w:tr>
        <w:trPr>
          <w:trHeight w:val="27"/>
        </w:trPr>
        <w:tc>
          <w:tcPr>
            <w:tcW w:w="5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63,061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53,391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75,260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63,039</w:t>
            </w:r>
          </w:p>
        </w:tc>
      </w:tr>
      <w:tr>
        <w:trPr>
          <w:trHeight w:val="20"/>
        </w:trPr>
        <w:tc>
          <w:tcPr>
            <w:tcW w:w="5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November 1, 2004, the company adopted the provisions of Statement of Financial Accounting Standards (SFAS) No. 123 (Revised 2004), “Share-Based Payment.” The company adopted the provisions of SFAS No. 123R using the modified prospective application, which applies to new awards granted, unvested awards as of the date of adoption, and to awards modified, repurchased or cancelled after the date of adoption. SFAS No. 123R focuses primarily on accounting for transactions in which an entity obtains employee services through share-based payment transactions. SFAS No. 123R requires a public entity to measure the cost of employee services received in exchange for the award of equity instruments based on the fair value of the award as of the date of grant. The company had previously accounted for share-based compensation under the recognition and measurement principles of Accounting Principles Board Opinion No. 25, “Accounting for Stock Issued to Employees,” (APB No. 25), and related Interpretations.</w:t>
      </w:r>
    </w:p>
    <w:p>
      <w:pPr>
        <w:spacing w:after="0" w:line="12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During the first quarter of fiscal 2005, option awards were granted with an exercise price equal to the market price of the company’s stock as of the date of grant. For certain non-officer employees, the 2005 options vest over two years and have a five-year contractual term. This was the first time the two-year vesting was required for options granted to the non-officer employee group. Other options granted during the first quarter of fiscal 2005 vest over a one- to three-year period and have a ten-year contractual term. No stock-based awards were granted during the second quarter of fiscal 2005.</w:t>
      </w:r>
    </w:p>
    <w:p>
      <w:pPr>
        <w:spacing w:after="0" w:line="13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also issues Performance Shares to key employees. Under the provisions of APB No. 25, the change in value of these Performance Shares (based on the change in Toro’s stock price) was recognized in the financial statements and the cost of the award was expensed over the vesting period. Under the provisions of SFAS No. 123R, the company determines the fair value of these Performance Shares as of the date of grant and recognizes the expense over the vesting period.</w:t>
      </w:r>
    </w:p>
    <w:p>
      <w:pPr>
        <w:spacing w:after="0" w:line="160"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following table illustrates the effect on net earnings and net earnings per share if the company had applied the fair value recognition provisions of SFAS No. 123R for the second quarter and year-to-date periods of fiscal 2004.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w w:val="97"/>
              </w:rPr>
              <w:t>April 29,</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20"/>
              <w:spacing w:after="0" w:line="123" w:lineRule="exact"/>
              <w:rPr>
                <w:sz w:val="20"/>
                <w:szCs w:val="20"/>
                <w:color w:val="auto"/>
              </w:rPr>
            </w:pPr>
            <w:r>
              <w:rPr>
                <w:rFonts w:ascii="Arial" w:cs="Arial" w:eastAsia="Arial" w:hAnsi="Arial"/>
                <w:sz w:val="14"/>
                <w:szCs w:val="14"/>
                <w:color w:val="auto"/>
              </w:rPr>
              <w:t>April 29,</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(Dollars in thousands, except per share data)</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73,134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61,524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Share-based compensation cost, net of tax, included in net earnings as reported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2,952</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3,158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net of tax, if fair value method had been applied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Pro forma net earnings as if fair-value method had been applied</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61,958</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53,493</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data: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As reported — 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 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20"/>
              <w:spacing w:after="0"/>
              <w:rPr>
                <w:sz w:val="20"/>
                <w:szCs w:val="20"/>
                <w:color w:val="auto"/>
              </w:rPr>
            </w:pPr>
            <w:r>
              <w:rPr>
                <w:rFonts w:ascii="Arial" w:cs="Arial" w:eastAsia="Arial" w:hAnsi="Arial"/>
                <w:sz w:val="18"/>
                <w:szCs w:val="18"/>
                <w:color w:val="auto"/>
              </w:rPr>
              <w:t>As reported — Diluted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60" w:right="1980" w:hanging="5660"/>
        <w:spacing w:after="0" w:line="496" w:lineRule="auto"/>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rate for periods within the contractual life of the option is based on the U.S. Treasury rate over the expected life at the time of grant. Dividend yield is estimated over the expected life based on the company’s dividend policy, historical dividends paid, and expected increase in the company’s stock price. The following table illustrates the assumptions for options granted in the following fiscal years.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Fiscal 2005</w:t>
            </w:r>
          </w:p>
        </w:tc>
        <w:tc>
          <w:tcPr>
            <w:tcW w:w="560" w:type="dxa"/>
            <w:vAlign w:val="bottom"/>
          </w:tcPr>
          <w:p>
            <w:pPr>
              <w:spacing w:after="0"/>
              <w:rPr>
                <w:sz w:val="14"/>
                <w:szCs w:val="14"/>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Fiscal 2004</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25.87%</w:t>
            </w:r>
          </w:p>
        </w:tc>
        <w:tc>
          <w:tcPr>
            <w:tcW w:w="1140" w:type="dxa"/>
            <w:vAlign w:val="bottom"/>
          </w:tcPr>
          <w:p>
            <w:pPr>
              <w:ind w:left="20"/>
              <w:spacing w:after="0"/>
              <w:rPr>
                <w:sz w:val="20"/>
                <w:szCs w:val="20"/>
                <w:color w:val="auto"/>
              </w:rPr>
            </w:pPr>
            <w:r>
              <w:rPr>
                <w:rFonts w:ascii="Arial" w:cs="Arial" w:eastAsia="Arial" w:hAnsi="Arial"/>
                <w:sz w:val="18"/>
                <w:szCs w:val="18"/>
                <w:color w:val="auto"/>
              </w:rPr>
              <w:t>- 30.41%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1140" w:type="dxa"/>
            <w:vAlign w:val="bottom"/>
          </w:tcPr>
          <w:p>
            <w:pPr>
              <w:ind w:left="20"/>
              <w:spacing w:after="0"/>
              <w:rPr>
                <w:sz w:val="20"/>
                <w:szCs w:val="20"/>
                <w:color w:val="auto"/>
              </w:rPr>
            </w:pPr>
            <w:r>
              <w:rPr>
                <w:rFonts w:ascii="Arial" w:cs="Arial" w:eastAsia="Arial" w:hAnsi="Arial"/>
                <w:sz w:val="18"/>
                <w:szCs w:val="18"/>
                <w:color w:val="auto"/>
              </w:rPr>
              <w:t>- 27.84%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1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28.04%</w:t>
            </w:r>
          </w:p>
        </w:tc>
        <w:tc>
          <w:tcPr>
            <w:tcW w:w="272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27.72%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Risk-free rate</w:t>
            </w: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140" w:type="dxa"/>
            <w:vAlign w:val="bottom"/>
          </w:tcPr>
          <w:p>
            <w:pPr>
              <w:ind w:left="20"/>
              <w:spacing w:after="0"/>
              <w:rPr>
                <w:sz w:val="20"/>
                <w:szCs w:val="20"/>
                <w:color w:val="auto"/>
              </w:rPr>
            </w:pPr>
            <w:r>
              <w:rPr>
                <w:rFonts w:ascii="Arial" w:cs="Arial" w:eastAsia="Arial" w:hAnsi="Arial"/>
                <w:sz w:val="18"/>
                <w:szCs w:val="18"/>
                <w:color w:val="auto"/>
              </w:rPr>
              <w:t>- 4.04%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140" w:type="dxa"/>
            <w:vAlign w:val="bottom"/>
          </w:tcPr>
          <w:p>
            <w:pPr>
              <w:ind w:left="20"/>
              <w:spacing w:after="0"/>
              <w:rPr>
                <w:sz w:val="20"/>
                <w:szCs w:val="20"/>
                <w:color w:val="auto"/>
              </w:rPr>
            </w:pPr>
            <w:r>
              <w:rPr>
                <w:rFonts w:ascii="Arial" w:cs="Arial" w:eastAsia="Arial" w:hAnsi="Arial"/>
                <w:sz w:val="18"/>
                <w:szCs w:val="18"/>
                <w:color w:val="auto"/>
              </w:rPr>
              <w:t>- 4.10%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- 0.39%</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160" w:type="dxa"/>
            <w:vAlign w:val="bottom"/>
            <w:gridSpan w:val="2"/>
          </w:tcPr>
          <w:p>
            <w:pPr>
              <w:jc w:val="right"/>
              <w:ind w:right="770"/>
              <w:spacing w:after="0"/>
              <w:rPr>
                <w:sz w:val="20"/>
                <w:szCs w:val="20"/>
                <w:color w:val="auto"/>
              </w:rPr>
            </w:pPr>
            <w:r>
              <w:rPr>
                <w:rFonts w:ascii="Arial" w:cs="Arial" w:eastAsia="Arial" w:hAnsi="Arial"/>
                <w:sz w:val="18"/>
                <w:szCs w:val="18"/>
                <w:color w:val="auto"/>
              </w:rPr>
              <w:t>0.22%</w:t>
            </w:r>
          </w:p>
        </w:tc>
        <w:tc>
          <w:tcPr>
            <w:tcW w:w="2720" w:type="dxa"/>
            <w:vAlign w:val="bottom"/>
            <w:gridSpan w:val="3"/>
          </w:tcPr>
          <w:p>
            <w:pPr>
              <w:jc w:val="right"/>
              <w:ind w:right="750"/>
              <w:spacing w:after="0"/>
              <w:rPr>
                <w:sz w:val="20"/>
                <w:szCs w:val="20"/>
                <w:color w:val="auto"/>
              </w:rPr>
            </w:pPr>
            <w:r>
              <w:rPr>
                <w:rFonts w:ascii="Arial" w:cs="Arial" w:eastAsia="Arial" w:hAnsi="Arial"/>
                <w:sz w:val="18"/>
                <w:szCs w:val="18"/>
                <w:color w:val="auto"/>
              </w:rPr>
              <w:t>0.32%</w:t>
            </w:r>
          </w:p>
        </w:tc>
      </w:tr>
    </w:tbl>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weighted-average fair value of options granted during the first fiscal quarter of fiscal 2005 and 2004 was $11.14 and $7.69, respectively. The fair value of Performance Shares granted during the first fiscal quarter of fiscal 2005 and 2004 was $37.02 and $24.16, respectively. No options or Performance Shares were granted during the second quarter of fiscal 2005 and 2004.</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illustrates the effect on the company’s earnings, net earnings, and earnings per share if the company had applied the original provisions of APB No. 25 and related interpretations instead of SFAS No. 123R.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4"/>
              </w:rPr>
              <w:t>Increase (decrease)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impact of adopting</w:t>
            </w:r>
          </w:p>
        </w:tc>
        <w:tc>
          <w:tcPr>
            <w:tcW w:w="0" w:type="dxa"/>
            <w:vAlign w:val="bottom"/>
          </w:tcPr>
          <w:p>
            <w:pPr>
              <w:spacing w:after="0"/>
              <w:rPr>
                <w:sz w:val="1"/>
                <w:szCs w:val="1"/>
                <w:color w:val="auto"/>
              </w:rPr>
            </w:pPr>
          </w:p>
        </w:tc>
      </w:tr>
      <w:tr>
        <w:trPr>
          <w:trHeight w:val="167"/>
        </w:trPr>
        <w:tc>
          <w:tcPr>
            <w:tcW w:w="76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140" w:type="dxa"/>
            <w:vAlign w:val="bottom"/>
            <w:gridSpan w:val="3"/>
          </w:tcPr>
          <w:p>
            <w:pPr>
              <w:spacing w:after="0"/>
              <w:rPr>
                <w:sz w:val="20"/>
                <w:szCs w:val="20"/>
                <w:color w:val="auto"/>
              </w:rPr>
            </w:pPr>
            <w:r>
              <w:rPr>
                <w:rFonts w:ascii="Arial" w:cs="Arial" w:eastAsia="Arial" w:hAnsi="Arial"/>
                <w:sz w:val="14"/>
                <w:szCs w:val="14"/>
                <w:color w:val="auto"/>
              </w:rPr>
              <w:t>As Reported (1)</w:t>
            </w:r>
          </w:p>
        </w:tc>
        <w:tc>
          <w:tcPr>
            <w:tcW w:w="1420" w:type="dxa"/>
            <w:vAlign w:val="bottom"/>
            <w:gridSpan w:val="4"/>
          </w:tcPr>
          <w:p>
            <w:pPr>
              <w:ind w:left="180"/>
              <w:spacing w:after="0"/>
              <w:rPr>
                <w:sz w:val="20"/>
                <w:szCs w:val="20"/>
                <w:color w:val="auto"/>
              </w:rPr>
            </w:pPr>
            <w:r>
              <w:rPr>
                <w:rFonts w:ascii="Arial" w:cs="Arial" w:eastAsia="Arial" w:hAnsi="Arial"/>
                <w:sz w:val="14"/>
                <w:szCs w:val="14"/>
                <w:color w:val="auto"/>
              </w:rPr>
              <w:t>Pro Forma (2)</w:t>
            </w: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SFAS No. 123R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29, 2005</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97,101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96,278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92,347</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61,958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61,411</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April 29, 2005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116,525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112,172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105,622</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73,134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70,238</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(88,408)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(84,393)</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56,105</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 As reported reflects the application of the provisions of SFAS No. 123R.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 Pro forma assumes the application of the provisions of APB No. 25.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first-in, first-out (FIFO) for all other inventories. The company establishes a reserve for excess, slow-moving, and obsolete inventory that is the difference between the cost and estimated market value for that inventory. These reserves are based on a review and comparison of current inventory levels to the production and sales history of the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April 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April 30,</w:t>
            </w:r>
          </w:p>
        </w:tc>
        <w:tc>
          <w:tcPr>
            <w:tcW w:w="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October 31,</w:t>
            </w:r>
          </w:p>
        </w:tc>
      </w:tr>
      <w:tr>
        <w:trPr>
          <w:trHeight w:val="167"/>
        </w:trPr>
        <w:tc>
          <w:tcPr>
            <w:tcW w:w="8320" w:type="dxa"/>
            <w:vAlign w:val="bottom"/>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73,840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238,625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213,814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210,141</w:t>
            </w:r>
          </w:p>
        </w:tc>
      </w:tr>
      <w:tr>
        <w:trPr>
          <w:trHeight w:val="27"/>
        </w:trPr>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310,169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287,654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274,310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Less: LIFO</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30,227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30,227</w:t>
            </w: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reserves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16,883</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256,926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238,472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227,200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dilutive weighted average shares of common stock outstanding are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300" w:type="dxa"/>
            <w:vAlign w:val="bottom"/>
            <w:gridSpan w:val="4"/>
          </w:tcPr>
          <w:p>
            <w:pPr>
              <w:ind w:left="320"/>
              <w:spacing w:after="0"/>
              <w:rPr>
                <w:sz w:val="20"/>
                <w:szCs w:val="20"/>
                <w:color w:val="auto"/>
              </w:rPr>
            </w:pPr>
            <w:r>
              <w:rPr>
                <w:rFonts w:ascii="Arial" w:cs="Arial" w:eastAsia="Arial" w:hAnsi="Arial"/>
                <w:sz w:val="14"/>
                <w:szCs w:val="14"/>
                <w:color w:val="auto"/>
              </w:rPr>
              <w:t>Three Months Ended</w:t>
            </w:r>
          </w:p>
        </w:tc>
        <w:tc>
          <w:tcPr>
            <w:tcW w:w="1900" w:type="dxa"/>
            <w:vAlign w:val="bottom"/>
            <w:gridSpan w:val="4"/>
          </w:tcPr>
          <w:p>
            <w:pPr>
              <w:ind w:left="3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April 29,</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April 30,</w:t>
            </w:r>
          </w:p>
        </w:tc>
        <w:tc>
          <w:tcPr>
            <w:tcW w:w="440" w:type="dxa"/>
            <w:vAlign w:val="bottom"/>
          </w:tcPr>
          <w:p>
            <w:pPr>
              <w:spacing w:after="0"/>
              <w:rPr>
                <w:sz w:val="10"/>
                <w:szCs w:val="10"/>
                <w:color w:val="auto"/>
              </w:rPr>
            </w:pPr>
          </w:p>
        </w:tc>
        <w:tc>
          <w:tcPr>
            <w:tcW w:w="112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April 29,</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2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Basic</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w:t>
            </w:r>
          </w:p>
        </w:tc>
        <w:tc>
          <w:tcPr>
            <w:tcW w:w="700" w:type="dxa"/>
            <w:vAlign w:val="bottom"/>
          </w:tcPr>
          <w:p>
            <w:pPr>
              <w:jc w:val="right"/>
              <w:spacing w:after="0"/>
              <w:rPr>
                <w:sz w:val="20"/>
                <w:szCs w:val="20"/>
                <w:color w:val="auto"/>
              </w:rPr>
            </w:pPr>
            <w:r>
              <w:rPr>
                <w:rFonts w:ascii="Arial" w:cs="Arial" w:eastAsia="Arial" w:hAnsi="Arial"/>
                <w:sz w:val="18"/>
                <w:szCs w:val="18"/>
                <w:color w:val="auto"/>
              </w:rPr>
              <w:t>44,754</w:t>
            </w:r>
          </w:p>
        </w:tc>
        <w:tc>
          <w:tcPr>
            <w:tcW w:w="48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49,599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45,366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7220" w:type="dxa"/>
            <w:vAlign w:val="bottom"/>
            <w:gridSpan w:val="2"/>
          </w:tcPr>
          <w:p>
            <w:pPr>
              <w:spacing w:after="0"/>
              <w:rPr>
                <w:sz w:val="20"/>
                <w:szCs w:val="20"/>
                <w:color w:val="auto"/>
              </w:rPr>
            </w:pPr>
            <w:r>
              <w:rPr>
                <w:rFonts w:ascii="Arial" w:cs="Arial" w:eastAsia="Arial" w:hAnsi="Arial"/>
                <w:sz w:val="18"/>
                <w:szCs w:val="18"/>
                <w:color w:val="auto"/>
                <w:w w:val="98"/>
              </w:rPr>
              <w:t>Weighted average number of shares of common stock and assumed issuance of contingent</w:t>
            </w:r>
          </w:p>
        </w:tc>
        <w:tc>
          <w:tcPr>
            <w:tcW w:w="7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spacing w:after="0"/>
              <w:rPr>
                <w:sz w:val="20"/>
                <w:szCs w:val="20"/>
                <w:color w:val="auto"/>
              </w:rPr>
            </w:pPr>
            <w:r>
              <w:rPr>
                <w:rFonts w:ascii="Arial" w:cs="Arial" w:eastAsia="Arial" w:hAnsi="Arial"/>
                <w:sz w:val="18"/>
                <w:szCs w:val="18"/>
                <w:color w:val="auto"/>
              </w:rPr>
              <w:t>44,754</w:t>
            </w:r>
          </w:p>
        </w:tc>
        <w:tc>
          <w:tcPr>
            <w:tcW w:w="4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49,599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45,438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Dilutive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220" w:type="dxa"/>
            <w:vAlign w:val="bottom"/>
            <w:gridSpan w:val="2"/>
          </w:tcPr>
          <w:p>
            <w:pPr>
              <w:spacing w:after="0"/>
              <w:rPr>
                <w:sz w:val="20"/>
                <w:szCs w:val="20"/>
                <w:color w:val="auto"/>
              </w:rPr>
            </w:pPr>
            <w:r>
              <w:rPr>
                <w:rFonts w:ascii="Arial" w:cs="Arial" w:eastAsia="Arial" w:hAnsi="Arial"/>
                <w:sz w:val="18"/>
                <w:szCs w:val="18"/>
                <w:color w:val="auto"/>
                <w:w w:val="98"/>
              </w:rPr>
              <w:t>Weighted average number of shares of common stock and assumed issuance of contingent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spacing w:after="0"/>
              <w:rPr>
                <w:sz w:val="20"/>
                <w:szCs w:val="20"/>
                <w:color w:val="auto"/>
              </w:rPr>
            </w:pPr>
            <w:r>
              <w:rPr>
                <w:rFonts w:ascii="Arial" w:cs="Arial" w:eastAsia="Arial" w:hAnsi="Arial"/>
                <w:sz w:val="18"/>
                <w:szCs w:val="18"/>
                <w:color w:val="auto"/>
              </w:rPr>
              <w:t>44,754</w:t>
            </w:r>
          </w:p>
        </w:tc>
        <w:tc>
          <w:tcPr>
            <w:tcW w:w="4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49,599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45,438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9"/>
        </w:trPr>
        <w:tc>
          <w:tcPr>
            <w:tcW w:w="722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shares of common stock, assumed issuance of contingent shares,</w:t>
            </w:r>
          </w:p>
        </w:tc>
        <w:tc>
          <w:tcPr>
            <w:tcW w:w="7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and effect of dilutive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46,592</w:t>
            </w:r>
          </w:p>
        </w:tc>
        <w:tc>
          <w:tcPr>
            <w:tcW w:w="4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52,178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47,210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March 28,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 Effective the beginning of fiscal 2005, the company combined the Distribution segment with the Other segment because the company-owned distributorships that comprised the former Distribution segment do not meet the quantitative thresholds for separate reporting as an operating segment for all periods presented. Prior periods have been reclassified to conform to the current period presentation.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40" w:type="dxa"/>
            <w:vAlign w:val="bottom"/>
            <w:gridSpan w:val="4"/>
          </w:tcPr>
          <w:p>
            <w:pPr>
              <w:spacing w:after="0"/>
              <w:rPr>
                <w:sz w:val="20"/>
                <w:szCs w:val="20"/>
                <w:color w:val="auto"/>
              </w:rPr>
            </w:pPr>
            <w:r>
              <w:rPr>
                <w:rFonts w:ascii="Arial" w:cs="Arial" w:eastAsia="Arial" w:hAnsi="Arial"/>
                <w:sz w:val="14"/>
                <w:szCs w:val="14"/>
                <w:color w:val="auto"/>
              </w:rPr>
              <w:t>(Dollars in thousands)</w:t>
            </w:r>
          </w:p>
        </w:tc>
        <w:tc>
          <w:tcPr>
            <w:tcW w:w="1140" w:type="dxa"/>
            <w:vAlign w:val="bottom"/>
            <w:gridSpan w:val="4"/>
          </w:tcPr>
          <w:p>
            <w:pPr>
              <w:ind w:left="160"/>
              <w:spacing w:after="0"/>
              <w:rPr>
                <w:sz w:val="20"/>
                <w:szCs w:val="20"/>
                <w:color w:val="auto"/>
              </w:rPr>
            </w:pPr>
            <w:r>
              <w:rPr>
                <w:rFonts w:ascii="Arial" w:cs="Arial" w:eastAsia="Arial" w:hAnsi="Arial"/>
                <w:sz w:val="14"/>
                <w:szCs w:val="14"/>
                <w:color w:val="auto"/>
              </w:rPr>
              <w:t>Professional</w:t>
            </w:r>
          </w:p>
        </w:tc>
        <w:tc>
          <w:tcPr>
            <w:tcW w:w="16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Residential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0"/>
              </w:rPr>
              <w:t>Three months ended April 29, 2005</w:t>
            </w:r>
          </w:p>
        </w:tc>
        <w:tc>
          <w:tcPr>
            <w:tcW w:w="44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$ 389,052</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$ 227,722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$ 11,667</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$ 628,441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18,166</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3,884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(22,050)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84,623</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28,963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(20,416)</w:t>
            </w:r>
          </w:p>
        </w:tc>
        <w:tc>
          <w:tcPr>
            <w:tcW w:w="10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93,170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Three months ended April 30, 2004</w:t>
            </w:r>
          </w:p>
        </w:tc>
        <w:tc>
          <w:tcPr>
            <w:tcW w:w="4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$ 338,524</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$ 194,838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$ 14,665</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$ 548,027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32,061</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(35,315)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71,704</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26,719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(19,928)</w:t>
            </w:r>
          </w:p>
        </w:tc>
        <w:tc>
          <w:tcPr>
            <w:tcW w:w="10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78,495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color w:val="auto"/>
              </w:rPr>
              <w:t>Professional</w:t>
            </w:r>
          </w:p>
        </w:tc>
        <w:tc>
          <w:tcPr>
            <w:tcW w:w="1000" w:type="dxa"/>
            <w:vAlign w:val="bottom"/>
            <w:gridSpan w:val="4"/>
          </w:tcPr>
          <w:p>
            <w:pPr>
              <w:jc w:val="right"/>
              <w:ind w:right="320"/>
              <w:spacing w:after="0"/>
              <w:rPr>
                <w:sz w:val="20"/>
                <w:szCs w:val="20"/>
                <w:color w:val="auto"/>
              </w:rPr>
            </w:pPr>
            <w:r>
              <w:rPr>
                <w:rFonts w:ascii="Arial" w:cs="Arial" w:eastAsia="Arial" w:hAnsi="Arial"/>
                <w:sz w:val="14"/>
                <w:szCs w:val="14"/>
                <w:color w:val="auto"/>
                <w:w w:val="95"/>
              </w:rPr>
              <w:t>Residential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0"/>
              </w:rPr>
              <w:t>Six months ended April 29, 2005</w:t>
            </w:r>
          </w:p>
        </w:tc>
        <w:tc>
          <w:tcPr>
            <w:tcW w:w="46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$ 634,282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$ 323,598</w:t>
            </w: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17,474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975,354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28,063</w:t>
            </w: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(32,636)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123,488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(46,910)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360,846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1,161,877</w:t>
            </w:r>
          </w:p>
        </w:tc>
        <w:tc>
          <w:tcPr>
            <w:tcW w:w="0" w:type="dxa"/>
            <w:vAlign w:val="bottom"/>
          </w:tcPr>
          <w:p>
            <w:pPr>
              <w:spacing w:after="0"/>
              <w:rPr>
                <w:sz w:val="1"/>
                <w:szCs w:val="1"/>
                <w:color w:val="auto"/>
              </w:rPr>
            </w:pPr>
          </w:p>
        </w:tc>
      </w:tr>
      <w:tr>
        <w:trPr>
          <w:trHeight w:val="392"/>
        </w:trPr>
        <w:tc>
          <w:tcPr>
            <w:tcW w:w="7040" w:type="dxa"/>
            <w:vAlign w:val="bottom"/>
            <w:gridSpan w:val="4"/>
          </w:tcPr>
          <w:p>
            <w:pPr>
              <w:spacing w:after="0"/>
              <w:rPr>
                <w:sz w:val="20"/>
                <w:szCs w:val="20"/>
                <w:color w:val="auto"/>
              </w:rPr>
            </w:pPr>
            <w:r>
              <w:rPr>
                <w:rFonts w:ascii="Arial" w:cs="Arial" w:eastAsia="Arial" w:hAnsi="Arial"/>
                <w:sz w:val="18"/>
                <w:szCs w:val="18"/>
                <w:color w:val="auto"/>
              </w:rPr>
              <w:t>Six months ended April 30, 2004</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$ 546,202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$ 292,725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45,995</w:t>
            </w:r>
          </w:p>
        </w:tc>
        <w:tc>
          <w:tcPr>
            <w:tcW w:w="2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(50,080)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100,153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(42,692)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489,946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249,088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337,629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1,076,663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gridSpan w:val="8"/>
          </w:tcPr>
          <w:p>
            <w:pPr>
              <w:jc w:val="right"/>
              <w:ind w:right="760"/>
              <w:spacing w:after="0"/>
              <w:rPr>
                <w:sz w:val="20"/>
                <w:szCs w:val="20"/>
                <w:color w:val="auto"/>
              </w:rPr>
            </w:pPr>
            <w:r>
              <w:rPr>
                <w:rFonts w:ascii="Arial" w:cs="Arial" w:eastAsia="Arial" w:hAnsi="Arial"/>
                <w:sz w:val="14"/>
                <w:szCs w:val="14"/>
                <w:color w:val="auto"/>
              </w:rPr>
              <w:t>Three Months Ended</w:t>
            </w:r>
          </w:p>
        </w:tc>
        <w:tc>
          <w:tcPr>
            <w:tcW w:w="1900" w:type="dxa"/>
            <w:vAlign w:val="bottom"/>
            <w:gridSpan w:val="6"/>
          </w:tcPr>
          <w:p>
            <w:pPr>
              <w:jc w:val="right"/>
              <w:ind w:righ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5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rPr>
              <w:t>April 29,</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rPr>
              <w:t>April 29,</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Arial" w:cs="Arial" w:eastAsia="Arial" w:hAnsi="Arial"/>
                <w:sz w:val="14"/>
                <w:szCs w:val="14"/>
                <w:color w:val="auto"/>
              </w:rPr>
              <w:t>(Dollars in thousands)</w:t>
            </w:r>
          </w:p>
        </w:tc>
        <w:tc>
          <w:tcPr>
            <w:tcW w:w="2040" w:type="dxa"/>
            <w:vAlign w:val="bottom"/>
          </w:tcPr>
          <w:p>
            <w:pPr>
              <w:spacing w:after="0"/>
              <w:rPr>
                <w:sz w:val="14"/>
                <w:szCs w:val="14"/>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(21,937)</w:t>
            </w:r>
          </w:p>
        </w:tc>
        <w:tc>
          <w:tcPr>
            <w:tcW w:w="116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color w:val="auto"/>
                <w:w w:val="92"/>
              </w:rPr>
              <w:t>$ (25,040)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(47,883)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(45,516)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Finance charge revenue</w:t>
            </w:r>
          </w:p>
        </w:tc>
        <w:tc>
          <w:tcPr>
            <w:tcW w:w="3180" w:type="dxa"/>
            <w:vAlign w:val="bottom"/>
            <w:gridSpan w:val="3"/>
          </w:tcPr>
          <w:p>
            <w:pPr>
              <w:jc w:val="right"/>
              <w:ind w:right="36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3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 net</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(3,702)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(20,416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(19,928</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(46,910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(42,692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Goodwill</w:t>
            </w:r>
          </w:p>
        </w:tc>
        <w:tc>
          <w:tcPr>
            <w:tcW w:w="2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4"/>
          </w:tcPr>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2005 were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5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center"/>
              <w:ind w:right="460"/>
              <w:spacing w:after="0"/>
              <w:rPr>
                <w:sz w:val="20"/>
                <w:szCs w:val="20"/>
                <w:color w:val="auto"/>
              </w:rPr>
            </w:pPr>
            <w:r>
              <w:rPr>
                <w:rFonts w:ascii="Arial" w:cs="Arial" w:eastAsia="Arial" w:hAnsi="Arial"/>
                <w:sz w:val="14"/>
                <w:szCs w:val="14"/>
                <w:color w:val="auto"/>
                <w:w w:val="88"/>
              </w:rPr>
              <w:t>Professional</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Residential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Arial" w:cs="Arial" w:eastAsia="Arial" w:hAnsi="Arial"/>
                <w:sz w:val="14"/>
                <w:szCs w:val="14"/>
                <w:color w:val="auto"/>
              </w:rPr>
              <w:t>(Dollars in thousands)</w:t>
            </w: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Segment</w:t>
            </w:r>
          </w:p>
        </w:tc>
        <w:tc>
          <w:tcPr>
            <w:tcW w:w="44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Segment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2004</w:t>
            </w:r>
          </w:p>
        </w:tc>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68,996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9,059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78,055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 acquired during the fiscal year</w:t>
            </w:r>
          </w:p>
        </w:tc>
        <w:tc>
          <w:tcPr>
            <w:tcW w:w="2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2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Balance as of April 29, 2005</w:t>
            </w:r>
          </w:p>
        </w:tc>
        <w:tc>
          <w:tcPr>
            <w:tcW w:w="2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70,642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$ 10,718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8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As a result of the company’s acquisition of Hayter, as previously discussed, the company acquired $2.6 million of non-amortizable intangible assets related to the Hayter brand name. The company also acquired $1.3 million of amortizable customer related intangible assets with an estimated life of 10 years.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rPr>
              <w:t>April 29, 2005</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4"/>
              </w:rPr>
              <w:t>October 31, 2004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w w:val="95"/>
              </w:rPr>
              <w:t>Gross Carrying</w:t>
            </w:r>
          </w:p>
        </w:tc>
        <w:tc>
          <w:tcPr>
            <w:tcW w:w="1160" w:type="dxa"/>
            <w:vAlign w:val="bottom"/>
            <w:gridSpan w:val="3"/>
          </w:tcPr>
          <w:p>
            <w:pPr>
              <w:ind w:left="400"/>
              <w:spacing w:after="0" w:line="123" w:lineRule="exact"/>
              <w:rPr>
                <w:sz w:val="20"/>
                <w:szCs w:val="20"/>
                <w:color w:val="auto"/>
              </w:rPr>
            </w:pPr>
            <w:r>
              <w:rPr>
                <w:rFonts w:ascii="Arial" w:cs="Arial" w:eastAsia="Arial" w:hAnsi="Arial"/>
                <w:sz w:val="14"/>
                <w:szCs w:val="14"/>
                <w:color w:val="auto"/>
                <w:w w:val="91"/>
              </w:rPr>
              <w:t>Accumulated</w:t>
            </w:r>
          </w:p>
        </w:tc>
        <w:tc>
          <w:tcPr>
            <w:tcW w:w="44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980" w:type="dxa"/>
            <w:vAlign w:val="bottom"/>
            <w:gridSpan w:val="3"/>
          </w:tcPr>
          <w:p>
            <w:pPr>
              <w:ind w:left="2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Amount</w:t>
            </w:r>
          </w:p>
        </w:tc>
        <w:tc>
          <w:tcPr>
            <w:tcW w:w="1080" w:type="dxa"/>
            <w:vAlign w:val="bottom"/>
            <w:gridSpan w:val="4"/>
          </w:tcPr>
          <w:p>
            <w:pPr>
              <w:ind w:left="2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(7,053)</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Total other amortizable intangible assets,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2005 was $347,000. Estimated amortization expense for the remainder of fiscal 2005 and succeeding fiscal years is as follows: 2005 (remainder), $379,000; 2006, $731,000; 2007, $537,000; 2008, $411,000; 2009, $251,000; 2010, $175,000 and after 2010, $702,000.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additional warranty coverage on select products when the factory warranty period expires.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six-month periods in fiscal 2005 and 2004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gridSpan w:val="2"/>
          </w:tcPr>
          <w:p>
            <w:pPr>
              <w:jc w:val="right"/>
              <w:ind w:right="196"/>
              <w:spacing w:after="0"/>
              <w:rPr>
                <w:sz w:val="20"/>
                <w:szCs w:val="20"/>
                <w:color w:val="auto"/>
              </w:rPr>
            </w:pPr>
            <w:r>
              <w:rPr>
                <w:rFonts w:ascii="Arial" w:cs="Arial" w:eastAsia="Arial" w:hAnsi="Arial"/>
                <w:sz w:val="14"/>
                <w:szCs w:val="14"/>
                <w:color w:val="auto"/>
              </w:rPr>
              <w:t>Beginning</w:t>
            </w:r>
          </w:p>
        </w:tc>
        <w:tc>
          <w:tcPr>
            <w:tcW w:w="22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color w:val="auto"/>
              </w:rPr>
              <w:t>Warranty</w:t>
            </w: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color w:val="auto"/>
                <w:w w:val="95"/>
              </w:rPr>
              <w:t>Warranty</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Ending</w:t>
            </w:r>
          </w:p>
        </w:tc>
        <w:tc>
          <w:tcPr>
            <w:tcW w:w="0" w:type="dxa"/>
            <w:vAlign w:val="bottom"/>
          </w:tcPr>
          <w:p>
            <w:pPr>
              <w:spacing w:after="0"/>
              <w:rPr>
                <w:sz w:val="1"/>
                <w:szCs w:val="1"/>
                <w:color w:val="auto"/>
              </w:rPr>
            </w:pPr>
          </w:p>
        </w:tc>
      </w:tr>
      <w:tr>
        <w:trPr>
          <w:trHeight w:val="167"/>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w w:val="90"/>
              </w:rPr>
              <w:t>Balance</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rPr>
              <w:t>Provisions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color w:val="auto"/>
                <w:w w:val="98"/>
              </w:rPr>
              <w:t>Claims</w:t>
            </w:r>
          </w:p>
        </w:tc>
        <w:tc>
          <w:tcPr>
            <w:tcW w:w="9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color w:val="auto"/>
                <w:w w:val="91"/>
              </w:rPr>
              <w:t>Estimates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224"/>
        </w:trPr>
        <w:tc>
          <w:tcPr>
            <w:tcW w:w="5700" w:type="dxa"/>
            <w:vAlign w:val="bottom"/>
            <w:gridSpan w:val="2"/>
          </w:tcPr>
          <w:p>
            <w:pPr>
              <w:spacing w:after="0"/>
              <w:rPr>
                <w:sz w:val="20"/>
                <w:szCs w:val="20"/>
                <w:color w:val="auto"/>
              </w:rPr>
            </w:pPr>
            <w:r>
              <w:rPr>
                <w:rFonts w:ascii="Arial" w:cs="Arial" w:eastAsia="Arial" w:hAnsi="Arial"/>
                <w:sz w:val="18"/>
                <w:szCs w:val="18"/>
                <w:color w:val="auto"/>
              </w:rPr>
              <w:t>April 29, 2005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60,988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22,526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(16,593)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67,424</w:t>
            </w:r>
          </w:p>
        </w:tc>
        <w:tc>
          <w:tcPr>
            <w:tcW w:w="0" w:type="dxa"/>
            <w:vAlign w:val="bottom"/>
          </w:tcPr>
          <w:p>
            <w:pPr>
              <w:spacing w:after="0"/>
              <w:rPr>
                <w:sz w:val="1"/>
                <w:szCs w:val="1"/>
                <w:color w:val="auto"/>
              </w:rPr>
            </w:pPr>
          </w:p>
        </w:tc>
      </w:tr>
      <w:tr>
        <w:trPr>
          <w:trHeight w:val="431"/>
        </w:trPr>
        <w:tc>
          <w:tcPr>
            <w:tcW w:w="5700" w:type="dxa"/>
            <w:vAlign w:val="bottom"/>
            <w:gridSpan w:val="2"/>
          </w:tcPr>
          <w:p>
            <w:pPr>
              <w:spacing w:after="0"/>
              <w:rPr>
                <w:sz w:val="20"/>
                <w:szCs w:val="20"/>
                <w:color w:val="auto"/>
              </w:rPr>
            </w:pPr>
            <w:r>
              <w:rPr>
                <w:rFonts w:ascii="Arial" w:cs="Arial" w:eastAsia="Arial" w:hAnsi="Arial"/>
                <w:sz w:val="18"/>
                <w:szCs w:val="18"/>
                <w:color w:val="auto"/>
              </w:rPr>
              <w:t>April 30, 2004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59,372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21,041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(15,553)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65,938</w:t>
            </w:r>
          </w:p>
        </w:tc>
        <w:tc>
          <w:tcPr>
            <w:tcW w:w="0" w:type="dxa"/>
            <w:vAlign w:val="bottom"/>
          </w:tcPr>
          <w:p>
            <w:pPr>
              <w:spacing w:after="0"/>
              <w:rPr>
                <w:sz w:val="1"/>
                <w:szCs w:val="1"/>
                <w:color w:val="auto"/>
              </w:rPr>
            </w:pPr>
          </w:p>
        </w:tc>
      </w:tr>
      <w:tr>
        <w:trPr>
          <w:trHeight w:val="405"/>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the components of net periodic benefit costs: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24"/>
                <w:szCs w:val="24"/>
                <w:color w:val="auto"/>
              </w:rPr>
            </w:pPr>
          </w:p>
        </w:tc>
        <w:tc>
          <w:tcPr>
            <w:tcW w:w="1760" w:type="dxa"/>
            <w:vAlign w:val="bottom"/>
            <w:gridSpan w:val="6"/>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4"/>
                <w:szCs w:val="14"/>
                <w:color w:val="auto"/>
              </w:rPr>
              <w:t>April 29,</w:t>
            </w: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rPr>
              <w:t>April 30,</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240"/>
              <w:spacing w:after="0" w:line="123" w:lineRule="exact"/>
              <w:rPr>
                <w:sz w:val="20"/>
                <w:szCs w:val="20"/>
                <w:color w:val="auto"/>
              </w:rPr>
            </w:pPr>
            <w:r>
              <w:rPr>
                <w:rFonts w:ascii="Arial" w:cs="Arial" w:eastAsia="Arial" w:hAnsi="Arial"/>
                <w:sz w:val="14"/>
                <w:szCs w:val="14"/>
                <w:color w:val="auto"/>
              </w:rPr>
              <w:t>April 29,</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6"/>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Amortization of losses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expense</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April 29, 2005, approximately $290,000 of contributions had been made. The company presently expects to contribute a total of $580,000 to its postretirement health-care benefit plan in fiscal 2005.</w:t>
      </w:r>
    </w:p>
    <w:p>
      <w:pPr>
        <w:spacing w:after="0" w:line="130"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$4.0 million and $7.7 million for the second quarter and year-to-date period of fiscal 2005, respectively, and $3.4 million and $6.6 million for the second quarter and year-to-date period of fiscal 2004, respectively.</w:t>
      </w:r>
    </w:p>
    <w:p>
      <w:pPr>
        <w:spacing w:after="0" w:line="14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assumed a liability of approximately $4.6 million for Hayter’s defined benefit pension plan. Estimated contributions and expense for fiscal 2005 for the plan are deemed immaterial to the company’s consolidated financial results.</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48"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settlements in local currencies of trade sales and purchases. These contracts are designated as cash flow hedges with the fair value recorded in accumulated other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three and six months ended April 29, 2005, the amount of losses reclassified to earnings for such cash flow hedges was $0.9 million and $2.2 million, respectively. For the six months ended April 29, 2005, the losses treated as a reduction of net sales for contracts to hedge trade sales were $2.7 million and the gains treated as a reduction of cost of sales for contracts to hedge inventory purchases were</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$0.5 million. As of April 29, 2005, the notional amount of such contracts outstanding was $70.5 million. The unrecognized after-tax loss portion of the fair value of the contracts recorded in accumulated other comprehensive loss as of April 29, 2005 was $0.1 million.</w:t>
      </w:r>
    </w:p>
    <w:p>
      <w:pPr>
        <w:spacing w:after="0" w:line="14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that are not designed as hedging instruments under the accounting criteria of SFAS No. 133; therefore, changes in fair value of these instruments are recorded in other income,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Management continues to evaluate this lawsuit. The company is unable to reasonably estimate the amount or range of potential loss that could result from this litigation, and therefore has not established a reserve for any potential loss in connection with this lawsuit. The company is also unable to assess at this time whether the lawsuit will have a material adverse effect on its consolidated operating results or financial condition.</w:t>
      </w:r>
    </w:p>
    <w:p>
      <w:pPr>
        <w:spacing w:after="0" w:line="129"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claims or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or financial position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6, 2005, the company purchased 72,476 shares of Toro common stock at a per share purchase price of $45.00 from Kendrick B. Melrose, Executive Chairman of the Board. The purchase was effected under the terms of an Officer Stock Purchase Policy, which was approved by Toro’s Board of Directors on September 16, 1999. As required under the terms of the policy, the per share purchase price was determined based on the closing price of a share of Toro common stock on April 5, 2005 of $45.00 per share, as reported by the New York Stock Exchange,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2. MANAGEMENT’S DISCUSSION AND ANALYSIS OF FINANCIAL CONDITION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and agricultural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continue with our “6 + 8” profitability and growth initiative, we expect to invest in growth strategies at higher than historical levels. The goals of this initiative are to achieve a consistent after-tax return on net sales of 6 percent or more and grow revenues at an average rate of 8 percent or more over the three-year period ending October 31, 2006.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results for the second quarter of fiscal 2005 were strong with double digit sales and earnings growth. Our net earnings rose 18.7 percent compared to the second quarter of fiscal 2004 on a net sales growth rate of 14.7 percent. Year-to-date net earnings rose 18.9 percent compared to the same period last year on a year-to-date sales growth rate of 13.2 percent. Factoring out the additional sales from our acquisition of substantially all of the assets of Hayter Limited, a company that designs, manufactures, and markets residential and professional turf maintenance equipment primarily for the United Kingdom market, net sales were up 11.4 percent and 11.1 percent for the second quarter and year-to-date period of fiscal 2005, respectively, from the same comparable periods in the prior year. Sales were up for our professional segment as a result of strong retail demand for our products, price increases, favorable currency rates, and the introduction of new products. Residential segment net sales also increased as we introduced new products with expanded placement at key retailers. As part of our “6 + 8” initiative, we are investing in growth strategies directed at underserved markets, such as revitalizing the Lawn-Boy brand with new products and accelerating our growth in international markets, as evidenced by our acquisition of substantially all of the assets of Hayter Limited. Gross margins are expected to continue to be hampered by rising commodity prices; however, we continue to work to mitigate the impact of rising commodity costs through internal cost reduction efforts from past and continuing initiatives driven by our emphasis on lean manufacturing methods and selective price increases. Our financial condition remains strong, which has allowed us to pay a quarterly cash dividend in the second quarter of fiscal 2005 that was double from the quarterly cash dividend we paid in the second quarter of fiscal 2004 and has allowed us to continue to repurchase shares of our common stock.</w:t>
      </w:r>
    </w:p>
    <w:p>
      <w:pPr>
        <w:spacing w:after="0" w:line="134"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Our fiscal 2005 second quarter results were strong, and we are optimistic that our results for the full fiscal year of 2005 will also be strong, although we do not expect our full fiscal 2005 results to be as strong as the first six months. Our net sales and net earnings are historically highest in our fiscal second quarter. Sales are currently expected to grow at an annual rate of 9 to 11 percent in fiscal 2005 and diluted net earnings per share is currently expected to grow at an annual rate of 15 to 18 percent over fiscal 2004, which includes the impact of adopting SFAS No. 123R as of the beginning of fiscal 2005 and the acquisition of Hayter Limited during the second quarter of fiscal 2005. We continue, however, to keep a cautionary eye on the world economies, weather, field inventory levels, retail demand, commodity prices, competition, and other factors identified below under the heading “Forward-Looking Information,” which could cause our actual results to differ from our outlook. In particular, we recognize the adverse effect of cold, wet weather in our key geographic markets has had on our fiscal second quarter residential segment retail demand, which could have a negative impact our fiscal third quarter net sales if such weather patterns continue.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earnings for the second quarter of fiscal 2005 were $62.0 million or $1.33 per diluted share compared to $52.2 million or $1.00 per diluted share for the second quarter of fiscal 2004, a net earnings increase of 18.7 percent. Year-to-date net earnings in fiscal 2005 were $73.1 million or $1.55 per diluted share compared to $61.5 million or $1.18 per diluted share last year, a net earnings increase of 18.9 percent. The primary factors contributing to these increases were higher sales volumes and improved leveraging of selling, general, and administrative expense, somewhat offset by lower gross margin and higher interest expense. In addition, second quarter and year-to-date of fiscal 2005 diluted earnings per share were benefited by approximately $0.14 per share and $0.15 per share, respectively, compared to the same periods in fiscal 2004 as a result of reduced shares outstanding due to our significant Toro common stock repurchases during the past twelve months.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Effective November 1, 2004, we adopted the provisions of SFAS No. 123R, as previously discussed. However, if we had applied the provisions of SFAS No. 123R during the second quarter and year-to-date period of fiscal 2004, diluted earnings per share would have increased by $0.03 per share to $1.03 per share for the second quarter of fiscal 2004 and would have decreased by $0.01 per share to $1.17 per share for the year-to-date period of fiscal 2004. The second quarter of fiscal 2004 increase in diluted earnings per share of $0.03 per share resulted from higher incentive compensation expense recognized under the provisions of APB No. 25 for our Performance Share Plan in fiscal 2004 as a result of the increase in Toro’s stock price during the second quarter of fiscal 2004. See note sections entitled “Stock-Based Compensation” for further details. The fiscal 2004 year-to-date per share decline in diluted earnings per share of $0.01 per share resulted from compensation expense that would have been recognized for the fair value of stock options granted in the first quarter of fiscal 2004.</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major captions of the Statement of Earnings as a percentage of net sales: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340" w:type="dxa"/>
            <w:vAlign w:val="bottom"/>
            <w:gridSpan w:val="4"/>
          </w:tcPr>
          <w:p>
            <w:pPr>
              <w:jc w:val="right"/>
              <w:ind w:right="800"/>
              <w:spacing w:after="0"/>
              <w:rPr>
                <w:sz w:val="20"/>
                <w:szCs w:val="20"/>
                <w:color w:val="auto"/>
              </w:rPr>
            </w:pPr>
            <w:r>
              <w:rPr>
                <w:rFonts w:ascii="Arial" w:cs="Arial" w:eastAsia="Arial" w:hAnsi="Arial"/>
                <w:sz w:val="14"/>
                <w:szCs w:val="14"/>
                <w:color w:val="auto"/>
              </w:rPr>
              <w:t>Three Months Ended</w:t>
            </w:r>
          </w:p>
        </w:tc>
        <w:tc>
          <w:tcPr>
            <w:tcW w:w="2020" w:type="dxa"/>
            <w:vAlign w:val="bottom"/>
            <w:gridSpan w:val="4"/>
          </w:tcPr>
          <w:p>
            <w:pPr>
              <w:jc w:val="right"/>
              <w:ind w:right="5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580"/>
              <w:spacing w:after="0" w:line="123" w:lineRule="exact"/>
              <w:rPr>
                <w:sz w:val="20"/>
                <w:szCs w:val="20"/>
                <w:color w:val="auto"/>
              </w:rPr>
            </w:pPr>
            <w:r>
              <w:rPr>
                <w:rFonts w:ascii="Arial" w:cs="Arial" w:eastAsia="Arial" w:hAnsi="Arial"/>
                <w:sz w:val="14"/>
                <w:szCs w:val="14"/>
                <w:color w:val="auto"/>
              </w:rPr>
              <w:t>April 29,</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April 30,</w:t>
            </w:r>
          </w:p>
        </w:tc>
        <w:tc>
          <w:tcPr>
            <w:tcW w:w="5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23" w:lineRule="exact"/>
              <w:rPr>
                <w:sz w:val="20"/>
                <w:szCs w:val="20"/>
                <w:color w:val="auto"/>
              </w:rPr>
            </w:pPr>
            <w:r>
              <w:rPr>
                <w:rFonts w:ascii="Arial" w:cs="Arial" w:eastAsia="Arial" w:hAnsi="Arial"/>
                <w:sz w:val="14"/>
                <w:szCs w:val="14"/>
                <w:color w:val="auto"/>
              </w:rPr>
              <w:t>April 29,</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April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2004</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65.3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36.3</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(19.0)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(21.4)</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(22.7)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income, net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earnings</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gridSpan w:val="2"/>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Worldwide consolidated net sales for the second quarter and year-to-date period of fiscal 2005 were up 14.7 percent and 13.2 percent, respectively, from the same periods in the prior year. Factoring out the effect of our southeastern-based distributorship sold in October 2004, our southwestern-based distributorship sold in November 2004, and the additional sales from our acquisition of Hayter in February 2005, net sales for the second quarter and year-to-date period of fiscal 2005 increased 12.1 percent and 11.9 percent, respectively, from the same periods in the prior year. The net sales increase was led by strong international sales that were up by 41.1 percent for the second quarter and 32.2 percent for the six-month period over the same periods in the prior year. Factoring out the additional sales from the acquisition of Hayter, international sales for the second quarter and year-to-date period of fiscal 2005 were up</w:t>
      </w:r>
    </w:p>
    <w:p>
      <w:pPr>
        <w:spacing w:after="0" w:line="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25.2 percent and 22.7 percent, respectively, from the same periods in the prior year, driven primarily by strong customer demand, new product introductions, and a weaker U.S. dollar. Favorable currency rates contributed approximately 0.9 percent of the overall sales growth for the second quarter of fiscal 2005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1.2 percent of the sales growth for the first six months of fiscal 2005. Strong professional segment sales also contributed to the sales growth as a result of:</w:t>
      </w:r>
    </w:p>
    <w:p>
      <w:pPr>
        <w:spacing w:after="0" w:line="3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positive market conditions and strong retail demand, mainly for our mowing equipment products; (ii) price increases introduced on some products; and</w:t>
      </w:r>
    </w:p>
    <w:p>
      <w:pPr>
        <w:spacing w:after="0" w:line="32" w:lineRule="exact"/>
        <w:rPr>
          <w:rFonts w:ascii="Arial" w:cs="Arial" w:eastAsia="Arial" w:hAnsi="Arial"/>
          <w:sz w:val="16"/>
          <w:szCs w:val="16"/>
          <w:color w:val="auto"/>
        </w:rPr>
      </w:pPr>
    </w:p>
    <w:p>
      <w:pPr>
        <w:ind w:right="80" w:firstLine="8"/>
        <w:spacing w:after="0" w:line="254"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introducing new products within the past two years. Residential segment sales were also up due mainly to the additional placement related to the introduction of new Lawn-Boy products in the home center distribution channel, somewhat offset by lower shipments of riding products and retail irrigation products. The other segment net sales were down for the second quarter and year-to-date periods of fiscal 2005 compared to the same periods last year due to the sale of the two distribution companies, as previously mentioned.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Gross profit for the second quarter and year-to-date period of fiscal 2005 increased 8.9 percent and 8.6 percent, respectively, compared to the same periods of the prior year due to increased sales. As a percentage of net sales, gross profit for the second quarter and year-to-date period of fiscal 2005 was 34.5 percent and 34.7 percent, respectively, compared to 36.3 percent and 36.2 percent for the second quarter and year-to-date period of fiscal 2004, respectively. These decreases in gross profit as a percentage of net sales were the result of the following factors: (i) higher costs for steel, resin, and other commodities and (ii) the Hayter acquisition that negatively impacted gross margins due to the purchase accounting effect of recording the fair value of the inventory acquired as the inventory was sold. Somewhat offsetting these negative factors were (i) price increases introduced on some products; (ii) cost reduction efforts from profit improvement initiatives; (iii) lower manufacturing costs from increased plant utilization; and (iv) favorable foreign currency exchange rates compared to the U.S. dollar.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Selling, general, and administrative expense (SG&amp;A) increased for the second quarter and year-to-date period of fiscal 2005 by 2.0 percent and 4.0 percent, respectively, from the same periods of the prior year. SG&amp;A as a percentage of net sales for the second quarter and year-to-date period of fiscal 2005 was 19.0 percent and 22.7 percent, respectively, compared to 21.4 percent and 24.8 percent for the second quarter and year-to-date period of fiscal 2004, respectively. These decreases in SG&amp;A expense as a percentage of net sales were due primarily to: (i) leveraging fixed SG&amp;A costs over higher sales volumes; (ii) lower stock-based compensation expense due to the impact of adopting SFAS No. 123R; and (iii) reduced warranty costs for the year-to-date comparison as a result of a special provision during fiscal 2004 for a product modification. Somewhat offsetting those decreases were: (i) increased investments in engineering as part of our “6 + 8” initiative and (ii) higher administrative expenses, mainly from continued investments in information systems, increased insurance costs, and higher bad debt expense due mainly to the effect of collecting receivables in fiscal 2004 that were previously written off.</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expense for the second quarter and year-to-date period of fiscal 2005 increased by 31.6 percent and 13.8 percent, respectively, from the same periods in the prior year. These increases were primarily due to higher levels of short-term debt as a result of increased cash used for the acquisition of Hayter and stock repurchases, as well as higher interest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8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Other income, net for the second quarter and year-to-date period of fiscal 2005 was $0.9 million and $2.1 million, respectively. These amounts represent increases of $0.5 million and $0.3 million, respectively, from the same periods in the prior year. These increases were due primarily to lower litigation expense and currency exchange rate losses during the year-to-date period of fiscal 2005 compared to the same period last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effective tax rate for the second quarter and year-to-date period of fiscal 2005 remained unchanged at 33.5 percent compared to the same periods in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previously, we operate in two reportable business segments: professional and residential. A third reportable segment called “other” consists of domestic company-owned distributorships, corporate activities, and financing functions. Operating earnings (loss) for each of our two business segments is defined as earnings (loss) from operations plus other income, net. Effective the beginning of fiscal 2005, the company combined the distribution segment with the other segment because Toro’s distribution segment no longer met the quantitative thresholds for separate reporting as an operating segment for all periods presented. Prior periods have been reclassified to conform to the current period presentation. Operating loss for our third “other” segment includes earnings (loss) from operations, corporate activities, including corporate financing activities, other income, net, and interest expense.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center"/>
              <w:ind w:right="300"/>
              <w:spacing w:after="0" w:line="123" w:lineRule="exact"/>
              <w:rPr>
                <w:sz w:val="20"/>
                <w:szCs w:val="20"/>
                <w:color w:val="auto"/>
              </w:rPr>
            </w:pPr>
            <w:r>
              <w:rPr>
                <w:rFonts w:ascii="Arial" w:cs="Arial" w:eastAsia="Arial" w:hAnsi="Arial"/>
                <w:sz w:val="14"/>
                <w:szCs w:val="14"/>
                <w:color w:val="auto"/>
              </w:rPr>
              <w:t>April 29,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460"/>
              <w:spacing w:after="0" w:line="123" w:lineRule="exact"/>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2005</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2004</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4"/>
              </w:rPr>
              <w:t>$ 389,052</w:t>
            </w: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$ 338,524</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$ 50,528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227,722</w:t>
            </w:r>
          </w:p>
        </w:tc>
        <w:tc>
          <w:tcPr>
            <w:tcW w:w="2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194,838</w:t>
            </w:r>
          </w:p>
        </w:tc>
        <w:tc>
          <w:tcPr>
            <w:tcW w:w="4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32,884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11,667</w:t>
            </w:r>
          </w:p>
        </w:tc>
        <w:tc>
          <w:tcPr>
            <w:tcW w:w="2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14,665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(2,998)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 *</w:t>
            </w: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2"/>
              </w:rPr>
              <w:t>$ 628,441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$ 548,027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$ 80,414</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 Includes international net sales of:</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4"/>
              </w:rPr>
              <w:t>$ 157,722</w:t>
            </w:r>
          </w:p>
        </w:tc>
        <w:tc>
          <w:tcPr>
            <w:tcW w:w="2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$ 111,773</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$ 45,949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color w:val="auto"/>
              </w:rPr>
              <w:t>Six Months Ended</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center"/>
              <w:ind w:right="340"/>
              <w:spacing w:after="0" w:line="123" w:lineRule="exact"/>
              <w:rPr>
                <w:sz w:val="20"/>
                <w:szCs w:val="20"/>
                <w:color w:val="auto"/>
              </w:rPr>
            </w:pPr>
            <w:r>
              <w:rPr>
                <w:rFonts w:ascii="Arial" w:cs="Arial" w:eastAsia="Arial" w:hAnsi="Arial"/>
                <w:sz w:val="14"/>
                <w:szCs w:val="14"/>
                <w:color w:val="auto"/>
              </w:rPr>
              <w:t>April 29,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460"/>
              <w:spacing w:after="0" w:line="123" w:lineRule="exact"/>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2005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2004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$ 634,282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$ 546,202</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$ 88,080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323,598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292,725</w:t>
            </w:r>
          </w:p>
        </w:tc>
        <w:tc>
          <w:tcPr>
            <w:tcW w:w="4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30,873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17,474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22,673</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(5,199)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 *</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$ 975,354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$ 861,600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113,754</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 Includes international net sales of:</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$ 247,369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$ 187,151</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$ 60,218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The following table summarizes operating earnings (loss) by segment: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color w:val="auto"/>
              </w:rPr>
              <w:t>Three Months Ended</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right"/>
              <w:ind w:right="300"/>
              <w:spacing w:after="0" w:line="123" w:lineRule="exact"/>
              <w:rPr>
                <w:sz w:val="20"/>
                <w:szCs w:val="20"/>
                <w:color w:val="auto"/>
              </w:rPr>
            </w:pPr>
            <w:r>
              <w:rPr>
                <w:rFonts w:ascii="Arial" w:cs="Arial" w:eastAsia="Arial" w:hAnsi="Arial"/>
                <w:sz w:val="14"/>
                <w:szCs w:val="14"/>
                <w:color w:val="auto"/>
              </w:rPr>
              <w:t>April 29,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60" w:type="dxa"/>
            <w:vAlign w:val="bottom"/>
            <w:gridSpan w:val="2"/>
          </w:tcPr>
          <w:p>
            <w:pPr>
              <w:spacing w:after="0"/>
              <w:rPr>
                <w:sz w:val="14"/>
                <w:szCs w:val="14"/>
                <w:color w:val="auto"/>
              </w:rPr>
            </w:pPr>
          </w:p>
        </w:tc>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9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$ 84,623</w:t>
            </w:r>
          </w:p>
        </w:tc>
        <w:tc>
          <w:tcPr>
            <w:tcW w:w="132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$ 71,704</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$ 12,919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960" w:type="dxa"/>
            <w:vAlign w:val="bottom"/>
            <w:gridSpan w:val="6"/>
          </w:tcPr>
          <w:p>
            <w:pPr>
              <w:jc w:val="right"/>
              <w:ind w:right="220"/>
              <w:spacing w:after="0"/>
              <w:rPr>
                <w:sz w:val="20"/>
                <w:szCs w:val="20"/>
                <w:color w:val="auto"/>
              </w:rPr>
            </w:pPr>
            <w:r>
              <w:rPr>
                <w:rFonts w:ascii="Arial" w:cs="Arial" w:eastAsia="Arial" w:hAnsi="Arial"/>
                <w:sz w:val="18"/>
                <w:szCs w:val="18"/>
                <w:color w:val="auto"/>
              </w:rPr>
              <w:t>28,963</w:t>
            </w:r>
          </w:p>
        </w:tc>
        <w:tc>
          <w:tcPr>
            <w:tcW w:w="1320" w:type="dxa"/>
            <w:vAlign w:val="bottom"/>
            <w:gridSpan w:val="6"/>
          </w:tcPr>
          <w:p>
            <w:pPr>
              <w:jc w:val="right"/>
              <w:ind w:right="420"/>
              <w:spacing w:after="0"/>
              <w:rPr>
                <w:sz w:val="20"/>
                <w:szCs w:val="20"/>
                <w:color w:val="auto"/>
              </w:rPr>
            </w:pPr>
            <w:r>
              <w:rPr>
                <w:rFonts w:ascii="Arial" w:cs="Arial" w:eastAsia="Arial" w:hAnsi="Arial"/>
                <w:sz w:val="18"/>
                <w:szCs w:val="18"/>
                <w:color w:val="auto"/>
              </w:rPr>
              <w:t>26,719</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2,244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(20,416)</w:t>
            </w: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(19,928)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w:t>
            </w:r>
          </w:p>
        </w:tc>
        <w:tc>
          <w:tcPr>
            <w:tcW w:w="6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$ 93,170</w:t>
            </w:r>
          </w:p>
        </w:tc>
        <w:tc>
          <w:tcPr>
            <w:tcW w:w="2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$ 78,495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$ 14,675</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color w:val="auto"/>
              </w:rPr>
              <w:t>Six Months Ended</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center"/>
              <w:ind w:right="300"/>
              <w:spacing w:after="0" w:line="123" w:lineRule="exact"/>
              <w:rPr>
                <w:sz w:val="20"/>
                <w:szCs w:val="20"/>
                <w:color w:val="auto"/>
              </w:rPr>
            </w:pPr>
            <w:r>
              <w:rPr>
                <w:rFonts w:ascii="Arial" w:cs="Arial" w:eastAsia="Arial" w:hAnsi="Arial"/>
                <w:sz w:val="14"/>
                <w:szCs w:val="14"/>
                <w:color w:val="auto"/>
              </w:rPr>
              <w:t>April 29,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460"/>
              <w:spacing w:after="0" w:line="123" w:lineRule="exact"/>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2005</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2004</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4"/>
              </w:rPr>
              <w:t>$ 123,488</w:t>
            </w: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$ 100,153</w:t>
            </w: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6"/>
              </w:rPr>
              <w:t>$ 23,335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Residential</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33,397</w:t>
            </w:r>
          </w:p>
        </w:tc>
        <w:tc>
          <w:tcPr>
            <w:tcW w:w="220" w:type="dxa"/>
            <w:vAlign w:val="bottom"/>
          </w:tcPr>
          <w:p>
            <w:pPr>
              <w:spacing w:after="0"/>
              <w:rPr>
                <w:sz w:val="18"/>
                <w:szCs w:val="18"/>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8"/>
                <w:szCs w:val="18"/>
                <w:color w:val="auto"/>
              </w:rPr>
              <w:t>35,056</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(1,659)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(46,910)</w:t>
            </w: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(42,692)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2"/>
              </w:rPr>
              <w:t>$ 109,975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$ 92,517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$ 17,458</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and year-to-date period of fiscal 2005 were up 14.9 percent and</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16.1 percent, respectively, compared to the same periods last year. Factoring out the additional sales from the acquisition of Hayter, professional segment net sales for the second quarter and year-to-date period of fiscal 2005 were up 12.8 percent and 14.8 percent, respectively, compared to the same periods last year. Worldwide professional segment sales of most product lines were up due to (i) positive market conditions and strong retail demand, mainly for our mowing equipment products; (ii) price increases introduced on some products; and (iii) the success of introducing new products within the past two years. Excluding the additional sales from the acquisition of Hayter, international professional segment net sales in the second quarter and year-to-date of fiscal 2005 increased 19.2 percent and 18.4 percent, respectively, compared to the same periods in the prior year due to the same reasons mentioned above, as well as the benefits of a weaker U.S. dollar. Field inventory levels for some product lines in this segment increased from the comparable quarter due to strong orders from our customers in anticipation of strong retail demand during fiscal 2005, initial stocking orders for new products introduced during fiscal 2005, and abnormally low levels of field inventory compared to the same period last year.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in the second quarter and year-to-date period of fiscal 2005 increased 18.0 percent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23.3 percent, respectively, compared to the same periods last year. Expressed as a percentage of net sales, professional segment operating margins increased to 21.8 percent compared to 21.2 percent in the second quarter of fiscal 2004, and the fiscal 2005 year-to-date professional segment operating margins increased to 19.5 percent compared to 18.3 percent last year. The profit improvement was the result of lower SG&amp;A expense as a percentage of net sales due to leveraging the fixed portion of SG&amp;A costs over higher sales volumes. Gross margins rose slightly as a result of cost reduction efforts from profit improvement initiatives, lower manufacturing costs from increased plant utilization, and price increases introduced on some products, somewhat offset by higher steel and other commodity costs and lower gross margins from the acquisition of Hayter.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and year-to-date period of fiscal 2005 were up by 16.9 percent and</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10.5 percent, respectively, compared to the same periods last year. Factoring out the additional sales from the acquisition of Hayter, residential segment net sales for the second quarter and year-to-date period of fiscal 2005 were up 11.4 percent and 6.9 percent, respectively, compared to the same periods last year. This increase was led by strong sales of walk power mowers for initial stocking orders of Lawn-Boy walk power mowers due to expanded sku placement in the home center distribution channel, somewhat offset by lower shipments of Toro brand walk power mowers as a result of the shift of sales to the new line of Lawn-Boy walk power mowers. Shipments of Toro walk power mowers to distributors/dealers were also up due to the introduction of new products. Higher snow thrower product shipments also contributed to the year-to-date sales increase due to the successful introduction of new products, as well as heavy snowfalls in key markets. Excluding the additional sales from the acquisition of Hayter, international residential segment net sales in the second quarter and year-to-date period of fiscal 2005 increased by 48.7 percent and 36.5 percent, respectively, compared to the same periods in the prior year due to the successful introduction of new products and a weaker U.S. dollar. Somewhat offsetting those increases were lower riding product shipments due to continued strong competition and initial stocking orders last year for the TimeCutter® zero-turning radius riding mowers as a result of expanded placement in the home center distribution channel, somewhat offset by higher Lawn-Boy riding product sales as a result of initial stocking orders. Retail irrigation product sales also declined from the comparable periods last year primarily due to unfavorable weather conditions in key domestic markets.</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second quarter of fiscal 2005 increased 8.4 percent compared to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2004. However, operating earnings for the residential segment for the year-to-date period of fiscal 2005 were down by 4.7 percent compared to the same period last year. Expressed as a percentage of net sales, residential segment operating margin decreased to 12.7 percent compared to 13.7 percent in the second quarter of fiscal 2004, and fiscal 2005 year-to-date residential segment operating margin decreased to 10.3 percent compared to 12.0 percent last year. The decrease was due mainly to lower gross margins as a result of higher costs for steel and other commodities with minimal price increases, and lower gross margins from the acquisition of Hayter. Somewhat offsetting the operating earnings decrease was lower SG&amp;A expense due mainly to leveraging the fixed portion of SG&amp;A costs over higher sales volumes and reduced warranty costs as a result of a special provision last year for a product modification.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for the other segment include sales from our wholly owned domestic distribution companies less sales from the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segments to those distribution companies. In addition, elimination of the professional and residential segments’ floor plan interest costs from Toro Credit Company are also included in this segment. The other segment net sales declined for the second quarter and year-to-date period of fiscal 2005 by 20.4 percent and 22.9 percent, respectively, compared to the same periods last year due to the sale of the two distribution companies, as previously mentioned.</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up for the second quarter and year-to-date period of fiscal 2005 by $0.5 million or 2.4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$4.2 million or 9.9 percent, respectively, compared to the same periods last year. The increased losses were due to the following factors: (i) higher administrative costs, mainly from continued investments in information systems, increased insurance costs, and higher bad debt expense due to the effect of collecting receivables in fiscal 2004 that were previously written off; (ii) an increase in interest expense; and (iii) lower operating earnings from the domestic company owned distributors. Somewhat offsetting those negative factors was lower stock-based compensation expense due to the impact of adopting SFAS No. 123R.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During the first half of fiscal 2005, our financial condition remained strong and emphasis continued on improving asset management. Average working capital for the first half of fiscal 2005 was $306.6 million compared to $373.0 million for the first half of fiscal 2004. The decrease of 17.8 percent was due to higher average short-term debt, lower average cash and cash equivalents, and higher average accounts payables and accrued liabilities, somewhat offset by higher average accounts receivable. The primary factor contributing to the higher average short-term debt and lower cash levels was our continued emphasis on repurchasing shares of our common stock during the first half of fiscal 2005 and our purchase of Hayter. Average receivables for the first half of fiscal 2005 increased by 12.2 percent compared to the first half of fiscal 2004 on a sales increase of 13.2 percent. Factoring out the incremental average receivables for Hayter, average receivables were up 6.3 percent. Our average days sales outstanding for receivables improved to 71.8 days based on sales for the last twelve months ended April 29, 2005, compared to 76.8 days for the twelve months ended April 30, 2004. Average inventory levels increased slightly by</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3.0 percent for the first half of fiscal 2005 compared to the first half of fiscal 2004; however, factoring out the incremental average inventories for Hayter, average inventory levels were down 2.0 percent. Average inventory turnover improved 10.0 percent for the last twelve months ended April 29, 2005 compared to the last twelve months ended April 30, 2004. These improvements reflect our continuing efforts to improve asset utilization.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acquisitions, debt repayments, dividend payments, and stock repurchases for at least the next twelve months.</w:t>
      </w:r>
    </w:p>
    <w:p>
      <w:pPr>
        <w:spacing w:after="0" w:line="153"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Our Board of Directors approved a cash dividend of $0.06 per share for the second quarter of fiscal 2005 paid on April 12, 2005, as adjusted to reflect a two-for-one stock split effective March 28, 2005, which was an increase over our dividend of $0.03 per share for the second quarter of fiscal 2004.</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in operating activities for the first six months of fiscal 2005 was 40.2 percent higher than the first six months of fiscal 2004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a higher increase in receivables and inventory levels for the first six months of fiscal 2005 compared to the first six months of fiscal 2004, somewhat offset by higher earnings. Cash used in investing activities was higher by $27.0 million compared to the first six months of fiscal 2004, due mainly to cash utilized for the purchase of Hayter, somewhat offset by lower purchases of property, plant, and equipment. Cash provided by financing activities was higher by $54.2 million compared to the first six months of fiscal 2004. This change was due to a higher increase in short-term debt and lower repayments of long-term debt, somewhat offset by an increase of $70.2 million in shares of our common stock repurchased during the first six months of fiscal 2005 compared to the first six months of fiscal 2004.</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September 2009.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$16.6 million. These facilities bear interest at various rates depending on the rates in their respective countries of operation. We also have a letter of credit subfacility as part of our credit agreements. Average short-term debt was $85.1 million in the first half of fiscal 2005 compared to $9.4 million in the first half of fiscal 2004, an increase of $75.7 million. This increase was primarily attributable to shares of our common stock repurchased during the year and the purchase of Hayter. As of April 29, 2005, we had $115.4 million of unutilized availability under our credit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April 29, 2005, and expect to be in compliance with all covenants during the remainder of fiscal 2005.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was unchanged for the second quarter of fiscal 2005 by Standard and Poor’s Ratings Group at BBB- and by Moody’s Investors Service at Baa3.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subject to the effects of inflation and changing prices. In the first half of fiscal 2005, average prices paid for steel, fuel, petroleum-based resins, and other commodities were higher compared to the first half of fiscal 2004, which resulted in a negative impact on our gross margin and net earnings. We expect this trend to continue for the remainder of fiscal 2005. We are attempting to mitigate the impact of these commodity price increases as well as other inflationary pressures by actively pursuing internal cost reduction efforts. In addition, we also introduced price increases on some products in fiscal 2005.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4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2004.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color w:val="auto"/>
        </w:rPr>
        <w:t>. 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based on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The accrual for future estimated warranty claims was $67.4 million as of the end of the second quarter of fiscal 2005 compared to $65.9 million as of the end of the second quarter of fiscal 2004.</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u w:val="single" w:color="auto"/>
          <w:color w:val="auto"/>
        </w:rPr>
        <w:t>Accounts and Notes Receivable Valuation</w:t>
      </w:r>
      <w:r>
        <w:rPr>
          <w:rFonts w:ascii="Arial" w:cs="Arial" w:eastAsia="Arial" w:hAnsi="Arial"/>
          <w:sz w:val="17"/>
          <w:szCs w:val="17"/>
          <w:color w:val="auto"/>
        </w:rPr>
        <w:t>. We value accounts and notes receivable, net of an allowance for doubtful accounts. Each quarter, we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April 29, 2005, we had $3.2 million reserved against our accounts and notes receivable compared to $3.7 million as of April 30, 2004.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18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an interpretation of FASB Statement No. 143. FASB Interpretation No. 47 clarifies the timing of liability recognition for legal obligations associated with the retirement of tangible long-lived assets when the timing and (or) method of settlement are conditional on a future event. We are currently evaluating the provisions of FASB Interpretation No. 47 and will adopt it on November 1, 2005, as required.</w:t>
      </w:r>
    </w:p>
    <w:p>
      <w:pPr>
        <w:spacing w:after="0" w:line="16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that the allocation of fixed production overheads to the costs of conversion be based on the normal capacity of the production facilities. We are currently evaluating the provisions of SFAS No. 151 and will adopt it on November 1, 2005, as required. We do not expect the adoption of SFAS No. 151 will have an impact on our future fiscal year results; however, our results between quarterly periods could be impacted.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2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1" w:lineRule="exact"/>
        <w:rPr>
          <w:sz w:val="20"/>
          <w:szCs w:val="20"/>
          <w:color w:val="auto"/>
        </w:rPr>
      </w:pPr>
    </w:p>
    <w:p>
      <w:pPr>
        <w:ind w:left="220" w:right="460" w:hanging="21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and domestic economies, including but not limited to slow growth rate, slow down in home sales, rise in interest rates, inflation, unemployment, weaker consumer confidence, political instability in international markets, and currency exchange rates, which could have a negative impact on our financial results.</w:t>
      </w:r>
    </w:p>
    <w:p>
      <w:pPr>
        <w:spacing w:after="0" w:line="181" w:lineRule="exact"/>
        <w:rPr>
          <w:rFonts w:ascii="Arial" w:cs="Arial" w:eastAsia="Arial" w:hAnsi="Arial"/>
          <w:sz w:val="18"/>
          <w:szCs w:val="18"/>
          <w:color w:val="auto"/>
        </w:rPr>
      </w:pPr>
    </w:p>
    <w:p>
      <w:pPr>
        <w:ind w:left="220" w:right="3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such as steel and other commodities, and increased dependence on suppliers and our ability to maintain favorable supplier arrangements and relationships.</w:t>
      </w:r>
    </w:p>
    <w:p>
      <w:pPr>
        <w:spacing w:after="0" w:line="170" w:lineRule="exact"/>
        <w:rPr>
          <w:rFonts w:ascii="Arial" w:cs="Arial" w:eastAsia="Arial" w:hAnsi="Arial"/>
          <w:sz w:val="18"/>
          <w:szCs w:val="18"/>
          <w:color w:val="auto"/>
        </w:rPr>
      </w:pPr>
    </w:p>
    <w:p>
      <w:pPr>
        <w:ind w:left="220" w:right="20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goals of the “6 + 8: Teamwork to the Top” initiative that is intended to achieve a consistent after-tax return on sales of 6 percent or more and grow revenues at an average annual rate of 8 percent or more over the three-year period ending October 31, 2006.</w:t>
      </w:r>
    </w:p>
    <w:p>
      <w:pPr>
        <w:spacing w:after="0" w:line="146" w:lineRule="exact"/>
        <w:rPr>
          <w:rFonts w:ascii="Arial" w:cs="Arial" w:eastAsia="Arial" w:hAnsi="Arial"/>
          <w:sz w:val="17"/>
          <w:szCs w:val="17"/>
          <w:color w:val="auto"/>
        </w:rPr>
      </w:pPr>
    </w:p>
    <w:p>
      <w:pPr>
        <w:ind w:left="220" w:right="4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lean manufacturing and other productivity improvement initiatives, which are intended to improve gross margins, offset a portion of rising raw material costs, and provide investment funding for new products and services.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dependence on The Home Depot, Inc. as a customer for the residential segment.</w:t>
      </w:r>
    </w:p>
    <w:p>
      <w:pPr>
        <w:spacing w:after="0" w:line="225" w:lineRule="exact"/>
        <w:rPr>
          <w:rFonts w:ascii="Arial" w:cs="Arial" w:eastAsia="Arial" w:hAnsi="Arial"/>
          <w:sz w:val="18"/>
          <w:szCs w:val="18"/>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develop, integrate new businesses and acquisitions, and manage alliances and joint venture arrangements successfully, both of which are important to our revenue growth.</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that reduce demand for our products.</w:t>
      </w:r>
    </w:p>
    <w:p>
      <w:pPr>
        <w:spacing w:after="0" w:line="225" w:lineRule="exact"/>
        <w:rPr>
          <w:rFonts w:ascii="Arial" w:cs="Arial" w:eastAsia="Arial" w:hAnsi="Arial"/>
          <w:sz w:val="18"/>
          <w:szCs w:val="18"/>
          <w:color w:val="auto"/>
        </w:rPr>
      </w:pPr>
    </w:p>
    <w:p>
      <w:pPr>
        <w:ind w:left="220" w:right="58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competitive pricing pressures, new competitors entering the markets we serve, potential loss of market share, new product introductions, and financing programs offered by both domestic and foreign companies.</w:t>
      </w:r>
    </w:p>
    <w:p>
      <w:pPr>
        <w:spacing w:after="0" w:line="170" w:lineRule="exact"/>
        <w:rPr>
          <w:rFonts w:ascii="Arial" w:cs="Arial" w:eastAsia="Arial" w:hAnsi="Arial"/>
          <w:sz w:val="18"/>
          <w:szCs w:val="18"/>
          <w:color w:val="auto"/>
        </w:rPr>
      </w:pPr>
    </w:p>
    <w:p>
      <w:pPr>
        <w:ind w:left="220" w:right="1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transportation costs as a result of higher fuel costs, capacity issues in the transportation industry, and government regulation that limits the hours of service and increases fuel consumption.</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smoothly transition leadership roles and responsibilities.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 with and terms from third party financing sources utilized by our customers.</w:t>
      </w:r>
    </w:p>
    <w:p>
      <w:pPr>
        <w:spacing w:after="0" w:line="225" w:lineRule="exact"/>
        <w:rPr>
          <w:rFonts w:ascii="Arial" w:cs="Arial" w:eastAsia="Arial" w:hAnsi="Arial"/>
          <w:sz w:val="18"/>
          <w:szCs w:val="18"/>
          <w:color w:val="auto"/>
        </w:rPr>
      </w:pPr>
    </w:p>
    <w:p>
      <w:pPr>
        <w:ind w:left="220" w:right="4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and contraction of the U.S. and worldwide economies.</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projected sales and earnings growth for fiscal 2005.</w:t>
      </w:r>
    </w:p>
    <w:p>
      <w:pPr>
        <w:spacing w:after="0" w:line="225" w:lineRule="exact"/>
        <w:rPr>
          <w:rFonts w:ascii="Arial" w:cs="Arial" w:eastAsia="Arial" w:hAnsi="Arial"/>
          <w:sz w:val="18"/>
          <w:szCs w:val="18"/>
          <w:color w:val="auto"/>
        </w:rPr>
      </w:pPr>
    </w:p>
    <w:p>
      <w:pPr>
        <w:ind w:left="220" w:right="200" w:hanging="212"/>
        <w:spacing w:after="0" w:line="26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or reduction of shelf space for our products at retailers.</w:t>
      </w:r>
    </w:p>
    <w:p>
      <w:pPr>
        <w:spacing w:after="0" w:line="225" w:lineRule="exact"/>
        <w:rPr>
          <w:rFonts w:ascii="Arial" w:cs="Arial" w:eastAsia="Arial" w:hAnsi="Arial"/>
          <w:sz w:val="18"/>
          <w:szCs w:val="18"/>
          <w:color w:val="auto"/>
        </w:rPr>
      </w:pPr>
    </w:p>
    <w:p>
      <w:pPr>
        <w:ind w:left="220" w:right="18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170" w:lineRule="exact"/>
        <w:rPr>
          <w:rFonts w:ascii="Arial" w:cs="Arial" w:eastAsia="Arial" w:hAnsi="Arial"/>
          <w:sz w:val="18"/>
          <w:szCs w:val="18"/>
          <w:color w:val="auto"/>
        </w:rPr>
      </w:pPr>
    </w:p>
    <w:p>
      <w:pPr>
        <w:ind w:left="220" w:right="3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product quality problems in the development and production of new and existing products that could result in loss of market share, reduced sales, and higher warranty expense.</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Degree of success in plant consolidation, including our ability to cost-effectively expand existing and move production between manufacturing facilities.</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restrictions placed on water usage as well as water availability.</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growth in the new golf course construction market and amount of investments in course renovations and improvements.</w:t>
      </w:r>
    </w:p>
    <w:p>
      <w:pPr>
        <w:spacing w:after="0" w:line="225" w:lineRule="exact"/>
        <w:rPr>
          <w:rFonts w:ascii="Arial" w:cs="Arial" w:eastAsia="Arial" w:hAnsi="Arial"/>
          <w:sz w:val="18"/>
          <w:szCs w:val="18"/>
          <w:color w:val="auto"/>
        </w:rPr>
      </w:pPr>
    </w:p>
    <w:p>
      <w:pPr>
        <w:ind w:left="220" w:right="28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buying patterns, including but not limited to, a trend away from purchases at dealer outlets to price and value sensitive purchases at hardware retailers, home centers, and mass retailers.</w:t>
      </w:r>
    </w:p>
    <w:p>
      <w:pPr>
        <w:sectPr>
          <w:pgSz w:w="11900" w:h="16838" w:orient="portrait"/>
          <w:cols w:equalWidth="0" w:num="1">
            <w:col w:w="11420"/>
          </w:cols>
          <w:pgMar w:left="240" w:top="419" w:right="239" w:bottom="96"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6"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government spending for grounds maintenance equipment due to reduced tax revenue and tighter government budgets.</w:t>
      </w:r>
    </w:p>
    <w:p>
      <w:pPr>
        <w:spacing w:after="0" w:line="225" w:lineRule="exact"/>
        <w:rPr>
          <w:rFonts w:ascii="Arial" w:cs="Arial" w:eastAsia="Arial" w:hAnsi="Arial"/>
          <w:sz w:val="18"/>
          <w:szCs w:val="18"/>
          <w:color w:val="auto"/>
        </w:rPr>
      </w:pPr>
    </w:p>
    <w:p>
      <w:pPr>
        <w:ind w:left="220" w:right="46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our success in partnering with new dealers, and our customers’ ability to pay amounts owed to us.</w:t>
      </w:r>
    </w:p>
    <w:p>
      <w:pPr>
        <w:spacing w:after="0" w:line="170" w:lineRule="exact"/>
        <w:rPr>
          <w:rFonts w:ascii="Arial" w:cs="Arial" w:eastAsia="Arial" w:hAnsi="Arial"/>
          <w:sz w:val="18"/>
          <w:szCs w:val="18"/>
          <w:color w:val="auto"/>
        </w:rPr>
      </w:pPr>
    </w:p>
    <w:p>
      <w:pPr>
        <w:ind w:left="220" w:right="22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 including changes in accounting standards; taxation changes, including tax rate changes, new tax laws, revised tax law interpretations; foreign laws; and environmental laws.</w:t>
      </w:r>
    </w:p>
    <w:p>
      <w:pPr>
        <w:spacing w:after="0" w:line="170" w:lineRule="exact"/>
        <w:rPr>
          <w:rFonts w:ascii="Arial" w:cs="Arial" w:eastAsia="Arial" w:hAnsi="Arial"/>
          <w:sz w:val="18"/>
          <w:szCs w:val="18"/>
          <w:color w:val="auto"/>
        </w:rPr>
      </w:pPr>
    </w:p>
    <w:p>
      <w:pPr>
        <w:ind w:left="220" w:right="40" w:hanging="212"/>
        <w:spacing w:after="0" w:line="286"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on our business and our consolidated operating results or financial condition as a result of the pending litigation against the company and others in our industry that challenges engine horsepower ratings of lawnmower products, of which the company is currently unable to assess whether the litigation would have a material adverse effect on the company’s consolidated operating results or financial condition.</w:t>
      </w:r>
    </w:p>
    <w:p>
      <w:pPr>
        <w:spacing w:after="0" w:line="165" w:lineRule="exact"/>
        <w:rPr>
          <w:rFonts w:ascii="Arial" w:cs="Arial" w:eastAsia="Arial" w:hAnsi="Arial"/>
          <w:sz w:val="17"/>
          <w:szCs w:val="17"/>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other litigation, including threatened or pending litigation, on matters relating to patent infringement, employment, and commercial disputes.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color w:val="auto"/>
        </w:rPr>
        <w:t>. In the normal course of business, we actively manage the exposure to foreign currency market risk by entering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26"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six months ended April 29, 2005, the amount of losses reclassified to earnings for such cash flow hedges was</w:t>
      </w:r>
    </w:p>
    <w:p>
      <w:pPr>
        <w:spacing w:after="0" w:line="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$0.9 million and $2.2 million, respectively. For the six months ended April 29, 2005, the losses treated as a reduction of net sales for contracts to hedge trade sales were $2.7 million and the gains treated as a reduction of cost of sales for contracts to hedge inventory purchases were $0.5 million.</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foreign currency exchange contracts held by us have maturity dates in fiscal 2005.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as of April 29, 2005 were as follows:</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694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jc w:val="center"/>
              <w:ind w:right="293"/>
              <w:spacing w:after="0" w:line="139" w:lineRule="exact"/>
              <w:rPr>
                <w:sz w:val="20"/>
                <w:szCs w:val="20"/>
                <w:color w:val="auto"/>
              </w:rPr>
            </w:pPr>
            <w:r>
              <w:rPr>
                <w:rFonts w:ascii="Arial" w:cs="Arial" w:eastAsia="Arial" w:hAnsi="Arial"/>
                <w:sz w:val="14"/>
                <w:szCs w:val="14"/>
                <w:b w:val="1"/>
                <w:bCs w:val="1"/>
                <w:color w:val="auto"/>
                <w:w w:val="93"/>
              </w:rPr>
              <w:t>Value in</w:t>
            </w:r>
          </w:p>
        </w:tc>
        <w:tc>
          <w:tcPr>
            <w:tcW w:w="10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14"/>
                <w:szCs w:val="14"/>
                <w:b w:val="1"/>
                <w:bCs w:val="1"/>
                <w:color w:val="auto"/>
                <w:w w:val="90"/>
              </w:rPr>
              <w:t>Average</w:t>
            </w:r>
          </w:p>
        </w:tc>
        <w:tc>
          <w:tcPr>
            <w:tcW w:w="10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gridSpan w:val="2"/>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tcBorders>
              <w:right w:val="single" w:sz="8" w:color="auto"/>
            </w:tcBorders>
            <w:vMerge w:val="restart"/>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69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restart"/>
          </w:tcPr>
          <w:p>
            <w:pPr>
              <w:jc w:val="right"/>
              <w:ind w:right="253"/>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2"/>
                <w:szCs w:val="12"/>
                <w:color w:val="auto"/>
              </w:rPr>
            </w:pPr>
          </w:p>
        </w:tc>
        <w:tc>
          <w:tcPr>
            <w:tcW w:w="1000" w:type="dxa"/>
            <w:vAlign w:val="bottom"/>
            <w:tcBorders>
              <w:right w:val="single" w:sz="8" w:color="auto"/>
            </w:tcBorders>
          </w:tcPr>
          <w:p>
            <w:pPr>
              <w:jc w:val="center"/>
              <w:ind w:right="293"/>
              <w:spacing w:after="0" w:line="149" w:lineRule="exact"/>
              <w:rPr>
                <w:sz w:val="20"/>
                <w:szCs w:val="20"/>
                <w:color w:val="auto"/>
              </w:rPr>
            </w:pPr>
            <w:r>
              <w:rPr>
                <w:rFonts w:ascii="Arial" w:cs="Arial" w:eastAsia="Arial" w:hAnsi="Arial"/>
                <w:sz w:val="14"/>
                <w:szCs w:val="14"/>
                <w:b w:val="1"/>
                <w:bCs w:val="1"/>
                <w:color w:val="auto"/>
              </w:rPr>
              <w:t>Other</w:t>
            </w:r>
          </w:p>
        </w:tc>
        <w:tc>
          <w:tcPr>
            <w:tcW w:w="1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Borders>
              <w:left w:val="single" w:sz="8" w:color="auto"/>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ind w:right="54"/>
              <w:spacing w:after="0" w:line="149" w:lineRule="exact"/>
              <w:rPr>
                <w:sz w:val="20"/>
                <w:szCs w:val="20"/>
                <w:color w:val="auto"/>
              </w:rPr>
            </w:pPr>
            <w:r>
              <w:rPr>
                <w:rFonts w:ascii="Arial" w:cs="Arial" w:eastAsia="Arial" w:hAnsi="Arial"/>
                <w:sz w:val="14"/>
                <w:szCs w:val="14"/>
                <w:b w:val="1"/>
                <w:bCs w:val="1"/>
                <w:color w:val="auto"/>
                <w:w w:val="94"/>
              </w:rPr>
              <w:t>Contracted</w:t>
            </w:r>
          </w:p>
        </w:tc>
        <w:tc>
          <w:tcPr>
            <w:tcW w:w="106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tcBorders>
              <w:right w:val="single" w:sz="8" w:color="auto"/>
            </w:tcBorders>
          </w:tcPr>
          <w:p>
            <w:pPr>
              <w:jc w:val="center"/>
              <w:ind w:right="34"/>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11"/>
        </w:trPr>
        <w:tc>
          <w:tcPr>
            <w:tcW w:w="6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(except average contracted rate)</w:t>
            </w:r>
          </w:p>
        </w:tc>
        <w:tc>
          <w:tcPr>
            <w:tcW w:w="112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Rate</w:t>
            </w:r>
          </w:p>
        </w:tc>
        <w:tc>
          <w:tcPr>
            <w:tcW w:w="106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right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w w:val="90"/>
              </w:rPr>
              <w:t>Income (Loss)</w:t>
            </w:r>
          </w:p>
        </w:tc>
        <w:tc>
          <w:tcPr>
            <w:tcW w:w="104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97"/>
        </w:trPr>
        <w:tc>
          <w:tcPr>
            <w:tcW w:w="6940" w:type="dxa"/>
            <w:vAlign w:val="bottom"/>
            <w:tcBorders>
              <w:left w:val="single" w:sz="8" w:color="auto"/>
              <w:bottom w:val="single" w:sz="8" w:color="auto"/>
              <w:right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Buy US dollar/Sell Australian dollar</w:t>
            </w:r>
          </w:p>
        </w:tc>
        <w:tc>
          <w:tcPr>
            <w:tcW w:w="1120" w:type="dxa"/>
            <w:vAlign w:val="bottom"/>
            <w:tcBorders>
              <w:bottom w:val="single" w:sz="8" w:color="auto"/>
              <w:right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0.7745</w:t>
            </w:r>
          </w:p>
        </w:tc>
        <w:tc>
          <w:tcPr>
            <w:tcW w:w="1060" w:type="dxa"/>
            <w:vAlign w:val="bottom"/>
            <w:tcBorders>
              <w:bottom w:val="single" w:sz="8" w:color="auto"/>
              <w:right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96"/>
              </w:rPr>
              <w:t>$ 19,583.3</w:t>
            </w:r>
          </w:p>
        </w:tc>
        <w:tc>
          <w:tcPr>
            <w:tcW w:w="260" w:type="dxa"/>
            <w:vAlign w:val="bottom"/>
            <w:tcBorders>
              <w:bottom w:val="single" w:sz="8" w:color="auto"/>
            </w:tcBorders>
            <w:shd w:val="clear" w:color="auto" w:fill="CCEEFF"/>
          </w:tcPr>
          <w:p>
            <w:pPr>
              <w:jc w:val="right"/>
              <w:ind w:right="4"/>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   (23.2)</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US dollar/Sell Canadian dollar</w:t>
            </w:r>
          </w:p>
        </w:tc>
        <w:tc>
          <w:tcPr>
            <w:tcW w:w="112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1.3206</w:t>
            </w:r>
          </w:p>
        </w:tc>
        <w:tc>
          <w:tcPr>
            <w:tcW w:w="10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3,029.0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(119.9)</w:t>
            </w:r>
          </w:p>
        </w:tc>
        <w:tc>
          <w:tcPr>
            <w:tcW w:w="104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US dollar/Sell Euro</w:t>
            </w:r>
          </w:p>
        </w:tc>
        <w:tc>
          <w:tcPr>
            <w:tcW w:w="112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1.2685</w:t>
            </w:r>
          </w:p>
        </w:tc>
        <w:tc>
          <w:tcPr>
            <w:tcW w:w="10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83,340.1</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(758.6)</w:t>
            </w:r>
          </w:p>
        </w:tc>
        <w:tc>
          <w:tcPr>
            <w:tcW w:w="1040" w:type="dxa"/>
            <w:vAlign w:val="bottom"/>
            <w:tcBorders>
              <w:bottom w:val="single" w:sz="8" w:color="auto"/>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US dollar/Sell British pound</w:t>
            </w:r>
          </w:p>
        </w:tc>
        <w:tc>
          <w:tcPr>
            <w:tcW w:w="112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1.9030</w:t>
            </w:r>
          </w:p>
        </w:tc>
        <w:tc>
          <w:tcPr>
            <w:tcW w:w="10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19,600.9</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US dollar/Sell Mexican peso</w:t>
            </w:r>
          </w:p>
        </w:tc>
        <w:tc>
          <w:tcPr>
            <w:tcW w:w="112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11.0750</w:t>
            </w:r>
          </w:p>
        </w:tc>
        <w:tc>
          <w:tcPr>
            <w:tcW w:w="10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1,805.9</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Euro/Sell US dollar</w:t>
            </w:r>
          </w:p>
        </w:tc>
        <w:tc>
          <w:tcPr>
            <w:tcW w:w="112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1.2952</w:t>
            </w:r>
          </w:p>
        </w:tc>
        <w:tc>
          <w:tcPr>
            <w:tcW w:w="10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3,108.5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Japanese yen/Sell US dollar</w:t>
            </w:r>
          </w:p>
        </w:tc>
        <w:tc>
          <w:tcPr>
            <w:tcW w:w="112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107.2559</w:t>
            </w:r>
          </w:p>
        </w:tc>
        <w:tc>
          <w:tcPr>
            <w:tcW w:w="10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3,496.3</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45.2</w:t>
            </w:r>
          </w:p>
        </w:tc>
        <w:tc>
          <w:tcPr>
            <w:tcW w:w="104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 British pound/Sell US dollar</w:t>
            </w:r>
          </w:p>
        </w:tc>
        <w:tc>
          <w:tcPr>
            <w:tcW w:w="112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1.7842</w:t>
            </w:r>
          </w:p>
        </w:tc>
        <w:tc>
          <w:tcPr>
            <w:tcW w:w="10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321.2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 Mexican peso/Sell US dollar</w:t>
            </w:r>
          </w:p>
        </w:tc>
        <w:tc>
          <w:tcPr>
            <w:tcW w:w="112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11.8617</w:t>
            </w:r>
          </w:p>
        </w:tc>
        <w:tc>
          <w:tcPr>
            <w:tcW w:w="10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12,005.0</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628.5</w:t>
            </w:r>
          </w:p>
        </w:tc>
        <w:tc>
          <w:tcPr>
            <w:tcW w:w="104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a LIBOR or commercial paper rate plus a basis point spread defined in our credit agreements. See our most recently filed Annual Report on Form 10-K (Item 7A). There has been no material change in this information.</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Commodity Price Risk</w:t>
      </w:r>
      <w:r>
        <w:rPr>
          <w:rFonts w:ascii="Arial" w:cs="Arial" w:eastAsia="Arial" w:hAnsi="Arial"/>
          <w:sz w:val="18"/>
          <w:szCs w:val="18"/>
          <w:i w:val="1"/>
          <w:iCs w:val="1"/>
          <w:color w:val="auto"/>
        </w:rPr>
        <w:t xml:space="preserve">. </w:t>
      </w:r>
      <w:r>
        <w:rPr>
          <w:rFonts w:ascii="Arial" w:cs="Arial" w:eastAsia="Arial" w:hAnsi="Arial"/>
          <w:sz w:val="18"/>
          <w:szCs w:val="18"/>
          <w:color w:val="auto"/>
        </w:rPr>
        <w:t>Some raw materials used in our products are exposed to commodity price changes. We manage some of this risk by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short- and long-term agreements with some vendors. The primary commodity price exposures are with steel, aluminum, fuel, petroleum-based resins, plastic resin, and linerboard. Further information regarding rising prices for steel and other commodities is presented in Item 2, section entitled “Inflation.”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4. CONTROLS AND PROCEDURES</w:t>
      </w:r>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second quarter ended April 29, 2005 that has materially affected, or is reasonably likely to materially affect, the company’s internal control over financial reporting.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 LEGAL PROCEEDINGS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Management continues to evaluate this lawsuit. The company is unable to reasonably estimate the amount or range of potential loss that could result from this litigation, and therefore has not established a reserve for any potential loss in connection with this lawsuit. The company is also unable to assess at this time whether the lawsuit will have a material adverse effect on its consolidated operating results or financial condition.</w:t>
      </w:r>
    </w:p>
    <w:p>
      <w:pPr>
        <w:spacing w:after="0" w:line="142"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CHANGES IN SECURITIES, USE OF PROCEEDS, AND ISSUER PURCHASES OF EQUITY SECURITIES</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our second quarter of fiscal 2005 stock repurchase activity. Shares and per share data have been adjusted for all periods presented to reflect a two-for-one stock split effective March 28, 2005.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Shares Purchased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As 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Total Number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0"/>
              </w:rPr>
              <w:t>Average Price</w:t>
            </w:r>
          </w:p>
        </w:tc>
        <w:tc>
          <w:tcPr>
            <w:tcW w:w="2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Announced Plans</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Under 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ind w:left="2520"/>
              <w:spacing w:after="0"/>
              <w:rPr>
                <w:sz w:val="20"/>
                <w:szCs w:val="20"/>
                <w:color w:val="auto"/>
              </w:rPr>
            </w:pPr>
            <w:r>
              <w:rPr>
                <w:rFonts w:ascii="Arial" w:cs="Arial" w:eastAsia="Arial" w:hAnsi="Arial"/>
                <w:sz w:val="14"/>
                <w:szCs w:val="14"/>
                <w:color w:val="auto"/>
              </w:rPr>
              <w:t>Period</w:t>
            </w:r>
          </w:p>
        </w:tc>
        <w:tc>
          <w:tcPr>
            <w:tcW w:w="2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Shares Purchased (1)</w:t>
            </w:r>
          </w:p>
        </w:tc>
        <w:tc>
          <w:tcPr>
            <w:tcW w:w="380" w:type="dxa"/>
            <w:vAlign w:val="bottom"/>
          </w:tcPr>
          <w:p>
            <w:pPr>
              <w:spacing w:after="0"/>
              <w:rPr>
                <w:sz w:val="14"/>
                <w:szCs w:val="14"/>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4"/>
                <w:szCs w:val="14"/>
                <w:color w:val="auto"/>
              </w:rPr>
              <w:t>Paid per Share</w:t>
            </w:r>
          </w:p>
        </w:tc>
        <w:tc>
          <w:tcPr>
            <w:tcW w:w="2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or Programs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Programs (1)(2)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January 29, 2005 through February 25, 2005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40.71</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108,642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February 26, 2005 through March 25, 2005</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20,198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43.52</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20,198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1,537,570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March 26, 2005 through April 29, 2005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114,440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112,476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1,425,094</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vMerge w:val="restart"/>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243,280</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42.57</w:t>
            </w:r>
          </w:p>
        </w:tc>
        <w:tc>
          <w:tcPr>
            <w:tcW w:w="16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241,316</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140" w:hanging="532"/>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September 30, 2004, the company’s Board of Directors authorized the repurchase of up to 2,000,000 shares of the company’s common stock in open-market transactions or in privately negotiated transactions. This program has no expiration date but may be terminated by the company’s Board of Directors at any time. The company purchased 241,316 shares during the periods indicated above under this program.</w:t>
      </w:r>
    </w:p>
    <w:p>
      <w:pPr>
        <w:spacing w:after="0" w:line="165" w:lineRule="exact"/>
        <w:rPr>
          <w:rFonts w:ascii="Arial" w:cs="Arial" w:eastAsia="Arial" w:hAnsi="Arial"/>
          <w:sz w:val="17"/>
          <w:szCs w:val="17"/>
          <w:color w:val="auto"/>
        </w:rPr>
      </w:pPr>
    </w:p>
    <w:p>
      <w:pPr>
        <w:ind w:left="540" w:right="40" w:hanging="532"/>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1,964 units (shares) of the company’s common stock purchased in open-market transactions at an average price of $44.84 per share on behalf of a rabbi trust formed to pay benefit obligations of the company to participants in deferred compensation plans. These 1,964 shares were not repurchased under the company’s repurchase program described in footnote (1)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Item 4. SUBMISSION OF MATTERS TO A VOTE OF SECURITY HOLDERS</w:t>
      </w:r>
    </w:p>
    <w:p>
      <w:pPr>
        <w:spacing w:after="0" w:line="231"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15, 2005.</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Against/</w:t>
      </w:r>
    </w:p>
    <w:p>
      <w:pPr>
        <w:spacing w:after="0"/>
        <w:rPr>
          <w:sz w:val="20"/>
          <w:szCs w:val="20"/>
          <w:color w:val="auto"/>
        </w:rPr>
      </w:pPr>
      <w:r>
        <w:rPr>
          <w:rFonts w:ascii="Arial" w:cs="Arial" w:eastAsia="Arial" w:hAnsi="Arial"/>
          <w:sz w:val="13"/>
          <w:szCs w:val="13"/>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3810</wp:posOffset>
            </wp:positionV>
            <wp:extent cx="1080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11430</wp:posOffset>
            </wp:positionV>
            <wp:extent cx="1012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Broker</w:t>
      </w:r>
    </w:p>
    <w:p>
      <w:pPr>
        <w:jc w:val="center"/>
        <w:ind w:right="140"/>
        <w:spacing w:after="0"/>
        <w:rPr>
          <w:sz w:val="20"/>
          <w:szCs w:val="20"/>
          <w:color w:val="auto"/>
        </w:rPr>
      </w:pPr>
      <w:r>
        <w:rPr>
          <w:rFonts w:ascii="Arial" w:cs="Arial" w:eastAsia="Arial" w:hAnsi="Arial"/>
          <w:sz w:val="13"/>
          <w:szCs w:val="13"/>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565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4">
            <w:col w:w="6880" w:space="720"/>
            <w:col w:w="1080" w:space="720"/>
            <w:col w:w="540" w:space="720"/>
            <w:col w:w="760"/>
          </w:cols>
          <w:pgMar w:left="240" w:top="419" w:right="239" w:bottom="1440" w:gutter="0" w:footer="0" w:header="0"/>
          <w:type w:val="continuous"/>
        </w:sect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amendment of Amended and Restated Certificate</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4220" w:type="dxa"/>
            <w:vAlign w:val="bottom"/>
          </w:tcPr>
          <w:p>
            <w:pPr>
              <w:spacing w:after="0"/>
              <w:rPr>
                <w:sz w:val="20"/>
                <w:szCs w:val="20"/>
                <w:color w:val="auto"/>
              </w:rPr>
            </w:pPr>
            <w:r>
              <w:rPr>
                <w:rFonts w:ascii="Arial" w:cs="Arial" w:eastAsia="Arial" w:hAnsi="Arial"/>
                <w:sz w:val="18"/>
                <w:szCs w:val="18"/>
                <w:color w:val="auto"/>
              </w:rPr>
              <w:t>of Incorporation to increase authorized shares.</w:t>
            </w:r>
          </w:p>
        </w:tc>
        <w:tc>
          <w:tcPr>
            <w:tcW w:w="2240" w:type="dxa"/>
            <w:vAlign w:val="bottom"/>
          </w:tcPr>
          <w:p>
            <w:pPr>
              <w:jc w:val="right"/>
              <w:ind w:right="450"/>
              <w:spacing w:after="0"/>
              <w:rPr>
                <w:sz w:val="20"/>
                <w:szCs w:val="20"/>
                <w:color w:val="auto"/>
              </w:rPr>
            </w:pPr>
            <w:r>
              <w:rPr>
                <w:rFonts w:ascii="Arial" w:cs="Arial" w:eastAsia="Arial" w:hAnsi="Arial"/>
                <w:sz w:val="18"/>
                <w:szCs w:val="18"/>
                <w:color w:val="auto"/>
              </w:rPr>
              <w:t>18,038,122</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2,126,002</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83,705</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amendment of Amended and Restated Certificate</w:t>
      </w:r>
    </w:p>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4060" w:type="dxa"/>
            <w:vAlign w:val="bottom"/>
          </w:tcPr>
          <w:p>
            <w:pPr>
              <w:spacing w:after="0"/>
              <w:rPr>
                <w:sz w:val="20"/>
                <w:szCs w:val="20"/>
                <w:color w:val="auto"/>
              </w:rPr>
            </w:pPr>
            <w:r>
              <w:rPr>
                <w:rFonts w:ascii="Arial" w:cs="Arial" w:eastAsia="Arial" w:hAnsi="Arial"/>
                <w:sz w:val="18"/>
                <w:szCs w:val="18"/>
                <w:color w:val="auto"/>
              </w:rPr>
              <w:t>of Incorporation to increase size of board.</w:t>
            </w:r>
          </w:p>
        </w:tc>
        <w:tc>
          <w:tcPr>
            <w:tcW w:w="2480" w:type="dxa"/>
            <w:vAlign w:val="bottom"/>
          </w:tcPr>
          <w:p>
            <w:pPr>
              <w:jc w:val="right"/>
              <w:ind w:right="530"/>
              <w:spacing w:after="0"/>
              <w:rPr>
                <w:sz w:val="20"/>
                <w:szCs w:val="20"/>
                <w:color w:val="auto"/>
              </w:rPr>
            </w:pPr>
            <w:r>
              <w:rPr>
                <w:rFonts w:ascii="Arial" w:cs="Arial" w:eastAsia="Arial" w:hAnsi="Arial"/>
                <w:sz w:val="18"/>
                <w:szCs w:val="18"/>
                <w:color w:val="auto"/>
              </w:rPr>
              <w:t>19,309,539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831,526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106,764</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Directors – for terms expiring in March 2008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ind w:left="460"/>
              <w:spacing w:after="0"/>
              <w:rPr>
                <w:sz w:val="20"/>
                <w:szCs w:val="20"/>
                <w:color w:val="auto"/>
              </w:rPr>
            </w:pPr>
            <w:r>
              <w:rPr>
                <w:rFonts w:ascii="Arial" w:cs="Arial" w:eastAsia="Arial" w:hAnsi="Arial"/>
                <w:sz w:val="18"/>
                <w:szCs w:val="18"/>
                <w:color w:val="auto"/>
              </w:rPr>
              <w:t>Ronald O. Baukol</w:t>
            </w:r>
          </w:p>
        </w:tc>
        <w:tc>
          <w:tcPr>
            <w:tcW w:w="3180" w:type="dxa"/>
            <w:vAlign w:val="bottom"/>
          </w:tcPr>
          <w:p>
            <w:pPr>
              <w:jc w:val="right"/>
              <w:ind w:right="450"/>
              <w:spacing w:after="0"/>
              <w:rPr>
                <w:sz w:val="20"/>
                <w:szCs w:val="20"/>
                <w:color w:val="auto"/>
              </w:rPr>
            </w:pPr>
            <w:r>
              <w:rPr>
                <w:rFonts w:ascii="Arial" w:cs="Arial" w:eastAsia="Arial" w:hAnsi="Arial"/>
                <w:sz w:val="18"/>
                <w:szCs w:val="18"/>
                <w:color w:val="auto"/>
              </w:rPr>
              <w:t>18,441,541</w:t>
            </w:r>
          </w:p>
        </w:tc>
        <w:tc>
          <w:tcPr>
            <w:tcW w:w="2080" w:type="dxa"/>
            <w:vAlign w:val="bottom"/>
          </w:tcPr>
          <w:p>
            <w:pPr>
              <w:jc w:val="right"/>
              <w:ind w:right="710"/>
              <w:spacing w:after="0"/>
              <w:rPr>
                <w:sz w:val="20"/>
                <w:szCs w:val="20"/>
                <w:color w:val="auto"/>
              </w:rPr>
            </w:pPr>
            <w:r>
              <w:rPr>
                <w:rFonts w:ascii="Arial" w:cs="Arial" w:eastAsia="Arial" w:hAnsi="Arial"/>
                <w:sz w:val="18"/>
                <w:szCs w:val="18"/>
                <w:color w:val="auto"/>
              </w:rPr>
              <w:t>1,806,288</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r>
      <w:tr>
        <w:trPr>
          <w:trHeight w:val="216"/>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Katherine J. Harless</w:t>
            </w:r>
          </w:p>
        </w:tc>
        <w:tc>
          <w:tcPr>
            <w:tcW w:w="31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18,447,692</w:t>
            </w:r>
          </w:p>
        </w:tc>
        <w:tc>
          <w:tcPr>
            <w:tcW w:w="20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1,800,137</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r>
      <w:tr>
        <w:trPr>
          <w:trHeight w:val="216"/>
        </w:trPr>
        <w:tc>
          <w:tcPr>
            <w:tcW w:w="3740" w:type="dxa"/>
            <w:vAlign w:val="bottom"/>
          </w:tcPr>
          <w:p>
            <w:pPr>
              <w:ind w:left="460"/>
              <w:spacing w:after="0"/>
              <w:rPr>
                <w:sz w:val="20"/>
                <w:szCs w:val="20"/>
                <w:color w:val="auto"/>
              </w:rPr>
            </w:pPr>
            <w:r>
              <w:rPr>
                <w:rFonts w:ascii="Arial" w:cs="Arial" w:eastAsia="Arial" w:hAnsi="Arial"/>
                <w:sz w:val="18"/>
                <w:szCs w:val="18"/>
                <w:color w:val="auto"/>
              </w:rPr>
              <w:t>Michael J. Hoffman</w:t>
            </w:r>
          </w:p>
        </w:tc>
        <w:tc>
          <w:tcPr>
            <w:tcW w:w="3180" w:type="dxa"/>
            <w:vAlign w:val="bottom"/>
          </w:tcPr>
          <w:p>
            <w:pPr>
              <w:jc w:val="right"/>
              <w:ind w:right="450"/>
              <w:spacing w:after="0"/>
              <w:rPr>
                <w:sz w:val="20"/>
                <w:szCs w:val="20"/>
                <w:color w:val="auto"/>
              </w:rPr>
            </w:pPr>
            <w:r>
              <w:rPr>
                <w:rFonts w:ascii="Arial" w:cs="Arial" w:eastAsia="Arial" w:hAnsi="Arial"/>
                <w:sz w:val="18"/>
                <w:szCs w:val="18"/>
                <w:color w:val="auto"/>
              </w:rPr>
              <w:t>18,808,752</w:t>
            </w:r>
          </w:p>
        </w:tc>
        <w:tc>
          <w:tcPr>
            <w:tcW w:w="2080" w:type="dxa"/>
            <w:vAlign w:val="bottom"/>
          </w:tcPr>
          <w:p>
            <w:pPr>
              <w:jc w:val="right"/>
              <w:ind w:right="710"/>
              <w:spacing w:after="0"/>
              <w:rPr>
                <w:sz w:val="20"/>
                <w:szCs w:val="20"/>
                <w:color w:val="auto"/>
              </w:rPr>
            </w:pPr>
            <w:r>
              <w:rPr>
                <w:rFonts w:ascii="Arial" w:cs="Arial" w:eastAsia="Arial" w:hAnsi="Arial"/>
                <w:sz w:val="18"/>
                <w:szCs w:val="18"/>
                <w:color w:val="auto"/>
              </w:rPr>
              <w:t>1,439,077</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w:t>
            </w:r>
          </w:p>
        </w:tc>
      </w:tr>
      <w:tr>
        <w:trPr>
          <w:trHeight w:val="216"/>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Dale R. Olseth</w:t>
            </w:r>
          </w:p>
        </w:tc>
        <w:tc>
          <w:tcPr>
            <w:tcW w:w="31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18,797,033</w:t>
            </w:r>
          </w:p>
        </w:tc>
        <w:tc>
          <w:tcPr>
            <w:tcW w:w="20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1,450,796</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r>
    </w:tbl>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amendments of Annual Management Incentive</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820" w:type="dxa"/>
            <w:vAlign w:val="bottom"/>
          </w:tcPr>
          <w:p>
            <w:pPr>
              <w:spacing w:after="0"/>
              <w:rPr>
                <w:sz w:val="20"/>
                <w:szCs w:val="20"/>
                <w:color w:val="auto"/>
              </w:rPr>
            </w:pPr>
            <w:r>
              <w:rPr>
                <w:rFonts w:ascii="Arial" w:cs="Arial" w:eastAsia="Arial" w:hAnsi="Arial"/>
                <w:sz w:val="18"/>
                <w:szCs w:val="18"/>
                <w:color w:val="auto"/>
              </w:rPr>
              <w:t>Plan II.</w:t>
            </w:r>
          </w:p>
        </w:tc>
        <w:tc>
          <w:tcPr>
            <w:tcW w:w="3720" w:type="dxa"/>
            <w:vAlign w:val="bottom"/>
          </w:tcPr>
          <w:p>
            <w:pPr>
              <w:jc w:val="right"/>
              <w:ind w:right="530"/>
              <w:spacing w:after="0"/>
              <w:rPr>
                <w:sz w:val="20"/>
                <w:szCs w:val="20"/>
                <w:color w:val="auto"/>
              </w:rPr>
            </w:pPr>
            <w:r>
              <w:rPr>
                <w:rFonts w:ascii="Arial" w:cs="Arial" w:eastAsia="Arial" w:hAnsi="Arial"/>
                <w:sz w:val="18"/>
                <w:szCs w:val="18"/>
                <w:color w:val="auto"/>
              </w:rPr>
              <w:t>19,055,205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786,204</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406,420</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withdrawn by the Board of Directors</w:t>
      </w:r>
    </w:p>
    <w:p>
      <w:pPr>
        <w:spacing w:after="0" w:line="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Selection of Independent Auditors for Fiscal</w:t>
      </w:r>
    </w:p>
    <w:p>
      <w:pPr>
        <w:spacing w:after="0" w:line="9" w:lineRule="exact"/>
        <w:rPr>
          <w:sz w:val="20"/>
          <w:szCs w:val="20"/>
          <w:color w:val="auto"/>
        </w:rPr>
      </w:pPr>
    </w:p>
    <w:p>
      <w:pPr>
        <w:ind w:left="460"/>
        <w:spacing w:after="0"/>
        <w:tabs>
          <w:tab w:leader="none" w:pos="5560" w:val="left"/>
          <w:tab w:leader="none" w:pos="7580" w:val="left"/>
          <w:tab w:leader="none" w:pos="9280" w:val="left"/>
          <w:tab w:leader="none" w:pos="1100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19,764,187</w:t>
      </w:r>
      <w:r>
        <w:rPr>
          <w:sz w:val="20"/>
          <w:szCs w:val="20"/>
          <w:color w:val="auto"/>
        </w:rPr>
        <w:tab/>
      </w:r>
      <w:r>
        <w:rPr>
          <w:rFonts w:ascii="Arial" w:cs="Arial" w:eastAsia="Arial" w:hAnsi="Arial"/>
          <w:sz w:val="18"/>
          <w:szCs w:val="18"/>
          <w:color w:val="auto"/>
        </w:rPr>
        <w:t>137,255</w:t>
      </w:r>
      <w:r>
        <w:rPr>
          <w:sz w:val="20"/>
          <w:szCs w:val="20"/>
          <w:color w:val="auto"/>
        </w:rPr>
        <w:tab/>
      </w:r>
      <w:r>
        <w:rPr>
          <w:rFonts w:ascii="Arial" w:cs="Arial" w:eastAsia="Arial" w:hAnsi="Arial"/>
          <w:sz w:val="18"/>
          <w:szCs w:val="18"/>
          <w:color w:val="auto"/>
        </w:rPr>
        <w:t>346,387</w:t>
      </w:r>
      <w:r>
        <w:rPr>
          <w:sz w:val="20"/>
          <w:szCs w:val="20"/>
          <w:color w:val="auto"/>
        </w:rPr>
        <w:tab/>
      </w:r>
      <w:r>
        <w:rPr>
          <w:rFonts w:ascii="Arial" w:cs="Arial" w:eastAsia="Arial" w:hAnsi="Arial"/>
          <w:sz w:val="14"/>
          <w:szCs w:val="14"/>
          <w:color w:val="auto"/>
        </w:rPr>
        <w:t>0</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to transact any other business or any adjournment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the meeting.</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10,227,486</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9,141,273</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879,070</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left="580" w:right="500" w:hanging="541"/>
        <w:spacing w:after="0" w:line="277" w:lineRule="auto"/>
        <w:rPr>
          <w:sz w:val="20"/>
          <w:szCs w:val="20"/>
          <w:color w:val="auto"/>
        </w:rPr>
      </w:pPr>
      <w:r>
        <w:rPr>
          <w:rFonts w:ascii="Arial" w:cs="Arial" w:eastAsia="Arial" w:hAnsi="Arial"/>
          <w:sz w:val="18"/>
          <w:szCs w:val="18"/>
          <w:color w:val="auto"/>
        </w:rPr>
        <w:t>Janet K. Cooper, Kendrick B. Melrose, Gregg W. Steinhafel, and Edwin H. Wingate continue to serve as directors of the company for terms expiring in March 2006.</w:t>
      </w:r>
    </w:p>
    <w:p>
      <w:pPr>
        <w:spacing w:after="0" w:line="143" w:lineRule="exact"/>
        <w:rPr>
          <w:sz w:val="20"/>
          <w:szCs w:val="20"/>
          <w:color w:val="auto"/>
        </w:rPr>
      </w:pPr>
    </w:p>
    <w:p>
      <w:pPr>
        <w:ind w:left="580" w:right="120" w:hanging="541"/>
        <w:spacing w:after="0" w:line="277" w:lineRule="auto"/>
        <w:rPr>
          <w:sz w:val="20"/>
          <w:szCs w:val="20"/>
          <w:color w:val="auto"/>
        </w:rPr>
      </w:pPr>
      <w:r>
        <w:rPr>
          <w:rFonts w:ascii="Arial" w:cs="Arial" w:eastAsia="Arial" w:hAnsi="Arial"/>
          <w:sz w:val="18"/>
          <w:szCs w:val="18"/>
          <w:color w:val="auto"/>
        </w:rPr>
        <w:t>Robert C. Buhrmaster, Winslow H. Buxton, Robert H. Nassau, and Christopher A. Twomey continue to serve as directors of the company for terms expiring in March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10020" w:type="dxa"/>
            <w:vAlign w:val="bottom"/>
          </w:tcPr>
          <w:p>
            <w:pPr>
              <w:ind w:left="3440"/>
              <w:spacing w:after="0"/>
              <w:rPr>
                <w:sz w:val="20"/>
                <w:szCs w:val="20"/>
                <w:color w:val="auto"/>
              </w:rPr>
            </w:pPr>
            <w:r>
              <w:rPr>
                <w:rFonts w:ascii="Arial" w:cs="Arial" w:eastAsia="Arial" w:hAnsi="Arial"/>
                <w:sz w:val="22"/>
                <w:szCs w:val="22"/>
                <w:b w:val="1"/>
                <w:bCs w:val="1"/>
                <w:color w:val="auto"/>
              </w:rPr>
              <w:t>Item 6. EXHIBITS</w:t>
            </w:r>
          </w:p>
        </w:tc>
      </w:tr>
      <w:tr>
        <w:trPr>
          <w:trHeight w:val="422"/>
        </w:trPr>
        <w:tc>
          <w:tcPr>
            <w:tcW w:w="1400" w:type="dxa"/>
            <w:vAlign w:val="bottom"/>
          </w:tcPr>
          <w:p>
            <w:pPr>
              <w:spacing w:after="0"/>
              <w:rPr>
                <w:sz w:val="20"/>
                <w:szCs w:val="20"/>
                <w:color w:val="auto"/>
              </w:rPr>
            </w:pPr>
            <w:r>
              <w:rPr>
                <w:rFonts w:ascii="Arial" w:cs="Arial" w:eastAsia="Arial" w:hAnsi="Arial"/>
                <w:sz w:val="18"/>
                <w:szCs w:val="18"/>
                <w:color w:val="auto"/>
              </w:rPr>
              <w:t>(a) Exhibits</w:t>
            </w:r>
          </w:p>
        </w:tc>
        <w:tc>
          <w:tcPr>
            <w:tcW w:w="10020" w:type="dxa"/>
            <w:vAlign w:val="bottom"/>
          </w:tcPr>
          <w:p>
            <w:pPr>
              <w:spacing w:after="0"/>
              <w:rPr>
                <w:sz w:val="24"/>
                <w:szCs w:val="24"/>
                <w:color w:val="auto"/>
              </w:rPr>
            </w:pPr>
          </w:p>
        </w:tc>
      </w:tr>
      <w:tr>
        <w:trPr>
          <w:trHeight w:val="607"/>
        </w:trPr>
        <w:tc>
          <w:tcPr>
            <w:tcW w:w="1400" w:type="dxa"/>
            <w:vAlign w:val="bottom"/>
          </w:tcPr>
          <w:p>
            <w:pPr>
              <w:spacing w:after="0"/>
              <w:rPr>
                <w:sz w:val="20"/>
                <w:szCs w:val="20"/>
                <w:color w:val="auto"/>
              </w:rPr>
            </w:pPr>
            <w:r>
              <w:rPr>
                <w:rFonts w:ascii="Arial" w:cs="Arial" w:eastAsia="Arial" w:hAnsi="Arial"/>
                <w:sz w:val="18"/>
                <w:szCs w:val="18"/>
                <w:color w:val="auto"/>
              </w:rPr>
              <w:t>3(i) and 4(a)</w:t>
            </w:r>
          </w:p>
        </w:tc>
        <w:tc>
          <w:tcPr>
            <w:tcW w:w="10020" w:type="dxa"/>
            <w:vAlign w:val="bottom"/>
          </w:tcPr>
          <w:p>
            <w:pPr>
              <w:ind w:left="440"/>
              <w:spacing w:after="0"/>
              <w:rPr>
                <w:sz w:val="20"/>
                <w:szCs w:val="20"/>
                <w:color w:val="auto"/>
              </w:rPr>
            </w:pPr>
            <w:r>
              <w:rPr>
                <w:rFonts w:ascii="Arial" w:cs="Arial" w:eastAsia="Arial" w:hAnsi="Arial"/>
                <w:sz w:val="18"/>
                <w:szCs w:val="18"/>
                <w:color w:val="auto"/>
                <w:w w:val="97"/>
              </w:rPr>
              <w:t>The Toro Company Amended and Restated Certificate of Incorporation (incorporated by reference to Exhibit 3(i) and 4(a) to</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Registrant’s Current Report on Form 8-K dated March 15, 2005, Commission File No. 1-8649).</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3(ii) and 4(b)</w:t>
            </w:r>
          </w:p>
        </w:tc>
        <w:tc>
          <w:tcPr>
            <w:tcW w:w="10020" w:type="dxa"/>
            <w:vAlign w:val="bottom"/>
          </w:tcPr>
          <w:p>
            <w:pPr>
              <w:ind w:left="440"/>
              <w:spacing w:after="0"/>
              <w:rPr>
                <w:sz w:val="20"/>
                <w:szCs w:val="20"/>
                <w:color w:val="auto"/>
              </w:rPr>
            </w:pPr>
            <w:r>
              <w:rPr>
                <w:rFonts w:ascii="Arial" w:cs="Arial" w:eastAsia="Arial" w:hAnsi="Arial"/>
                <w:sz w:val="18"/>
                <w:szCs w:val="18"/>
                <w:color w:val="auto"/>
                <w:w w:val="93"/>
              </w:rPr>
              <w:t>The Toro Company Bylaws (incorporated by reference to Exhibit 3(ii) and 4(b) to Registrant’s Current Report on Form 8-K dated</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March 15, 2005, Commission File No. 1-8649).</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4(c)</w:t>
            </w:r>
          </w:p>
        </w:tc>
        <w:tc>
          <w:tcPr>
            <w:tcW w:w="10020" w:type="dxa"/>
            <w:vAlign w:val="bottom"/>
          </w:tcPr>
          <w:p>
            <w:pPr>
              <w:ind w:left="440"/>
              <w:spacing w:after="0"/>
              <w:rPr>
                <w:sz w:val="20"/>
                <w:szCs w:val="20"/>
                <w:color w:val="auto"/>
              </w:rPr>
            </w:pPr>
            <w:r>
              <w:rPr>
                <w:rFonts w:ascii="Arial" w:cs="Arial" w:eastAsia="Arial" w:hAnsi="Arial"/>
                <w:sz w:val="18"/>
                <w:szCs w:val="18"/>
                <w:color w:val="auto"/>
                <w:w w:val="92"/>
              </w:rPr>
              <w:t>Specimen form of Common Stock certificate (incorporated by reference to Exhibit 4(c) to Registrant’s Annual Report on Form 10-K</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dated October 31, 2004).</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4(d)</w:t>
            </w:r>
          </w:p>
        </w:tc>
        <w:tc>
          <w:tcPr>
            <w:tcW w:w="10020" w:type="dxa"/>
            <w:vAlign w:val="bottom"/>
          </w:tcPr>
          <w:p>
            <w:pPr>
              <w:ind w:left="440"/>
              <w:spacing w:after="0"/>
              <w:rPr>
                <w:sz w:val="20"/>
                <w:szCs w:val="20"/>
                <w:color w:val="auto"/>
              </w:rPr>
            </w:pPr>
            <w:r>
              <w:rPr>
                <w:rFonts w:ascii="Arial" w:cs="Arial" w:eastAsia="Arial" w:hAnsi="Arial"/>
                <w:sz w:val="18"/>
                <w:szCs w:val="18"/>
                <w:color w:val="auto"/>
                <w:w w:val="91"/>
              </w:rPr>
              <w:t>Rights Agreement dated as of May 20, 1998, between Registrant and Wells Fargo Bank Minnesota, National Association relating to</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5"/>
              </w:rPr>
              <w:t>rights to purchase Series B Junior Participating Voting Preferred Stock, as amended (incorporated by reference to Registrant’s</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4(e)</w:t>
            </w:r>
          </w:p>
        </w:tc>
        <w:tc>
          <w:tcPr>
            <w:tcW w:w="10020" w:type="dxa"/>
            <w:vAlign w:val="bottom"/>
          </w:tcPr>
          <w:p>
            <w:pPr>
              <w:ind w:left="440"/>
              <w:spacing w:after="0"/>
              <w:rPr>
                <w:sz w:val="20"/>
                <w:szCs w:val="20"/>
                <w:color w:val="auto"/>
              </w:rPr>
            </w:pPr>
            <w:r>
              <w:rPr>
                <w:rFonts w:ascii="Arial" w:cs="Arial" w:eastAsia="Arial" w:hAnsi="Arial"/>
                <w:sz w:val="18"/>
                <w:szCs w:val="18"/>
                <w:color w:val="auto"/>
                <w:w w:val="98"/>
              </w:rPr>
              <w:t>Certificate of Adjusted Purchase Price or Number of Shares dated April 14, 2003 filed by Registrant with Wells Fargo Bank</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2"/>
              </w:rPr>
              <w:t>Exhibit 2 to Registrant’s Amendment No. 1 to Registration Statement on Form 8-A/A dated April 14, 2003, Commission File No. 1-</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8649).</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4(f)</w:t>
            </w:r>
          </w:p>
        </w:tc>
        <w:tc>
          <w:tcPr>
            <w:tcW w:w="10020" w:type="dxa"/>
            <w:vAlign w:val="bottom"/>
          </w:tcPr>
          <w:p>
            <w:pPr>
              <w:ind w:left="440"/>
              <w:spacing w:after="0"/>
              <w:rPr>
                <w:sz w:val="20"/>
                <w:szCs w:val="20"/>
                <w:color w:val="auto"/>
              </w:rPr>
            </w:pPr>
            <w:r>
              <w:rPr>
                <w:rFonts w:ascii="Arial" w:cs="Arial" w:eastAsia="Arial" w:hAnsi="Arial"/>
                <w:sz w:val="18"/>
                <w:szCs w:val="18"/>
                <w:color w:val="auto"/>
                <w:w w:val="98"/>
              </w:rPr>
              <w:t>Certificate of Adjusted Purchase Price or Number of Shares dated April 12, 2005 filed by Registrant with Wells Fargo Bank</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6"/>
              </w:rPr>
              <w:t>Exhibit 2 to Registrant’s Amendment No. 2 to Registration Statement on Form 8-A/A dated March 21, 2005, Commission File</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No. 1-8649).</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4(g)</w:t>
            </w:r>
          </w:p>
        </w:tc>
        <w:tc>
          <w:tcPr>
            <w:tcW w:w="10020" w:type="dxa"/>
            <w:vAlign w:val="bottom"/>
          </w:tcPr>
          <w:p>
            <w:pPr>
              <w:ind w:left="440"/>
              <w:spacing w:after="0"/>
              <w:rPr>
                <w:sz w:val="20"/>
                <w:szCs w:val="20"/>
                <w:color w:val="auto"/>
              </w:rPr>
            </w:pPr>
            <w:r>
              <w:rPr>
                <w:rFonts w:ascii="Arial" w:cs="Arial" w:eastAsia="Arial" w:hAnsi="Arial"/>
                <w:sz w:val="18"/>
                <w:szCs w:val="18"/>
                <w:color w:val="auto"/>
                <w:w w:val="97"/>
              </w:rPr>
              <w:t>Indenture dated as of January 31, 1997, between Registrant and First National Trust Association, as Trustee, relating to the</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89"/>
              </w:rPr>
              <w:t>Registrant’s 7.125% Notes due June 15, 2007 and its 7.80% Debentures due June 15, 2027 (incorporated by reference to Exhibit 4(a)</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to Registrant’s Current Report on Form 8-K for June 24, 1997, Commission File No. 1-8649).</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10(a)</w:t>
            </w:r>
          </w:p>
        </w:tc>
        <w:tc>
          <w:tcPr>
            <w:tcW w:w="10020" w:type="dxa"/>
            <w:vAlign w:val="bottom"/>
          </w:tcPr>
          <w:p>
            <w:pPr>
              <w:ind w:left="440"/>
              <w:spacing w:after="0"/>
              <w:rPr>
                <w:sz w:val="20"/>
                <w:szCs w:val="20"/>
                <w:color w:val="auto"/>
              </w:rPr>
            </w:pPr>
            <w:r>
              <w:rPr>
                <w:rFonts w:ascii="Arial" w:cs="Arial" w:eastAsia="Arial" w:hAnsi="Arial"/>
                <w:sz w:val="18"/>
                <w:szCs w:val="18"/>
                <w:color w:val="auto"/>
              </w:rPr>
              <w:t>The Toro Company Annual Management Incentive Plan II, as amended.</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10(b)</w:t>
            </w:r>
          </w:p>
        </w:tc>
        <w:tc>
          <w:tcPr>
            <w:tcW w:w="10020" w:type="dxa"/>
            <w:vAlign w:val="bottom"/>
          </w:tcPr>
          <w:p>
            <w:pPr>
              <w:ind w:left="440"/>
              <w:spacing w:after="0"/>
              <w:rPr>
                <w:sz w:val="20"/>
                <w:szCs w:val="20"/>
                <w:color w:val="auto"/>
              </w:rPr>
            </w:pPr>
            <w:r>
              <w:rPr>
                <w:rFonts w:ascii="Arial" w:cs="Arial" w:eastAsia="Arial" w:hAnsi="Arial"/>
                <w:sz w:val="18"/>
                <w:szCs w:val="18"/>
                <w:color w:val="auto"/>
                <w:w w:val="89"/>
              </w:rPr>
              <w:t>Asset Purchase Agreement, dated as of February 8, 2005, by and among Editland Limited, a company incorporated under the laws of</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3"/>
              </w:rPr>
              <w:t>England and Wales, Toro Hayter (Guernsey) Limited, a company incorporated under the laws of the state of Guernsey, Channel</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6"/>
              </w:rPr>
              <w:t>Islands, Hayter Limited, a company incorporated under the laws of England and Wales, and The Toro Company, a company</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incorporated under the laws of Delaware (incorporated by reference to Exhibit 99.1 to Registrant’s Current Report on Form 8-K</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dated February 10, 2005, Commission File No. 1-8649).</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31(a)</w:t>
            </w:r>
          </w:p>
        </w:tc>
        <w:tc>
          <w:tcPr>
            <w:tcW w:w="10020" w:type="dxa"/>
            <w:vAlign w:val="bottom"/>
          </w:tcPr>
          <w:p>
            <w:pPr>
              <w:ind w:left="44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31(b)</w:t>
            </w:r>
          </w:p>
        </w:tc>
        <w:tc>
          <w:tcPr>
            <w:tcW w:w="10020" w:type="dxa"/>
            <w:vAlign w:val="bottom"/>
          </w:tcPr>
          <w:p>
            <w:pPr>
              <w:ind w:left="440"/>
              <w:spacing w:after="0"/>
              <w:rPr>
                <w:sz w:val="20"/>
                <w:szCs w:val="20"/>
                <w:color w:val="auto"/>
              </w:rPr>
            </w:pPr>
            <w:r>
              <w:rPr>
                <w:rFonts w:ascii="Arial" w:cs="Arial" w:eastAsia="Arial" w:hAnsi="Arial"/>
                <w:sz w:val="18"/>
                <w:szCs w:val="18"/>
                <w:color w:val="auto"/>
              </w:rPr>
              <w:t>Certification of Chief Financial Officer Pursuant to Rule 13a-14(a) (Section 302 of the Sarbanes-Oxley Act of 2002).</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32</w:t>
            </w: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Certification of Chief Executive Officer and Chief Financial Officer Pursuant to 18 U.S.C. Section 1350, as Adopted Pursuant to</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Section 906 of the Sarbanes-Oxley Act of 2002.</w:t>
            </w:r>
          </w:p>
        </w:tc>
      </w:tr>
      <w:tr>
        <w:trPr>
          <w:trHeight w:val="392"/>
        </w:trPr>
        <w:tc>
          <w:tcPr>
            <w:tcW w:w="1400" w:type="dxa"/>
            <w:vAlign w:val="bottom"/>
          </w:tcPr>
          <w:p>
            <w:pPr>
              <w:spacing w:after="0"/>
              <w:rPr>
                <w:sz w:val="24"/>
                <w:szCs w:val="24"/>
                <w:color w:val="auto"/>
              </w:rPr>
            </w:pPr>
          </w:p>
        </w:tc>
        <w:tc>
          <w:tcPr>
            <w:tcW w:w="10020" w:type="dxa"/>
            <w:vAlign w:val="bottom"/>
          </w:tcPr>
          <w:p>
            <w:pPr>
              <w:ind w:left="4220"/>
              <w:spacing w:after="0"/>
              <w:rPr>
                <w:sz w:val="20"/>
                <w:szCs w:val="20"/>
                <w:color w:val="auto"/>
              </w:rPr>
            </w:pPr>
            <w:r>
              <w:rPr>
                <w:rFonts w:ascii="Arial" w:cs="Arial" w:eastAsia="Arial" w:hAnsi="Arial"/>
                <w:sz w:val="18"/>
                <w:szCs w:val="18"/>
                <w:color w:val="auto"/>
              </w:rPr>
              <w:t>27</w:t>
            </w:r>
          </w:p>
        </w:tc>
      </w:tr>
      <w:tr>
        <w:trPr>
          <w:trHeight w:val="226"/>
        </w:trPr>
        <w:tc>
          <w:tcPr>
            <w:tcW w:w="1400" w:type="dxa"/>
            <w:vAlign w:val="bottom"/>
            <w:tcBorders>
              <w:bottom w:val="single" w:sz="8" w:color="808080"/>
            </w:tcBorders>
          </w:tcPr>
          <w:p>
            <w:pPr>
              <w:spacing w:after="0"/>
              <w:rPr>
                <w:sz w:val="19"/>
                <w:szCs w:val="19"/>
                <w:color w:val="auto"/>
              </w:rPr>
            </w:pPr>
          </w:p>
        </w:tc>
        <w:tc>
          <w:tcPr>
            <w:tcW w:w="10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jc w:val="center"/>
        <w:ind w:left="334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left="3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Date: June 6, 2005</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74930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80"/>
          </w:cols>
          <w:pgMar w:left="240" w:top="419" w:right="9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Management Incentive Plan II</w:t>
      </w:r>
    </w:p>
    <w:p>
      <w:pPr>
        <w:spacing w:after="0" w:line="207" w:lineRule="exact"/>
        <w:rPr>
          <w:sz w:val="20"/>
          <w:szCs w:val="20"/>
          <w:color w:val="auto"/>
        </w:rPr>
      </w:pPr>
    </w:p>
    <w:p>
      <w:pPr>
        <w:ind w:left="240" w:right="300" w:hanging="232"/>
        <w:spacing w:after="0" w:line="258"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Plan Purpose. </w:t>
      </w:r>
      <w:r>
        <w:rPr>
          <w:rFonts w:ascii="Arial" w:cs="Arial" w:eastAsia="Arial" w:hAnsi="Arial"/>
          <w:sz w:val="18"/>
          <w:szCs w:val="18"/>
          <w:color w:val="auto"/>
        </w:rPr>
        <w:t>The purpose of The Toro Company Annual Management Incentive Plan II (the “Plan”) is to enhance stockholder value of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and to attract, motivate and retain officers and general managers on a competitive basis by making awards based on annual achievement of Performance Goals (“Annual Performance Awards”).</w:t>
      </w:r>
    </w:p>
    <w:p>
      <w:pPr>
        <w:spacing w:after="0" w:line="183" w:lineRule="exact"/>
        <w:rPr>
          <w:rFonts w:ascii="Arial" w:cs="Arial" w:eastAsia="Arial" w:hAnsi="Arial"/>
          <w:sz w:val="18"/>
          <w:szCs w:val="18"/>
          <w:color w:val="auto"/>
        </w:rPr>
      </w:pPr>
    </w:p>
    <w:p>
      <w:pPr>
        <w:ind w:left="240" w:right="180" w:hanging="232"/>
        <w:spacing w:after="0" w:line="273" w:lineRule="auto"/>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Eligibility and Participation. </w:t>
      </w:r>
      <w:r>
        <w:rPr>
          <w:rFonts w:ascii="Arial" w:cs="Arial" w:eastAsia="Arial" w:hAnsi="Arial"/>
          <w:sz w:val="17"/>
          <w:szCs w:val="17"/>
          <w:color w:val="auto"/>
        </w:rPr>
        <w:t>Within the first 90 days of each fiscal year, or before the first 25% of a shorter performance period has elapsed,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Human Resources Committee (the “Committee”) shall select as recipients of Annual Performance Awards (“Plan Participants”) those officers and general managers of the Company who, through their position or performance, can have a significant, positive impact on the Company’s financial results. A Plan Participant is selected to participate in the Plan for one fiscal year, but may be selected again. Newly-hired and newly-promoted officers and general managers may be selected as Plan Participants after the first 90 days of a fiscal year subject to the provisions of this paragraph and paragraph 4.a. To the extent any provision of the Plan or action by the Committee fails to so comply, it shall be deemed null and void, to the extent permitted by law and deemed advisable by the Committee.</w:t>
      </w:r>
    </w:p>
    <w:p>
      <w:pPr>
        <w:spacing w:after="0" w:line="172" w:lineRule="exact"/>
        <w:rPr>
          <w:rFonts w:ascii="Arial" w:cs="Arial" w:eastAsia="Arial" w:hAnsi="Arial"/>
          <w:sz w:val="17"/>
          <w:szCs w:val="17"/>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Award Amounts.</w:t>
      </w:r>
    </w:p>
    <w:p>
      <w:pPr>
        <w:spacing w:after="0" w:line="229" w:lineRule="exact"/>
        <w:rPr>
          <w:rFonts w:ascii="Arial" w:cs="Arial" w:eastAsia="Arial" w:hAnsi="Arial"/>
          <w:sz w:val="18"/>
          <w:szCs w:val="18"/>
          <w:color w:val="auto"/>
        </w:rPr>
      </w:pPr>
    </w:p>
    <w:p>
      <w:pPr>
        <w:ind w:left="920" w:right="80" w:hanging="237"/>
        <w:spacing w:after="0" w:line="270" w:lineRule="auto"/>
        <w:tabs>
          <w:tab w:leader="none" w:pos="920"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Target Payout. </w:t>
      </w:r>
      <w:r>
        <w:rPr>
          <w:rFonts w:ascii="Arial" w:cs="Arial" w:eastAsia="Arial" w:hAnsi="Arial"/>
          <w:sz w:val="17"/>
          <w:szCs w:val="17"/>
          <w:color w:val="auto"/>
        </w:rPr>
        <w:t>The target amount that may be paid with respect to an Annual Performance Award (the “Target Payout”) shall be determined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and shall be based on a percentage of a Plan Participant’s actual annual base salary at the time of grant (“Participation Factor”), within the range established by this paragraph and subject to adjustment as provided in the last sentence of this paragraph. The Participation Factors, which are intended to reflect a Plan Participant’s level of responsibility, are up to 100% for the Chairman and Chief Executive Officer, up to 85% for the President and Chief Operating Officer, up to 75% for other elected officers and up to 65%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or greater than the Target Payout.</w:t>
      </w:r>
    </w:p>
    <w:p>
      <w:pPr>
        <w:spacing w:after="0" w:line="181" w:lineRule="exact"/>
        <w:rPr>
          <w:rFonts w:ascii="Arial" w:cs="Arial" w:eastAsia="Arial" w:hAnsi="Arial"/>
          <w:sz w:val="17"/>
          <w:szCs w:val="17"/>
          <w:color w:val="auto"/>
        </w:rPr>
      </w:pPr>
    </w:p>
    <w:p>
      <w:pPr>
        <w:ind w:left="920" w:right="120" w:hanging="237"/>
        <w:spacing w:after="0" w:line="302"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Maximum Payout. </w:t>
      </w:r>
      <w:r>
        <w:rPr>
          <w:rFonts w:ascii="Arial" w:cs="Arial" w:eastAsia="Arial" w:hAnsi="Arial"/>
          <w:sz w:val="16"/>
          <w:szCs w:val="16"/>
          <w:color w:val="auto"/>
        </w:rPr>
        <w:t>The Committee may also establish a maximum potential payout amount (the “Maximum Payout”) with respect to an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ind w:left="912" w:right="140" w:hanging="237"/>
        <w:spacing w:after="0" w:line="276" w:lineRule="auto"/>
        <w:tabs>
          <w:tab w:leader="none" w:pos="912" w:val="left"/>
        </w:tabs>
        <w:numPr>
          <w:ilvl w:val="1"/>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Division Payout. </w:t>
      </w:r>
      <w:r>
        <w:rPr>
          <w:rFonts w:ascii="Arial" w:cs="Arial" w:eastAsia="Arial" w:hAnsi="Arial"/>
          <w:sz w:val="17"/>
          <w:szCs w:val="17"/>
          <w:color w:val="auto"/>
        </w:rPr>
        <w:t>At the time an Annual Performance Award is made, the Committee may establish supplemental division-specific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172" w:lineRule="exact"/>
        <w:rPr>
          <w:rFonts w:ascii="Arial" w:cs="Arial" w:eastAsia="Arial" w:hAnsi="Arial"/>
          <w:sz w:val="17"/>
          <w:szCs w:val="17"/>
          <w:color w:val="auto"/>
        </w:rPr>
      </w:pPr>
    </w:p>
    <w:p>
      <w:pPr>
        <w:ind w:left="912" w:hanging="237"/>
        <w:spacing w:after="0" w:line="273" w:lineRule="auto"/>
        <w:tabs>
          <w:tab w:leader="none" w:pos="912" w:val="left"/>
        </w:tabs>
        <w:numPr>
          <w:ilvl w:val="1"/>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Performance Measure Payout</w:t>
      </w:r>
      <w:r>
        <w:rPr>
          <w:rFonts w:ascii="Arial" w:cs="Arial" w:eastAsia="Arial" w:hAnsi="Arial"/>
          <w:sz w:val="17"/>
          <w:szCs w:val="17"/>
          <w:color w:val="auto"/>
        </w:rPr>
        <w:t>. At the time an Annual Performance Award is made, the Committee may increase the Target Payout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Maximum Payout (as either may be prorated in accordance with 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78" w:lineRule="exact"/>
        <w:rPr>
          <w:rFonts w:ascii="Arial" w:cs="Arial" w:eastAsia="Arial" w:hAnsi="Arial"/>
          <w:sz w:val="17"/>
          <w:szCs w:val="17"/>
          <w:color w:val="auto"/>
        </w:rPr>
      </w:pPr>
    </w:p>
    <w:p>
      <w:pPr>
        <w:ind w:left="912" w:right="260" w:hanging="237"/>
        <w:spacing w:after="0" w:line="273" w:lineRule="auto"/>
        <w:tabs>
          <w:tab w:leader="none" w:pos="912" w:val="left"/>
        </w:tabs>
        <w:numPr>
          <w:ilvl w:val="1"/>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Section 162(m) Maximum. </w:t>
      </w:r>
      <w:r>
        <w:rPr>
          <w:rFonts w:ascii="Arial" w:cs="Arial" w:eastAsia="Arial" w:hAnsi="Arial"/>
          <w:sz w:val="17"/>
          <w:szCs w:val="17"/>
          <w:color w:val="auto"/>
        </w:rPr>
        <w:t>With respect to any Plan Participant who is or may become a person referred to in Section 162(m), the maximum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dollar amount that may be paid under an Annual Performance Award shall be set at the time the Committee grants the award and establishes Performance Goals under the award, and the Committee shall have the discretion to decrease an award payment, but may not under any circumstances increase such amount. Notwithstanding any other provision of this Plan, the maximum dollar amount a Plan Participant may be paid under an Annual Performance Award, with respect to any fiscal year is $2,000,000 1,500,000. The Committee may, in its discretion, decrease this maximum, but may not, under any circumstances, increase this maximum.</w:t>
      </w:r>
    </w:p>
    <w:p>
      <w:pPr>
        <w:spacing w:after="0" w:line="174" w:lineRule="exact"/>
        <w:rPr>
          <w:rFonts w:ascii="Arial" w:cs="Arial" w:eastAsia="Arial" w:hAnsi="Arial"/>
          <w:sz w:val="17"/>
          <w:szCs w:val="17"/>
          <w:color w:val="auto"/>
        </w:rPr>
      </w:pPr>
    </w:p>
    <w:p>
      <w:pPr>
        <w:ind w:left="232" w:hanging="232"/>
        <w:spacing w:after="0"/>
        <w:tabs>
          <w:tab w:leader="none" w:pos="2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Goals.</w:t>
      </w:r>
    </w:p>
    <w:p>
      <w:pPr>
        <w:spacing w:after="0" w:line="229" w:lineRule="exact"/>
        <w:rPr>
          <w:rFonts w:ascii="Arial" w:cs="Arial" w:eastAsia="Arial" w:hAnsi="Arial"/>
          <w:sz w:val="18"/>
          <w:szCs w:val="18"/>
          <w:b w:val="1"/>
          <w:bCs w:val="1"/>
          <w:color w:val="auto"/>
        </w:rPr>
      </w:pPr>
    </w:p>
    <w:p>
      <w:pPr>
        <w:ind w:left="912" w:right="120" w:hanging="237"/>
        <w:spacing w:after="0" w:line="297" w:lineRule="auto"/>
        <w:tabs>
          <w:tab w:leader="none" w:pos="912"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Establishment. </w:t>
      </w:r>
      <w:r>
        <w:rPr>
          <w:rFonts w:ascii="Arial" w:cs="Arial" w:eastAsia="Arial" w:hAnsi="Arial"/>
          <w:sz w:val="16"/>
          <w:szCs w:val="16"/>
          <w:color w:val="auto"/>
        </w:rPr>
        <w:t>An award payment under an Annual Performance Award shall be made to a Plan Participant only if the Company, a division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58" w:lineRule="exact"/>
        <w:rPr>
          <w:rFonts w:ascii="Arial" w:cs="Arial" w:eastAsia="Arial" w:hAnsi="Arial"/>
          <w:sz w:val="16"/>
          <w:szCs w:val="16"/>
          <w:color w:val="auto"/>
        </w:rPr>
      </w:pPr>
    </w:p>
    <w:p>
      <w:pPr>
        <w:ind w:left="912" w:right="80" w:hanging="237"/>
        <w:spacing w:after="0" w:line="291" w:lineRule="auto"/>
        <w:tabs>
          <w:tab w:leader="none" w:pos="912"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Goal Criteria</w:t>
      </w:r>
      <w:r>
        <w:rPr>
          <w:rFonts w:ascii="Arial" w:cs="Arial" w:eastAsia="Arial" w:hAnsi="Arial"/>
          <w:sz w:val="16"/>
          <w:szCs w:val="16"/>
          <w:color w:val="auto"/>
        </w:rPr>
        <w:t>. Performance Goals to be established under paragraph 4.a. shall be based on revenue, revenue growth, cost of goods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sold, earnings per share (EPS), earnings growth, return on average net assets (ROANA),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that may be established under paragraph 4.a. may be based on any of the foregoing and/or on division specific operating performance goals including sustained earnings, product warranty experience, product recalls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1" w:name="page32"/>
    <w:bookmarkEnd w:id="31"/>
    <w:p>
      <w:pPr>
        <w:ind w:left="892"/>
        <w:spacing w:after="0" w:line="293" w:lineRule="auto"/>
        <w:rPr>
          <w:sz w:val="20"/>
          <w:szCs w:val="20"/>
          <w:color w:val="auto"/>
        </w:rPr>
      </w:pPr>
      <w:r>
        <w:rPr>
          <w:rFonts w:ascii="Arial" w:cs="Arial" w:eastAsia="Arial" w:hAnsi="Arial"/>
          <w:sz w:val="16"/>
          <w:szCs w:val="16"/>
          <w:color w:val="auto"/>
        </w:rPr>
        <w:t>inventory levels. SPM Performance Goals that may be established under paragraph 4.a.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in this paragraph. Each Performance Goal is to be specifically defined by the Committee on a Company, division or individual basis and/or in comparison with peer group performance.</w:t>
      </w:r>
    </w:p>
    <w:p>
      <w:pPr>
        <w:spacing w:after="0" w:line="161" w:lineRule="exact"/>
        <w:rPr>
          <w:sz w:val="20"/>
          <w:szCs w:val="20"/>
          <w:color w:val="auto"/>
        </w:rPr>
      </w:pPr>
    </w:p>
    <w:p>
      <w:pPr>
        <w:ind w:left="232" w:right="20" w:hanging="232"/>
        <w:spacing w:after="0" w:line="256" w:lineRule="auto"/>
        <w:tabs>
          <w:tab w:leader="none" w:pos="23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Before any payment is made under the Plan, the Committee must certify in writing, as reflected in the minutes, that the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87" w:lineRule="exact"/>
        <w:rPr>
          <w:rFonts w:ascii="Arial" w:cs="Arial" w:eastAsia="Arial" w:hAnsi="Arial"/>
          <w:sz w:val="18"/>
          <w:szCs w:val="18"/>
          <w:color w:val="auto"/>
        </w:rPr>
      </w:pPr>
    </w:p>
    <w:p>
      <w:pPr>
        <w:ind w:left="232" w:right="160" w:hanging="232"/>
        <w:spacing w:after="0" w:line="258" w:lineRule="auto"/>
        <w:tabs>
          <w:tab w:leader="none" w:pos="23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Committee shall have the authority to administer the Plan; establish policies under the Plan; amend the Plan,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8; interpret provisions of the Plan; select Plan Participants; establish Performance Goals; make Annual Performance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and Plan Participants.</w:t>
      </w:r>
    </w:p>
    <w:p>
      <w:pPr>
        <w:spacing w:after="0" w:line="183" w:lineRule="exact"/>
        <w:rPr>
          <w:rFonts w:ascii="Arial" w:cs="Arial" w:eastAsia="Arial" w:hAnsi="Arial"/>
          <w:sz w:val="18"/>
          <w:szCs w:val="18"/>
          <w:color w:val="auto"/>
        </w:rPr>
      </w:pPr>
    </w:p>
    <w:p>
      <w:pPr>
        <w:ind w:left="232" w:right="20" w:hanging="232"/>
        <w:spacing w:after="0" w:line="289" w:lineRule="auto"/>
        <w:tabs>
          <w:tab w:leader="none" w:pos="232"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Plan, awards granted under the Plan and agreements entered into under the Plan shall be construed, administered and governed in all</w:t>
      </w:r>
      <w:r>
        <w:rPr>
          <w:rFonts w:ascii="Arial" w:cs="Arial" w:eastAsia="Arial" w:hAnsi="Arial"/>
          <w:sz w:val="17"/>
          <w:szCs w:val="17"/>
          <w:b w:val="1"/>
          <w:bCs w:val="1"/>
          <w:color w:val="auto"/>
        </w:rPr>
        <w:t xml:space="preserve"> </w:t>
      </w:r>
      <w:r>
        <w:rPr>
          <w:rFonts w:ascii="Arial" w:cs="Arial" w:eastAsia="Arial" w:hAnsi="Arial"/>
          <w:sz w:val="17"/>
          <w:szCs w:val="17"/>
          <w:color w:val="auto"/>
        </w:rPr>
        <w:t>respects under and by the applicable laws of the State of Delaware, excluding any conflicts or choice of law rule or principle that might otherwise refer construction or interpretation of the Plan or an award or agreement to the substantive law of another jurisdiction.</w:t>
      </w:r>
    </w:p>
    <w:p>
      <w:pPr>
        <w:spacing w:after="0" w:line="158" w:lineRule="exact"/>
        <w:rPr>
          <w:rFonts w:ascii="Arial" w:cs="Arial" w:eastAsia="Arial" w:hAnsi="Arial"/>
          <w:sz w:val="17"/>
          <w:szCs w:val="17"/>
          <w:color w:val="auto"/>
        </w:rPr>
      </w:pPr>
    </w:p>
    <w:p>
      <w:pPr>
        <w:ind w:left="232" w:right="140" w:hanging="232"/>
        <w:spacing w:after="0" w:line="292" w:lineRule="auto"/>
        <w:tabs>
          <w:tab w:leader="none" w:pos="232"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notice to Plan Participants, provided that no amendment to the Plan shall be effective that would increase the maximum amount payable under paragraph 3.e.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Annual Performance Award theretofore granted without such participant’s written consent.</w:t>
      </w:r>
    </w:p>
    <w:p>
      <w:pPr>
        <w:spacing w:after="0" w:line="161" w:lineRule="exact"/>
        <w:rPr>
          <w:rFonts w:ascii="Arial" w:cs="Arial" w:eastAsia="Arial" w:hAnsi="Arial"/>
          <w:sz w:val="16"/>
          <w:szCs w:val="16"/>
          <w:color w:val="auto"/>
        </w:rPr>
      </w:pPr>
    </w:p>
    <w:p>
      <w:pPr>
        <w:ind w:left="232" w:hanging="232"/>
        <w:spacing w:after="0" w:line="282" w:lineRule="auto"/>
        <w:tabs>
          <w:tab w:leader="none" w:pos="23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the Plan and Amendments</w:t>
      </w:r>
      <w:r>
        <w:rPr>
          <w:rFonts w:ascii="Arial" w:cs="Arial" w:eastAsia="Arial" w:hAnsi="Arial"/>
          <w:sz w:val="18"/>
          <w:szCs w:val="18"/>
          <w:color w:val="auto"/>
        </w:rPr>
        <w:t>. The Plan first became effective on November 1, 1995. Any amendment to the Plan shall be effective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established by the Committee, subject to stockholder approval, if required under the provisions of paragraph 8.</w:t>
      </w:r>
    </w:p>
    <w:p>
      <w:pPr>
        <w:sectPr>
          <w:pgSz w:w="11900" w:h="16838" w:orient="portrait"/>
          <w:cols w:equalWidth="0" w:num="1">
            <w:col w:w="11392"/>
          </w:cols>
          <w:pgMar w:left="248" w:top="935"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18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40" w:hanging="234"/>
        <w:spacing w:after="0" w:line="308" w:lineRule="auto"/>
        <w:tabs>
          <w:tab w:leader="none" w:pos="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180" w:hanging="234"/>
        <w:spacing w:after="0" w:line="342"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60" w:hanging="234"/>
        <w:spacing w:after="0" w:line="277"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234"/>
        <w:spacing w:after="0" w:line="277"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18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80" w:right="100" w:hanging="234"/>
        <w:spacing w:after="0" w:line="264" w:lineRule="auto"/>
        <w:tabs>
          <w:tab w:leader="none" w:pos="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40" w:hanging="234"/>
        <w:spacing w:after="0" w:line="308" w:lineRule="auto"/>
        <w:tabs>
          <w:tab w:leader="none" w:pos="5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180" w:hanging="234"/>
        <w:spacing w:after="0" w:line="342" w:lineRule="auto"/>
        <w:tabs>
          <w:tab w:leader="none" w:pos="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60" w:hanging="234"/>
        <w:spacing w:after="0" w:line="277" w:lineRule="auto"/>
        <w:tabs>
          <w:tab w:leader="none" w:pos="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234"/>
        <w:spacing w:after="0" w:line="277" w:lineRule="auto"/>
        <w:tabs>
          <w:tab w:leader="none" w:pos="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April 29, 2005 as filed with the Securities and Exchange Commission on the date hereof (the “Report”), we, Michael J. Hoffman, Chief Executive Officer of the Company, and Stephen P. Wolfe, Vice President-Finance,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2005</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
    </w:lvl>
  </w:abstractNum>
  <w:abstractNum w:abstractNumId="1">
    <w:nsid w:val="216231B"/>
    <w:multiLevelType w:val="hybridMultilevel"/>
    <w:lvl w:ilvl="0">
      <w:lvlJc w:val="left"/>
      <w:lvlText w:val="(%1)"/>
      <w:numFmt w:val="lowerRoman"/>
      <w:start w:val="3"/>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decimal"/>
      <w:start w:val="7"/>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3"/>
    </w:lvl>
  </w:abstractNum>
  <w:abstractNum w:abstractNumId="14">
    <w:nsid w:val="25E45D32"/>
    <w:multiLevelType w:val="hybridMultilevel"/>
    <w:lvl w:ilvl="0">
      <w:lvlJc w:val="left"/>
      <w:lvlText w:val="%1."/>
      <w:numFmt w:val="decimal"/>
      <w:start w:val="4"/>
    </w:lvl>
    <w:lvl w:ilvl="1">
      <w:lvlJc w:val="left"/>
      <w:lvlText w:val="%2."/>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2019-12-13T13:42:24Z</dcterms:created>
  <dcterms:modified xsi:type="dcterms:W3CDTF">2019-12-13T13:42:24Z</dcterms:modified>
</cp:coreProperties>
</file>