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DAHL AMY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VP, HR &amp; Distributor Devel.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12/18/2019</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4,882</w:t>
            </w:r>
            <w:r>
              <w:rPr>
                <w:rFonts w:ascii="Arial" w:cs="Arial" w:eastAsia="Arial" w:hAnsi="Arial"/>
                <w:sz w:val="22"/>
                <w:szCs w:val="22"/>
                <w:color w:val="008000"/>
                <w:w w:val="89"/>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80" w:type="dxa"/>
            <w:vAlign w:val="bottom"/>
            <w:tcBorders>
              <w:bottom w:val="single" w:sz="8" w:color="2C2C2C"/>
            </w:tcBorders>
          </w:tcPr>
          <w:p>
            <w:pPr>
              <w:jc w:val="center"/>
              <w:ind w:left="314"/>
              <w:spacing w:after="0"/>
              <w:rPr>
                <w:sz w:val="20"/>
                <w:szCs w:val="20"/>
                <w:color w:val="auto"/>
              </w:rPr>
            </w:pPr>
            <w:r>
              <w:rPr>
                <w:rFonts w:ascii="Arial" w:cs="Arial" w:eastAsia="Arial" w:hAnsi="Arial"/>
                <w:sz w:val="17"/>
                <w:szCs w:val="17"/>
                <w:color w:val="0000FF"/>
                <w:w w:val="93"/>
              </w:rPr>
              <w:t>4,882</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11,879.261</w:t>
            </w:r>
          </w:p>
        </w:tc>
        <w:tc>
          <w:tcPr>
            <w:tcW w:w="34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3,546.521</w:t>
            </w:r>
            <w:r>
              <w:rPr>
                <w:rFonts w:ascii="Arial" w:cs="Arial" w:eastAsia="Arial" w:hAnsi="Arial"/>
                <w:sz w:val="22"/>
                <w:szCs w:val="22"/>
                <w:color w:val="008000"/>
                <w:w w:val="87"/>
                <w:vertAlign w:val="superscript"/>
              </w:rPr>
              <w:t>(2)</w:t>
            </w:r>
          </w:p>
        </w:tc>
        <w:tc>
          <w:tcPr>
            <w:tcW w:w="340" w:type="dxa"/>
            <w:vAlign w:val="bottom"/>
          </w:tcPr>
          <w:p>
            <w:pPr>
              <w:spacing w:after="0"/>
              <w:rPr>
                <w:sz w:val="18"/>
                <w:szCs w:val="18"/>
                <w:color w:val="auto"/>
              </w:rPr>
            </w:pPr>
          </w:p>
        </w:tc>
        <w:tc>
          <w:tcPr>
            <w:tcW w:w="600" w:type="dxa"/>
            <w:vAlign w:val="bottom"/>
          </w:tcPr>
          <w:p>
            <w:pPr>
              <w:jc w:val="center"/>
              <w:ind w:right="35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12/19/2019</w:t>
            </w:r>
          </w:p>
        </w:tc>
        <w:tc>
          <w:tcPr>
            <w:tcW w:w="118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20,800</w:t>
            </w:r>
          </w:p>
        </w:tc>
        <w:tc>
          <w:tcPr>
            <w:tcW w:w="34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Arial" w:cs="Arial" w:eastAsia="Arial" w:hAnsi="Arial"/>
                <w:sz w:val="11"/>
                <w:szCs w:val="11"/>
                <w:color w:val="008000"/>
              </w:rPr>
              <w:t>(3)</w:t>
            </w:r>
          </w:p>
        </w:tc>
        <w:tc>
          <w:tcPr>
            <w:tcW w:w="740" w:type="dxa"/>
            <w:vAlign w:val="bottom"/>
          </w:tcPr>
          <w:p>
            <w:pPr>
              <w:ind w:left="40"/>
              <w:spacing w:after="0"/>
              <w:rPr>
                <w:sz w:val="20"/>
                <w:szCs w:val="20"/>
                <w:color w:val="auto"/>
              </w:rPr>
            </w:pPr>
            <w:r>
              <w:rPr>
                <w:rFonts w:ascii="Arial" w:cs="Arial" w:eastAsia="Arial" w:hAnsi="Arial"/>
                <w:sz w:val="13"/>
                <w:szCs w:val="13"/>
                <w:color w:val="0000FF"/>
              </w:rPr>
              <w:t>12/19/2029</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20,800</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40"/>
              <w:spacing w:after="0"/>
              <w:rPr>
                <w:sz w:val="20"/>
                <w:szCs w:val="20"/>
                <w:color w:val="auto"/>
              </w:rPr>
            </w:pPr>
            <w:r>
              <w:rPr>
                <w:rFonts w:ascii="Arial" w:cs="Arial" w:eastAsia="Arial" w:hAnsi="Arial"/>
                <w:sz w:val="13"/>
                <w:szCs w:val="13"/>
                <w:color w:val="0000FF"/>
              </w:rPr>
              <w:t>20,800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2017 to Fiscal 2019 Performance Period under The Toro Company Amended and Restated 2010 Equity and Incentive Plan, as amended and restated, as approved by the Issuer's Compensation &amp; Human Resources Committee of its Board of Directors on December 3, 2019, and which was conditioned upon and subject to confirmation by the Issuer's Fiscal 2019 financial results that were released on December 18, 2019.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9" w:lineRule="exact"/>
        <w:rPr>
          <w:rFonts w:ascii="Arial" w:cs="Arial" w:eastAsia="Arial" w:hAnsi="Arial"/>
          <w:sz w:val="12"/>
          <w:szCs w:val="12"/>
          <w:color w:val="008000"/>
        </w:rPr>
      </w:pPr>
    </w:p>
    <w:p>
      <w:pPr>
        <w:ind w:left="40" w:right="3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13.862 shares acquired through regular individual and Issuer matching contributions to The Toro Company Investment, Savings &amp; ESOP (the "IS&amp;ESOP"); and 22.574 net shares acquired under the dividend reinvestment feature of the IS&amp;ESOP less quarterly non-discretionary administrative fees.</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2019-12-20T13:24:15Z</dcterms:created>
  <dcterms:modified xsi:type="dcterms:W3CDTF">2019-12-20T13:24:15Z</dcterms:modified>
</cp:coreProperties>
</file>