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39"/>
        <w:spacing w:after="0"/>
        <w:rPr>
          <w:sz w:val="20"/>
          <w:szCs w:val="20"/>
          <w:color w:val="auto"/>
        </w:rPr>
      </w:pPr>
      <w:r>
        <w:rPr>
          <w:rFonts w:ascii="Courier New" w:cs="Courier New" w:eastAsia="Courier New" w:hAnsi="Courier New"/>
          <w:sz w:val="15"/>
          <w:szCs w:val="15"/>
          <w:color w:val="auto"/>
        </w:rPr>
        <w:t>UNITED STATES</w:t>
      </w:r>
    </w:p>
    <w:p>
      <w:pPr>
        <w:spacing w:after="0" w:line="34" w:lineRule="exact"/>
        <w:rPr>
          <w:sz w:val="24"/>
          <w:szCs w:val="24"/>
          <w:color w:val="auto"/>
        </w:rPr>
      </w:pPr>
    </w:p>
    <w:p>
      <w:pPr>
        <w:jc w:val="center"/>
        <w:ind w:right="235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54" w:lineRule="exact"/>
        <w:rPr>
          <w:sz w:val="24"/>
          <w:szCs w:val="24"/>
          <w:color w:val="auto"/>
        </w:rPr>
      </w:pPr>
    </w:p>
    <w:p>
      <w:pPr>
        <w:jc w:val="center"/>
        <w:ind w:right="2339"/>
        <w:spacing w:after="0"/>
        <w:tabs>
          <w:tab w:leader="none" w:pos="260" w:val="left"/>
        </w:tabs>
        <w:rPr>
          <w:sz w:val="20"/>
          <w:szCs w:val="20"/>
          <w:color w:val="auto"/>
        </w:rPr>
      </w:pP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5"/>
          <w:szCs w:val="15"/>
          <w:color w:val="auto"/>
        </w:rPr>
        <w:t>20549</w:t>
      </w:r>
    </w:p>
    <w:p>
      <w:pPr>
        <w:spacing w:after="0" w:line="182" w:lineRule="exact"/>
        <w:rPr>
          <w:sz w:val="24"/>
          <w:szCs w:val="24"/>
          <w:color w:val="auto"/>
        </w:rPr>
      </w:pPr>
    </w:p>
    <w:p>
      <w:pPr>
        <w:ind w:left="3560"/>
        <w:spacing w:after="0"/>
        <w:rPr>
          <w:sz w:val="20"/>
          <w:szCs w:val="20"/>
          <w:color w:val="auto"/>
        </w:rPr>
      </w:pPr>
      <w:r>
        <w:rPr>
          <w:rFonts w:ascii="Courier New" w:cs="Courier New" w:eastAsia="Courier New" w:hAnsi="Courier New"/>
          <w:sz w:val="15"/>
          <w:szCs w:val="15"/>
          <w:color w:val="auto"/>
        </w:rPr>
        <w:t>________</w:t>
      </w:r>
    </w:p>
    <w:p>
      <w:pPr>
        <w:spacing w:after="0" w:line="359" w:lineRule="exact"/>
        <w:rPr>
          <w:sz w:val="24"/>
          <w:szCs w:val="24"/>
          <w:color w:val="auto"/>
        </w:rPr>
      </w:pPr>
    </w:p>
    <w:p>
      <w:pPr>
        <w:jc w:val="center"/>
        <w:ind w:right="2439"/>
        <w:spacing w:after="0"/>
        <w:rPr>
          <w:sz w:val="20"/>
          <w:szCs w:val="20"/>
          <w:color w:val="auto"/>
        </w:rPr>
      </w:pPr>
      <w:r>
        <w:rPr>
          <w:rFonts w:ascii="Courier New" w:cs="Courier New" w:eastAsia="Courier New" w:hAnsi="Courier New"/>
          <w:sz w:val="15"/>
          <w:szCs w:val="15"/>
          <w:color w:val="auto"/>
        </w:rPr>
        <w:t>AMENDMENT NO. 2</w:t>
      </w:r>
    </w:p>
    <w:p>
      <w:pPr>
        <w:spacing w:after="0" w:line="34" w:lineRule="exact"/>
        <w:rPr>
          <w:sz w:val="24"/>
          <w:szCs w:val="24"/>
          <w:color w:val="auto"/>
        </w:rPr>
      </w:pPr>
    </w:p>
    <w:p>
      <w:pPr>
        <w:jc w:val="center"/>
        <w:ind w:right="2439"/>
        <w:spacing w:after="0"/>
        <w:rPr>
          <w:sz w:val="20"/>
          <w:szCs w:val="20"/>
          <w:color w:val="auto"/>
        </w:rPr>
      </w:pPr>
      <w:r>
        <w:rPr>
          <w:rFonts w:ascii="Courier New" w:cs="Courier New" w:eastAsia="Courier New" w:hAnsi="Courier New"/>
          <w:sz w:val="15"/>
          <w:szCs w:val="15"/>
          <w:color w:val="auto"/>
        </w:rPr>
        <w:t>TO CURRENT REPORT ON FORM 8-K</w:t>
      </w:r>
    </w:p>
    <w:p>
      <w:pPr>
        <w:spacing w:after="0" w:line="6" w:lineRule="exact"/>
        <w:rPr>
          <w:sz w:val="24"/>
          <w:szCs w:val="24"/>
          <w:color w:val="auto"/>
        </w:rPr>
      </w:pPr>
    </w:p>
    <w:p>
      <w:pPr>
        <w:jc w:val="center"/>
        <w:ind w:right="2359"/>
        <w:spacing w:after="0"/>
        <w:rPr>
          <w:sz w:val="20"/>
          <w:szCs w:val="20"/>
          <w:color w:val="auto"/>
        </w:rPr>
      </w:pPr>
      <w:r>
        <w:rPr>
          <w:rFonts w:ascii="Courier New" w:cs="Courier New" w:eastAsia="Courier New" w:hAnsi="Courier New"/>
          <w:sz w:val="15"/>
          <w:szCs w:val="15"/>
          <w:color w:val="auto"/>
        </w:rPr>
        <w:t>ON</w:t>
      </w:r>
    </w:p>
    <w:p>
      <w:pPr>
        <w:spacing w:after="0" w:line="154" w:lineRule="exact"/>
        <w:rPr>
          <w:sz w:val="24"/>
          <w:szCs w:val="24"/>
          <w:color w:val="auto"/>
        </w:rPr>
      </w:pPr>
    </w:p>
    <w:p>
      <w:pPr>
        <w:ind w:left="3480"/>
        <w:spacing w:after="0"/>
        <w:rPr>
          <w:sz w:val="20"/>
          <w:szCs w:val="20"/>
          <w:color w:val="auto"/>
        </w:rPr>
      </w:pPr>
      <w:r>
        <w:rPr>
          <w:rFonts w:ascii="Courier New" w:cs="Courier New" w:eastAsia="Courier New" w:hAnsi="Courier New"/>
          <w:sz w:val="15"/>
          <w:szCs w:val="15"/>
          <w:color w:val="auto"/>
        </w:rPr>
        <w:t>FORM 8-K/A</w:t>
      </w:r>
    </w:p>
    <w:p>
      <w:pPr>
        <w:spacing w:after="0" w:line="35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Pursuant to Section 13 or 15(d) of the Securities Exchange Act of 1934</w:t>
      </w:r>
    </w:p>
    <w:p>
      <w:pPr>
        <w:spacing w:after="0" w:line="359" w:lineRule="exact"/>
        <w:rPr>
          <w:sz w:val="24"/>
          <w:szCs w:val="24"/>
          <w:color w:val="auto"/>
        </w:rPr>
      </w:pPr>
    </w:p>
    <w:p>
      <w:pPr>
        <w:spacing w:after="0"/>
        <w:tabs>
          <w:tab w:leader="none" w:pos="1540" w:val="left"/>
          <w:tab w:leader="none" w:pos="4820" w:val="left"/>
        </w:tabs>
        <w:rPr>
          <w:sz w:val="20"/>
          <w:szCs w:val="20"/>
          <w:color w:val="auto"/>
        </w:rPr>
      </w:pPr>
      <w:r>
        <w:rPr>
          <w:rFonts w:ascii="Courier New" w:cs="Courier New" w:eastAsia="Courier New" w:hAnsi="Courier New"/>
          <w:sz w:val="15"/>
          <w:szCs w:val="15"/>
          <w:color w:val="auto"/>
        </w:rPr>
        <w:t>Date of Report:</w:t>
        <w:tab/>
        <w:t>( Date of earliest event reported)</w:t>
        <w:tab/>
        <w:t>December 2, 1996</w:t>
      </w:r>
    </w:p>
    <w:p>
      <w:pPr>
        <w:spacing w:after="0" w:line="359" w:lineRule="exact"/>
        <w:rPr>
          <w:sz w:val="24"/>
          <w:szCs w:val="24"/>
          <w:color w:val="auto"/>
        </w:rPr>
      </w:pPr>
    </w:p>
    <w:p>
      <w:pPr>
        <w:jc w:val="center"/>
        <w:ind w:right="2359"/>
        <w:spacing w:after="0"/>
        <w:rPr>
          <w:sz w:val="20"/>
          <w:szCs w:val="20"/>
          <w:color w:val="auto"/>
        </w:rPr>
      </w:pPr>
      <w:r>
        <w:rPr>
          <w:rFonts w:ascii="Courier New" w:cs="Courier New" w:eastAsia="Courier New" w:hAnsi="Courier New"/>
          <w:sz w:val="15"/>
          <w:szCs w:val="15"/>
          <w:color w:val="auto"/>
        </w:rPr>
        <w:t>THE TORO COMPANY</w:t>
      </w:r>
    </w:p>
    <w:p>
      <w:pPr>
        <w:spacing w:after="0" w:line="34" w:lineRule="exact"/>
        <w:rPr>
          <w:sz w:val="24"/>
          <w:szCs w:val="24"/>
          <w:color w:val="auto"/>
        </w:rPr>
      </w:pPr>
    </w:p>
    <w:p>
      <w:pPr>
        <w:jc w:val="center"/>
        <w:ind w:right="235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331"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8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8"/>
              </w:rPr>
              <w:t>(State or</w:t>
            </w:r>
          </w:p>
        </w:tc>
        <w:tc>
          <w:tcPr>
            <w:tcW w:w="1920" w:type="dxa"/>
            <w:vAlign w:val="bottom"/>
          </w:tcPr>
          <w:p>
            <w:pPr>
              <w:ind w:left="60"/>
              <w:spacing w:after="0"/>
              <w:rPr>
                <w:sz w:val="20"/>
                <w:szCs w:val="20"/>
                <w:color w:val="auto"/>
              </w:rPr>
            </w:pPr>
            <w:r>
              <w:rPr>
                <w:rFonts w:ascii="Courier New" w:cs="Courier New" w:eastAsia="Courier New" w:hAnsi="Courier New"/>
                <w:sz w:val="15"/>
                <w:szCs w:val="15"/>
                <w:color w:val="auto"/>
              </w:rPr>
              <w:t>DELAWARE</w:t>
            </w:r>
          </w:p>
        </w:tc>
        <w:tc>
          <w:tcPr>
            <w:tcW w:w="2400" w:type="dxa"/>
            <w:vAlign w:val="bottom"/>
          </w:tcPr>
          <w:p>
            <w:pPr>
              <w:jc w:val="right"/>
              <w:ind w:right="984"/>
              <w:spacing w:after="0"/>
              <w:rPr>
                <w:sz w:val="20"/>
                <w:szCs w:val="20"/>
                <w:color w:val="auto"/>
              </w:rPr>
            </w:pPr>
            <w:r>
              <w:rPr>
                <w:rFonts w:ascii="Courier New" w:cs="Courier New" w:eastAsia="Courier New" w:hAnsi="Courier New"/>
                <w:sz w:val="15"/>
                <w:szCs w:val="15"/>
                <w:color w:val="auto"/>
              </w:rPr>
              <w:t>1-8469</w:t>
            </w:r>
          </w:p>
        </w:tc>
        <w:tc>
          <w:tcPr>
            <w:tcW w:w="196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41-0580470</w:t>
            </w:r>
          </w:p>
        </w:tc>
        <w:tc>
          <w:tcPr>
            <w:tcW w:w="0" w:type="dxa"/>
            <w:vAlign w:val="bottom"/>
          </w:tcPr>
          <w:p>
            <w:pPr>
              <w:spacing w:after="0"/>
              <w:rPr>
                <w:sz w:val="1"/>
                <w:szCs w:val="1"/>
                <w:color w:val="auto"/>
              </w:rPr>
            </w:pPr>
          </w:p>
        </w:tc>
      </w:tr>
      <w:tr>
        <w:trPr>
          <w:trHeight w:val="176"/>
        </w:trPr>
        <w:tc>
          <w:tcPr>
            <w:tcW w:w="860" w:type="dxa"/>
            <w:vAlign w:val="bottom"/>
            <w:vMerge w:val="continue"/>
          </w:tcPr>
          <w:p>
            <w:pPr>
              <w:spacing w:after="0"/>
              <w:rPr>
                <w:sz w:val="15"/>
                <w:szCs w:val="15"/>
                <w:color w:val="auto"/>
              </w:rPr>
            </w:pPr>
          </w:p>
        </w:tc>
        <w:tc>
          <w:tcPr>
            <w:tcW w:w="1920" w:type="dxa"/>
            <w:vAlign w:val="bottom"/>
          </w:tcPr>
          <w:p>
            <w:pPr>
              <w:ind w:left="60"/>
              <w:spacing w:after="0"/>
              <w:rPr>
                <w:sz w:val="20"/>
                <w:szCs w:val="20"/>
                <w:color w:val="auto"/>
              </w:rPr>
            </w:pPr>
            <w:r>
              <w:rPr>
                <w:rFonts w:ascii="Courier New" w:cs="Courier New" w:eastAsia="Courier New" w:hAnsi="Courier New"/>
                <w:sz w:val="15"/>
                <w:szCs w:val="15"/>
                <w:color w:val="auto"/>
              </w:rPr>
              <w:t>other jurisdiction</w:t>
            </w:r>
          </w:p>
        </w:tc>
        <w:tc>
          <w:tcPr>
            <w:tcW w:w="240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(Commission File No.)</w:t>
            </w:r>
          </w:p>
        </w:tc>
        <w:tc>
          <w:tcPr>
            <w:tcW w:w="1960" w:type="dxa"/>
            <w:vAlign w:val="bottom"/>
          </w:tcPr>
          <w:p>
            <w:pPr>
              <w:jc w:val="center"/>
              <w:ind w:left="144"/>
              <w:spacing w:after="0"/>
              <w:rPr>
                <w:sz w:val="20"/>
                <w:szCs w:val="20"/>
                <w:color w:val="auto"/>
              </w:rPr>
            </w:pPr>
            <w:r>
              <w:rPr>
                <w:rFonts w:ascii="Courier New" w:cs="Courier New" w:eastAsia="Courier New" w:hAnsi="Courier New"/>
                <w:sz w:val="15"/>
                <w:szCs w:val="15"/>
                <w:color w:val="auto"/>
              </w:rPr>
              <w:t>(IRS Employer</w:t>
            </w:r>
          </w:p>
        </w:tc>
        <w:tc>
          <w:tcPr>
            <w:tcW w:w="0" w:type="dxa"/>
            <w:vAlign w:val="bottom"/>
          </w:tcPr>
          <w:p>
            <w:pPr>
              <w:spacing w:after="0"/>
              <w:rPr>
                <w:sz w:val="1"/>
                <w:szCs w:val="1"/>
                <w:color w:val="auto"/>
              </w:rPr>
            </w:pPr>
          </w:p>
        </w:tc>
      </w:tr>
      <w:tr>
        <w:trPr>
          <w:trHeight w:val="257"/>
        </w:trPr>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of</w:t>
            </w:r>
          </w:p>
        </w:tc>
        <w:tc>
          <w:tcPr>
            <w:tcW w:w="1920" w:type="dxa"/>
            <w:vAlign w:val="bottom"/>
          </w:tcPr>
          <w:p>
            <w:pPr>
              <w:ind w:left="60"/>
              <w:spacing w:after="0"/>
              <w:rPr>
                <w:sz w:val="20"/>
                <w:szCs w:val="20"/>
                <w:color w:val="auto"/>
              </w:rPr>
            </w:pPr>
            <w:r>
              <w:rPr>
                <w:rFonts w:ascii="Courier New" w:cs="Courier New" w:eastAsia="Courier New" w:hAnsi="Courier New"/>
                <w:sz w:val="15"/>
                <w:szCs w:val="15"/>
                <w:color w:val="auto"/>
              </w:rPr>
              <w:t>incorporation)</w:t>
            </w:r>
          </w:p>
        </w:tc>
        <w:tc>
          <w:tcPr>
            <w:tcW w:w="2400" w:type="dxa"/>
            <w:vAlign w:val="bottom"/>
          </w:tcPr>
          <w:p>
            <w:pPr>
              <w:spacing w:after="0"/>
              <w:rPr>
                <w:sz w:val="22"/>
                <w:szCs w:val="22"/>
                <w:color w:val="auto"/>
              </w:rPr>
            </w:pPr>
          </w:p>
        </w:tc>
        <w:tc>
          <w:tcPr>
            <w:tcW w:w="1960" w:type="dxa"/>
            <w:vAlign w:val="bottom"/>
          </w:tcPr>
          <w:p>
            <w:pPr>
              <w:jc w:val="center"/>
              <w:ind w:left="144"/>
              <w:spacing w:after="0"/>
              <w:rPr>
                <w:sz w:val="20"/>
                <w:szCs w:val="20"/>
                <w:color w:val="auto"/>
              </w:rPr>
            </w:pPr>
            <w:r>
              <w:rPr>
                <w:rFonts w:ascii="Courier New" w:cs="Courier New" w:eastAsia="Courier New" w:hAnsi="Courier New"/>
                <w:sz w:val="15"/>
                <w:szCs w:val="15"/>
                <w:color w:val="auto"/>
              </w:rPr>
              <w:t>Identification No.)</w:t>
            </w: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1">
            <w:col w:w="10219"/>
          </w:cols>
          <w:pgMar w:left="240" w:top="736" w:right="1440" w:bottom="1440" w:gutter="0" w:footer="0" w:header="0"/>
        </w:sectPr>
      </w:pPr>
    </w:p>
    <w:p>
      <w:pPr>
        <w:spacing w:after="0" w:line="248" w:lineRule="exact"/>
        <w:rPr>
          <w:sz w:val="24"/>
          <w:szCs w:val="24"/>
          <w:color w:val="auto"/>
        </w:rPr>
      </w:pPr>
    </w:p>
    <w:p>
      <w:pPr>
        <w:ind w:right="300"/>
        <w:spacing w:after="0" w:line="372" w:lineRule="auto"/>
        <w:rPr>
          <w:sz w:val="20"/>
          <w:szCs w:val="20"/>
          <w:color w:val="auto"/>
        </w:rPr>
      </w:pPr>
      <w:r>
        <w:rPr>
          <w:rFonts w:ascii="Courier New" w:cs="Courier New" w:eastAsia="Courier New" w:hAnsi="Courier New"/>
          <w:sz w:val="15"/>
          <w:szCs w:val="15"/>
          <w:color w:val="auto"/>
        </w:rPr>
        <w:t>8111 LYNDALE AVENUE SOUTH, BLOOMINGTON, MINNESOTA (Address of principal executive office)</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55420-1196</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341" w:lineRule="exact"/>
        <w:rPr>
          <w:sz w:val="24"/>
          <w:szCs w:val="24"/>
          <w:color w:val="auto"/>
        </w:rPr>
      </w:pPr>
    </w:p>
    <w:p>
      <w:pPr>
        <w:sectPr>
          <w:pgSz w:w="11900" w:h="16838" w:orient="portrait"/>
          <w:cols w:equalWidth="0" w:num="2">
            <w:col w:w="4780" w:space="720"/>
            <w:col w:w="4719"/>
          </w:cols>
          <w:pgMar w:left="240" w:top="736"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612/888-8801</w:t>
      </w:r>
    </w:p>
    <w:p>
      <w:pPr>
        <w:spacing w:after="0" w:line="34"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(Registrant's telephone number, including area code)</w:t>
      </w:r>
    </w:p>
    <w:p>
      <w:pPr>
        <w:sectPr>
          <w:pgSz w:w="11900" w:h="16838" w:orient="portrait"/>
          <w:cols w:equalWidth="0" w:num="1">
            <w:col w:w="10219"/>
          </w:cols>
          <w:pgMar w:left="240" w:top="736"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5"/>
          <w:szCs w:val="15"/>
          <w:color w:val="auto"/>
        </w:rPr>
        <w:t>Effective December 1, 1996, The Toro Company acquired James Hardie Irrigation</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Group ("Hardie") from James Hardie, Ltd. under an agreement dated September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 1996. The initial purchase price pursuant to the agreement was estimated</w:t>
      </w:r>
    </w:p>
    <w:p>
      <w:pPr>
        <w:spacing w:after="0" w:line="6" w:lineRule="exact"/>
        <w:rPr>
          <w:sz w:val="20"/>
          <w:szCs w:val="20"/>
          <w:color w:val="auto"/>
        </w:rPr>
      </w:pPr>
    </w:p>
    <w:p>
      <w:pPr>
        <w:spacing w:after="0"/>
        <w:tabs>
          <w:tab w:leader="none" w:pos="1900" w:val="left"/>
        </w:tabs>
        <w:rPr>
          <w:sz w:val="20"/>
          <w:szCs w:val="20"/>
          <w:color w:val="auto"/>
        </w:rPr>
      </w:pPr>
      <w:r>
        <w:rPr>
          <w:rFonts w:ascii="Courier New" w:cs="Courier New" w:eastAsia="Courier New" w:hAnsi="Courier New"/>
          <w:sz w:val="15"/>
          <w:szCs w:val="15"/>
          <w:color w:val="auto"/>
        </w:rPr>
        <w:t>to be $131,500,000.</w:t>
        <w:tab/>
        <w:t>The purchase price was subsequently adjusted to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$119,125,000 based on estimated, unaudited aggregate shareholders' equity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Hardie on December 1, 1996, subject to further adjustment based on final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audit results.</w:t>
      </w:r>
    </w:p>
    <w:p>
      <w:pPr>
        <w:spacing w:after="0" w:line="154" w:lineRule="exact"/>
        <w:rPr>
          <w:sz w:val="20"/>
          <w:szCs w:val="20"/>
          <w:color w:val="auto"/>
        </w:rPr>
      </w:pPr>
    </w:p>
    <w:p>
      <w:pPr>
        <w:ind w:right="2899"/>
        <w:spacing w:after="0" w:line="266" w:lineRule="auto"/>
        <w:rPr>
          <w:sz w:val="20"/>
          <w:szCs w:val="20"/>
          <w:color w:val="auto"/>
        </w:rPr>
      </w:pPr>
      <w:r>
        <w:rPr>
          <w:rFonts w:ascii="Courier New" w:cs="Courier New" w:eastAsia="Courier New" w:hAnsi="Courier New"/>
          <w:sz w:val="15"/>
          <w:szCs w:val="15"/>
          <w:color w:val="auto"/>
        </w:rPr>
        <w:t>Based on the financial statements of Hardie as of the acquisition date, shareholders' equity at the acquisition date was approximately $10,545,000 less than the estimated equity used as the closing date purchase price, and this $10,545,000 is to be returned from James Hardie, Ltd. to Toro. In addition, under the procedures established in the purchase agreement, Toro has delivered a letter of objections to James Hardie, Ltd. related to the valuation of assets, accounting methods applied, estimates used and other items. The resolution of these objections may result in an additional reduction of the purchase price.</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acquisition is accounted for using the purchase accounting method and,</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accordingly, the adjusted purchase price of $108,580,000 has initially been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allocated based on the estimated fair values of assets acquired and liabilities</w:t>
      </w:r>
    </w:p>
    <w:p>
      <w:pPr>
        <w:spacing w:after="0" w:line="6" w:lineRule="exact"/>
        <w:rPr>
          <w:sz w:val="20"/>
          <w:szCs w:val="20"/>
          <w:color w:val="auto"/>
        </w:rPr>
      </w:pPr>
    </w:p>
    <w:p>
      <w:pPr>
        <w:spacing w:after="0"/>
        <w:tabs>
          <w:tab w:leader="none" w:pos="3360" w:val="left"/>
        </w:tabs>
        <w:rPr>
          <w:sz w:val="20"/>
          <w:szCs w:val="20"/>
          <w:color w:val="auto"/>
        </w:rPr>
      </w:pPr>
      <w:r>
        <w:rPr>
          <w:rFonts w:ascii="Courier New" w:cs="Courier New" w:eastAsia="Courier New" w:hAnsi="Courier New"/>
          <w:sz w:val="15"/>
          <w:szCs w:val="15"/>
          <w:color w:val="auto"/>
        </w:rPr>
        <w:t>assumed on the date of acquisition.</w:t>
        <w:tab/>
        <w:t>The excess of the purchase price over the</w:t>
      </w:r>
    </w:p>
    <w:p>
      <w:pPr>
        <w:spacing w:after="0" w:line="6" w:lineRule="exact"/>
        <w:rPr>
          <w:sz w:val="20"/>
          <w:szCs w:val="20"/>
          <w:color w:val="auto"/>
        </w:rPr>
      </w:pPr>
    </w:p>
    <w:p>
      <w:pPr>
        <w:spacing w:after="0"/>
        <w:tabs>
          <w:tab w:leader="none" w:pos="2640" w:val="left"/>
        </w:tabs>
        <w:rPr>
          <w:sz w:val="20"/>
          <w:szCs w:val="20"/>
          <w:color w:val="auto"/>
        </w:rPr>
      </w:pPr>
      <w:r>
        <w:rPr>
          <w:rFonts w:ascii="Courier New" w:cs="Courier New" w:eastAsia="Courier New" w:hAnsi="Courier New"/>
          <w:sz w:val="15"/>
          <w:szCs w:val="15"/>
          <w:color w:val="auto"/>
        </w:rPr>
        <w:t>estimated fair value of net</w:t>
        <w:tab/>
        <w:t>tangible assets acquired has been recorded as</w:t>
      </w:r>
    </w:p>
    <w:p>
      <w:pPr>
        <w:spacing w:after="0" w:line="6" w:lineRule="exact"/>
        <w:rPr>
          <w:sz w:val="20"/>
          <w:szCs w:val="20"/>
          <w:color w:val="auto"/>
        </w:rPr>
      </w:pPr>
    </w:p>
    <w:p>
      <w:pPr>
        <w:spacing w:after="0"/>
        <w:tabs>
          <w:tab w:leader="none" w:pos="6660" w:val="left"/>
        </w:tabs>
        <w:rPr>
          <w:sz w:val="20"/>
          <w:szCs w:val="20"/>
          <w:color w:val="auto"/>
        </w:rPr>
      </w:pPr>
      <w:r>
        <w:rPr>
          <w:rFonts w:ascii="Courier New" w:cs="Courier New" w:eastAsia="Courier New" w:hAnsi="Courier New"/>
          <w:sz w:val="15"/>
          <w:szCs w:val="15"/>
          <w:color w:val="auto"/>
        </w:rPr>
        <w:t>goodwill and is being amortized on a straight-line basis over 20 years.</w:t>
        <w:tab/>
        <w:t>Any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 reductions in the purchase price as a result of resolution of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objections discussed in the preceding paragraph will result in a reduction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goodwill and/or other net assets. The related effect of these adjustments 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Consolidated Statement of Earnings of The Toro Company is not expected to be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material.</w:t>
      </w:r>
    </w:p>
    <w:p>
      <w:pPr>
        <w:spacing w:after="0" w:line="154" w:lineRule="exact"/>
        <w:rPr>
          <w:sz w:val="20"/>
          <w:szCs w:val="20"/>
          <w:color w:val="auto"/>
        </w:rPr>
      </w:pPr>
    </w:p>
    <w:p>
      <w:pPr>
        <w:ind w:right="3179"/>
        <w:spacing w:after="0" w:line="261" w:lineRule="auto"/>
        <w:rPr>
          <w:sz w:val="20"/>
          <w:szCs w:val="20"/>
          <w:color w:val="auto"/>
        </w:rPr>
      </w:pPr>
      <w:r>
        <w:rPr>
          <w:rFonts w:ascii="Courier New" w:cs="Courier New" w:eastAsia="Courier New" w:hAnsi="Courier New"/>
          <w:sz w:val="15"/>
          <w:szCs w:val="15"/>
          <w:color w:val="auto"/>
        </w:rPr>
        <w:t>Included in this Amendment No. 2 to Form 8-K are the audited combined financial statements of the James Hardie Irrigation Group as of and for the year ended December 1, 1996, and the unaudited pro forma condensed combined financial statements of The Toro Company as of and for the year ended October 31, 1996, which supercede the audited combined financial statements of the James Hardie Irrigation Group as of and for the year ended March 31, 1996, the unaudited condensed combined financial statements of the James Hardie Irrigation Group as of and for the seven months ended October 31, 1996 and the unaudited pro forma condensed combined financial statements of The Toro Company as of and for the year ended October 31, 1996, previously filed in Amendment No. 1 to Form 8-K.</w:t>
      </w:r>
    </w:p>
    <w:p>
      <w:pPr>
        <w:sectPr>
          <w:pgSz w:w="11900" w:h="16838" w:orient="portrait"/>
          <w:cols w:equalWidth="0" w:num="1">
            <w:col w:w="10219"/>
          </w:cols>
          <w:pgMar w:left="240" w:top="619" w:right="1440" w:bottom="1440" w:gutter="0" w:footer="0" w:header="0"/>
        </w:sectPr>
      </w:pPr>
    </w:p>
    <w:bookmarkStart w:id="2" w:name="page3"/>
    <w:bookmarkEnd w:id="2"/>
    <w:p>
      <w:pPr>
        <w:spacing w:after="0"/>
        <w:tabs>
          <w:tab w:leader="none" w:pos="90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5"/>
          <w:szCs w:val="15"/>
          <w:color w:val="auto"/>
        </w:rPr>
        <w:t>FINANCIAL STATEMENTS, PRO FORMA FINANCIAL INFORMATION AND EXHIBITS.</w:t>
      </w:r>
    </w:p>
    <w:p>
      <w:pPr>
        <w:spacing w:after="0" w:line="34"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THE FOLLOWING DOCUMENTS ARE INCLUDED AS PART OF THIS REPORT:</w:t>
      </w:r>
    </w:p>
    <w:p>
      <w:pPr>
        <w:spacing w:after="0" w:line="200" w:lineRule="exact"/>
        <w:rPr>
          <w:sz w:val="20"/>
          <w:szCs w:val="20"/>
          <w:color w:val="auto"/>
        </w:rPr>
      </w:pPr>
    </w:p>
    <w:p>
      <w:pPr>
        <w:spacing w:after="0" w:line="307" w:lineRule="exact"/>
        <w:rPr>
          <w:sz w:val="20"/>
          <w:szCs w:val="20"/>
          <w:color w:val="auto"/>
        </w:rPr>
      </w:pPr>
    </w:p>
    <w:tbl>
      <w:tblPr>
        <w:tblLayout w:type="fixed"/>
        <w:tblInd w:w="920" w:type="dxa"/>
        <w:tblCellMar>
          <w:top w:w="0" w:type="dxa"/>
          <w:left w:w="0" w:type="dxa"/>
          <w:bottom w:w="0" w:type="dxa"/>
          <w:right w:w="0" w:type="dxa"/>
        </w:tblCellMar>
      </w:tblPr>
      <w:tr>
        <w:trPr>
          <w:trHeight w:val="176"/>
        </w:trPr>
        <w:tc>
          <w:tcPr>
            <w:tcW w:w="5120" w:type="dxa"/>
            <w:vAlign w:val="bottom"/>
          </w:tcPr>
          <w:p>
            <w:pPr>
              <w:spacing w:after="0"/>
              <w:rPr>
                <w:sz w:val="20"/>
                <w:szCs w:val="20"/>
                <w:color w:val="auto"/>
              </w:rPr>
            </w:pPr>
            <w:r>
              <w:rPr>
                <w:rFonts w:ascii="Courier New" w:cs="Courier New" w:eastAsia="Courier New" w:hAnsi="Courier New"/>
                <w:sz w:val="15"/>
                <w:szCs w:val="15"/>
                <w:color w:val="auto"/>
              </w:rPr>
              <w:t>(a)  Financial Statements of Business Acquired:</w:t>
            </w:r>
          </w:p>
        </w:tc>
        <w:tc>
          <w:tcPr>
            <w:tcW w:w="1100" w:type="dxa"/>
            <w:vAlign w:val="bottom"/>
          </w:tcPr>
          <w:p>
            <w:pPr>
              <w:ind w:left="100"/>
              <w:spacing w:after="0"/>
              <w:rPr>
                <w:sz w:val="20"/>
                <w:szCs w:val="20"/>
                <w:color w:val="auto"/>
              </w:rPr>
            </w:pPr>
            <w:r>
              <w:rPr>
                <w:rFonts w:ascii="Courier New" w:cs="Courier New" w:eastAsia="Courier New" w:hAnsi="Courier New"/>
                <w:sz w:val="15"/>
                <w:szCs w:val="15"/>
                <w:color w:val="auto"/>
              </w:rPr>
              <w:t>Page No.</w:t>
            </w:r>
          </w:p>
        </w:tc>
        <w:tc>
          <w:tcPr>
            <w:tcW w:w="0" w:type="dxa"/>
            <w:vAlign w:val="bottom"/>
          </w:tcPr>
          <w:p>
            <w:pPr>
              <w:spacing w:after="0"/>
              <w:rPr>
                <w:sz w:val="1"/>
                <w:szCs w:val="1"/>
                <w:color w:val="auto"/>
              </w:rPr>
            </w:pPr>
          </w:p>
        </w:tc>
      </w:tr>
      <w:tr>
        <w:trPr>
          <w:trHeight w:val="257"/>
        </w:trPr>
        <w:tc>
          <w:tcPr>
            <w:tcW w:w="5120" w:type="dxa"/>
            <w:vAlign w:val="bottom"/>
          </w:tcPr>
          <w:p>
            <w:pPr>
              <w:spacing w:after="0"/>
              <w:rPr>
                <w:sz w:val="22"/>
                <w:szCs w:val="22"/>
                <w:color w:val="auto"/>
              </w:rPr>
            </w:pPr>
          </w:p>
        </w:tc>
        <w:tc>
          <w:tcPr>
            <w:tcW w:w="11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5120" w:type="dxa"/>
            <w:vAlign w:val="bottom"/>
          </w:tcPr>
          <w:p>
            <w:pPr>
              <w:ind w:left="440"/>
              <w:spacing w:after="0"/>
              <w:rPr>
                <w:sz w:val="20"/>
                <w:szCs w:val="20"/>
                <w:color w:val="auto"/>
              </w:rPr>
            </w:pPr>
            <w:r>
              <w:rPr>
                <w:rFonts w:ascii="Courier New" w:cs="Courier New" w:eastAsia="Courier New" w:hAnsi="Courier New"/>
                <w:sz w:val="15"/>
                <w:szCs w:val="15"/>
                <w:color w:val="auto"/>
              </w:rPr>
              <w:t>James Hardie Irrigation Group Financial Statements</w:t>
            </w: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5120" w:type="dxa"/>
            <w:vAlign w:val="bottom"/>
          </w:tcPr>
          <w:p>
            <w:pPr>
              <w:ind w:left="440"/>
              <w:spacing w:after="0"/>
              <w:rPr>
                <w:sz w:val="20"/>
                <w:szCs w:val="20"/>
                <w:color w:val="auto"/>
              </w:rPr>
            </w:pPr>
            <w:r>
              <w:rPr>
                <w:rFonts w:ascii="Courier New" w:cs="Courier New" w:eastAsia="Courier New" w:hAnsi="Courier New"/>
                <w:sz w:val="15"/>
                <w:szCs w:val="15"/>
                <w:color w:val="auto"/>
              </w:rPr>
              <w:t>for the year ended December 1, 1996</w:t>
            </w:r>
          </w:p>
        </w:tc>
        <w:tc>
          <w:tcPr>
            <w:tcW w:w="110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A-1</w:t>
            </w:r>
          </w:p>
        </w:tc>
        <w:tc>
          <w:tcPr>
            <w:tcW w:w="0" w:type="dxa"/>
            <w:vAlign w:val="bottom"/>
          </w:tcPr>
          <w:p>
            <w:pPr>
              <w:spacing w:after="0"/>
              <w:rPr>
                <w:sz w:val="1"/>
                <w:szCs w:val="1"/>
                <w:color w:val="auto"/>
              </w:rPr>
            </w:pPr>
          </w:p>
        </w:tc>
      </w:tr>
      <w:tr>
        <w:trPr>
          <w:trHeight w:val="176"/>
        </w:trPr>
        <w:tc>
          <w:tcPr>
            <w:tcW w:w="5120" w:type="dxa"/>
            <w:vAlign w:val="bottom"/>
          </w:tcPr>
          <w:p>
            <w:pPr>
              <w:ind w:left="640"/>
              <w:spacing w:after="0"/>
              <w:rPr>
                <w:sz w:val="20"/>
                <w:szCs w:val="20"/>
                <w:color w:val="auto"/>
              </w:rPr>
            </w:pPr>
            <w:r>
              <w:rPr>
                <w:rFonts w:ascii="Courier New" w:cs="Courier New" w:eastAsia="Courier New" w:hAnsi="Courier New"/>
                <w:sz w:val="15"/>
                <w:szCs w:val="15"/>
                <w:color w:val="auto"/>
              </w:rPr>
              <w:t>Independent Auditors' Report</w:t>
            </w: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20" w:type="dxa"/>
            <w:vAlign w:val="bottom"/>
          </w:tcPr>
          <w:p>
            <w:pPr>
              <w:ind w:left="640"/>
              <w:spacing w:after="0"/>
              <w:rPr>
                <w:sz w:val="20"/>
                <w:szCs w:val="20"/>
                <w:color w:val="auto"/>
              </w:rPr>
            </w:pPr>
            <w:r>
              <w:rPr>
                <w:rFonts w:ascii="Courier New" w:cs="Courier New" w:eastAsia="Courier New" w:hAnsi="Courier New"/>
                <w:sz w:val="15"/>
                <w:szCs w:val="15"/>
                <w:color w:val="auto"/>
              </w:rPr>
              <w:t>Combined Balance Sheet as of  December 1, 1996</w:t>
            </w:r>
          </w:p>
        </w:tc>
        <w:tc>
          <w:tcPr>
            <w:tcW w:w="1100" w:type="dxa"/>
            <w:vAlign w:val="bottom"/>
          </w:tcPr>
          <w:p>
            <w:pPr>
              <w:ind w:left="100"/>
              <w:spacing w:after="0"/>
              <w:rPr>
                <w:sz w:val="20"/>
                <w:szCs w:val="20"/>
                <w:color w:val="auto"/>
              </w:rPr>
            </w:pPr>
            <w:r>
              <w:rPr>
                <w:rFonts w:ascii="Courier New" w:cs="Courier New" w:eastAsia="Courier New" w:hAnsi="Courier New"/>
                <w:sz w:val="15"/>
                <w:szCs w:val="15"/>
                <w:color w:val="auto"/>
              </w:rPr>
              <w:t>A-2</w:t>
            </w:r>
          </w:p>
        </w:tc>
        <w:tc>
          <w:tcPr>
            <w:tcW w:w="0" w:type="dxa"/>
            <w:vAlign w:val="bottom"/>
          </w:tcPr>
          <w:p>
            <w:pPr>
              <w:spacing w:after="0"/>
              <w:rPr>
                <w:sz w:val="1"/>
                <w:szCs w:val="1"/>
                <w:color w:val="auto"/>
              </w:rPr>
            </w:pPr>
          </w:p>
        </w:tc>
      </w:tr>
      <w:tr>
        <w:trPr>
          <w:trHeight w:val="176"/>
        </w:trPr>
        <w:tc>
          <w:tcPr>
            <w:tcW w:w="5120" w:type="dxa"/>
            <w:vAlign w:val="bottom"/>
          </w:tcPr>
          <w:p>
            <w:pPr>
              <w:ind w:left="640"/>
              <w:spacing w:after="0"/>
              <w:rPr>
                <w:sz w:val="20"/>
                <w:szCs w:val="20"/>
                <w:color w:val="auto"/>
              </w:rPr>
            </w:pPr>
            <w:r>
              <w:rPr>
                <w:rFonts w:ascii="Courier New" w:cs="Courier New" w:eastAsia="Courier New" w:hAnsi="Courier New"/>
                <w:sz w:val="15"/>
                <w:szCs w:val="15"/>
                <w:color w:val="auto"/>
              </w:rPr>
              <w:t>Combined Statement of Operations for the year</w:t>
            </w:r>
          </w:p>
        </w:tc>
        <w:tc>
          <w:tcPr>
            <w:tcW w:w="110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A-3</w:t>
            </w:r>
          </w:p>
        </w:tc>
        <w:tc>
          <w:tcPr>
            <w:tcW w:w="0" w:type="dxa"/>
            <w:vAlign w:val="bottom"/>
          </w:tcPr>
          <w:p>
            <w:pPr>
              <w:spacing w:after="0"/>
              <w:rPr>
                <w:sz w:val="1"/>
                <w:szCs w:val="1"/>
                <w:color w:val="auto"/>
              </w:rPr>
            </w:pPr>
          </w:p>
        </w:tc>
      </w:tr>
      <w:tr>
        <w:trPr>
          <w:trHeight w:val="176"/>
        </w:trPr>
        <w:tc>
          <w:tcPr>
            <w:tcW w:w="5120" w:type="dxa"/>
            <w:vAlign w:val="bottom"/>
          </w:tcPr>
          <w:p>
            <w:pPr>
              <w:ind w:left="820"/>
              <w:spacing w:after="0"/>
              <w:rPr>
                <w:sz w:val="20"/>
                <w:szCs w:val="20"/>
                <w:color w:val="auto"/>
              </w:rPr>
            </w:pPr>
            <w:r>
              <w:rPr>
                <w:rFonts w:ascii="Courier New" w:cs="Courier New" w:eastAsia="Courier New" w:hAnsi="Courier New"/>
                <w:sz w:val="15"/>
                <w:szCs w:val="15"/>
                <w:color w:val="auto"/>
              </w:rPr>
              <w:t>ended December 1, 1996</w:t>
            </w: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20" w:type="dxa"/>
            <w:vAlign w:val="bottom"/>
          </w:tcPr>
          <w:p>
            <w:pPr>
              <w:ind w:left="640"/>
              <w:spacing w:after="0"/>
              <w:rPr>
                <w:sz w:val="20"/>
                <w:szCs w:val="20"/>
                <w:color w:val="auto"/>
              </w:rPr>
            </w:pPr>
            <w:r>
              <w:rPr>
                <w:rFonts w:ascii="Courier New" w:cs="Courier New" w:eastAsia="Courier New" w:hAnsi="Courier New"/>
                <w:sz w:val="15"/>
                <w:szCs w:val="15"/>
                <w:color w:val="auto"/>
              </w:rPr>
              <w:t>Combined Statement of Divisional/Shareholders'</w:t>
            </w:r>
          </w:p>
        </w:tc>
        <w:tc>
          <w:tcPr>
            <w:tcW w:w="110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A-4</w:t>
            </w:r>
          </w:p>
        </w:tc>
        <w:tc>
          <w:tcPr>
            <w:tcW w:w="0" w:type="dxa"/>
            <w:vAlign w:val="bottom"/>
          </w:tcPr>
          <w:p>
            <w:pPr>
              <w:spacing w:after="0"/>
              <w:rPr>
                <w:sz w:val="1"/>
                <w:szCs w:val="1"/>
                <w:color w:val="auto"/>
              </w:rPr>
            </w:pPr>
          </w:p>
        </w:tc>
      </w:tr>
      <w:tr>
        <w:trPr>
          <w:trHeight w:val="176"/>
        </w:trPr>
        <w:tc>
          <w:tcPr>
            <w:tcW w:w="5120" w:type="dxa"/>
            <w:vAlign w:val="bottom"/>
          </w:tcPr>
          <w:p>
            <w:pPr>
              <w:ind w:left="640"/>
              <w:spacing w:after="0"/>
              <w:rPr>
                <w:sz w:val="20"/>
                <w:szCs w:val="20"/>
                <w:color w:val="auto"/>
              </w:rPr>
            </w:pPr>
            <w:r>
              <w:rPr>
                <w:rFonts w:ascii="Courier New" w:cs="Courier New" w:eastAsia="Courier New" w:hAnsi="Courier New"/>
                <w:sz w:val="15"/>
                <w:szCs w:val="15"/>
                <w:color w:val="auto"/>
              </w:rPr>
              <w:t>Equity for the year ended December 1, 1996</w:t>
            </w: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20" w:type="dxa"/>
            <w:vAlign w:val="bottom"/>
          </w:tcPr>
          <w:p>
            <w:pPr>
              <w:ind w:left="640"/>
              <w:spacing w:after="0"/>
              <w:rPr>
                <w:sz w:val="20"/>
                <w:szCs w:val="20"/>
                <w:color w:val="auto"/>
              </w:rPr>
            </w:pPr>
            <w:r>
              <w:rPr>
                <w:rFonts w:ascii="Courier New" w:cs="Courier New" w:eastAsia="Courier New" w:hAnsi="Courier New"/>
                <w:sz w:val="15"/>
                <w:szCs w:val="15"/>
                <w:color w:val="auto"/>
              </w:rPr>
              <w:t>Combined Statement of Cash Flows for the year</w:t>
            </w:r>
          </w:p>
        </w:tc>
        <w:tc>
          <w:tcPr>
            <w:tcW w:w="110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A-5</w:t>
            </w:r>
          </w:p>
        </w:tc>
        <w:tc>
          <w:tcPr>
            <w:tcW w:w="0" w:type="dxa"/>
            <w:vAlign w:val="bottom"/>
          </w:tcPr>
          <w:p>
            <w:pPr>
              <w:spacing w:after="0"/>
              <w:rPr>
                <w:sz w:val="1"/>
                <w:szCs w:val="1"/>
                <w:color w:val="auto"/>
              </w:rPr>
            </w:pPr>
          </w:p>
        </w:tc>
      </w:tr>
      <w:tr>
        <w:trPr>
          <w:trHeight w:val="176"/>
        </w:trPr>
        <w:tc>
          <w:tcPr>
            <w:tcW w:w="5120" w:type="dxa"/>
            <w:vAlign w:val="bottom"/>
          </w:tcPr>
          <w:p>
            <w:pPr>
              <w:ind w:left="820"/>
              <w:spacing w:after="0"/>
              <w:rPr>
                <w:sz w:val="20"/>
                <w:szCs w:val="20"/>
                <w:color w:val="auto"/>
              </w:rPr>
            </w:pPr>
            <w:r>
              <w:rPr>
                <w:rFonts w:ascii="Courier New" w:cs="Courier New" w:eastAsia="Courier New" w:hAnsi="Courier New"/>
                <w:sz w:val="15"/>
                <w:szCs w:val="15"/>
                <w:color w:val="auto"/>
              </w:rPr>
              <w:t>ended December 1, 1996</w:t>
            </w: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5120" w:type="dxa"/>
            <w:vAlign w:val="bottom"/>
          </w:tcPr>
          <w:p>
            <w:pPr>
              <w:ind w:left="640"/>
              <w:spacing w:after="0"/>
              <w:rPr>
                <w:sz w:val="20"/>
                <w:szCs w:val="20"/>
                <w:color w:val="auto"/>
              </w:rPr>
            </w:pPr>
            <w:r>
              <w:rPr>
                <w:rFonts w:ascii="Courier New" w:cs="Courier New" w:eastAsia="Courier New" w:hAnsi="Courier New"/>
                <w:sz w:val="15"/>
                <w:szCs w:val="15"/>
                <w:color w:val="auto"/>
              </w:rPr>
              <w:t>Notes to the Combined Financial Statements</w:t>
            </w:r>
          </w:p>
        </w:tc>
        <w:tc>
          <w:tcPr>
            <w:tcW w:w="1100" w:type="dxa"/>
            <w:vAlign w:val="bottom"/>
          </w:tcPr>
          <w:p>
            <w:pPr>
              <w:ind w:left="100"/>
              <w:spacing w:after="0"/>
              <w:rPr>
                <w:sz w:val="20"/>
                <w:szCs w:val="20"/>
                <w:color w:val="auto"/>
              </w:rPr>
            </w:pPr>
            <w:r>
              <w:rPr>
                <w:rFonts w:ascii="Courier New" w:cs="Courier New" w:eastAsia="Courier New" w:hAnsi="Courier New"/>
                <w:sz w:val="15"/>
                <w:szCs w:val="15"/>
                <w:color w:val="auto"/>
                <w:w w:val="98"/>
              </w:rPr>
              <w:t>A-6 to A-16</w:t>
            </w:r>
          </w:p>
        </w:tc>
        <w:tc>
          <w:tcPr>
            <w:tcW w:w="0" w:type="dxa"/>
            <w:vAlign w:val="bottom"/>
          </w:tcPr>
          <w:p>
            <w:pPr>
              <w:spacing w:after="0"/>
              <w:rPr>
                <w:sz w:val="1"/>
                <w:szCs w:val="1"/>
                <w:color w:val="auto"/>
              </w:rPr>
            </w:pPr>
          </w:p>
        </w:tc>
      </w:tr>
      <w:tr>
        <w:trPr>
          <w:trHeight w:val="529"/>
        </w:trPr>
        <w:tc>
          <w:tcPr>
            <w:tcW w:w="5120" w:type="dxa"/>
            <w:vAlign w:val="bottom"/>
          </w:tcPr>
          <w:p>
            <w:pPr>
              <w:spacing w:after="0"/>
              <w:rPr>
                <w:sz w:val="20"/>
                <w:szCs w:val="20"/>
                <w:color w:val="auto"/>
              </w:rPr>
            </w:pPr>
            <w:r>
              <w:rPr>
                <w:rFonts w:ascii="Courier New" w:cs="Courier New" w:eastAsia="Courier New" w:hAnsi="Courier New"/>
                <w:sz w:val="15"/>
                <w:szCs w:val="15"/>
                <w:color w:val="auto"/>
              </w:rPr>
              <w:t>(b) Pro forma Financial Information:</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5120" w:type="dxa"/>
            <w:vAlign w:val="bottom"/>
          </w:tcPr>
          <w:p>
            <w:pPr>
              <w:ind w:left="640"/>
              <w:spacing w:after="0"/>
              <w:rPr>
                <w:sz w:val="20"/>
                <w:szCs w:val="20"/>
                <w:color w:val="auto"/>
              </w:rPr>
            </w:pPr>
            <w:r>
              <w:rPr>
                <w:rFonts w:ascii="Courier New" w:cs="Courier New" w:eastAsia="Courier New" w:hAnsi="Courier New"/>
                <w:sz w:val="15"/>
                <w:szCs w:val="15"/>
                <w:color w:val="auto"/>
              </w:rPr>
              <w:t>Pro forma Information</w:t>
            </w:r>
          </w:p>
        </w:tc>
        <w:tc>
          <w:tcPr>
            <w:tcW w:w="1100" w:type="dxa"/>
            <w:vAlign w:val="bottom"/>
          </w:tcPr>
          <w:p>
            <w:pPr>
              <w:ind w:left="100"/>
              <w:spacing w:after="0"/>
              <w:rPr>
                <w:sz w:val="20"/>
                <w:szCs w:val="20"/>
                <w:color w:val="auto"/>
              </w:rPr>
            </w:pPr>
            <w:r>
              <w:rPr>
                <w:rFonts w:ascii="Courier New" w:cs="Courier New" w:eastAsia="Courier New" w:hAnsi="Courier New"/>
                <w:sz w:val="15"/>
                <w:szCs w:val="15"/>
                <w:color w:val="auto"/>
              </w:rPr>
              <w:t>B-1</w:t>
            </w:r>
          </w:p>
        </w:tc>
        <w:tc>
          <w:tcPr>
            <w:tcW w:w="0" w:type="dxa"/>
            <w:vAlign w:val="bottom"/>
          </w:tcPr>
          <w:p>
            <w:pPr>
              <w:spacing w:after="0"/>
              <w:rPr>
                <w:sz w:val="1"/>
                <w:szCs w:val="1"/>
                <w:color w:val="auto"/>
              </w:rPr>
            </w:pPr>
          </w:p>
        </w:tc>
      </w:tr>
      <w:tr>
        <w:trPr>
          <w:trHeight w:val="176"/>
        </w:trPr>
        <w:tc>
          <w:tcPr>
            <w:tcW w:w="5120" w:type="dxa"/>
            <w:vAlign w:val="bottom"/>
          </w:tcPr>
          <w:p>
            <w:pPr>
              <w:ind w:left="640"/>
              <w:spacing w:after="0"/>
              <w:rPr>
                <w:sz w:val="20"/>
                <w:szCs w:val="20"/>
                <w:color w:val="auto"/>
              </w:rPr>
            </w:pPr>
            <w:r>
              <w:rPr>
                <w:rFonts w:ascii="Courier New" w:cs="Courier New" w:eastAsia="Courier New" w:hAnsi="Courier New"/>
                <w:sz w:val="15"/>
                <w:szCs w:val="15"/>
                <w:color w:val="auto"/>
              </w:rPr>
              <w:t>Pro forma Condensed Combined Balance Sheet</w:t>
            </w:r>
          </w:p>
        </w:tc>
        <w:tc>
          <w:tcPr>
            <w:tcW w:w="110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B-2</w:t>
            </w:r>
          </w:p>
        </w:tc>
        <w:tc>
          <w:tcPr>
            <w:tcW w:w="0" w:type="dxa"/>
            <w:vAlign w:val="bottom"/>
          </w:tcPr>
          <w:p>
            <w:pPr>
              <w:spacing w:after="0"/>
              <w:rPr>
                <w:sz w:val="1"/>
                <w:szCs w:val="1"/>
                <w:color w:val="auto"/>
              </w:rPr>
            </w:pPr>
          </w:p>
        </w:tc>
      </w:tr>
      <w:tr>
        <w:trPr>
          <w:trHeight w:val="176"/>
        </w:trPr>
        <w:tc>
          <w:tcPr>
            <w:tcW w:w="5120" w:type="dxa"/>
            <w:vAlign w:val="bottom"/>
          </w:tcPr>
          <w:p>
            <w:pPr>
              <w:ind w:left="820"/>
              <w:spacing w:after="0"/>
              <w:rPr>
                <w:sz w:val="20"/>
                <w:szCs w:val="20"/>
                <w:color w:val="auto"/>
              </w:rPr>
            </w:pPr>
            <w:r>
              <w:rPr>
                <w:rFonts w:ascii="Courier New" w:cs="Courier New" w:eastAsia="Courier New" w:hAnsi="Courier New"/>
                <w:sz w:val="15"/>
                <w:szCs w:val="15"/>
                <w:color w:val="auto"/>
              </w:rPr>
              <w:t>as of October 31, 1996</w:t>
            </w: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20" w:type="dxa"/>
            <w:vAlign w:val="bottom"/>
          </w:tcPr>
          <w:p>
            <w:pPr>
              <w:ind w:left="640"/>
              <w:spacing w:after="0"/>
              <w:rPr>
                <w:sz w:val="20"/>
                <w:szCs w:val="20"/>
                <w:color w:val="auto"/>
              </w:rPr>
            </w:pPr>
            <w:r>
              <w:rPr>
                <w:rFonts w:ascii="Courier New" w:cs="Courier New" w:eastAsia="Courier New" w:hAnsi="Courier New"/>
                <w:sz w:val="15"/>
                <w:szCs w:val="15"/>
                <w:color w:val="auto"/>
              </w:rPr>
              <w:t>Pro forma Condensed Combined Statement of</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20" w:type="dxa"/>
            <w:vAlign w:val="bottom"/>
          </w:tcPr>
          <w:p>
            <w:pPr>
              <w:ind w:left="900"/>
              <w:spacing w:after="0"/>
              <w:rPr>
                <w:sz w:val="20"/>
                <w:szCs w:val="20"/>
                <w:color w:val="auto"/>
              </w:rPr>
            </w:pPr>
            <w:r>
              <w:rPr>
                <w:rFonts w:ascii="Courier New" w:cs="Courier New" w:eastAsia="Courier New" w:hAnsi="Courier New"/>
                <w:sz w:val="15"/>
                <w:szCs w:val="15"/>
                <w:color w:val="auto"/>
              </w:rPr>
              <w:t>Operations for the year ended</w:t>
            </w:r>
          </w:p>
        </w:tc>
        <w:tc>
          <w:tcPr>
            <w:tcW w:w="110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B-3</w:t>
            </w:r>
          </w:p>
        </w:tc>
        <w:tc>
          <w:tcPr>
            <w:tcW w:w="0" w:type="dxa"/>
            <w:vAlign w:val="bottom"/>
          </w:tcPr>
          <w:p>
            <w:pPr>
              <w:spacing w:after="0"/>
              <w:rPr>
                <w:sz w:val="1"/>
                <w:szCs w:val="1"/>
                <w:color w:val="auto"/>
              </w:rPr>
            </w:pPr>
          </w:p>
        </w:tc>
      </w:tr>
      <w:tr>
        <w:trPr>
          <w:trHeight w:val="176"/>
        </w:trPr>
        <w:tc>
          <w:tcPr>
            <w:tcW w:w="5120" w:type="dxa"/>
            <w:vAlign w:val="bottom"/>
          </w:tcPr>
          <w:p>
            <w:pPr>
              <w:ind w:left="900"/>
              <w:spacing w:after="0"/>
              <w:rPr>
                <w:sz w:val="20"/>
                <w:szCs w:val="20"/>
                <w:color w:val="auto"/>
              </w:rPr>
            </w:pPr>
            <w:r>
              <w:rPr>
                <w:rFonts w:ascii="Courier New" w:cs="Courier New" w:eastAsia="Courier New" w:hAnsi="Courier New"/>
                <w:sz w:val="15"/>
                <w:szCs w:val="15"/>
                <w:color w:val="auto"/>
              </w:rPr>
              <w:t>October 31, 1996</w:t>
            </w: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20" w:type="dxa"/>
            <w:vAlign w:val="bottom"/>
          </w:tcPr>
          <w:p>
            <w:pPr>
              <w:ind w:left="640"/>
              <w:spacing w:after="0"/>
              <w:rPr>
                <w:sz w:val="20"/>
                <w:szCs w:val="20"/>
                <w:color w:val="auto"/>
              </w:rPr>
            </w:pPr>
            <w:r>
              <w:rPr>
                <w:rFonts w:ascii="Courier New" w:cs="Courier New" w:eastAsia="Courier New" w:hAnsi="Courier New"/>
                <w:sz w:val="15"/>
                <w:szCs w:val="15"/>
                <w:color w:val="auto"/>
              </w:rPr>
              <w:t>Notes to Pro forma Condensed Combined</w:t>
            </w:r>
          </w:p>
        </w:tc>
        <w:tc>
          <w:tcPr>
            <w:tcW w:w="110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B-4</w:t>
            </w:r>
          </w:p>
        </w:tc>
        <w:tc>
          <w:tcPr>
            <w:tcW w:w="0" w:type="dxa"/>
            <w:vAlign w:val="bottom"/>
          </w:tcPr>
          <w:p>
            <w:pPr>
              <w:spacing w:after="0"/>
              <w:rPr>
                <w:sz w:val="1"/>
                <w:szCs w:val="1"/>
                <w:color w:val="auto"/>
              </w:rPr>
            </w:pPr>
          </w:p>
        </w:tc>
      </w:tr>
      <w:tr>
        <w:trPr>
          <w:trHeight w:val="257"/>
        </w:trPr>
        <w:tc>
          <w:tcPr>
            <w:tcW w:w="5120" w:type="dxa"/>
            <w:vAlign w:val="bottom"/>
          </w:tcPr>
          <w:p>
            <w:pPr>
              <w:ind w:left="820"/>
              <w:spacing w:after="0"/>
              <w:rPr>
                <w:sz w:val="20"/>
                <w:szCs w:val="20"/>
                <w:color w:val="auto"/>
              </w:rPr>
            </w:pPr>
            <w:r>
              <w:rPr>
                <w:rFonts w:ascii="Courier New" w:cs="Courier New" w:eastAsia="Courier New" w:hAnsi="Courier New"/>
                <w:sz w:val="15"/>
                <w:szCs w:val="15"/>
                <w:color w:val="auto"/>
              </w:rPr>
              <w:t>Financial Statements</w:t>
            </w:r>
          </w:p>
        </w:tc>
        <w:tc>
          <w:tcPr>
            <w:tcW w:w="11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ind w:left="920"/>
        <w:spacing w:after="0"/>
        <w:rPr>
          <w:sz w:val="20"/>
          <w:szCs w:val="20"/>
          <w:color w:val="auto"/>
        </w:rPr>
      </w:pPr>
      <w:r>
        <w:rPr>
          <w:rFonts w:ascii="Courier New" w:cs="Courier New" w:eastAsia="Courier New" w:hAnsi="Courier New"/>
          <w:sz w:val="15"/>
          <w:szCs w:val="15"/>
          <w:color w:val="auto"/>
        </w:rPr>
        <w:t>(c) Exhibits:</w:t>
      </w:r>
    </w:p>
    <w:p>
      <w:pPr>
        <w:spacing w:after="0" w:line="34"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Exhibit 23 - Consent of KPMG Peat Marwick LLP</w:t>
      </w:r>
    </w:p>
    <w:p>
      <w:pPr>
        <w:sectPr>
          <w:pgSz w:w="11900" w:h="16838" w:orient="portrait"/>
          <w:cols w:equalWidth="0" w:num="1">
            <w:col w:w="10219"/>
          </w:cols>
          <w:pgMar w:left="240" w:top="619" w:right="1440" w:bottom="1440" w:gutter="0" w:footer="0" w:header="0"/>
        </w:sectPr>
      </w:pPr>
    </w:p>
    <w:bookmarkStart w:id="3" w:name="page4"/>
    <w:bookmarkEnd w:id="3"/>
    <w:p>
      <w:pPr>
        <w:ind w:right="3179" w:firstLine="458"/>
        <w:spacing w:after="0" w:line="310"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46" w:lineRule="exact"/>
        <w:rPr>
          <w:sz w:val="20"/>
          <w:szCs w:val="20"/>
          <w:color w:val="auto"/>
        </w:rPr>
      </w:pPr>
    </w:p>
    <w:p>
      <w:pPr>
        <w:jc w:val="right"/>
        <w:ind w:right="5099"/>
        <w:spacing w:after="0"/>
        <w:rPr>
          <w:sz w:val="20"/>
          <w:szCs w:val="20"/>
          <w:color w:val="auto"/>
        </w:rPr>
      </w:pPr>
      <w:r>
        <w:rPr>
          <w:rFonts w:ascii="Courier New" w:cs="Courier New" w:eastAsia="Courier New" w:hAnsi="Courier New"/>
          <w:sz w:val="15"/>
          <w:szCs w:val="15"/>
          <w:color w:val="auto"/>
        </w:rPr>
        <w:t>THE TORO COMPANY</w:t>
      </w:r>
    </w:p>
    <w:p>
      <w:pPr>
        <w:spacing w:after="0" w:line="34" w:lineRule="exact"/>
        <w:rPr>
          <w:sz w:val="20"/>
          <w:szCs w:val="20"/>
          <w:color w:val="auto"/>
        </w:rPr>
      </w:pPr>
    </w:p>
    <w:p>
      <w:pPr>
        <w:jc w:val="right"/>
        <w:ind w:right="5099"/>
        <w:spacing w:after="0"/>
        <w:rPr>
          <w:sz w:val="20"/>
          <w:szCs w:val="20"/>
          <w:color w:val="auto"/>
        </w:rPr>
      </w:pPr>
      <w:r>
        <w:rPr>
          <w:rFonts w:ascii="Courier New" w:cs="Courier New" w:eastAsia="Courier New" w:hAnsi="Courier New"/>
          <w:sz w:val="15"/>
          <w:szCs w:val="15"/>
          <w:color w:val="auto"/>
        </w:rPr>
        <w:t>(Registrant)</w:t>
      </w:r>
    </w:p>
    <w:p>
      <w:pPr>
        <w:sectPr>
          <w:pgSz w:w="11900" w:h="16838" w:orient="portrait"/>
          <w:cols w:equalWidth="0" w:num="1">
            <w:col w:w="10219"/>
          </w:cols>
          <w:pgMar w:left="240" w:top="619" w:right="1440" w:bottom="1440" w:gutter="0" w:footer="0" w:header="0"/>
        </w:sectPr>
      </w:pP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6, 1997</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 Lawrence McIntyre</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J. Lawrence McIntyre</w:t>
      </w:r>
    </w:p>
    <w:p>
      <w:pPr>
        <w:spacing w:after="0" w:line="6"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Vice President, Secretary and</w:t>
      </w:r>
    </w:p>
    <w:p>
      <w:pPr>
        <w:spacing w:after="0" w:line="6"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General Counsel</w:t>
      </w:r>
    </w:p>
    <w:p>
      <w:pPr>
        <w:sectPr>
          <w:pgSz w:w="11900" w:h="16838" w:orient="portrait"/>
          <w:cols w:equalWidth="0" w:num="4">
            <w:col w:w="460" w:space="180"/>
            <w:col w:w="2300" w:space="720"/>
            <w:col w:w="180" w:space="180"/>
            <w:col w:w="6199"/>
          </w:cols>
          <w:pgMar w:left="240" w:top="619" w:right="1440" w:bottom="1440" w:gutter="0" w:footer="0" w:header="0"/>
          <w:type w:val="continuous"/>
        </w:sectPr>
      </w:pPr>
    </w:p>
    <w:bookmarkStart w:id="4" w:name="page5"/>
    <w:bookmarkEnd w:id="4"/>
    <w:p>
      <w:pPr>
        <w:ind w:left="2660"/>
        <w:spacing w:after="0"/>
        <w:rPr>
          <w:sz w:val="20"/>
          <w:szCs w:val="20"/>
          <w:color w:val="auto"/>
        </w:rPr>
      </w:pPr>
      <w:r>
        <w:rPr>
          <w:rFonts w:ascii="Courier New" w:cs="Courier New" w:eastAsia="Courier New" w:hAnsi="Courier New"/>
          <w:sz w:val="15"/>
          <w:szCs w:val="15"/>
          <w:color w:val="auto"/>
        </w:rPr>
        <w:t>INDEPENDENT AUDITORS' REPORT</w:t>
      </w:r>
    </w:p>
    <w:p>
      <w:pPr>
        <w:spacing w:after="0" w:line="34"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_______________</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of</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Toro Company:</w:t>
      </w:r>
    </w:p>
    <w:p>
      <w:pPr>
        <w:spacing w:after="0" w:line="331" w:lineRule="exact"/>
        <w:rPr>
          <w:sz w:val="20"/>
          <w:szCs w:val="20"/>
          <w:color w:val="auto"/>
        </w:rPr>
      </w:pPr>
    </w:p>
    <w:p>
      <w:pPr>
        <w:ind w:right="2979"/>
        <w:spacing w:after="0" w:line="264" w:lineRule="auto"/>
        <w:rPr>
          <w:sz w:val="20"/>
          <w:szCs w:val="20"/>
          <w:color w:val="auto"/>
        </w:rPr>
      </w:pPr>
      <w:r>
        <w:rPr>
          <w:rFonts w:ascii="Courier New" w:cs="Courier New" w:eastAsia="Courier New" w:hAnsi="Courier New"/>
          <w:sz w:val="15"/>
          <w:szCs w:val="15"/>
          <w:color w:val="auto"/>
        </w:rPr>
        <w:t>We have audited the accompanying combined balance sheet of James Hardie Irrigation (a division of James Hardie Irrigation, Inc.), James Hardie Irrigation Pty Limited and James Hardie Irrigation Europe S.p.A. (collectively, "the James Hardie Irrigation Group") as of December 1, 1996 and the related combined statements of operations, divisional/shareholders' equity and cash flows for the year then ended. These financial statements are the responsibility of the James Hardie Irrigation Group management. Our responsibility is to express an opinion on these financial statements based on our audit.</w:t>
      </w:r>
    </w:p>
    <w:p>
      <w:pPr>
        <w:spacing w:after="0" w:line="267" w:lineRule="exact"/>
        <w:rPr>
          <w:sz w:val="20"/>
          <w:szCs w:val="20"/>
          <w:color w:val="auto"/>
        </w:rPr>
      </w:pPr>
    </w:p>
    <w:p>
      <w:pPr>
        <w:ind w:right="2899"/>
        <w:spacing w:after="0" w:line="264" w:lineRule="auto"/>
        <w:rPr>
          <w:sz w:val="20"/>
          <w:szCs w:val="20"/>
          <w:color w:val="auto"/>
        </w:rPr>
      </w:pPr>
      <w:r>
        <w:rPr>
          <w:rFonts w:ascii="Courier New" w:cs="Courier New" w:eastAsia="Courier New" w:hAnsi="Courier New"/>
          <w:sz w:val="15"/>
          <w:szCs w:val="15"/>
          <w:color w:val="auto"/>
        </w:rPr>
        <w:t>We conducted our audit in accordance with generally accepted auditing standards. Those standards require that we plan and perform the audit to obtain reasonable assurance about whether the combined financial statements are free of material misstatement. An audit includes examining, on a test basis, evidence supporting the amounts and disclosures in the combined financial statements. An audit also includes assessing the accounting principles used and significant estimates made by management, as well as evaluating the overall combined financial statement presentation. We believe that our audit provides a reasonable basis for our opinion.</w:t>
      </w:r>
    </w:p>
    <w:p>
      <w:pPr>
        <w:spacing w:after="0" w:line="80" w:lineRule="exact"/>
        <w:rPr>
          <w:sz w:val="20"/>
          <w:szCs w:val="20"/>
          <w:color w:val="auto"/>
        </w:rPr>
      </w:pPr>
    </w:p>
    <w:p>
      <w:pPr>
        <w:ind w:right="2899"/>
        <w:spacing w:after="0" w:line="372" w:lineRule="auto"/>
        <w:rPr>
          <w:sz w:val="20"/>
          <w:szCs w:val="20"/>
          <w:color w:val="auto"/>
        </w:rPr>
      </w:pPr>
      <w:r>
        <w:rPr>
          <w:rFonts w:ascii="Courier New" w:cs="Courier New" w:eastAsia="Courier New" w:hAnsi="Courier New"/>
          <w:sz w:val="15"/>
          <w:szCs w:val="15"/>
          <w:color w:val="auto"/>
        </w:rPr>
        <w:t>As discussed in Note 12 to the combined financial statements, effective December 1, 1996, the James Hardie Irrigation Group was acquired by The Toro Company.</w:t>
      </w:r>
    </w:p>
    <w:p>
      <w:pPr>
        <w:spacing w:after="0" w:line="2" w:lineRule="exact"/>
        <w:rPr>
          <w:sz w:val="20"/>
          <w:szCs w:val="20"/>
          <w:color w:val="auto"/>
        </w:rPr>
      </w:pPr>
    </w:p>
    <w:p>
      <w:pPr>
        <w:ind w:right="2899"/>
        <w:spacing w:after="0" w:line="279" w:lineRule="auto"/>
        <w:rPr>
          <w:sz w:val="20"/>
          <w:szCs w:val="20"/>
          <w:color w:val="auto"/>
        </w:rPr>
      </w:pPr>
      <w:r>
        <w:rPr>
          <w:rFonts w:ascii="Courier New" w:cs="Courier New" w:eastAsia="Courier New" w:hAnsi="Courier New"/>
          <w:sz w:val="15"/>
          <w:szCs w:val="15"/>
          <w:color w:val="auto"/>
        </w:rPr>
        <w:t>In our opinion, the combined financial statements referred to above present fairly, in all material respects, the combined financial position of the James Hardie Irrigation Group as of December 1, 1996 and the results of their combined operations and their combined cash flows for the year then ended, in conformity with generally accepted accounting principles.</w:t>
      </w:r>
    </w:p>
    <w:p>
      <w:pPr>
        <w:spacing w:after="0" w:line="200" w:lineRule="exact"/>
        <w:rPr>
          <w:sz w:val="20"/>
          <w:szCs w:val="20"/>
          <w:color w:val="auto"/>
        </w:rPr>
      </w:pPr>
    </w:p>
    <w:p>
      <w:pPr>
        <w:spacing w:after="0" w:line="222"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KPMG Peat Marwick LLP</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Minneapolis, Minnesota</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5, 1997</w:t>
      </w:r>
    </w:p>
    <w:p>
      <w:pPr>
        <w:spacing w:after="0" w:line="331"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19"/>
          </w:cols>
          <w:pgMar w:left="240" w:top="619"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7"/>
        </w:trPr>
        <w:tc>
          <w:tcPr>
            <w:tcW w:w="5760" w:type="dxa"/>
            <w:vAlign w:val="bottom"/>
          </w:tcPr>
          <w:p>
            <w:pPr>
              <w:ind w:left="2560"/>
              <w:spacing w:after="0"/>
              <w:rPr>
                <w:sz w:val="20"/>
                <w:szCs w:val="20"/>
                <w:color w:val="auto"/>
              </w:rPr>
            </w:pPr>
            <w:r>
              <w:rPr>
                <w:rFonts w:ascii="Courier New" w:cs="Courier New" w:eastAsia="Courier New" w:hAnsi="Courier New"/>
                <w:sz w:val="15"/>
                <w:szCs w:val="15"/>
                <w:color w:val="auto"/>
              </w:rPr>
              <w:t>JAMES HARDIE IRRIGATION GROUP</w:t>
            </w: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5760" w:type="dxa"/>
            <w:vAlign w:val="bottom"/>
          </w:tcPr>
          <w:p>
            <w:pPr>
              <w:jc w:val="center"/>
              <w:ind w:left="2024"/>
              <w:spacing w:after="0"/>
              <w:rPr>
                <w:sz w:val="20"/>
                <w:szCs w:val="20"/>
                <w:color w:val="auto"/>
              </w:rPr>
            </w:pPr>
            <w:r>
              <w:rPr>
                <w:rFonts w:ascii="Courier New" w:cs="Courier New" w:eastAsia="Courier New" w:hAnsi="Courier New"/>
                <w:sz w:val="15"/>
                <w:szCs w:val="15"/>
                <w:color w:val="auto"/>
              </w:rPr>
              <w:t>COMBINED BALANCE SHEET</w:t>
            </w:r>
          </w:p>
        </w:tc>
        <w:tc>
          <w:tcPr>
            <w:tcW w:w="3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5760" w:type="dxa"/>
            <w:vAlign w:val="bottom"/>
          </w:tcPr>
          <w:p>
            <w:pPr>
              <w:jc w:val="center"/>
              <w:ind w:left="2024"/>
              <w:spacing w:after="0"/>
              <w:rPr>
                <w:sz w:val="20"/>
                <w:szCs w:val="20"/>
                <w:color w:val="auto"/>
              </w:rPr>
            </w:pPr>
            <w:r>
              <w:rPr>
                <w:rFonts w:ascii="Courier New" w:cs="Courier New" w:eastAsia="Courier New" w:hAnsi="Courier New"/>
                <w:sz w:val="15"/>
                <w:szCs w:val="15"/>
                <w:color w:val="auto"/>
              </w:rPr>
              <w:t>December 1, 1996</w:t>
            </w: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5760" w:type="dxa"/>
            <w:vAlign w:val="bottom"/>
          </w:tcPr>
          <w:p>
            <w:pPr>
              <w:jc w:val="center"/>
              <w:ind w:left="2024"/>
              <w:spacing w:after="0"/>
              <w:rPr>
                <w:sz w:val="20"/>
                <w:szCs w:val="20"/>
                <w:color w:val="auto"/>
              </w:rPr>
            </w:pPr>
            <w:r>
              <w:rPr>
                <w:rFonts w:ascii="Courier New" w:cs="Courier New" w:eastAsia="Courier New" w:hAnsi="Courier New"/>
                <w:sz w:val="15"/>
                <w:szCs w:val="15"/>
                <w:color w:val="auto"/>
              </w:rPr>
              <w:t>________</w:t>
            </w: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2"/>
        </w:trPr>
        <w:tc>
          <w:tcPr>
            <w:tcW w:w="5760" w:type="dxa"/>
            <w:vAlign w:val="bottom"/>
          </w:tcPr>
          <w:p>
            <w:pPr>
              <w:ind w:left="460"/>
              <w:spacing w:after="0"/>
              <w:rPr>
                <w:sz w:val="20"/>
                <w:szCs w:val="20"/>
                <w:color w:val="auto"/>
              </w:rPr>
            </w:pPr>
            <w:r>
              <w:rPr>
                <w:rFonts w:ascii="Courier New" w:cs="Courier New" w:eastAsia="Courier New" w:hAnsi="Courier New"/>
                <w:sz w:val="15"/>
                <w:szCs w:val="15"/>
                <w:color w:val="auto"/>
              </w:rPr>
              <w:t>ASSETS:</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57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971,435</w:t>
            </w:r>
          </w:p>
        </w:tc>
        <w:tc>
          <w:tcPr>
            <w:tcW w:w="0" w:type="dxa"/>
            <w:vAlign w:val="bottom"/>
          </w:tcPr>
          <w:p>
            <w:pPr>
              <w:spacing w:after="0"/>
              <w:rPr>
                <w:sz w:val="1"/>
                <w:szCs w:val="1"/>
                <w:color w:val="auto"/>
              </w:rPr>
            </w:pPr>
          </w:p>
        </w:tc>
      </w:tr>
      <w:tr>
        <w:trPr>
          <w:trHeight w:val="176"/>
        </w:trPr>
        <w:tc>
          <w:tcPr>
            <w:tcW w:w="5760" w:type="dxa"/>
            <w:vAlign w:val="bottom"/>
          </w:tcPr>
          <w:p>
            <w:pPr>
              <w:ind w:left="360"/>
              <w:spacing w:after="0"/>
              <w:rPr>
                <w:sz w:val="20"/>
                <w:szCs w:val="20"/>
                <w:color w:val="auto"/>
              </w:rPr>
            </w:pPr>
            <w:r>
              <w:rPr>
                <w:rFonts w:ascii="Courier New" w:cs="Courier New" w:eastAsia="Courier New" w:hAnsi="Courier New"/>
                <w:sz w:val="15"/>
                <w:szCs w:val="15"/>
                <w:color w:val="auto"/>
              </w:rPr>
              <w:t>Cash and cash equivalents</w:t>
            </w:r>
          </w:p>
        </w:tc>
        <w:tc>
          <w:tcPr>
            <w:tcW w:w="38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60" w:type="dxa"/>
            <w:vAlign w:val="bottom"/>
          </w:tcPr>
          <w:p>
            <w:pPr>
              <w:ind w:left="360"/>
              <w:spacing w:after="0"/>
              <w:rPr>
                <w:sz w:val="20"/>
                <w:szCs w:val="20"/>
                <w:color w:val="auto"/>
              </w:rPr>
            </w:pPr>
            <w:r>
              <w:rPr>
                <w:rFonts w:ascii="Courier New" w:cs="Courier New" w:eastAsia="Courier New" w:hAnsi="Courier New"/>
                <w:sz w:val="15"/>
                <w:szCs w:val="15"/>
                <w:color w:val="auto"/>
              </w:rPr>
              <w:t>Trade accounts receivable, less allowances of $4,515,780</w:t>
            </w:r>
          </w:p>
        </w:tc>
        <w:tc>
          <w:tcPr>
            <w:tcW w:w="3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24,067,044</w:t>
            </w:r>
          </w:p>
        </w:tc>
        <w:tc>
          <w:tcPr>
            <w:tcW w:w="0" w:type="dxa"/>
            <w:vAlign w:val="bottom"/>
          </w:tcPr>
          <w:p>
            <w:pPr>
              <w:spacing w:after="0"/>
              <w:rPr>
                <w:sz w:val="1"/>
                <w:szCs w:val="1"/>
                <w:color w:val="auto"/>
              </w:rPr>
            </w:pPr>
          </w:p>
        </w:tc>
      </w:tr>
      <w:tr>
        <w:trPr>
          <w:trHeight w:val="176"/>
        </w:trPr>
        <w:tc>
          <w:tcPr>
            <w:tcW w:w="5760" w:type="dxa"/>
            <w:vAlign w:val="bottom"/>
          </w:tcPr>
          <w:p>
            <w:pPr>
              <w:ind w:left="360"/>
              <w:spacing w:after="0"/>
              <w:rPr>
                <w:sz w:val="20"/>
                <w:szCs w:val="20"/>
                <w:color w:val="auto"/>
              </w:rPr>
            </w:pPr>
            <w:r>
              <w:rPr>
                <w:rFonts w:ascii="Courier New" w:cs="Courier New" w:eastAsia="Courier New" w:hAnsi="Courier New"/>
                <w:sz w:val="15"/>
                <w:szCs w:val="15"/>
                <w:color w:val="auto"/>
              </w:rPr>
              <w:t>Inventories</w:t>
            </w:r>
          </w:p>
        </w:tc>
        <w:tc>
          <w:tcPr>
            <w:tcW w:w="3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31,049,363</w:t>
            </w:r>
          </w:p>
        </w:tc>
        <w:tc>
          <w:tcPr>
            <w:tcW w:w="0" w:type="dxa"/>
            <w:vAlign w:val="bottom"/>
          </w:tcPr>
          <w:p>
            <w:pPr>
              <w:spacing w:after="0"/>
              <w:rPr>
                <w:sz w:val="1"/>
                <w:szCs w:val="1"/>
                <w:color w:val="auto"/>
              </w:rPr>
            </w:pPr>
          </w:p>
        </w:tc>
      </w:tr>
      <w:tr>
        <w:trPr>
          <w:trHeight w:val="176"/>
        </w:trPr>
        <w:tc>
          <w:tcPr>
            <w:tcW w:w="5760" w:type="dxa"/>
            <w:vAlign w:val="bottom"/>
          </w:tcPr>
          <w:p>
            <w:pPr>
              <w:ind w:left="360"/>
              <w:spacing w:after="0"/>
              <w:rPr>
                <w:sz w:val="20"/>
                <w:szCs w:val="20"/>
                <w:color w:val="auto"/>
              </w:rPr>
            </w:pPr>
            <w:r>
              <w:rPr>
                <w:rFonts w:ascii="Courier New" w:cs="Courier New" w:eastAsia="Courier New" w:hAnsi="Courier New"/>
                <w:sz w:val="15"/>
                <w:szCs w:val="15"/>
                <w:color w:val="auto"/>
              </w:rPr>
              <w:t>Prepaid and other current assets</w:t>
            </w:r>
          </w:p>
        </w:tc>
        <w:tc>
          <w:tcPr>
            <w:tcW w:w="3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812,690</w:t>
            </w:r>
          </w:p>
        </w:tc>
        <w:tc>
          <w:tcPr>
            <w:tcW w:w="0" w:type="dxa"/>
            <w:vAlign w:val="bottom"/>
          </w:tcPr>
          <w:p>
            <w:pPr>
              <w:spacing w:after="0"/>
              <w:rPr>
                <w:sz w:val="1"/>
                <w:szCs w:val="1"/>
                <w:color w:val="auto"/>
              </w:rPr>
            </w:pPr>
          </w:p>
        </w:tc>
      </w:tr>
      <w:tr>
        <w:trPr>
          <w:trHeight w:val="176"/>
        </w:trPr>
        <w:tc>
          <w:tcPr>
            <w:tcW w:w="5760" w:type="dxa"/>
            <w:vAlign w:val="bottom"/>
          </w:tcPr>
          <w:p>
            <w:pPr>
              <w:ind w:left="360"/>
              <w:spacing w:after="0"/>
              <w:rPr>
                <w:sz w:val="20"/>
                <w:szCs w:val="20"/>
                <w:color w:val="auto"/>
              </w:rPr>
            </w:pPr>
            <w:r>
              <w:rPr>
                <w:rFonts w:ascii="Courier New" w:cs="Courier New" w:eastAsia="Courier New" w:hAnsi="Courier New"/>
                <w:sz w:val="15"/>
                <w:szCs w:val="15"/>
                <w:color w:val="auto"/>
              </w:rPr>
              <w:t>Deferred income taxes</w:t>
            </w:r>
          </w:p>
        </w:tc>
        <w:tc>
          <w:tcPr>
            <w:tcW w:w="3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6,604,735</w:t>
            </w:r>
          </w:p>
        </w:tc>
        <w:tc>
          <w:tcPr>
            <w:tcW w:w="0" w:type="dxa"/>
            <w:vAlign w:val="bottom"/>
          </w:tcPr>
          <w:p>
            <w:pPr>
              <w:spacing w:after="0"/>
              <w:rPr>
                <w:sz w:val="1"/>
                <w:szCs w:val="1"/>
                <w:color w:val="auto"/>
              </w:rPr>
            </w:pPr>
          </w:p>
        </w:tc>
      </w:tr>
      <w:tr>
        <w:trPr>
          <w:trHeight w:val="257"/>
        </w:trPr>
        <w:tc>
          <w:tcPr>
            <w:tcW w:w="57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352"/>
        </w:trPr>
        <w:tc>
          <w:tcPr>
            <w:tcW w:w="5760" w:type="dxa"/>
            <w:vAlign w:val="bottom"/>
          </w:tcPr>
          <w:p>
            <w:pPr>
              <w:ind w:left="1360"/>
              <w:spacing w:after="0"/>
              <w:rPr>
                <w:sz w:val="20"/>
                <w:szCs w:val="20"/>
                <w:color w:val="auto"/>
              </w:rPr>
            </w:pPr>
            <w:r>
              <w:rPr>
                <w:rFonts w:ascii="Courier New" w:cs="Courier New" w:eastAsia="Courier New" w:hAnsi="Courier New"/>
                <w:sz w:val="15"/>
                <w:szCs w:val="15"/>
                <w:color w:val="auto"/>
              </w:rPr>
              <w:t>Total current assets</w:t>
            </w:r>
          </w:p>
        </w:tc>
        <w:tc>
          <w:tcPr>
            <w:tcW w:w="380" w:type="dxa"/>
            <w:vAlign w:val="bottom"/>
          </w:tcPr>
          <w:p>
            <w:pPr>
              <w:spacing w:after="0"/>
              <w:rPr>
                <w:sz w:val="24"/>
                <w:szCs w:val="24"/>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63,505,267</w:t>
            </w:r>
          </w:p>
        </w:tc>
        <w:tc>
          <w:tcPr>
            <w:tcW w:w="0" w:type="dxa"/>
            <w:vAlign w:val="bottom"/>
          </w:tcPr>
          <w:p>
            <w:pPr>
              <w:spacing w:after="0"/>
              <w:rPr>
                <w:sz w:val="1"/>
                <w:szCs w:val="1"/>
                <w:color w:val="auto"/>
              </w:rPr>
            </w:pPr>
          </w:p>
        </w:tc>
      </w:tr>
      <w:tr>
        <w:trPr>
          <w:trHeight w:val="271"/>
        </w:trPr>
        <w:tc>
          <w:tcPr>
            <w:tcW w:w="5760" w:type="dxa"/>
            <w:vAlign w:val="bottom"/>
          </w:tcPr>
          <w:p>
            <w:pPr>
              <w:spacing w:after="0"/>
              <w:rPr>
                <w:sz w:val="20"/>
                <w:szCs w:val="20"/>
                <w:color w:val="auto"/>
              </w:rPr>
            </w:pPr>
            <w:r>
              <w:rPr>
                <w:rFonts w:ascii="Courier New" w:cs="Courier New" w:eastAsia="Courier New" w:hAnsi="Courier New"/>
                <w:sz w:val="15"/>
                <w:szCs w:val="15"/>
                <w:color w:val="auto"/>
              </w:rPr>
              <w:t>Property, plant and equipment, net</w:t>
            </w:r>
          </w:p>
        </w:tc>
        <w:tc>
          <w:tcPr>
            <w:tcW w:w="380" w:type="dxa"/>
            <w:vAlign w:val="bottom"/>
          </w:tcPr>
          <w:p>
            <w:pPr>
              <w:spacing w:after="0"/>
              <w:rPr>
                <w:sz w:val="23"/>
                <w:szCs w:val="23"/>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28,726,283</w:t>
            </w:r>
          </w:p>
        </w:tc>
        <w:tc>
          <w:tcPr>
            <w:tcW w:w="0" w:type="dxa"/>
            <w:vAlign w:val="bottom"/>
          </w:tcPr>
          <w:p>
            <w:pPr>
              <w:spacing w:after="0"/>
              <w:rPr>
                <w:sz w:val="1"/>
                <w:szCs w:val="1"/>
                <w:color w:val="auto"/>
              </w:rPr>
            </w:pPr>
          </w:p>
        </w:tc>
      </w:tr>
      <w:tr>
        <w:trPr>
          <w:trHeight w:val="176"/>
        </w:trPr>
        <w:tc>
          <w:tcPr>
            <w:tcW w:w="5760" w:type="dxa"/>
            <w:vAlign w:val="bottom"/>
          </w:tcPr>
          <w:p>
            <w:pPr>
              <w:spacing w:after="0"/>
              <w:rPr>
                <w:sz w:val="20"/>
                <w:szCs w:val="20"/>
                <w:color w:val="auto"/>
              </w:rPr>
            </w:pPr>
            <w:r>
              <w:rPr>
                <w:rFonts w:ascii="Courier New" w:cs="Courier New" w:eastAsia="Courier New" w:hAnsi="Courier New"/>
                <w:sz w:val="15"/>
                <w:szCs w:val="15"/>
                <w:color w:val="auto"/>
              </w:rPr>
              <w:t>Intangible assets, net</w:t>
            </w:r>
          </w:p>
        </w:tc>
        <w:tc>
          <w:tcPr>
            <w:tcW w:w="3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2,978,390</w:t>
            </w:r>
          </w:p>
        </w:tc>
        <w:tc>
          <w:tcPr>
            <w:tcW w:w="0" w:type="dxa"/>
            <w:vAlign w:val="bottom"/>
          </w:tcPr>
          <w:p>
            <w:pPr>
              <w:spacing w:after="0"/>
              <w:rPr>
                <w:sz w:val="1"/>
                <w:szCs w:val="1"/>
                <w:color w:val="auto"/>
              </w:rPr>
            </w:pPr>
          </w:p>
        </w:tc>
      </w:tr>
      <w:tr>
        <w:trPr>
          <w:trHeight w:val="176"/>
        </w:trPr>
        <w:tc>
          <w:tcPr>
            <w:tcW w:w="576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3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3,045,283</w:t>
            </w:r>
          </w:p>
        </w:tc>
        <w:tc>
          <w:tcPr>
            <w:tcW w:w="0" w:type="dxa"/>
            <w:vAlign w:val="bottom"/>
          </w:tcPr>
          <w:p>
            <w:pPr>
              <w:spacing w:after="0"/>
              <w:rPr>
                <w:sz w:val="1"/>
                <w:szCs w:val="1"/>
                <w:color w:val="auto"/>
              </w:rPr>
            </w:pPr>
          </w:p>
        </w:tc>
      </w:tr>
      <w:tr>
        <w:trPr>
          <w:trHeight w:val="176"/>
        </w:trPr>
        <w:tc>
          <w:tcPr>
            <w:tcW w:w="576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3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475,202</w:t>
            </w:r>
          </w:p>
        </w:tc>
        <w:tc>
          <w:tcPr>
            <w:tcW w:w="0" w:type="dxa"/>
            <w:vAlign w:val="bottom"/>
          </w:tcPr>
          <w:p>
            <w:pPr>
              <w:spacing w:after="0"/>
              <w:rPr>
                <w:sz w:val="1"/>
                <w:szCs w:val="1"/>
                <w:color w:val="auto"/>
              </w:rPr>
            </w:pPr>
          </w:p>
        </w:tc>
      </w:tr>
      <w:tr>
        <w:trPr>
          <w:trHeight w:val="257"/>
        </w:trPr>
        <w:tc>
          <w:tcPr>
            <w:tcW w:w="57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624"/>
        </w:trPr>
        <w:tc>
          <w:tcPr>
            <w:tcW w:w="5760" w:type="dxa"/>
            <w:vAlign w:val="bottom"/>
          </w:tcPr>
          <w:p>
            <w:pPr>
              <w:ind w:left="1360"/>
              <w:spacing w:after="0"/>
              <w:rPr>
                <w:sz w:val="20"/>
                <w:szCs w:val="20"/>
                <w:color w:val="auto"/>
              </w:rPr>
            </w:pPr>
            <w:r>
              <w:rPr>
                <w:rFonts w:ascii="Courier New" w:cs="Courier New" w:eastAsia="Courier New" w:hAnsi="Courier New"/>
                <w:sz w:val="15"/>
                <w:szCs w:val="15"/>
                <w:color w:val="auto"/>
              </w:rPr>
              <w:t>Total assets</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98,730,425</w:t>
            </w:r>
          </w:p>
        </w:tc>
        <w:tc>
          <w:tcPr>
            <w:tcW w:w="0" w:type="dxa"/>
            <w:vAlign w:val="bottom"/>
          </w:tcPr>
          <w:p>
            <w:pPr>
              <w:spacing w:after="0"/>
              <w:rPr>
                <w:sz w:val="1"/>
                <w:szCs w:val="1"/>
                <w:color w:val="auto"/>
              </w:rPr>
            </w:pPr>
          </w:p>
        </w:tc>
      </w:tr>
      <w:tr>
        <w:trPr>
          <w:trHeight w:val="176"/>
        </w:trPr>
        <w:tc>
          <w:tcPr>
            <w:tcW w:w="5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257"/>
        </w:trPr>
        <w:tc>
          <w:tcPr>
            <w:tcW w:w="57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529"/>
        </w:trPr>
        <w:tc>
          <w:tcPr>
            <w:tcW w:w="5760" w:type="dxa"/>
            <w:vAlign w:val="bottom"/>
          </w:tcPr>
          <w:p>
            <w:pPr>
              <w:ind w:left="460"/>
              <w:spacing w:after="0"/>
              <w:rPr>
                <w:sz w:val="20"/>
                <w:szCs w:val="20"/>
                <w:color w:val="auto"/>
              </w:rPr>
            </w:pPr>
            <w:r>
              <w:rPr>
                <w:rFonts w:ascii="Courier New" w:cs="Courier New" w:eastAsia="Courier New" w:hAnsi="Courier New"/>
                <w:sz w:val="15"/>
                <w:szCs w:val="15"/>
                <w:color w:val="auto"/>
              </w:rPr>
              <w:t>LIABILITIES AND SHAREHOLDERS' EQUITY:</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8"/>
        </w:trPr>
        <w:tc>
          <w:tcPr>
            <w:tcW w:w="57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2,602,051</w:t>
            </w:r>
          </w:p>
        </w:tc>
        <w:tc>
          <w:tcPr>
            <w:tcW w:w="0" w:type="dxa"/>
            <w:vAlign w:val="bottom"/>
          </w:tcPr>
          <w:p>
            <w:pPr>
              <w:spacing w:after="0"/>
              <w:rPr>
                <w:sz w:val="1"/>
                <w:szCs w:val="1"/>
                <w:color w:val="auto"/>
              </w:rPr>
            </w:pPr>
          </w:p>
        </w:tc>
      </w:tr>
      <w:tr>
        <w:trPr>
          <w:trHeight w:val="176"/>
        </w:trPr>
        <w:tc>
          <w:tcPr>
            <w:tcW w:w="5760" w:type="dxa"/>
            <w:vAlign w:val="bottom"/>
          </w:tcPr>
          <w:p>
            <w:pPr>
              <w:ind w:left="360"/>
              <w:spacing w:after="0"/>
              <w:rPr>
                <w:sz w:val="20"/>
                <w:szCs w:val="20"/>
                <w:color w:val="auto"/>
              </w:rPr>
            </w:pPr>
            <w:r>
              <w:rPr>
                <w:rFonts w:ascii="Courier New" w:cs="Courier New" w:eastAsia="Courier New" w:hAnsi="Courier New"/>
                <w:sz w:val="15"/>
                <w:szCs w:val="15"/>
                <w:color w:val="auto"/>
              </w:rPr>
              <w:t>Bank overdrafts</w:t>
            </w:r>
          </w:p>
        </w:tc>
        <w:tc>
          <w:tcPr>
            <w:tcW w:w="38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60" w:type="dxa"/>
            <w:vAlign w:val="bottom"/>
          </w:tcPr>
          <w:p>
            <w:pPr>
              <w:ind w:left="360"/>
              <w:spacing w:after="0"/>
              <w:rPr>
                <w:sz w:val="20"/>
                <w:szCs w:val="20"/>
                <w:color w:val="auto"/>
              </w:rPr>
            </w:pPr>
            <w:r>
              <w:rPr>
                <w:rFonts w:ascii="Courier New" w:cs="Courier New" w:eastAsia="Courier New" w:hAnsi="Courier New"/>
                <w:sz w:val="15"/>
                <w:szCs w:val="15"/>
                <w:color w:val="auto"/>
              </w:rPr>
              <w:t>Trade accounts payable</w:t>
            </w:r>
          </w:p>
        </w:tc>
        <w:tc>
          <w:tcPr>
            <w:tcW w:w="3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9,707,770</w:t>
            </w:r>
          </w:p>
        </w:tc>
        <w:tc>
          <w:tcPr>
            <w:tcW w:w="0" w:type="dxa"/>
            <w:vAlign w:val="bottom"/>
          </w:tcPr>
          <w:p>
            <w:pPr>
              <w:spacing w:after="0"/>
              <w:rPr>
                <w:sz w:val="1"/>
                <w:szCs w:val="1"/>
                <w:color w:val="auto"/>
              </w:rPr>
            </w:pPr>
          </w:p>
        </w:tc>
      </w:tr>
      <w:tr>
        <w:trPr>
          <w:trHeight w:val="176"/>
        </w:trPr>
        <w:tc>
          <w:tcPr>
            <w:tcW w:w="5760" w:type="dxa"/>
            <w:vAlign w:val="bottom"/>
          </w:tcPr>
          <w:p>
            <w:pPr>
              <w:ind w:left="360"/>
              <w:spacing w:after="0"/>
              <w:rPr>
                <w:sz w:val="20"/>
                <w:szCs w:val="20"/>
                <w:color w:val="auto"/>
              </w:rPr>
            </w:pPr>
            <w:r>
              <w:rPr>
                <w:rFonts w:ascii="Courier New" w:cs="Courier New" w:eastAsia="Courier New" w:hAnsi="Courier New"/>
                <w:sz w:val="15"/>
                <w:szCs w:val="15"/>
                <w:color w:val="auto"/>
              </w:rPr>
              <w:t>Accrued expenses and other liabilities</w:t>
            </w:r>
          </w:p>
        </w:tc>
        <w:tc>
          <w:tcPr>
            <w:tcW w:w="3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9,716,496</w:t>
            </w:r>
          </w:p>
        </w:tc>
        <w:tc>
          <w:tcPr>
            <w:tcW w:w="0" w:type="dxa"/>
            <w:vAlign w:val="bottom"/>
          </w:tcPr>
          <w:p>
            <w:pPr>
              <w:spacing w:after="0"/>
              <w:rPr>
                <w:sz w:val="1"/>
                <w:szCs w:val="1"/>
                <w:color w:val="auto"/>
              </w:rPr>
            </w:pPr>
          </w:p>
        </w:tc>
      </w:tr>
      <w:tr>
        <w:trPr>
          <w:trHeight w:val="176"/>
        </w:trPr>
        <w:tc>
          <w:tcPr>
            <w:tcW w:w="5760" w:type="dxa"/>
            <w:vAlign w:val="bottom"/>
          </w:tcPr>
          <w:p>
            <w:pPr>
              <w:ind w:left="360"/>
              <w:spacing w:after="0"/>
              <w:rPr>
                <w:sz w:val="20"/>
                <w:szCs w:val="20"/>
                <w:color w:val="auto"/>
              </w:rPr>
            </w:pPr>
            <w:r>
              <w:rPr>
                <w:rFonts w:ascii="Courier New" w:cs="Courier New" w:eastAsia="Courier New" w:hAnsi="Courier New"/>
                <w:sz w:val="15"/>
                <w:szCs w:val="15"/>
                <w:color w:val="auto"/>
              </w:rPr>
              <w:t>Payable to affiliates</w:t>
            </w:r>
          </w:p>
        </w:tc>
        <w:tc>
          <w:tcPr>
            <w:tcW w:w="3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412,285</w:t>
            </w:r>
          </w:p>
        </w:tc>
        <w:tc>
          <w:tcPr>
            <w:tcW w:w="0" w:type="dxa"/>
            <w:vAlign w:val="bottom"/>
          </w:tcPr>
          <w:p>
            <w:pPr>
              <w:spacing w:after="0"/>
              <w:rPr>
                <w:sz w:val="1"/>
                <w:szCs w:val="1"/>
                <w:color w:val="auto"/>
              </w:rPr>
            </w:pPr>
          </w:p>
        </w:tc>
      </w:tr>
      <w:tr>
        <w:trPr>
          <w:trHeight w:val="176"/>
        </w:trPr>
        <w:tc>
          <w:tcPr>
            <w:tcW w:w="5760" w:type="dxa"/>
            <w:vAlign w:val="bottom"/>
          </w:tcPr>
          <w:p>
            <w:pPr>
              <w:ind w:left="360"/>
              <w:spacing w:after="0"/>
              <w:rPr>
                <w:sz w:val="20"/>
                <w:szCs w:val="20"/>
                <w:color w:val="auto"/>
              </w:rPr>
            </w:pPr>
            <w:r>
              <w:rPr>
                <w:rFonts w:ascii="Courier New" w:cs="Courier New" w:eastAsia="Courier New" w:hAnsi="Courier New"/>
                <w:sz w:val="15"/>
                <w:szCs w:val="15"/>
                <w:color w:val="auto"/>
              </w:rPr>
              <w:t>Loans due to the U.S. Parent and affiliates</w:t>
            </w:r>
          </w:p>
        </w:tc>
        <w:tc>
          <w:tcPr>
            <w:tcW w:w="3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48,812,721</w:t>
            </w:r>
          </w:p>
        </w:tc>
        <w:tc>
          <w:tcPr>
            <w:tcW w:w="0" w:type="dxa"/>
            <w:vAlign w:val="bottom"/>
          </w:tcPr>
          <w:p>
            <w:pPr>
              <w:spacing w:after="0"/>
              <w:rPr>
                <w:sz w:val="1"/>
                <w:szCs w:val="1"/>
                <w:color w:val="auto"/>
              </w:rPr>
            </w:pPr>
          </w:p>
        </w:tc>
      </w:tr>
      <w:tr>
        <w:trPr>
          <w:trHeight w:val="257"/>
        </w:trPr>
        <w:tc>
          <w:tcPr>
            <w:tcW w:w="57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352"/>
        </w:trPr>
        <w:tc>
          <w:tcPr>
            <w:tcW w:w="5760" w:type="dxa"/>
            <w:vAlign w:val="bottom"/>
          </w:tcPr>
          <w:p>
            <w:pPr>
              <w:ind w:left="1360"/>
              <w:spacing w:after="0"/>
              <w:rPr>
                <w:sz w:val="20"/>
                <w:szCs w:val="20"/>
                <w:color w:val="auto"/>
              </w:rPr>
            </w:pPr>
            <w:r>
              <w:rPr>
                <w:rFonts w:ascii="Courier New" w:cs="Courier New" w:eastAsia="Courier New" w:hAnsi="Courier New"/>
                <w:sz w:val="15"/>
                <w:szCs w:val="15"/>
                <w:color w:val="auto"/>
              </w:rPr>
              <w:t>Total current liabilities</w:t>
            </w:r>
          </w:p>
        </w:tc>
        <w:tc>
          <w:tcPr>
            <w:tcW w:w="380" w:type="dxa"/>
            <w:vAlign w:val="bottom"/>
          </w:tcPr>
          <w:p>
            <w:pPr>
              <w:spacing w:after="0"/>
              <w:rPr>
                <w:sz w:val="24"/>
                <w:szCs w:val="24"/>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71,251,323</w:t>
            </w:r>
          </w:p>
        </w:tc>
        <w:tc>
          <w:tcPr>
            <w:tcW w:w="0" w:type="dxa"/>
            <w:vAlign w:val="bottom"/>
          </w:tcPr>
          <w:p>
            <w:pPr>
              <w:spacing w:after="0"/>
              <w:rPr>
                <w:sz w:val="1"/>
                <w:szCs w:val="1"/>
                <w:color w:val="auto"/>
              </w:rPr>
            </w:pPr>
          </w:p>
        </w:tc>
      </w:tr>
      <w:tr>
        <w:trPr>
          <w:trHeight w:val="271"/>
        </w:trPr>
        <w:tc>
          <w:tcPr>
            <w:tcW w:w="5760" w:type="dxa"/>
            <w:vAlign w:val="bottom"/>
          </w:tcPr>
          <w:p>
            <w:pPr>
              <w:spacing w:after="0"/>
              <w:rPr>
                <w:sz w:val="20"/>
                <w:szCs w:val="20"/>
                <w:color w:val="auto"/>
              </w:rPr>
            </w:pPr>
            <w:r>
              <w:rPr>
                <w:rFonts w:ascii="Courier New" w:cs="Courier New" w:eastAsia="Courier New" w:hAnsi="Courier New"/>
                <w:sz w:val="15"/>
                <w:szCs w:val="15"/>
                <w:color w:val="auto"/>
              </w:rPr>
              <w:t>Severance liability</w:t>
            </w:r>
          </w:p>
        </w:tc>
        <w:tc>
          <w:tcPr>
            <w:tcW w:w="380" w:type="dxa"/>
            <w:vAlign w:val="bottom"/>
          </w:tcPr>
          <w:p>
            <w:pPr>
              <w:spacing w:after="0"/>
              <w:rPr>
                <w:sz w:val="23"/>
                <w:szCs w:val="23"/>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249,154</w:t>
            </w:r>
          </w:p>
        </w:tc>
        <w:tc>
          <w:tcPr>
            <w:tcW w:w="0" w:type="dxa"/>
            <w:vAlign w:val="bottom"/>
          </w:tcPr>
          <w:p>
            <w:pPr>
              <w:spacing w:after="0"/>
              <w:rPr>
                <w:sz w:val="1"/>
                <w:szCs w:val="1"/>
                <w:color w:val="auto"/>
              </w:rPr>
            </w:pPr>
          </w:p>
        </w:tc>
      </w:tr>
      <w:tr>
        <w:trPr>
          <w:trHeight w:val="257"/>
        </w:trPr>
        <w:tc>
          <w:tcPr>
            <w:tcW w:w="57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448"/>
        </w:trPr>
        <w:tc>
          <w:tcPr>
            <w:tcW w:w="5760" w:type="dxa"/>
            <w:vAlign w:val="bottom"/>
          </w:tcPr>
          <w:p>
            <w:pPr>
              <w:ind w:left="1360"/>
              <w:spacing w:after="0"/>
              <w:rPr>
                <w:sz w:val="20"/>
                <w:szCs w:val="20"/>
                <w:color w:val="auto"/>
              </w:rPr>
            </w:pPr>
            <w:r>
              <w:rPr>
                <w:rFonts w:ascii="Courier New" w:cs="Courier New" w:eastAsia="Courier New" w:hAnsi="Courier New"/>
                <w:sz w:val="15"/>
                <w:szCs w:val="15"/>
                <w:color w:val="auto"/>
              </w:rPr>
              <w:t>Total liabilities</w:t>
            </w:r>
          </w:p>
        </w:tc>
        <w:tc>
          <w:tcPr>
            <w:tcW w:w="380" w:type="dxa"/>
            <w:vAlign w:val="bottom"/>
          </w:tcPr>
          <w:p>
            <w:pPr>
              <w:spacing w:after="0"/>
              <w:rPr>
                <w:sz w:val="24"/>
                <w:szCs w:val="24"/>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71,500,477</w:t>
            </w:r>
          </w:p>
        </w:tc>
        <w:tc>
          <w:tcPr>
            <w:tcW w:w="0" w:type="dxa"/>
            <w:vAlign w:val="bottom"/>
          </w:tcPr>
          <w:p>
            <w:pPr>
              <w:spacing w:after="0"/>
              <w:rPr>
                <w:sz w:val="1"/>
                <w:szCs w:val="1"/>
                <w:color w:val="auto"/>
              </w:rPr>
            </w:pPr>
          </w:p>
        </w:tc>
      </w:tr>
      <w:tr>
        <w:trPr>
          <w:trHeight w:val="257"/>
        </w:trPr>
        <w:tc>
          <w:tcPr>
            <w:tcW w:w="57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352"/>
        </w:trPr>
        <w:tc>
          <w:tcPr>
            <w:tcW w:w="576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 (Note 8)</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576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5760" w:type="dxa"/>
            <w:vAlign w:val="bottom"/>
          </w:tcPr>
          <w:p>
            <w:pPr>
              <w:ind w:left="360"/>
              <w:spacing w:after="0"/>
              <w:rPr>
                <w:sz w:val="20"/>
                <w:szCs w:val="20"/>
                <w:color w:val="auto"/>
              </w:rPr>
            </w:pPr>
            <w:r>
              <w:rPr>
                <w:rFonts w:ascii="Courier New" w:cs="Courier New" w:eastAsia="Courier New" w:hAnsi="Courier New"/>
                <w:sz w:val="15"/>
                <w:szCs w:val="15"/>
                <w:color w:val="auto"/>
              </w:rPr>
              <w:t>Share capital</w:t>
            </w:r>
          </w:p>
        </w:tc>
        <w:tc>
          <w:tcPr>
            <w:tcW w:w="380" w:type="dxa"/>
            <w:vAlign w:val="bottom"/>
          </w:tcPr>
          <w:p>
            <w:pPr>
              <w:spacing w:after="0"/>
              <w:rPr>
                <w:sz w:val="23"/>
                <w:szCs w:val="23"/>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10,288,675</w:t>
            </w:r>
          </w:p>
        </w:tc>
        <w:tc>
          <w:tcPr>
            <w:tcW w:w="0" w:type="dxa"/>
            <w:vAlign w:val="bottom"/>
          </w:tcPr>
          <w:p>
            <w:pPr>
              <w:spacing w:after="0"/>
              <w:rPr>
                <w:sz w:val="1"/>
                <w:szCs w:val="1"/>
                <w:color w:val="auto"/>
              </w:rPr>
            </w:pPr>
          </w:p>
        </w:tc>
      </w:tr>
      <w:tr>
        <w:trPr>
          <w:trHeight w:val="176"/>
        </w:trPr>
        <w:tc>
          <w:tcPr>
            <w:tcW w:w="5760" w:type="dxa"/>
            <w:vAlign w:val="bottom"/>
          </w:tcPr>
          <w:p>
            <w:pPr>
              <w:ind w:left="360"/>
              <w:spacing w:after="0"/>
              <w:rPr>
                <w:sz w:val="20"/>
                <w:szCs w:val="20"/>
                <w:color w:val="auto"/>
              </w:rPr>
            </w:pPr>
            <w:r>
              <w:rPr>
                <w:rFonts w:ascii="Courier New" w:cs="Courier New" w:eastAsia="Courier New" w:hAnsi="Courier New"/>
                <w:sz w:val="15"/>
                <w:szCs w:val="15"/>
                <w:color w:val="auto"/>
              </w:rPr>
              <w:t>Additional paid-in capital</w:t>
            </w:r>
          </w:p>
        </w:tc>
        <w:tc>
          <w:tcPr>
            <w:tcW w:w="3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48,108,308</w:t>
            </w:r>
          </w:p>
        </w:tc>
        <w:tc>
          <w:tcPr>
            <w:tcW w:w="0" w:type="dxa"/>
            <w:vAlign w:val="bottom"/>
          </w:tcPr>
          <w:p>
            <w:pPr>
              <w:spacing w:after="0"/>
              <w:rPr>
                <w:sz w:val="1"/>
                <w:szCs w:val="1"/>
                <w:color w:val="auto"/>
              </w:rPr>
            </w:pPr>
          </w:p>
        </w:tc>
      </w:tr>
      <w:tr>
        <w:trPr>
          <w:trHeight w:val="176"/>
        </w:trPr>
        <w:tc>
          <w:tcPr>
            <w:tcW w:w="5760" w:type="dxa"/>
            <w:vAlign w:val="bottom"/>
          </w:tcPr>
          <w:p>
            <w:pPr>
              <w:ind w:left="360"/>
              <w:spacing w:after="0"/>
              <w:rPr>
                <w:sz w:val="20"/>
                <w:szCs w:val="20"/>
                <w:color w:val="auto"/>
              </w:rPr>
            </w:pPr>
            <w:r>
              <w:rPr>
                <w:rFonts w:ascii="Courier New" w:cs="Courier New" w:eastAsia="Courier New" w:hAnsi="Courier New"/>
                <w:sz w:val="15"/>
                <w:szCs w:val="15"/>
                <w:color w:val="auto"/>
              </w:rPr>
              <w:t>Accumulated deficit</w:t>
            </w:r>
          </w:p>
        </w:tc>
        <w:tc>
          <w:tcPr>
            <w:tcW w:w="3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(30,308,914)</w:t>
            </w:r>
          </w:p>
        </w:tc>
        <w:tc>
          <w:tcPr>
            <w:tcW w:w="0" w:type="dxa"/>
            <w:vAlign w:val="bottom"/>
          </w:tcPr>
          <w:p>
            <w:pPr>
              <w:spacing w:after="0"/>
              <w:rPr>
                <w:sz w:val="1"/>
                <w:szCs w:val="1"/>
                <w:color w:val="auto"/>
              </w:rPr>
            </w:pPr>
          </w:p>
        </w:tc>
      </w:tr>
      <w:tr>
        <w:trPr>
          <w:trHeight w:val="176"/>
        </w:trPr>
        <w:tc>
          <w:tcPr>
            <w:tcW w:w="5760" w:type="dxa"/>
            <w:vAlign w:val="bottom"/>
          </w:tcPr>
          <w:p>
            <w:pPr>
              <w:ind w:left="360"/>
              <w:spacing w:after="0"/>
              <w:rPr>
                <w:sz w:val="20"/>
                <w:szCs w:val="20"/>
                <w:color w:val="auto"/>
              </w:rPr>
            </w:pPr>
            <w:r>
              <w:rPr>
                <w:rFonts w:ascii="Courier New" w:cs="Courier New" w:eastAsia="Courier New" w:hAnsi="Courier New"/>
                <w:sz w:val="15"/>
                <w:szCs w:val="15"/>
                <w:color w:val="auto"/>
              </w:rPr>
              <w:t>Foreign currency translation adjustment</w:t>
            </w:r>
          </w:p>
        </w:tc>
        <w:tc>
          <w:tcPr>
            <w:tcW w:w="3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(858,121)</w:t>
            </w:r>
          </w:p>
        </w:tc>
        <w:tc>
          <w:tcPr>
            <w:tcW w:w="0" w:type="dxa"/>
            <w:vAlign w:val="bottom"/>
          </w:tcPr>
          <w:p>
            <w:pPr>
              <w:spacing w:after="0"/>
              <w:rPr>
                <w:sz w:val="1"/>
                <w:szCs w:val="1"/>
                <w:color w:val="auto"/>
              </w:rPr>
            </w:pPr>
          </w:p>
        </w:tc>
      </w:tr>
      <w:tr>
        <w:trPr>
          <w:trHeight w:val="257"/>
        </w:trPr>
        <w:tc>
          <w:tcPr>
            <w:tcW w:w="57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448"/>
        </w:trPr>
        <w:tc>
          <w:tcPr>
            <w:tcW w:w="5760" w:type="dxa"/>
            <w:vAlign w:val="bottom"/>
          </w:tcPr>
          <w:p>
            <w:pPr>
              <w:ind w:left="1360"/>
              <w:spacing w:after="0"/>
              <w:rPr>
                <w:sz w:val="20"/>
                <w:szCs w:val="20"/>
                <w:color w:val="auto"/>
              </w:rPr>
            </w:pPr>
            <w:r>
              <w:rPr>
                <w:rFonts w:ascii="Courier New" w:cs="Courier New" w:eastAsia="Courier New" w:hAnsi="Courier New"/>
                <w:sz w:val="15"/>
                <w:szCs w:val="15"/>
                <w:color w:val="auto"/>
              </w:rPr>
              <w:t>Total shareholders' equity</w:t>
            </w:r>
          </w:p>
        </w:tc>
        <w:tc>
          <w:tcPr>
            <w:tcW w:w="380" w:type="dxa"/>
            <w:vAlign w:val="bottom"/>
          </w:tcPr>
          <w:p>
            <w:pPr>
              <w:spacing w:after="0"/>
              <w:rPr>
                <w:sz w:val="24"/>
                <w:szCs w:val="24"/>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27,229,948</w:t>
            </w:r>
          </w:p>
        </w:tc>
        <w:tc>
          <w:tcPr>
            <w:tcW w:w="0" w:type="dxa"/>
            <w:vAlign w:val="bottom"/>
          </w:tcPr>
          <w:p>
            <w:pPr>
              <w:spacing w:after="0"/>
              <w:rPr>
                <w:sz w:val="1"/>
                <w:szCs w:val="1"/>
                <w:color w:val="auto"/>
              </w:rPr>
            </w:pPr>
          </w:p>
        </w:tc>
      </w:tr>
      <w:tr>
        <w:trPr>
          <w:trHeight w:val="257"/>
        </w:trPr>
        <w:tc>
          <w:tcPr>
            <w:tcW w:w="57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624"/>
        </w:trPr>
        <w:tc>
          <w:tcPr>
            <w:tcW w:w="5760" w:type="dxa"/>
            <w:vAlign w:val="bottom"/>
          </w:tcPr>
          <w:p>
            <w:pPr>
              <w:ind w:left="1360"/>
              <w:spacing w:after="0"/>
              <w:rPr>
                <w:sz w:val="20"/>
                <w:szCs w:val="20"/>
                <w:color w:val="auto"/>
              </w:rPr>
            </w:pPr>
            <w:r>
              <w:rPr>
                <w:rFonts w:ascii="Courier New" w:cs="Courier New" w:eastAsia="Courier New" w:hAnsi="Courier New"/>
                <w:sz w:val="15"/>
                <w:szCs w:val="15"/>
                <w:color w:val="auto"/>
              </w:rPr>
              <w:t>Total liabilities and shareholders' equity</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98,730,425</w:t>
            </w:r>
          </w:p>
        </w:tc>
        <w:tc>
          <w:tcPr>
            <w:tcW w:w="0" w:type="dxa"/>
            <w:vAlign w:val="bottom"/>
          </w:tcPr>
          <w:p>
            <w:pPr>
              <w:spacing w:after="0"/>
              <w:rPr>
                <w:sz w:val="1"/>
                <w:szCs w:val="1"/>
                <w:color w:val="auto"/>
              </w:rPr>
            </w:pPr>
          </w:p>
        </w:tc>
      </w:tr>
      <w:tr>
        <w:trPr>
          <w:trHeight w:val="176"/>
        </w:trPr>
        <w:tc>
          <w:tcPr>
            <w:tcW w:w="5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257"/>
        </w:trPr>
        <w:tc>
          <w:tcPr>
            <w:tcW w:w="57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 combined financial statements</w:t>
      </w:r>
    </w:p>
    <w:p>
      <w:pPr>
        <w:spacing w:after="0" w:line="359"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219"/>
          </w:cols>
          <w:pgMar w:left="240" w:top="619"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57"/>
        </w:trPr>
        <w:tc>
          <w:tcPr>
            <w:tcW w:w="5720" w:type="dxa"/>
            <w:vAlign w:val="bottom"/>
          </w:tcPr>
          <w:p>
            <w:pPr>
              <w:ind w:left="2560"/>
              <w:spacing w:after="0"/>
              <w:rPr>
                <w:sz w:val="20"/>
                <w:szCs w:val="20"/>
                <w:color w:val="auto"/>
              </w:rPr>
            </w:pPr>
            <w:r>
              <w:rPr>
                <w:rFonts w:ascii="Courier New" w:cs="Courier New" w:eastAsia="Courier New" w:hAnsi="Courier New"/>
                <w:sz w:val="15"/>
                <w:szCs w:val="15"/>
                <w:color w:val="auto"/>
              </w:rPr>
              <w:t>JAMES HARDIE IRRIGATION GROUP</w:t>
            </w: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5720" w:type="dxa"/>
            <w:vAlign w:val="bottom"/>
          </w:tcPr>
          <w:p>
            <w:pPr>
              <w:ind w:left="2460"/>
              <w:spacing w:after="0"/>
              <w:rPr>
                <w:sz w:val="20"/>
                <w:szCs w:val="20"/>
                <w:color w:val="auto"/>
              </w:rPr>
            </w:pPr>
            <w:r>
              <w:rPr>
                <w:rFonts w:ascii="Courier New" w:cs="Courier New" w:eastAsia="Courier New" w:hAnsi="Courier New"/>
                <w:sz w:val="15"/>
                <w:szCs w:val="15"/>
                <w:color w:val="auto"/>
              </w:rPr>
              <w:t>COMBINED STATEMENT OF OPERATIONS</w:t>
            </w: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5720" w:type="dxa"/>
            <w:vAlign w:val="bottom"/>
          </w:tcPr>
          <w:p>
            <w:pPr>
              <w:ind w:left="2660"/>
              <w:spacing w:after="0"/>
              <w:rPr>
                <w:sz w:val="20"/>
                <w:szCs w:val="20"/>
                <w:color w:val="auto"/>
              </w:rPr>
            </w:pPr>
            <w:r>
              <w:rPr>
                <w:rFonts w:ascii="Courier New" w:cs="Courier New" w:eastAsia="Courier New" w:hAnsi="Courier New"/>
                <w:sz w:val="15"/>
                <w:szCs w:val="15"/>
                <w:color w:val="auto"/>
              </w:rPr>
              <w:t>Year ended December 1, 1996</w:t>
            </w: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5720" w:type="dxa"/>
            <w:vAlign w:val="bottom"/>
          </w:tcPr>
          <w:p>
            <w:pPr>
              <w:ind w:left="3560"/>
              <w:spacing w:after="0"/>
              <w:rPr>
                <w:sz w:val="20"/>
                <w:szCs w:val="20"/>
                <w:color w:val="auto"/>
              </w:rPr>
            </w:pPr>
            <w:r>
              <w:rPr>
                <w:rFonts w:ascii="Courier New" w:cs="Courier New" w:eastAsia="Courier New" w:hAnsi="Courier New"/>
                <w:sz w:val="15"/>
                <w:szCs w:val="15"/>
                <w:color w:val="auto"/>
              </w:rPr>
              <w:t>________</w:t>
            </w: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29"/>
        </w:trPr>
        <w:tc>
          <w:tcPr>
            <w:tcW w:w="57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5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$142,861,091</w:t>
            </w:r>
          </w:p>
        </w:tc>
        <w:tc>
          <w:tcPr>
            <w:tcW w:w="0" w:type="dxa"/>
            <w:vAlign w:val="bottom"/>
          </w:tcPr>
          <w:p>
            <w:pPr>
              <w:spacing w:after="0"/>
              <w:rPr>
                <w:sz w:val="1"/>
                <w:szCs w:val="1"/>
                <w:color w:val="auto"/>
              </w:rPr>
            </w:pPr>
          </w:p>
        </w:tc>
      </w:tr>
      <w:tr>
        <w:trPr>
          <w:trHeight w:val="271"/>
        </w:trPr>
        <w:tc>
          <w:tcPr>
            <w:tcW w:w="5720" w:type="dxa"/>
            <w:vAlign w:val="bottom"/>
          </w:tcPr>
          <w:p>
            <w:pPr>
              <w:spacing w:after="0"/>
              <w:rPr>
                <w:sz w:val="20"/>
                <w:szCs w:val="20"/>
                <w:color w:val="auto"/>
              </w:rPr>
            </w:pPr>
            <w:r>
              <w:rPr>
                <w:rFonts w:ascii="Courier New" w:cs="Courier New" w:eastAsia="Courier New" w:hAnsi="Courier New"/>
                <w:sz w:val="15"/>
                <w:szCs w:val="15"/>
                <w:color w:val="auto"/>
              </w:rPr>
              <w:t>Other revenues</w:t>
            </w:r>
          </w:p>
        </w:tc>
        <w:tc>
          <w:tcPr>
            <w:tcW w:w="15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1,013,254</w:t>
            </w:r>
          </w:p>
        </w:tc>
        <w:tc>
          <w:tcPr>
            <w:tcW w:w="0" w:type="dxa"/>
            <w:vAlign w:val="bottom"/>
          </w:tcPr>
          <w:p>
            <w:pPr>
              <w:spacing w:after="0"/>
              <w:rPr>
                <w:sz w:val="1"/>
                <w:szCs w:val="1"/>
                <w:color w:val="auto"/>
              </w:rPr>
            </w:pPr>
          </w:p>
        </w:tc>
      </w:tr>
      <w:tr>
        <w:trPr>
          <w:trHeight w:val="257"/>
        </w:trPr>
        <w:tc>
          <w:tcPr>
            <w:tcW w:w="5720" w:type="dxa"/>
            <w:vAlign w:val="bottom"/>
          </w:tcPr>
          <w:p>
            <w:pPr>
              <w:spacing w:after="0"/>
              <w:rPr>
                <w:sz w:val="22"/>
                <w:szCs w:val="22"/>
                <w:color w:val="auto"/>
              </w:rPr>
            </w:pPr>
          </w:p>
        </w:tc>
        <w:tc>
          <w:tcPr>
            <w:tcW w:w="15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2"/>
        </w:trPr>
        <w:tc>
          <w:tcPr>
            <w:tcW w:w="5720" w:type="dxa"/>
            <w:vAlign w:val="bottom"/>
          </w:tcPr>
          <w:p>
            <w:pPr>
              <w:ind w:left="460"/>
              <w:spacing w:after="0"/>
              <w:rPr>
                <w:sz w:val="20"/>
                <w:szCs w:val="20"/>
                <w:color w:val="auto"/>
              </w:rPr>
            </w:pPr>
            <w:r>
              <w:rPr>
                <w:rFonts w:ascii="Courier New" w:cs="Courier New" w:eastAsia="Courier New" w:hAnsi="Courier New"/>
                <w:sz w:val="15"/>
                <w:szCs w:val="15"/>
                <w:color w:val="auto"/>
              </w:rPr>
              <w:t>Total revenues</w:t>
            </w:r>
          </w:p>
        </w:tc>
        <w:tc>
          <w:tcPr>
            <w:tcW w:w="15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143,874,345</w:t>
            </w:r>
          </w:p>
        </w:tc>
        <w:tc>
          <w:tcPr>
            <w:tcW w:w="0" w:type="dxa"/>
            <w:vAlign w:val="bottom"/>
          </w:tcPr>
          <w:p>
            <w:pPr>
              <w:spacing w:after="0"/>
              <w:rPr>
                <w:sz w:val="1"/>
                <w:szCs w:val="1"/>
                <w:color w:val="auto"/>
              </w:rPr>
            </w:pPr>
          </w:p>
        </w:tc>
      </w:tr>
      <w:tr>
        <w:trPr>
          <w:trHeight w:val="271"/>
        </w:trPr>
        <w:tc>
          <w:tcPr>
            <w:tcW w:w="572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15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101,071,541</w:t>
            </w:r>
          </w:p>
        </w:tc>
        <w:tc>
          <w:tcPr>
            <w:tcW w:w="0" w:type="dxa"/>
            <w:vAlign w:val="bottom"/>
          </w:tcPr>
          <w:p>
            <w:pPr>
              <w:spacing w:after="0"/>
              <w:rPr>
                <w:sz w:val="1"/>
                <w:szCs w:val="1"/>
                <w:color w:val="auto"/>
              </w:rPr>
            </w:pPr>
          </w:p>
        </w:tc>
      </w:tr>
      <w:tr>
        <w:trPr>
          <w:trHeight w:val="257"/>
        </w:trPr>
        <w:tc>
          <w:tcPr>
            <w:tcW w:w="5720" w:type="dxa"/>
            <w:vAlign w:val="bottom"/>
          </w:tcPr>
          <w:p>
            <w:pPr>
              <w:spacing w:after="0"/>
              <w:rPr>
                <w:sz w:val="22"/>
                <w:szCs w:val="22"/>
                <w:color w:val="auto"/>
              </w:rPr>
            </w:pPr>
          </w:p>
        </w:tc>
        <w:tc>
          <w:tcPr>
            <w:tcW w:w="15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2"/>
        </w:trPr>
        <w:tc>
          <w:tcPr>
            <w:tcW w:w="5720" w:type="dxa"/>
            <w:vAlign w:val="bottom"/>
          </w:tcPr>
          <w:p>
            <w:pPr>
              <w:ind w:left="460"/>
              <w:spacing w:after="0"/>
              <w:rPr>
                <w:sz w:val="20"/>
                <w:szCs w:val="20"/>
                <w:color w:val="auto"/>
              </w:rPr>
            </w:pPr>
            <w:r>
              <w:rPr>
                <w:rFonts w:ascii="Courier New" w:cs="Courier New" w:eastAsia="Courier New" w:hAnsi="Courier New"/>
                <w:sz w:val="15"/>
                <w:szCs w:val="15"/>
                <w:color w:val="auto"/>
              </w:rPr>
              <w:t>Gross profit</w:t>
            </w:r>
          </w:p>
        </w:tc>
        <w:tc>
          <w:tcPr>
            <w:tcW w:w="15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42,802,804</w:t>
            </w:r>
          </w:p>
        </w:tc>
        <w:tc>
          <w:tcPr>
            <w:tcW w:w="0" w:type="dxa"/>
            <w:vAlign w:val="bottom"/>
          </w:tcPr>
          <w:p>
            <w:pPr>
              <w:spacing w:after="0"/>
              <w:rPr>
                <w:sz w:val="1"/>
                <w:szCs w:val="1"/>
                <w:color w:val="auto"/>
              </w:rPr>
            </w:pPr>
          </w:p>
        </w:tc>
      </w:tr>
      <w:tr>
        <w:trPr>
          <w:trHeight w:val="352"/>
        </w:trPr>
        <w:tc>
          <w:tcPr>
            <w:tcW w:w="572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 expenses</w:t>
            </w:r>
          </w:p>
        </w:tc>
        <w:tc>
          <w:tcPr>
            <w:tcW w:w="15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40,612,641</w:t>
            </w:r>
          </w:p>
        </w:tc>
        <w:tc>
          <w:tcPr>
            <w:tcW w:w="0" w:type="dxa"/>
            <w:vAlign w:val="bottom"/>
          </w:tcPr>
          <w:p>
            <w:pPr>
              <w:spacing w:after="0"/>
              <w:rPr>
                <w:sz w:val="1"/>
                <w:szCs w:val="1"/>
                <w:color w:val="auto"/>
              </w:rPr>
            </w:pPr>
          </w:p>
        </w:tc>
      </w:tr>
      <w:tr>
        <w:trPr>
          <w:trHeight w:val="271"/>
        </w:trPr>
        <w:tc>
          <w:tcPr>
            <w:tcW w:w="5720" w:type="dxa"/>
            <w:vAlign w:val="bottom"/>
          </w:tcPr>
          <w:p>
            <w:pPr>
              <w:spacing w:after="0"/>
              <w:rPr>
                <w:sz w:val="20"/>
                <w:szCs w:val="20"/>
                <w:color w:val="auto"/>
              </w:rPr>
            </w:pPr>
            <w:r>
              <w:rPr>
                <w:rFonts w:ascii="Courier New" w:cs="Courier New" w:eastAsia="Courier New" w:hAnsi="Courier New"/>
                <w:sz w:val="15"/>
                <w:szCs w:val="15"/>
                <w:color w:val="auto"/>
              </w:rPr>
              <w:t>Research and development expenses</w:t>
            </w:r>
          </w:p>
        </w:tc>
        <w:tc>
          <w:tcPr>
            <w:tcW w:w="15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1,184,738</w:t>
            </w:r>
          </w:p>
        </w:tc>
        <w:tc>
          <w:tcPr>
            <w:tcW w:w="0" w:type="dxa"/>
            <w:vAlign w:val="bottom"/>
          </w:tcPr>
          <w:p>
            <w:pPr>
              <w:spacing w:after="0"/>
              <w:rPr>
                <w:sz w:val="1"/>
                <w:szCs w:val="1"/>
                <w:color w:val="auto"/>
              </w:rPr>
            </w:pPr>
          </w:p>
        </w:tc>
      </w:tr>
      <w:tr>
        <w:trPr>
          <w:trHeight w:val="257"/>
        </w:trPr>
        <w:tc>
          <w:tcPr>
            <w:tcW w:w="5720" w:type="dxa"/>
            <w:vAlign w:val="bottom"/>
          </w:tcPr>
          <w:p>
            <w:pPr>
              <w:spacing w:after="0"/>
              <w:rPr>
                <w:sz w:val="22"/>
                <w:szCs w:val="22"/>
                <w:color w:val="auto"/>
              </w:rPr>
            </w:pPr>
          </w:p>
        </w:tc>
        <w:tc>
          <w:tcPr>
            <w:tcW w:w="15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2"/>
        </w:trPr>
        <w:tc>
          <w:tcPr>
            <w:tcW w:w="5720" w:type="dxa"/>
            <w:vAlign w:val="bottom"/>
          </w:tcPr>
          <w:p>
            <w:pPr>
              <w:ind w:left="460"/>
              <w:spacing w:after="0"/>
              <w:rPr>
                <w:sz w:val="20"/>
                <w:szCs w:val="20"/>
                <w:color w:val="auto"/>
              </w:rPr>
            </w:pPr>
            <w:r>
              <w:rPr>
                <w:rFonts w:ascii="Courier New" w:cs="Courier New" w:eastAsia="Courier New" w:hAnsi="Courier New"/>
                <w:sz w:val="15"/>
                <w:szCs w:val="15"/>
                <w:color w:val="auto"/>
              </w:rPr>
              <w:t>Operating income</w:t>
            </w:r>
          </w:p>
        </w:tc>
        <w:tc>
          <w:tcPr>
            <w:tcW w:w="15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1,005,425</w:t>
            </w:r>
          </w:p>
        </w:tc>
        <w:tc>
          <w:tcPr>
            <w:tcW w:w="0" w:type="dxa"/>
            <w:vAlign w:val="bottom"/>
          </w:tcPr>
          <w:p>
            <w:pPr>
              <w:spacing w:after="0"/>
              <w:rPr>
                <w:sz w:val="1"/>
                <w:szCs w:val="1"/>
                <w:color w:val="auto"/>
              </w:rPr>
            </w:pPr>
          </w:p>
        </w:tc>
      </w:tr>
      <w:tr>
        <w:trPr>
          <w:trHeight w:val="352"/>
        </w:trPr>
        <w:tc>
          <w:tcPr>
            <w:tcW w:w="5720" w:type="dxa"/>
            <w:vAlign w:val="bottom"/>
          </w:tcPr>
          <w:p>
            <w:pPr>
              <w:spacing w:after="0"/>
              <w:rPr>
                <w:sz w:val="20"/>
                <w:szCs w:val="20"/>
                <w:color w:val="auto"/>
              </w:rPr>
            </w:pPr>
            <w:r>
              <w:rPr>
                <w:rFonts w:ascii="Courier New" w:cs="Courier New" w:eastAsia="Courier New" w:hAnsi="Courier New"/>
                <w:sz w:val="15"/>
                <w:szCs w:val="15"/>
                <w:color w:val="auto"/>
              </w:rPr>
              <w:t>Interest expense to third parties</w:t>
            </w:r>
          </w:p>
        </w:tc>
        <w:tc>
          <w:tcPr>
            <w:tcW w:w="15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82,914</w:t>
            </w:r>
          </w:p>
        </w:tc>
        <w:tc>
          <w:tcPr>
            <w:tcW w:w="0" w:type="dxa"/>
            <w:vAlign w:val="bottom"/>
          </w:tcPr>
          <w:p>
            <w:pPr>
              <w:spacing w:after="0"/>
              <w:rPr>
                <w:sz w:val="1"/>
                <w:szCs w:val="1"/>
                <w:color w:val="auto"/>
              </w:rPr>
            </w:pPr>
          </w:p>
        </w:tc>
      </w:tr>
      <w:tr>
        <w:trPr>
          <w:trHeight w:val="271"/>
        </w:trPr>
        <w:tc>
          <w:tcPr>
            <w:tcW w:w="5720" w:type="dxa"/>
            <w:vAlign w:val="bottom"/>
          </w:tcPr>
          <w:p>
            <w:pPr>
              <w:spacing w:after="0"/>
              <w:rPr>
                <w:sz w:val="20"/>
                <w:szCs w:val="20"/>
                <w:color w:val="auto"/>
              </w:rPr>
            </w:pPr>
            <w:r>
              <w:rPr>
                <w:rFonts w:ascii="Courier New" w:cs="Courier New" w:eastAsia="Courier New" w:hAnsi="Courier New"/>
                <w:sz w:val="15"/>
                <w:szCs w:val="15"/>
                <w:color w:val="auto"/>
              </w:rPr>
              <w:t>Management fees and other expenses to the U.S. Parent</w:t>
            </w:r>
          </w:p>
        </w:tc>
        <w:tc>
          <w:tcPr>
            <w:tcW w:w="152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791,379</w:t>
            </w:r>
          </w:p>
        </w:tc>
        <w:tc>
          <w:tcPr>
            <w:tcW w:w="0" w:type="dxa"/>
            <w:vAlign w:val="bottom"/>
          </w:tcPr>
          <w:p>
            <w:pPr>
              <w:spacing w:after="0"/>
              <w:rPr>
                <w:sz w:val="1"/>
                <w:szCs w:val="1"/>
                <w:color w:val="auto"/>
              </w:rPr>
            </w:pPr>
          </w:p>
        </w:tc>
      </w:tr>
      <w:tr>
        <w:trPr>
          <w:trHeight w:val="257"/>
        </w:trPr>
        <w:tc>
          <w:tcPr>
            <w:tcW w:w="5720" w:type="dxa"/>
            <w:vAlign w:val="bottom"/>
          </w:tcPr>
          <w:p>
            <w:pPr>
              <w:ind w:left="460"/>
              <w:spacing w:after="0"/>
              <w:rPr>
                <w:sz w:val="20"/>
                <w:szCs w:val="20"/>
                <w:color w:val="auto"/>
              </w:rPr>
            </w:pPr>
            <w:r>
              <w:rPr>
                <w:rFonts w:ascii="Courier New" w:cs="Courier New" w:eastAsia="Courier New" w:hAnsi="Courier New"/>
                <w:sz w:val="15"/>
                <w:szCs w:val="15"/>
                <w:color w:val="auto"/>
              </w:rPr>
              <w:t>and affiliates</w:t>
            </w:r>
          </w:p>
        </w:tc>
        <w:tc>
          <w:tcPr>
            <w:tcW w:w="15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52"/>
        </w:trPr>
        <w:tc>
          <w:tcPr>
            <w:tcW w:w="5720" w:type="dxa"/>
            <w:vAlign w:val="bottom"/>
          </w:tcPr>
          <w:p>
            <w:pPr>
              <w:spacing w:after="0"/>
              <w:rPr>
                <w:sz w:val="20"/>
                <w:szCs w:val="20"/>
                <w:color w:val="auto"/>
              </w:rPr>
            </w:pPr>
            <w:r>
              <w:rPr>
                <w:rFonts w:ascii="Courier New" w:cs="Courier New" w:eastAsia="Courier New" w:hAnsi="Courier New"/>
                <w:sz w:val="15"/>
                <w:szCs w:val="15"/>
                <w:color w:val="auto"/>
              </w:rPr>
              <w:t>Interest expense to the U.S. Parent and affiliates</w:t>
            </w:r>
          </w:p>
        </w:tc>
        <w:tc>
          <w:tcPr>
            <w:tcW w:w="15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3,348,899</w:t>
            </w:r>
          </w:p>
        </w:tc>
        <w:tc>
          <w:tcPr>
            <w:tcW w:w="0" w:type="dxa"/>
            <w:vAlign w:val="bottom"/>
          </w:tcPr>
          <w:p>
            <w:pPr>
              <w:spacing w:after="0"/>
              <w:rPr>
                <w:sz w:val="1"/>
                <w:szCs w:val="1"/>
                <w:color w:val="auto"/>
              </w:rPr>
            </w:pPr>
          </w:p>
        </w:tc>
      </w:tr>
      <w:tr>
        <w:trPr>
          <w:trHeight w:val="352"/>
        </w:trPr>
        <w:tc>
          <w:tcPr>
            <w:tcW w:w="5720" w:type="dxa"/>
            <w:vAlign w:val="bottom"/>
          </w:tcPr>
          <w:p>
            <w:pPr>
              <w:spacing w:after="0"/>
              <w:rPr>
                <w:sz w:val="20"/>
                <w:szCs w:val="20"/>
                <w:color w:val="auto"/>
              </w:rPr>
            </w:pPr>
            <w:r>
              <w:rPr>
                <w:rFonts w:ascii="Courier New" w:cs="Courier New" w:eastAsia="Courier New" w:hAnsi="Courier New"/>
                <w:sz w:val="15"/>
                <w:szCs w:val="15"/>
                <w:color w:val="auto"/>
              </w:rPr>
              <w:t>Interest income from the U.S. Parent and affiliates</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(1,363,510)</w:t>
            </w:r>
          </w:p>
        </w:tc>
        <w:tc>
          <w:tcPr>
            <w:tcW w:w="0" w:type="dxa"/>
            <w:vAlign w:val="bottom"/>
          </w:tcPr>
          <w:p>
            <w:pPr>
              <w:spacing w:after="0"/>
              <w:rPr>
                <w:sz w:val="1"/>
                <w:szCs w:val="1"/>
                <w:color w:val="auto"/>
              </w:rPr>
            </w:pPr>
          </w:p>
        </w:tc>
      </w:tr>
      <w:tr>
        <w:trPr>
          <w:trHeight w:val="271"/>
        </w:trPr>
        <w:tc>
          <w:tcPr>
            <w:tcW w:w="5720" w:type="dxa"/>
            <w:vAlign w:val="bottom"/>
          </w:tcPr>
          <w:p>
            <w:pPr>
              <w:spacing w:after="0"/>
              <w:rPr>
                <w:sz w:val="20"/>
                <w:szCs w:val="20"/>
                <w:color w:val="auto"/>
              </w:rPr>
            </w:pPr>
            <w:r>
              <w:rPr>
                <w:rFonts w:ascii="Courier New" w:cs="Courier New" w:eastAsia="Courier New" w:hAnsi="Courier New"/>
                <w:sz w:val="15"/>
                <w:szCs w:val="15"/>
                <w:color w:val="auto"/>
              </w:rPr>
              <w:t>Other income, net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(6,604,573)</w:t>
            </w:r>
          </w:p>
        </w:tc>
        <w:tc>
          <w:tcPr>
            <w:tcW w:w="0" w:type="dxa"/>
            <w:vAlign w:val="bottom"/>
          </w:tcPr>
          <w:p>
            <w:pPr>
              <w:spacing w:after="0"/>
              <w:rPr>
                <w:sz w:val="1"/>
                <w:szCs w:val="1"/>
                <w:color w:val="auto"/>
              </w:rPr>
            </w:pPr>
          </w:p>
        </w:tc>
      </w:tr>
      <w:tr>
        <w:trPr>
          <w:trHeight w:val="257"/>
        </w:trPr>
        <w:tc>
          <w:tcPr>
            <w:tcW w:w="5720" w:type="dxa"/>
            <w:vAlign w:val="bottom"/>
          </w:tcPr>
          <w:p>
            <w:pPr>
              <w:spacing w:after="0"/>
              <w:rPr>
                <w:sz w:val="22"/>
                <w:szCs w:val="22"/>
                <w:color w:val="auto"/>
              </w:rPr>
            </w:pPr>
          </w:p>
        </w:tc>
        <w:tc>
          <w:tcPr>
            <w:tcW w:w="15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2"/>
        </w:trPr>
        <w:tc>
          <w:tcPr>
            <w:tcW w:w="5720" w:type="dxa"/>
            <w:vAlign w:val="bottom"/>
          </w:tcPr>
          <w:p>
            <w:pPr>
              <w:ind w:left="460"/>
              <w:spacing w:after="0"/>
              <w:rPr>
                <w:sz w:val="20"/>
                <w:szCs w:val="20"/>
                <w:color w:val="auto"/>
              </w:rPr>
            </w:pPr>
            <w:r>
              <w:rPr>
                <w:rFonts w:ascii="Courier New" w:cs="Courier New" w:eastAsia="Courier New" w:hAnsi="Courier New"/>
                <w:sz w:val="15"/>
                <w:szCs w:val="15"/>
                <w:color w:val="auto"/>
              </w:rPr>
              <w:t>Income before income taxes</w:t>
            </w:r>
          </w:p>
        </w:tc>
        <w:tc>
          <w:tcPr>
            <w:tcW w:w="15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4,750,316</w:t>
            </w:r>
          </w:p>
        </w:tc>
        <w:tc>
          <w:tcPr>
            <w:tcW w:w="0" w:type="dxa"/>
            <w:vAlign w:val="bottom"/>
          </w:tcPr>
          <w:p>
            <w:pPr>
              <w:spacing w:after="0"/>
              <w:rPr>
                <w:sz w:val="1"/>
                <w:szCs w:val="1"/>
                <w:color w:val="auto"/>
              </w:rPr>
            </w:pPr>
          </w:p>
        </w:tc>
      </w:tr>
      <w:tr>
        <w:trPr>
          <w:trHeight w:val="271"/>
        </w:trPr>
        <w:tc>
          <w:tcPr>
            <w:tcW w:w="5720" w:type="dxa"/>
            <w:vAlign w:val="bottom"/>
          </w:tcPr>
          <w:p>
            <w:pPr>
              <w:spacing w:after="0"/>
              <w:rPr>
                <w:sz w:val="20"/>
                <w:szCs w:val="20"/>
                <w:color w:val="auto"/>
              </w:rPr>
            </w:pPr>
            <w:r>
              <w:rPr>
                <w:rFonts w:ascii="Courier New" w:cs="Courier New" w:eastAsia="Courier New" w:hAnsi="Courier New"/>
                <w:sz w:val="15"/>
                <w:szCs w:val="15"/>
                <w:color w:val="auto"/>
              </w:rPr>
              <w:t>Income tax benefit</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(513,433)</w:t>
            </w:r>
          </w:p>
        </w:tc>
        <w:tc>
          <w:tcPr>
            <w:tcW w:w="0" w:type="dxa"/>
            <w:vAlign w:val="bottom"/>
          </w:tcPr>
          <w:p>
            <w:pPr>
              <w:spacing w:after="0"/>
              <w:rPr>
                <w:sz w:val="1"/>
                <w:szCs w:val="1"/>
                <w:color w:val="auto"/>
              </w:rPr>
            </w:pPr>
          </w:p>
        </w:tc>
      </w:tr>
      <w:tr>
        <w:trPr>
          <w:trHeight w:val="257"/>
        </w:trPr>
        <w:tc>
          <w:tcPr>
            <w:tcW w:w="5720" w:type="dxa"/>
            <w:vAlign w:val="bottom"/>
          </w:tcPr>
          <w:p>
            <w:pPr>
              <w:spacing w:after="0"/>
              <w:rPr>
                <w:sz w:val="22"/>
                <w:szCs w:val="22"/>
                <w:color w:val="auto"/>
              </w:rPr>
            </w:pPr>
          </w:p>
        </w:tc>
        <w:tc>
          <w:tcPr>
            <w:tcW w:w="15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5720" w:type="dxa"/>
            <w:vAlign w:val="bottom"/>
          </w:tcPr>
          <w:p>
            <w:pPr>
              <w:ind w:left="460"/>
              <w:spacing w:after="0"/>
              <w:rPr>
                <w:sz w:val="20"/>
                <w:szCs w:val="20"/>
                <w:color w:val="auto"/>
              </w:rPr>
            </w:pPr>
            <w:r>
              <w:rPr>
                <w:rFonts w:ascii="Courier New" w:cs="Courier New" w:eastAsia="Courier New" w:hAnsi="Courier New"/>
                <w:sz w:val="15"/>
                <w:szCs w:val="15"/>
                <w:color w:val="auto"/>
              </w:rPr>
              <w:t>Net income</w:t>
            </w:r>
          </w:p>
        </w:tc>
        <w:tc>
          <w:tcPr>
            <w:tcW w:w="15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5,263,749</w:t>
            </w:r>
          </w:p>
        </w:tc>
        <w:tc>
          <w:tcPr>
            <w:tcW w:w="0" w:type="dxa"/>
            <w:vAlign w:val="bottom"/>
          </w:tcPr>
          <w:p>
            <w:pPr>
              <w:spacing w:after="0"/>
              <w:rPr>
                <w:sz w:val="1"/>
                <w:szCs w:val="1"/>
                <w:color w:val="auto"/>
              </w:rPr>
            </w:pPr>
          </w:p>
        </w:tc>
      </w:tr>
      <w:tr>
        <w:trPr>
          <w:trHeight w:val="176"/>
        </w:trPr>
        <w:tc>
          <w:tcPr>
            <w:tcW w:w="5720" w:type="dxa"/>
            <w:vAlign w:val="bottom"/>
          </w:tcPr>
          <w:p>
            <w:pPr>
              <w:spacing w:after="0"/>
              <w:rPr>
                <w:sz w:val="15"/>
                <w:szCs w:val="15"/>
                <w:color w:val="auto"/>
              </w:rPr>
            </w:pPr>
          </w:p>
        </w:tc>
        <w:tc>
          <w:tcPr>
            <w:tcW w:w="15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7"/>
        </w:trPr>
        <w:tc>
          <w:tcPr>
            <w:tcW w:w="5720" w:type="dxa"/>
            <w:vAlign w:val="bottom"/>
          </w:tcPr>
          <w:p>
            <w:pPr>
              <w:spacing w:after="0"/>
              <w:rPr>
                <w:sz w:val="22"/>
                <w:szCs w:val="22"/>
                <w:color w:val="auto"/>
              </w:rPr>
            </w:pPr>
          </w:p>
        </w:tc>
        <w:tc>
          <w:tcPr>
            <w:tcW w:w="15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71" w:lineRule="exact"/>
        <w:rPr>
          <w:sz w:val="20"/>
          <w:szCs w:val="20"/>
          <w:color w:val="auto"/>
        </w:rPr>
      </w:pPr>
    </w:p>
    <w:p>
      <w:pPr>
        <w:ind w:right="3899"/>
        <w:spacing w:after="0" w:line="372" w:lineRule="auto"/>
        <w:rPr>
          <w:sz w:val="20"/>
          <w:szCs w:val="20"/>
          <w:color w:val="auto"/>
        </w:rPr>
      </w:pPr>
      <w:r>
        <w:rPr>
          <w:rFonts w:ascii="Courier New" w:cs="Courier New" w:eastAsia="Courier New" w:hAnsi="Courier New"/>
          <w:sz w:val="15"/>
          <w:szCs w:val="15"/>
          <w:color w:val="auto"/>
        </w:rPr>
        <w:t>The accompanying notes are an integral part of the combined financial statements.</w:t>
      </w:r>
    </w:p>
    <w:p>
      <w:pPr>
        <w:spacing w:after="0" w:line="178"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A-3</w:t>
      </w:r>
    </w:p>
    <w:p>
      <w:pPr>
        <w:sectPr>
          <w:pgSz w:w="11900" w:h="16838" w:orient="portrait"/>
          <w:cols w:equalWidth="0" w:num="1">
            <w:col w:w="10219"/>
          </w:cols>
          <w:pgMar w:left="240" w:top="619" w:right="1440" w:bottom="1440" w:gutter="0" w:footer="0" w:header="0"/>
        </w:sectPr>
      </w:pPr>
    </w:p>
    <w:bookmarkStart w:id="7" w:name="page8"/>
    <w:bookmarkEnd w:id="7"/>
    <w:p>
      <w:pPr>
        <w:jc w:val="center"/>
        <w:ind w:right="3740"/>
        <w:spacing w:after="0"/>
        <w:rPr>
          <w:sz w:val="20"/>
          <w:szCs w:val="20"/>
          <w:color w:val="auto"/>
        </w:rPr>
      </w:pPr>
      <w:r>
        <w:rPr>
          <w:rFonts w:ascii="Courier New" w:cs="Courier New" w:eastAsia="Courier New" w:hAnsi="Courier New"/>
          <w:sz w:val="15"/>
          <w:szCs w:val="15"/>
          <w:color w:val="auto"/>
        </w:rPr>
        <w:t>JAMES HARDIE IRRIGATION GROUP</w:t>
      </w:r>
    </w:p>
    <w:p>
      <w:pPr>
        <w:spacing w:after="0" w:line="182" w:lineRule="exact"/>
        <w:rPr>
          <w:sz w:val="20"/>
          <w:szCs w:val="20"/>
          <w:color w:val="auto"/>
        </w:rPr>
      </w:pPr>
    </w:p>
    <w:p>
      <w:pPr>
        <w:jc w:val="center"/>
        <w:ind w:right="3740"/>
        <w:spacing w:after="0"/>
        <w:rPr>
          <w:sz w:val="20"/>
          <w:szCs w:val="20"/>
          <w:color w:val="auto"/>
        </w:rPr>
      </w:pPr>
      <w:r>
        <w:rPr>
          <w:rFonts w:ascii="Courier New" w:cs="Courier New" w:eastAsia="Courier New" w:hAnsi="Courier New"/>
          <w:sz w:val="15"/>
          <w:szCs w:val="15"/>
          <w:color w:val="auto"/>
        </w:rPr>
        <w:t>COMBINED STATEMENT OF DIVISIONAL/SHAREHOLDERS' EQUITY</w:t>
      </w:r>
    </w:p>
    <w:p>
      <w:pPr>
        <w:spacing w:after="0" w:line="34" w:lineRule="exact"/>
        <w:rPr>
          <w:sz w:val="20"/>
          <w:szCs w:val="20"/>
          <w:color w:val="auto"/>
        </w:rPr>
      </w:pPr>
    </w:p>
    <w:p>
      <w:pPr>
        <w:jc w:val="center"/>
        <w:ind w:right="3740"/>
        <w:spacing w:after="0"/>
        <w:rPr>
          <w:sz w:val="20"/>
          <w:szCs w:val="20"/>
          <w:color w:val="auto"/>
        </w:rPr>
      </w:pPr>
      <w:r>
        <w:rPr>
          <w:rFonts w:ascii="Courier New" w:cs="Courier New" w:eastAsia="Courier New" w:hAnsi="Courier New"/>
          <w:sz w:val="15"/>
          <w:szCs w:val="15"/>
          <w:color w:val="auto"/>
        </w:rPr>
        <w:t>Year ended December 1, 1996</w:t>
      </w:r>
    </w:p>
    <w:p>
      <w:pPr>
        <w:spacing w:after="0" w:line="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840" w:type="dxa"/>
            <w:vAlign w:val="bottom"/>
          </w:tcPr>
          <w:p>
            <w:pPr>
              <w:spacing w:after="0"/>
              <w:rPr>
                <w:sz w:val="15"/>
                <w:szCs w:val="15"/>
                <w:color w:val="auto"/>
              </w:rPr>
            </w:pPr>
          </w:p>
        </w:tc>
        <w:tc>
          <w:tcPr>
            <w:tcW w:w="1560" w:type="dxa"/>
            <w:vAlign w:val="bottom"/>
            <w:vMerge w:val="restart"/>
          </w:tcPr>
          <w:p>
            <w:pPr>
              <w:jc w:val="center"/>
              <w:ind w:left="264"/>
              <w:spacing w:after="0"/>
              <w:rPr>
                <w:sz w:val="20"/>
                <w:szCs w:val="20"/>
                <w:color w:val="auto"/>
              </w:rPr>
            </w:pPr>
            <w:r>
              <w:rPr>
                <w:rFonts w:ascii="Courier New" w:cs="Courier New" w:eastAsia="Courier New" w:hAnsi="Courier New"/>
                <w:sz w:val="15"/>
                <w:szCs w:val="15"/>
                <w:color w:val="auto"/>
              </w:rPr>
              <w:t>Number of</w:t>
            </w: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vMerge w:val="restart"/>
          </w:tcPr>
          <w:p>
            <w:pPr>
              <w:jc w:val="right"/>
              <w:ind w:right="64"/>
              <w:spacing w:after="0"/>
              <w:rPr>
                <w:sz w:val="20"/>
                <w:szCs w:val="20"/>
                <w:color w:val="auto"/>
              </w:rPr>
            </w:pPr>
            <w:r>
              <w:rPr>
                <w:rFonts w:ascii="Courier New" w:cs="Courier New" w:eastAsia="Courier New" w:hAnsi="Courier New"/>
                <w:sz w:val="15"/>
                <w:szCs w:val="15"/>
                <w:color w:val="auto"/>
              </w:rPr>
              <w:t>Additional</w:t>
            </w: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Accumulated</w:t>
            </w:r>
          </w:p>
        </w:tc>
        <w:tc>
          <w:tcPr>
            <w:tcW w:w="13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Foreign</w:t>
            </w:r>
          </w:p>
        </w:tc>
        <w:tc>
          <w:tcPr>
            <w:tcW w:w="1640" w:type="dxa"/>
            <w:vAlign w:val="bottom"/>
          </w:tcPr>
          <w:p>
            <w:pPr>
              <w:jc w:val="right"/>
              <w:ind w:right="544"/>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176"/>
        </w:trPr>
        <w:tc>
          <w:tcPr>
            <w:tcW w:w="284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vMerge w:val="restart"/>
          </w:tcPr>
          <w:p>
            <w:pPr>
              <w:jc w:val="right"/>
              <w:ind w:right="344"/>
              <w:spacing w:after="0"/>
              <w:rPr>
                <w:sz w:val="20"/>
                <w:szCs w:val="20"/>
                <w:color w:val="auto"/>
              </w:rPr>
            </w:pPr>
            <w:r>
              <w:rPr>
                <w:rFonts w:ascii="Courier New" w:cs="Courier New" w:eastAsia="Courier New" w:hAnsi="Courier New"/>
                <w:sz w:val="15"/>
                <w:szCs w:val="15"/>
                <w:color w:val="auto"/>
              </w:rPr>
              <w:t>Share</w:t>
            </w:r>
          </w:p>
        </w:tc>
        <w:tc>
          <w:tcPr>
            <w:tcW w:w="22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4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Deficit/</w:t>
            </w:r>
          </w:p>
        </w:tc>
        <w:tc>
          <w:tcPr>
            <w:tcW w:w="13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Currency</w:t>
            </w:r>
          </w:p>
        </w:tc>
        <w:tc>
          <w:tcPr>
            <w:tcW w:w="16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Divisional/</w:t>
            </w:r>
          </w:p>
        </w:tc>
        <w:tc>
          <w:tcPr>
            <w:tcW w:w="0" w:type="dxa"/>
            <w:vAlign w:val="bottom"/>
          </w:tcPr>
          <w:p>
            <w:pPr>
              <w:spacing w:after="0"/>
              <w:rPr>
                <w:sz w:val="1"/>
                <w:szCs w:val="1"/>
                <w:color w:val="auto"/>
              </w:rPr>
            </w:pPr>
          </w:p>
        </w:tc>
      </w:tr>
      <w:tr>
        <w:trPr>
          <w:trHeight w:val="176"/>
        </w:trPr>
        <w:tc>
          <w:tcPr>
            <w:tcW w:w="2840" w:type="dxa"/>
            <w:vAlign w:val="bottom"/>
          </w:tcPr>
          <w:p>
            <w:pPr>
              <w:spacing w:after="0"/>
              <w:rPr>
                <w:sz w:val="15"/>
                <w:szCs w:val="15"/>
                <w:color w:val="auto"/>
              </w:rPr>
            </w:pPr>
          </w:p>
        </w:tc>
        <w:tc>
          <w:tcPr>
            <w:tcW w:w="156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Shares</w:t>
            </w:r>
          </w:p>
        </w:tc>
        <w:tc>
          <w:tcPr>
            <w:tcW w:w="1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Paid-In</w:t>
            </w: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Divisional</w:t>
            </w:r>
          </w:p>
        </w:tc>
        <w:tc>
          <w:tcPr>
            <w:tcW w:w="13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Translation</w:t>
            </w:r>
          </w:p>
        </w:tc>
        <w:tc>
          <w:tcPr>
            <w:tcW w:w="164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Shareholders'</w:t>
            </w:r>
          </w:p>
        </w:tc>
        <w:tc>
          <w:tcPr>
            <w:tcW w:w="0" w:type="dxa"/>
            <w:vAlign w:val="bottom"/>
          </w:tcPr>
          <w:p>
            <w:pPr>
              <w:spacing w:after="0"/>
              <w:rPr>
                <w:sz w:val="1"/>
                <w:szCs w:val="1"/>
                <w:color w:val="auto"/>
              </w:rPr>
            </w:pPr>
          </w:p>
        </w:tc>
      </w:tr>
      <w:tr>
        <w:trPr>
          <w:trHeight w:val="176"/>
        </w:trPr>
        <w:tc>
          <w:tcPr>
            <w:tcW w:w="2840" w:type="dxa"/>
            <w:vAlign w:val="bottom"/>
          </w:tcPr>
          <w:p>
            <w:pPr>
              <w:spacing w:after="0"/>
              <w:rPr>
                <w:sz w:val="15"/>
                <w:szCs w:val="15"/>
                <w:color w:val="auto"/>
              </w:rPr>
            </w:pPr>
          </w:p>
        </w:tc>
        <w:tc>
          <w:tcPr>
            <w:tcW w:w="1560" w:type="dxa"/>
            <w:vAlign w:val="bottom"/>
          </w:tcPr>
          <w:p>
            <w:pPr>
              <w:jc w:val="center"/>
              <w:ind w:left="284"/>
              <w:spacing w:after="0"/>
              <w:rPr>
                <w:sz w:val="20"/>
                <w:szCs w:val="20"/>
                <w:color w:val="auto"/>
              </w:rPr>
            </w:pPr>
            <w:r>
              <w:rPr>
                <w:rFonts w:ascii="Courier New" w:cs="Courier New" w:eastAsia="Courier New" w:hAnsi="Courier New"/>
                <w:sz w:val="15"/>
                <w:szCs w:val="15"/>
                <w:color w:val="auto"/>
              </w:rPr>
              <w:t>Outstanding</w:t>
            </w:r>
          </w:p>
        </w:tc>
        <w:tc>
          <w:tcPr>
            <w:tcW w:w="180" w:type="dxa"/>
            <w:vAlign w:val="bottom"/>
          </w:tcPr>
          <w:p>
            <w:pPr>
              <w:spacing w:after="0"/>
              <w:rPr>
                <w:sz w:val="15"/>
                <w:szCs w:val="15"/>
                <w:color w:val="auto"/>
              </w:rPr>
            </w:pPr>
          </w:p>
        </w:tc>
        <w:tc>
          <w:tcPr>
            <w:tcW w:w="114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Capital</w:t>
            </w:r>
          </w:p>
        </w:tc>
        <w:tc>
          <w:tcPr>
            <w:tcW w:w="220" w:type="dxa"/>
            <w:vAlign w:val="bottom"/>
          </w:tcPr>
          <w:p>
            <w:pPr>
              <w:spacing w:after="0"/>
              <w:rPr>
                <w:sz w:val="15"/>
                <w:szCs w:val="15"/>
                <w:color w:val="auto"/>
              </w:rPr>
            </w:pPr>
          </w:p>
        </w:tc>
        <w:tc>
          <w:tcPr>
            <w:tcW w:w="11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Capital</w:t>
            </w: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Equity</w:t>
            </w:r>
          </w:p>
        </w:tc>
        <w:tc>
          <w:tcPr>
            <w:tcW w:w="13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Adjustment</w:t>
            </w:r>
          </w:p>
        </w:tc>
        <w:tc>
          <w:tcPr>
            <w:tcW w:w="164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Equity</w:t>
            </w:r>
          </w:p>
        </w:tc>
        <w:tc>
          <w:tcPr>
            <w:tcW w:w="0" w:type="dxa"/>
            <w:vAlign w:val="bottom"/>
          </w:tcPr>
          <w:p>
            <w:pPr>
              <w:spacing w:after="0"/>
              <w:rPr>
                <w:sz w:val="1"/>
                <w:szCs w:val="1"/>
                <w:color w:val="auto"/>
              </w:rPr>
            </w:pPr>
          </w:p>
        </w:tc>
      </w:tr>
      <w:tr>
        <w:trPr>
          <w:trHeight w:val="257"/>
        </w:trPr>
        <w:tc>
          <w:tcPr>
            <w:tcW w:w="2840" w:type="dxa"/>
            <w:vAlign w:val="bottom"/>
          </w:tcPr>
          <w:p>
            <w:pPr>
              <w:spacing w:after="0"/>
              <w:rPr>
                <w:sz w:val="22"/>
                <w:szCs w:val="22"/>
                <w:color w:val="auto"/>
              </w:rPr>
            </w:pPr>
          </w:p>
        </w:tc>
        <w:tc>
          <w:tcPr>
            <w:tcW w:w="156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James Hardie Irrigation</w:t>
            </w:r>
          </w:p>
        </w:tc>
        <w:tc>
          <w:tcPr>
            <w:tcW w:w="1560" w:type="dxa"/>
            <w:vAlign w:val="bottom"/>
            <w:vMerge w:val="restart"/>
          </w:tcPr>
          <w:p>
            <w:pPr>
              <w:jc w:val="center"/>
              <w:ind w:left="284"/>
              <w:spacing w:after="0"/>
              <w:rPr>
                <w:sz w:val="20"/>
                <w:szCs w:val="20"/>
                <w:color w:val="auto"/>
              </w:rPr>
            </w:pPr>
            <w:r>
              <w:rPr>
                <w:rFonts w:ascii="Courier New" w:cs="Courier New" w:eastAsia="Courier New" w:hAnsi="Courier New"/>
                <w:sz w:val="15"/>
                <w:szCs w:val="15"/>
                <w:color w:val="auto"/>
                <w:w w:val="88"/>
              </w:rPr>
              <w:t>-</w:t>
            </w:r>
          </w:p>
        </w:tc>
        <w:tc>
          <w:tcPr>
            <w:tcW w:w="1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rPr>
              <w:t>-</w:t>
            </w:r>
          </w:p>
        </w:tc>
        <w:tc>
          <w:tcPr>
            <w:tcW w:w="2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vMerge w:val="restart"/>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42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$7,464,315</w:t>
            </w:r>
          </w:p>
        </w:tc>
        <w:tc>
          <w:tcPr>
            <w:tcW w:w="360" w:type="dxa"/>
            <w:vAlign w:val="bottom"/>
            <w:vMerge w:val="restart"/>
          </w:tcPr>
          <w:p>
            <w:pPr>
              <w:ind w:left="260"/>
              <w:spacing w:after="0"/>
              <w:rPr>
                <w:sz w:val="20"/>
                <w:szCs w:val="20"/>
                <w:color w:val="auto"/>
              </w:rPr>
            </w:pPr>
            <w:r>
              <w:rPr>
                <w:rFonts w:ascii="Courier New" w:cs="Courier New" w:eastAsia="Courier New" w:hAnsi="Courier New"/>
                <w:sz w:val="15"/>
                <w:szCs w:val="15"/>
                <w:color w:val="auto"/>
                <w:w w:val="88"/>
              </w:rPr>
              <w:t>$</w:t>
            </w:r>
          </w:p>
        </w:tc>
        <w:tc>
          <w:tcPr>
            <w:tcW w:w="1000" w:type="dxa"/>
            <w:vAlign w:val="bottom"/>
            <w:vMerge w:val="restart"/>
          </w:tcPr>
          <w:p>
            <w:pPr>
              <w:jc w:val="center"/>
              <w:ind w:right="104"/>
              <w:spacing w:after="0"/>
              <w:rPr>
                <w:sz w:val="20"/>
                <w:szCs w:val="20"/>
                <w:color w:val="auto"/>
              </w:rPr>
            </w:pPr>
            <w:r>
              <w:rPr>
                <w:rFonts w:ascii="Courier New" w:cs="Courier New" w:eastAsia="Courier New" w:hAnsi="Courier New"/>
                <w:sz w:val="15"/>
                <w:szCs w:val="15"/>
                <w:color w:val="auto"/>
              </w:rPr>
              <w:t>-</w:t>
            </w:r>
          </w:p>
        </w:tc>
        <w:tc>
          <w:tcPr>
            <w:tcW w:w="1640" w:type="dxa"/>
            <w:vAlign w:val="bottom"/>
            <w:vMerge w:val="restart"/>
          </w:tcPr>
          <w:p>
            <w:pPr>
              <w:jc w:val="right"/>
              <w:ind w:right="264"/>
              <w:spacing w:after="0"/>
              <w:rPr>
                <w:sz w:val="20"/>
                <w:szCs w:val="20"/>
                <w:color w:val="auto"/>
              </w:rPr>
            </w:pPr>
            <w:r>
              <w:rPr>
                <w:rFonts w:ascii="Courier New" w:cs="Courier New" w:eastAsia="Courier New" w:hAnsi="Courier New"/>
                <w:sz w:val="15"/>
                <w:szCs w:val="15"/>
                <w:color w:val="auto"/>
              </w:rPr>
              <w:t>$  7,464,315</w:t>
            </w:r>
          </w:p>
        </w:tc>
        <w:tc>
          <w:tcPr>
            <w:tcW w:w="0" w:type="dxa"/>
            <w:vAlign w:val="bottom"/>
          </w:tcPr>
          <w:p>
            <w:pPr>
              <w:spacing w:after="0"/>
              <w:rPr>
                <w:sz w:val="1"/>
                <w:szCs w:val="1"/>
                <w:color w:val="auto"/>
              </w:rPr>
            </w:pPr>
          </w:p>
        </w:tc>
      </w:tr>
      <w:tr>
        <w:trPr>
          <w:trHeight w:val="257"/>
        </w:trPr>
        <w:tc>
          <w:tcPr>
            <w:tcW w:w="2840" w:type="dxa"/>
            <w:vAlign w:val="bottom"/>
          </w:tcPr>
          <w:p>
            <w:pPr>
              <w:spacing w:after="0"/>
              <w:rPr>
                <w:sz w:val="20"/>
                <w:szCs w:val="20"/>
                <w:color w:val="auto"/>
              </w:rPr>
            </w:pPr>
            <w:r>
              <w:rPr>
                <w:rFonts w:ascii="Courier New" w:cs="Courier New" w:eastAsia="Courier New" w:hAnsi="Courier New"/>
                <w:sz w:val="15"/>
                <w:szCs w:val="15"/>
                <w:color w:val="auto"/>
              </w:rPr>
              <w:t>at December 1, 1995</w:t>
            </w:r>
          </w:p>
        </w:tc>
        <w:tc>
          <w:tcPr>
            <w:tcW w:w="1560" w:type="dxa"/>
            <w:vAlign w:val="bottom"/>
            <w:vMerge w:val="continue"/>
          </w:tcPr>
          <w:p>
            <w:pPr>
              <w:spacing w:after="0"/>
              <w:rPr>
                <w:sz w:val="22"/>
                <w:szCs w:val="22"/>
                <w:color w:val="auto"/>
              </w:rPr>
            </w:pPr>
          </w:p>
        </w:tc>
        <w:tc>
          <w:tcPr>
            <w:tcW w:w="180" w:type="dxa"/>
            <w:vAlign w:val="bottom"/>
            <w:vMerge w:val="continue"/>
          </w:tcPr>
          <w:p>
            <w:pPr>
              <w:spacing w:after="0"/>
              <w:rPr>
                <w:sz w:val="22"/>
                <w:szCs w:val="22"/>
                <w:color w:val="auto"/>
              </w:rPr>
            </w:pPr>
          </w:p>
        </w:tc>
        <w:tc>
          <w:tcPr>
            <w:tcW w:w="1140" w:type="dxa"/>
            <w:vAlign w:val="bottom"/>
            <w:vMerge w:val="continue"/>
          </w:tcPr>
          <w:p>
            <w:pPr>
              <w:spacing w:after="0"/>
              <w:rPr>
                <w:sz w:val="22"/>
                <w:szCs w:val="22"/>
                <w:color w:val="auto"/>
              </w:rPr>
            </w:pPr>
          </w:p>
        </w:tc>
        <w:tc>
          <w:tcPr>
            <w:tcW w:w="220" w:type="dxa"/>
            <w:vAlign w:val="bottom"/>
            <w:vMerge w:val="continue"/>
          </w:tcPr>
          <w:p>
            <w:pPr>
              <w:spacing w:after="0"/>
              <w:rPr>
                <w:sz w:val="22"/>
                <w:szCs w:val="22"/>
                <w:color w:val="auto"/>
              </w:rPr>
            </w:pPr>
          </w:p>
        </w:tc>
        <w:tc>
          <w:tcPr>
            <w:tcW w:w="1160" w:type="dxa"/>
            <w:vAlign w:val="bottom"/>
            <w:vMerge w:val="continue"/>
          </w:tcPr>
          <w:p>
            <w:pPr>
              <w:spacing w:after="0"/>
              <w:rPr>
                <w:sz w:val="22"/>
                <w:szCs w:val="22"/>
                <w:color w:val="auto"/>
              </w:rPr>
            </w:pPr>
          </w:p>
        </w:tc>
        <w:tc>
          <w:tcPr>
            <w:tcW w:w="1420" w:type="dxa"/>
            <w:vAlign w:val="bottom"/>
            <w:vMerge w:val="continue"/>
          </w:tcPr>
          <w:p>
            <w:pPr>
              <w:spacing w:after="0"/>
              <w:rPr>
                <w:sz w:val="22"/>
                <w:szCs w:val="22"/>
                <w:color w:val="auto"/>
              </w:rPr>
            </w:pPr>
          </w:p>
        </w:tc>
        <w:tc>
          <w:tcPr>
            <w:tcW w:w="360" w:type="dxa"/>
            <w:vAlign w:val="bottom"/>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16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James Hardie Irrigation Pty</w:t>
            </w:r>
          </w:p>
        </w:tc>
        <w:tc>
          <w:tcPr>
            <w:tcW w:w="156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12,000,000</w:t>
            </w:r>
          </w:p>
        </w:tc>
        <w:tc>
          <w:tcPr>
            <w:tcW w:w="180" w:type="dxa"/>
            <w:vAlign w:val="bottom"/>
          </w:tcPr>
          <w:p>
            <w:pPr>
              <w:spacing w:after="0"/>
              <w:rPr>
                <w:sz w:val="23"/>
                <w:szCs w:val="23"/>
                <w:color w:val="auto"/>
              </w:rPr>
            </w:pPr>
          </w:p>
        </w:tc>
        <w:tc>
          <w:tcPr>
            <w:tcW w:w="114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8,951,884</w:t>
            </w:r>
          </w:p>
        </w:tc>
        <w:tc>
          <w:tcPr>
            <w:tcW w:w="220" w:type="dxa"/>
            <w:vAlign w:val="bottom"/>
          </w:tcPr>
          <w:p>
            <w:pPr>
              <w:spacing w:after="0"/>
              <w:rPr>
                <w:sz w:val="23"/>
                <w:szCs w:val="23"/>
                <w:color w:val="auto"/>
              </w:rPr>
            </w:pPr>
          </w:p>
        </w:tc>
        <w:tc>
          <w:tcPr>
            <w:tcW w:w="1160" w:type="dxa"/>
            <w:vAlign w:val="bottom"/>
            <w:vMerge w:val="restart"/>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4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(21,523,466)</w:t>
            </w:r>
          </w:p>
        </w:tc>
        <w:tc>
          <w:tcPr>
            <w:tcW w:w="360" w:type="dxa"/>
            <w:vAlign w:val="bottom"/>
          </w:tcPr>
          <w:p>
            <w:pPr>
              <w:spacing w:after="0"/>
              <w:rPr>
                <w:sz w:val="23"/>
                <w:szCs w:val="23"/>
                <w:color w:val="auto"/>
              </w:rPr>
            </w:pPr>
          </w:p>
        </w:tc>
        <w:tc>
          <w:tcPr>
            <w:tcW w:w="1000" w:type="dxa"/>
            <w:vAlign w:val="bottom"/>
            <w:vMerge w:val="restart"/>
          </w:tcPr>
          <w:p>
            <w:pPr>
              <w:jc w:val="center"/>
              <w:ind w:right="104"/>
              <w:spacing w:after="0"/>
              <w:rPr>
                <w:sz w:val="20"/>
                <w:szCs w:val="20"/>
                <w:color w:val="auto"/>
              </w:rPr>
            </w:pPr>
            <w:r>
              <w:rPr>
                <w:rFonts w:ascii="Courier New" w:cs="Courier New" w:eastAsia="Courier New" w:hAnsi="Courier New"/>
                <w:sz w:val="15"/>
                <w:szCs w:val="15"/>
                <w:color w:val="auto"/>
              </w:rPr>
              <w:t>-</w:t>
            </w:r>
          </w:p>
        </w:tc>
        <w:tc>
          <w:tcPr>
            <w:tcW w:w="164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(12,571,582)</w:t>
            </w:r>
          </w:p>
        </w:tc>
        <w:tc>
          <w:tcPr>
            <w:tcW w:w="0" w:type="dxa"/>
            <w:vAlign w:val="bottom"/>
          </w:tcPr>
          <w:p>
            <w:pPr>
              <w:spacing w:after="0"/>
              <w:rPr>
                <w:sz w:val="1"/>
                <w:szCs w:val="1"/>
                <w:color w:val="auto"/>
              </w:rPr>
            </w:pPr>
          </w:p>
        </w:tc>
      </w:tr>
      <w:tr>
        <w:trPr>
          <w:trHeight w:val="257"/>
        </w:trPr>
        <w:tc>
          <w:tcPr>
            <w:tcW w:w="2840" w:type="dxa"/>
            <w:vAlign w:val="bottom"/>
          </w:tcPr>
          <w:p>
            <w:pPr>
              <w:spacing w:after="0"/>
              <w:rPr>
                <w:sz w:val="20"/>
                <w:szCs w:val="20"/>
                <w:color w:val="auto"/>
              </w:rPr>
            </w:pPr>
            <w:r>
              <w:rPr>
                <w:rFonts w:ascii="Courier New" w:cs="Courier New" w:eastAsia="Courier New" w:hAnsi="Courier New"/>
                <w:sz w:val="15"/>
                <w:szCs w:val="15"/>
                <w:color w:val="auto"/>
              </w:rPr>
              <w:t>Limited at December 1, 1995</w:t>
            </w:r>
          </w:p>
        </w:tc>
        <w:tc>
          <w:tcPr>
            <w:tcW w:w="156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vMerge w:val="continue"/>
          </w:tcPr>
          <w:p>
            <w:pPr>
              <w:spacing w:after="0"/>
              <w:rPr>
                <w:sz w:val="22"/>
                <w:szCs w:val="22"/>
                <w:color w:val="auto"/>
              </w:rPr>
            </w:pPr>
          </w:p>
        </w:tc>
        <w:tc>
          <w:tcPr>
            <w:tcW w:w="1420" w:type="dxa"/>
            <w:vAlign w:val="bottom"/>
            <w:vMerge w:val="continue"/>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16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James Hardie Irrigation</w:t>
            </w:r>
          </w:p>
        </w:tc>
        <w:tc>
          <w:tcPr>
            <w:tcW w:w="1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5"/>
                <w:szCs w:val="15"/>
                <w:color w:val="auto"/>
              </w:rPr>
              <w:t>Europe S.p.A. at</w:t>
            </w:r>
          </w:p>
        </w:tc>
        <w:tc>
          <w:tcPr>
            <w:tcW w:w="156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2,090</w:t>
            </w:r>
          </w:p>
        </w:tc>
        <w:tc>
          <w:tcPr>
            <w:tcW w:w="180" w:type="dxa"/>
            <w:vAlign w:val="bottom"/>
          </w:tcPr>
          <w:p>
            <w:pPr>
              <w:spacing w:after="0"/>
              <w:rPr>
                <w:sz w:val="15"/>
                <w:szCs w:val="15"/>
                <w:color w:val="auto"/>
              </w:rPr>
            </w:pPr>
          </w:p>
        </w:tc>
        <w:tc>
          <w:tcPr>
            <w:tcW w:w="114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1,308,786</w:t>
            </w:r>
          </w:p>
        </w:tc>
        <w:tc>
          <w:tcPr>
            <w:tcW w:w="220" w:type="dxa"/>
            <w:vAlign w:val="bottom"/>
          </w:tcPr>
          <w:p>
            <w:pPr>
              <w:spacing w:after="0"/>
              <w:rPr>
                <w:sz w:val="15"/>
                <w:szCs w:val="15"/>
                <w:color w:val="auto"/>
              </w:rPr>
            </w:pPr>
          </w:p>
        </w:tc>
        <w:tc>
          <w:tcPr>
            <w:tcW w:w="116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632,475</w:t>
            </w:r>
          </w:p>
        </w:tc>
        <w:tc>
          <w:tcPr>
            <w:tcW w:w="14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(2,005,135)</w:t>
            </w:r>
          </w:p>
        </w:tc>
        <w:tc>
          <w:tcPr>
            <w:tcW w:w="360" w:type="dxa"/>
            <w:vAlign w:val="bottom"/>
          </w:tcPr>
          <w:p>
            <w:pPr>
              <w:spacing w:after="0"/>
              <w:rPr>
                <w:sz w:val="15"/>
                <w:szCs w:val="15"/>
                <w:color w:val="auto"/>
              </w:rPr>
            </w:pPr>
          </w:p>
        </w:tc>
        <w:tc>
          <w:tcPr>
            <w:tcW w:w="1000" w:type="dxa"/>
            <w:vAlign w:val="bottom"/>
            <w:vMerge w:val="restart"/>
          </w:tcPr>
          <w:p>
            <w:pPr>
              <w:jc w:val="center"/>
              <w:ind w:right="104"/>
              <w:spacing w:after="0"/>
              <w:rPr>
                <w:sz w:val="20"/>
                <w:szCs w:val="20"/>
                <w:color w:val="auto"/>
              </w:rPr>
            </w:pPr>
            <w:r>
              <w:rPr>
                <w:rFonts w:ascii="Courier New" w:cs="Courier New" w:eastAsia="Courier New" w:hAnsi="Courier New"/>
                <w:sz w:val="15"/>
                <w:szCs w:val="15"/>
                <w:color w:val="auto"/>
              </w:rPr>
              <w:t>-</w:t>
            </w:r>
          </w:p>
        </w:tc>
        <w:tc>
          <w:tcPr>
            <w:tcW w:w="164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(63,874)</w:t>
            </w:r>
          </w:p>
        </w:tc>
        <w:tc>
          <w:tcPr>
            <w:tcW w:w="0" w:type="dxa"/>
            <w:vAlign w:val="bottom"/>
          </w:tcPr>
          <w:p>
            <w:pPr>
              <w:spacing w:after="0"/>
              <w:rPr>
                <w:sz w:val="1"/>
                <w:szCs w:val="1"/>
                <w:color w:val="auto"/>
              </w:rPr>
            </w:pP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5"/>
                <w:szCs w:val="15"/>
                <w:color w:val="auto"/>
              </w:rPr>
              <w:t>December  1, 1995</w:t>
            </w:r>
          </w:p>
        </w:tc>
        <w:tc>
          <w:tcPr>
            <w:tcW w:w="15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840" w:type="dxa"/>
            <w:vAlign w:val="bottom"/>
          </w:tcPr>
          <w:p>
            <w:pPr>
              <w:spacing w:after="0"/>
              <w:rPr>
                <w:sz w:val="22"/>
                <w:szCs w:val="22"/>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Combined balances,</w:t>
            </w:r>
          </w:p>
        </w:tc>
        <w:tc>
          <w:tcPr>
            <w:tcW w:w="156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12,002,090</w:t>
            </w:r>
          </w:p>
        </w:tc>
        <w:tc>
          <w:tcPr>
            <w:tcW w:w="180" w:type="dxa"/>
            <w:vAlign w:val="bottom"/>
          </w:tcPr>
          <w:p>
            <w:pPr>
              <w:spacing w:after="0"/>
              <w:rPr>
                <w:sz w:val="23"/>
                <w:szCs w:val="23"/>
                <w:color w:val="auto"/>
              </w:rPr>
            </w:pPr>
          </w:p>
        </w:tc>
        <w:tc>
          <w:tcPr>
            <w:tcW w:w="114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w w:val="99"/>
              </w:rPr>
              <w:t>10,260,670</w:t>
            </w:r>
          </w:p>
        </w:tc>
        <w:tc>
          <w:tcPr>
            <w:tcW w:w="220" w:type="dxa"/>
            <w:vAlign w:val="bottom"/>
          </w:tcPr>
          <w:p>
            <w:pPr>
              <w:spacing w:after="0"/>
              <w:rPr>
                <w:sz w:val="23"/>
                <w:szCs w:val="23"/>
                <w:color w:val="auto"/>
              </w:rPr>
            </w:pPr>
          </w:p>
        </w:tc>
        <w:tc>
          <w:tcPr>
            <w:tcW w:w="116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632,475</w:t>
            </w:r>
          </w:p>
        </w:tc>
        <w:tc>
          <w:tcPr>
            <w:tcW w:w="14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(16,064,286)</w:t>
            </w:r>
          </w:p>
        </w:tc>
        <w:tc>
          <w:tcPr>
            <w:tcW w:w="360" w:type="dxa"/>
            <w:vAlign w:val="bottom"/>
          </w:tcPr>
          <w:p>
            <w:pPr>
              <w:spacing w:after="0"/>
              <w:rPr>
                <w:sz w:val="23"/>
                <w:szCs w:val="23"/>
                <w:color w:val="auto"/>
              </w:rPr>
            </w:pPr>
          </w:p>
        </w:tc>
        <w:tc>
          <w:tcPr>
            <w:tcW w:w="1000" w:type="dxa"/>
            <w:vAlign w:val="bottom"/>
            <w:vMerge w:val="restart"/>
          </w:tcPr>
          <w:p>
            <w:pPr>
              <w:jc w:val="center"/>
              <w:ind w:right="104"/>
              <w:spacing w:after="0"/>
              <w:rPr>
                <w:sz w:val="20"/>
                <w:szCs w:val="20"/>
                <w:color w:val="auto"/>
              </w:rPr>
            </w:pPr>
            <w:r>
              <w:rPr>
                <w:rFonts w:ascii="Courier New" w:cs="Courier New" w:eastAsia="Courier New" w:hAnsi="Courier New"/>
                <w:sz w:val="15"/>
                <w:szCs w:val="15"/>
                <w:color w:val="auto"/>
              </w:rPr>
              <w:t>-</w:t>
            </w:r>
          </w:p>
        </w:tc>
        <w:tc>
          <w:tcPr>
            <w:tcW w:w="164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(5,171,141)</w:t>
            </w:r>
          </w:p>
        </w:tc>
        <w:tc>
          <w:tcPr>
            <w:tcW w:w="0" w:type="dxa"/>
            <w:vAlign w:val="bottom"/>
          </w:tcPr>
          <w:p>
            <w:pPr>
              <w:spacing w:after="0"/>
              <w:rPr>
                <w:sz w:val="1"/>
                <w:szCs w:val="1"/>
                <w:color w:val="auto"/>
              </w:rPr>
            </w:pPr>
          </w:p>
        </w:tc>
      </w:tr>
      <w:tr>
        <w:trPr>
          <w:trHeight w:val="257"/>
        </w:trPr>
        <w:tc>
          <w:tcPr>
            <w:tcW w:w="2840" w:type="dxa"/>
            <w:vAlign w:val="bottom"/>
          </w:tcPr>
          <w:p>
            <w:pPr>
              <w:spacing w:after="0"/>
              <w:rPr>
                <w:sz w:val="20"/>
                <w:szCs w:val="20"/>
                <w:color w:val="auto"/>
              </w:rPr>
            </w:pPr>
            <w:r>
              <w:rPr>
                <w:rFonts w:ascii="Courier New" w:cs="Courier New" w:eastAsia="Courier New" w:hAnsi="Courier New"/>
                <w:sz w:val="15"/>
                <w:szCs w:val="15"/>
                <w:color w:val="auto"/>
              </w:rPr>
              <w:t>December 1, 1995</w:t>
            </w:r>
          </w:p>
        </w:tc>
        <w:tc>
          <w:tcPr>
            <w:tcW w:w="156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vMerge w:val="continue"/>
          </w:tcPr>
          <w:p>
            <w:pPr>
              <w:spacing w:after="0"/>
              <w:rPr>
                <w:sz w:val="22"/>
                <w:szCs w:val="22"/>
                <w:color w:val="auto"/>
              </w:rPr>
            </w:pPr>
          </w:p>
        </w:tc>
        <w:tc>
          <w:tcPr>
            <w:tcW w:w="1420" w:type="dxa"/>
            <w:vAlign w:val="bottom"/>
            <w:vMerge w:val="continue"/>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16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52"/>
        </w:trPr>
        <w:tc>
          <w:tcPr>
            <w:tcW w:w="28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560" w:type="dxa"/>
            <w:vAlign w:val="bottom"/>
          </w:tcPr>
          <w:p>
            <w:pPr>
              <w:jc w:val="center"/>
              <w:ind w:left="284"/>
              <w:spacing w:after="0"/>
              <w:rPr>
                <w:sz w:val="20"/>
                <w:szCs w:val="20"/>
                <w:color w:val="auto"/>
              </w:rPr>
            </w:pPr>
            <w:r>
              <w:rPr>
                <w:rFonts w:ascii="Courier New" w:cs="Courier New" w:eastAsia="Courier New" w:hAnsi="Courier New"/>
                <w:sz w:val="15"/>
                <w:szCs w:val="15"/>
                <w:color w:val="auto"/>
                <w:w w:val="88"/>
              </w:rPr>
              <w:t>-</w:t>
            </w:r>
          </w:p>
        </w:tc>
        <w:tc>
          <w:tcPr>
            <w:tcW w:w="1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11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5,263,749</w:t>
            </w:r>
          </w:p>
        </w:tc>
        <w:tc>
          <w:tcPr>
            <w:tcW w:w="360" w:type="dxa"/>
            <w:vAlign w:val="bottom"/>
          </w:tcPr>
          <w:p>
            <w:pPr>
              <w:spacing w:after="0"/>
              <w:rPr>
                <w:sz w:val="24"/>
                <w:szCs w:val="24"/>
                <w:color w:val="auto"/>
              </w:rPr>
            </w:pPr>
          </w:p>
        </w:tc>
        <w:tc>
          <w:tcPr>
            <w:tcW w:w="100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5,263,749</w:t>
            </w:r>
          </w:p>
        </w:tc>
        <w:tc>
          <w:tcPr>
            <w:tcW w:w="0" w:type="dxa"/>
            <w:vAlign w:val="bottom"/>
          </w:tcPr>
          <w:p>
            <w:pPr>
              <w:spacing w:after="0"/>
              <w:rPr>
                <w:sz w:val="1"/>
                <w:szCs w:val="1"/>
                <w:color w:val="auto"/>
              </w:rPr>
            </w:pPr>
          </w:p>
        </w:tc>
      </w:tr>
      <w:tr>
        <w:trPr>
          <w:trHeight w:val="2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Issuance of common stock</w:t>
            </w:r>
          </w:p>
        </w:tc>
        <w:tc>
          <w:tcPr>
            <w:tcW w:w="1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5"/>
                <w:szCs w:val="15"/>
                <w:color w:val="auto"/>
              </w:rPr>
              <w:t>by James Hardie Irrigation</w:t>
            </w:r>
          </w:p>
        </w:tc>
        <w:tc>
          <w:tcPr>
            <w:tcW w:w="156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1,000</w:t>
            </w:r>
          </w:p>
        </w:tc>
        <w:tc>
          <w:tcPr>
            <w:tcW w:w="180" w:type="dxa"/>
            <w:vAlign w:val="bottom"/>
          </w:tcPr>
          <w:p>
            <w:pPr>
              <w:spacing w:after="0"/>
              <w:rPr>
                <w:sz w:val="15"/>
                <w:szCs w:val="15"/>
                <w:color w:val="auto"/>
              </w:rPr>
            </w:pPr>
          </w:p>
        </w:tc>
        <w:tc>
          <w:tcPr>
            <w:tcW w:w="114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10</w:t>
            </w:r>
          </w:p>
        </w:tc>
        <w:tc>
          <w:tcPr>
            <w:tcW w:w="220" w:type="dxa"/>
            <w:vAlign w:val="bottom"/>
          </w:tcPr>
          <w:p>
            <w:pPr>
              <w:spacing w:after="0"/>
              <w:rPr>
                <w:sz w:val="15"/>
                <w:szCs w:val="15"/>
                <w:color w:val="auto"/>
              </w:rPr>
            </w:pPr>
          </w:p>
        </w:tc>
        <w:tc>
          <w:tcPr>
            <w:tcW w:w="116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w w:val="99"/>
              </w:rPr>
              <w:t>19,508,367</w:t>
            </w:r>
          </w:p>
        </w:tc>
        <w:tc>
          <w:tcPr>
            <w:tcW w:w="14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(19,508,377)</w:t>
            </w:r>
          </w:p>
        </w:tc>
        <w:tc>
          <w:tcPr>
            <w:tcW w:w="360" w:type="dxa"/>
            <w:vAlign w:val="bottom"/>
          </w:tcPr>
          <w:p>
            <w:pPr>
              <w:spacing w:after="0"/>
              <w:rPr>
                <w:sz w:val="15"/>
                <w:szCs w:val="15"/>
                <w:color w:val="auto"/>
              </w:rPr>
            </w:pPr>
          </w:p>
        </w:tc>
        <w:tc>
          <w:tcPr>
            <w:tcW w:w="1000" w:type="dxa"/>
            <w:vAlign w:val="bottom"/>
            <w:vMerge w:val="restart"/>
          </w:tcPr>
          <w:p>
            <w:pPr>
              <w:jc w:val="center"/>
              <w:ind w:right="104"/>
              <w:spacing w:after="0"/>
              <w:rPr>
                <w:sz w:val="20"/>
                <w:szCs w:val="20"/>
                <w:color w:val="auto"/>
              </w:rPr>
            </w:pPr>
            <w:r>
              <w:rPr>
                <w:rFonts w:ascii="Courier New" w:cs="Courier New" w:eastAsia="Courier New" w:hAnsi="Courier New"/>
                <w:sz w:val="15"/>
                <w:szCs w:val="15"/>
                <w:color w:val="auto"/>
              </w:rPr>
              <w:t>-</w:t>
            </w:r>
          </w:p>
        </w:tc>
        <w:tc>
          <w:tcPr>
            <w:tcW w:w="1640" w:type="dxa"/>
            <w:vAlign w:val="bottom"/>
            <w:vMerge w:val="restart"/>
          </w:tcPr>
          <w:p>
            <w:pPr>
              <w:jc w:val="right"/>
              <w:ind w:right="46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7"/>
        </w:trPr>
        <w:tc>
          <w:tcPr>
            <w:tcW w:w="2840" w:type="dxa"/>
            <w:vAlign w:val="bottom"/>
          </w:tcPr>
          <w:p>
            <w:pPr>
              <w:spacing w:after="0"/>
              <w:rPr>
                <w:sz w:val="20"/>
                <w:szCs w:val="20"/>
                <w:color w:val="auto"/>
              </w:rPr>
            </w:pPr>
            <w:r>
              <w:rPr>
                <w:rFonts w:ascii="Courier New" w:cs="Courier New" w:eastAsia="Courier New" w:hAnsi="Courier New"/>
                <w:sz w:val="15"/>
                <w:szCs w:val="15"/>
                <w:color w:val="auto"/>
              </w:rPr>
              <w:t>(Hardie U.S.)</w:t>
            </w:r>
          </w:p>
        </w:tc>
        <w:tc>
          <w:tcPr>
            <w:tcW w:w="156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vMerge w:val="continue"/>
          </w:tcPr>
          <w:p>
            <w:pPr>
              <w:spacing w:after="0"/>
              <w:rPr>
                <w:sz w:val="22"/>
                <w:szCs w:val="22"/>
                <w:color w:val="auto"/>
              </w:rPr>
            </w:pPr>
          </w:p>
        </w:tc>
        <w:tc>
          <w:tcPr>
            <w:tcW w:w="1420" w:type="dxa"/>
            <w:vAlign w:val="bottom"/>
            <w:vMerge w:val="continue"/>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16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Issuance of preference</w:t>
            </w:r>
          </w:p>
        </w:tc>
        <w:tc>
          <w:tcPr>
            <w:tcW w:w="1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5"/>
                <w:szCs w:val="15"/>
                <w:color w:val="auto"/>
              </w:rPr>
              <w:t>shares by James Hardie</w:t>
            </w:r>
          </w:p>
        </w:tc>
        <w:tc>
          <w:tcPr>
            <w:tcW w:w="1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5"/>
                <w:szCs w:val="15"/>
                <w:color w:val="auto"/>
              </w:rPr>
              <w:t>Irrigation Pty Limited</w:t>
            </w:r>
          </w:p>
        </w:tc>
        <w:tc>
          <w:tcPr>
            <w:tcW w:w="156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34,538</w:t>
            </w:r>
          </w:p>
        </w:tc>
        <w:tc>
          <w:tcPr>
            <w:tcW w:w="180" w:type="dxa"/>
            <w:vAlign w:val="bottom"/>
          </w:tcPr>
          <w:p>
            <w:pPr>
              <w:spacing w:after="0"/>
              <w:rPr>
                <w:sz w:val="15"/>
                <w:szCs w:val="15"/>
                <w:color w:val="auto"/>
              </w:rPr>
            </w:pPr>
          </w:p>
        </w:tc>
        <w:tc>
          <w:tcPr>
            <w:tcW w:w="114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27,995</w:t>
            </w:r>
          </w:p>
        </w:tc>
        <w:tc>
          <w:tcPr>
            <w:tcW w:w="220" w:type="dxa"/>
            <w:vAlign w:val="bottom"/>
          </w:tcPr>
          <w:p>
            <w:pPr>
              <w:spacing w:after="0"/>
              <w:rPr>
                <w:sz w:val="15"/>
                <w:szCs w:val="15"/>
                <w:color w:val="auto"/>
              </w:rPr>
            </w:pPr>
          </w:p>
        </w:tc>
        <w:tc>
          <w:tcPr>
            <w:tcW w:w="116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w w:val="99"/>
              </w:rPr>
              <w:t>27,967,466</w:t>
            </w:r>
          </w:p>
        </w:tc>
        <w:tc>
          <w:tcPr>
            <w:tcW w:w="1420" w:type="dxa"/>
            <w:vAlign w:val="bottom"/>
            <w:vMerge w:val="restart"/>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5"/>
                <w:szCs w:val="15"/>
                <w:color w:val="auto"/>
              </w:rPr>
            </w:pPr>
          </w:p>
        </w:tc>
        <w:tc>
          <w:tcPr>
            <w:tcW w:w="1000" w:type="dxa"/>
            <w:vAlign w:val="bottom"/>
            <w:vMerge w:val="restart"/>
          </w:tcPr>
          <w:p>
            <w:pPr>
              <w:jc w:val="center"/>
              <w:ind w:right="104"/>
              <w:spacing w:after="0"/>
              <w:rPr>
                <w:sz w:val="20"/>
                <w:szCs w:val="20"/>
                <w:color w:val="auto"/>
              </w:rPr>
            </w:pPr>
            <w:r>
              <w:rPr>
                <w:rFonts w:ascii="Courier New" w:cs="Courier New" w:eastAsia="Courier New" w:hAnsi="Courier New"/>
                <w:sz w:val="15"/>
                <w:szCs w:val="15"/>
                <w:color w:val="auto"/>
              </w:rPr>
              <w:t>-</w:t>
            </w:r>
          </w:p>
        </w:tc>
        <w:tc>
          <w:tcPr>
            <w:tcW w:w="1640" w:type="dxa"/>
            <w:vAlign w:val="bottom"/>
            <w:vMerge w:val="restart"/>
          </w:tcPr>
          <w:p>
            <w:pPr>
              <w:jc w:val="right"/>
              <w:ind w:right="264"/>
              <w:spacing w:after="0"/>
              <w:rPr>
                <w:sz w:val="20"/>
                <w:szCs w:val="20"/>
                <w:color w:val="auto"/>
              </w:rPr>
            </w:pPr>
            <w:r>
              <w:rPr>
                <w:rFonts w:ascii="Courier New" w:cs="Courier New" w:eastAsia="Courier New" w:hAnsi="Courier New"/>
                <w:sz w:val="15"/>
                <w:szCs w:val="15"/>
                <w:color w:val="auto"/>
              </w:rPr>
              <w:t>27,995,461</w:t>
            </w:r>
          </w:p>
        </w:tc>
        <w:tc>
          <w:tcPr>
            <w:tcW w:w="0" w:type="dxa"/>
            <w:vAlign w:val="bottom"/>
          </w:tcPr>
          <w:p>
            <w:pPr>
              <w:spacing w:after="0"/>
              <w:rPr>
                <w:sz w:val="1"/>
                <w:szCs w:val="1"/>
                <w:color w:val="auto"/>
              </w:rPr>
            </w:pPr>
          </w:p>
        </w:tc>
      </w:tr>
      <w:tr>
        <w:trPr>
          <w:trHeight w:val="257"/>
        </w:trPr>
        <w:tc>
          <w:tcPr>
            <w:tcW w:w="2840" w:type="dxa"/>
            <w:vAlign w:val="bottom"/>
          </w:tcPr>
          <w:p>
            <w:pPr>
              <w:spacing w:after="0"/>
              <w:rPr>
                <w:sz w:val="20"/>
                <w:szCs w:val="20"/>
                <w:color w:val="auto"/>
              </w:rPr>
            </w:pPr>
            <w:r>
              <w:rPr>
                <w:rFonts w:ascii="Courier New" w:cs="Courier New" w:eastAsia="Courier New" w:hAnsi="Courier New"/>
                <w:sz w:val="15"/>
                <w:szCs w:val="15"/>
                <w:color w:val="auto"/>
              </w:rPr>
              <w:t>(Hardie Australia)</w:t>
            </w:r>
          </w:p>
        </w:tc>
        <w:tc>
          <w:tcPr>
            <w:tcW w:w="156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vMerge w:val="continue"/>
          </w:tcPr>
          <w:p>
            <w:pPr>
              <w:spacing w:after="0"/>
              <w:rPr>
                <w:sz w:val="22"/>
                <w:szCs w:val="22"/>
                <w:color w:val="auto"/>
              </w:rPr>
            </w:pPr>
          </w:p>
        </w:tc>
        <w:tc>
          <w:tcPr>
            <w:tcW w:w="1420" w:type="dxa"/>
            <w:vAlign w:val="bottom"/>
            <w:vMerge w:val="continue"/>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16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Foreign currency translation</w:t>
            </w:r>
          </w:p>
        </w:tc>
        <w:tc>
          <w:tcPr>
            <w:tcW w:w="1560" w:type="dxa"/>
            <w:vAlign w:val="bottom"/>
            <w:vMerge w:val="restart"/>
          </w:tcPr>
          <w:p>
            <w:pPr>
              <w:jc w:val="center"/>
              <w:ind w:left="284"/>
              <w:spacing w:after="0"/>
              <w:rPr>
                <w:sz w:val="20"/>
                <w:szCs w:val="20"/>
                <w:color w:val="auto"/>
              </w:rPr>
            </w:pPr>
            <w:r>
              <w:rPr>
                <w:rFonts w:ascii="Courier New" w:cs="Courier New" w:eastAsia="Courier New" w:hAnsi="Courier New"/>
                <w:sz w:val="15"/>
                <w:szCs w:val="15"/>
                <w:color w:val="auto"/>
                <w:w w:val="88"/>
              </w:rPr>
              <w:t>-</w:t>
            </w:r>
          </w:p>
        </w:tc>
        <w:tc>
          <w:tcPr>
            <w:tcW w:w="180" w:type="dxa"/>
            <w:vAlign w:val="bottom"/>
          </w:tcPr>
          <w:p>
            <w:pPr>
              <w:spacing w:after="0"/>
              <w:rPr>
                <w:sz w:val="23"/>
                <w:szCs w:val="23"/>
                <w:color w:val="auto"/>
              </w:rPr>
            </w:pPr>
          </w:p>
        </w:tc>
        <w:tc>
          <w:tcPr>
            <w:tcW w:w="114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3"/>
                <w:szCs w:val="23"/>
                <w:color w:val="auto"/>
              </w:rPr>
            </w:pPr>
          </w:p>
        </w:tc>
        <w:tc>
          <w:tcPr>
            <w:tcW w:w="1160" w:type="dxa"/>
            <w:vAlign w:val="bottom"/>
            <w:vMerge w:val="restart"/>
          </w:tcPr>
          <w:p>
            <w:pPr>
              <w:jc w:val="right"/>
              <w:ind w:right="424"/>
              <w:spacing w:after="0"/>
              <w:rPr>
                <w:sz w:val="20"/>
                <w:szCs w:val="20"/>
                <w:color w:val="auto"/>
              </w:rPr>
            </w:pPr>
            <w:r>
              <w:rPr>
                <w:rFonts w:ascii="Courier New" w:cs="Courier New" w:eastAsia="Courier New" w:hAnsi="Courier New"/>
                <w:sz w:val="15"/>
                <w:szCs w:val="15"/>
                <w:color w:val="auto"/>
              </w:rPr>
              <w:t>-</w:t>
            </w:r>
          </w:p>
        </w:tc>
        <w:tc>
          <w:tcPr>
            <w:tcW w:w="1420" w:type="dxa"/>
            <w:vAlign w:val="bottom"/>
            <w:vMerge w:val="restart"/>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3"/>
                <w:szCs w:val="23"/>
                <w:color w:val="auto"/>
              </w:rPr>
            </w:pPr>
          </w:p>
        </w:tc>
        <w:tc>
          <w:tcPr>
            <w:tcW w:w="1000" w:type="dxa"/>
            <w:vAlign w:val="bottom"/>
            <w:vMerge w:val="restart"/>
          </w:tcPr>
          <w:p>
            <w:pPr>
              <w:jc w:val="center"/>
              <w:ind w:right="104"/>
              <w:spacing w:after="0"/>
              <w:rPr>
                <w:sz w:val="20"/>
                <w:szCs w:val="20"/>
                <w:color w:val="auto"/>
              </w:rPr>
            </w:pPr>
            <w:r>
              <w:rPr>
                <w:rFonts w:ascii="Courier New" w:cs="Courier New" w:eastAsia="Courier New" w:hAnsi="Courier New"/>
                <w:sz w:val="15"/>
                <w:szCs w:val="15"/>
                <w:color w:val="auto"/>
              </w:rPr>
              <w:t>(858,121)</w:t>
            </w:r>
          </w:p>
        </w:tc>
        <w:tc>
          <w:tcPr>
            <w:tcW w:w="164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(858,121)</w:t>
            </w:r>
          </w:p>
        </w:tc>
        <w:tc>
          <w:tcPr>
            <w:tcW w:w="0" w:type="dxa"/>
            <w:vAlign w:val="bottom"/>
          </w:tcPr>
          <w:p>
            <w:pPr>
              <w:spacing w:after="0"/>
              <w:rPr>
                <w:sz w:val="1"/>
                <w:szCs w:val="1"/>
                <w:color w:val="auto"/>
              </w:rPr>
            </w:pPr>
          </w:p>
        </w:tc>
      </w:tr>
      <w:tr>
        <w:trPr>
          <w:trHeight w:val="176"/>
        </w:trPr>
        <w:tc>
          <w:tcPr>
            <w:tcW w:w="2840" w:type="dxa"/>
            <w:vAlign w:val="bottom"/>
          </w:tcPr>
          <w:p>
            <w:pPr>
              <w:spacing w:after="0"/>
              <w:rPr>
                <w:sz w:val="20"/>
                <w:szCs w:val="20"/>
                <w:color w:val="auto"/>
              </w:rPr>
            </w:pPr>
            <w:r>
              <w:rPr>
                <w:rFonts w:ascii="Courier New" w:cs="Courier New" w:eastAsia="Courier New" w:hAnsi="Courier New"/>
                <w:sz w:val="15"/>
                <w:szCs w:val="15"/>
                <w:color w:val="auto"/>
              </w:rPr>
              <w:t>adjustment</w:t>
            </w:r>
          </w:p>
        </w:tc>
        <w:tc>
          <w:tcPr>
            <w:tcW w:w="15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840" w:type="dxa"/>
            <w:vAlign w:val="bottom"/>
          </w:tcPr>
          <w:p>
            <w:pPr>
              <w:spacing w:after="0"/>
              <w:rPr>
                <w:sz w:val="22"/>
                <w:szCs w:val="22"/>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Balance, December 1, 1996</w:t>
            </w: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12,037,628</w:t>
            </w:r>
          </w:p>
        </w:tc>
        <w:tc>
          <w:tcPr>
            <w:tcW w:w="13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$10,288,675</w:t>
            </w:r>
          </w:p>
        </w:tc>
        <w:tc>
          <w:tcPr>
            <w:tcW w:w="13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$48,108,308</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($30,308,914)</w:t>
            </w:r>
          </w:p>
        </w:tc>
        <w:tc>
          <w:tcPr>
            <w:tcW w:w="13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($858,121)</w:t>
            </w:r>
          </w:p>
        </w:tc>
        <w:tc>
          <w:tcPr>
            <w:tcW w:w="164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$27,229,948</w:t>
            </w:r>
          </w:p>
        </w:tc>
        <w:tc>
          <w:tcPr>
            <w:tcW w:w="0" w:type="dxa"/>
            <w:vAlign w:val="bottom"/>
          </w:tcPr>
          <w:p>
            <w:pPr>
              <w:spacing w:after="0"/>
              <w:rPr>
                <w:sz w:val="1"/>
                <w:szCs w:val="1"/>
                <w:color w:val="auto"/>
              </w:rPr>
            </w:pPr>
          </w:p>
        </w:tc>
      </w:tr>
      <w:tr>
        <w:trPr>
          <w:trHeight w:val="176"/>
        </w:trPr>
        <w:tc>
          <w:tcPr>
            <w:tcW w:w="2840" w:type="dxa"/>
            <w:vAlign w:val="bottom"/>
          </w:tcPr>
          <w:p>
            <w:pPr>
              <w:spacing w:after="0"/>
              <w:rPr>
                <w:sz w:val="15"/>
                <w:szCs w:val="15"/>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7"/>
        </w:trPr>
        <w:tc>
          <w:tcPr>
            <w:tcW w:w="2840" w:type="dxa"/>
            <w:vAlign w:val="bottom"/>
          </w:tcPr>
          <w:p>
            <w:pPr>
              <w:spacing w:after="0"/>
              <w:rPr>
                <w:sz w:val="22"/>
                <w:szCs w:val="22"/>
                <w:color w:val="auto"/>
              </w:rPr>
            </w:pPr>
          </w:p>
        </w:tc>
        <w:tc>
          <w:tcPr>
            <w:tcW w:w="15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26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 combined financial statements</w:t>
      </w:r>
    </w:p>
    <w:p>
      <w:pPr>
        <w:spacing w:after="0" w:line="359"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A-4</w:t>
      </w:r>
    </w:p>
    <w:p>
      <w:pPr>
        <w:sectPr>
          <w:pgSz w:w="11900" w:h="16838" w:orient="portrait"/>
          <w:cols w:equalWidth="0" w:num="1">
            <w:col w:w="11520"/>
          </w:cols>
          <w:pgMar w:left="240" w:top="619" w:right="1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57"/>
        </w:trPr>
        <w:tc>
          <w:tcPr>
            <w:tcW w:w="5760" w:type="dxa"/>
            <w:vAlign w:val="bottom"/>
          </w:tcPr>
          <w:p>
            <w:pPr>
              <w:jc w:val="center"/>
              <w:ind w:left="1944"/>
              <w:spacing w:after="0"/>
              <w:rPr>
                <w:sz w:val="20"/>
                <w:szCs w:val="20"/>
                <w:color w:val="auto"/>
              </w:rPr>
            </w:pPr>
            <w:r>
              <w:rPr>
                <w:rFonts w:ascii="Courier New" w:cs="Courier New" w:eastAsia="Courier New" w:hAnsi="Courier New"/>
                <w:sz w:val="15"/>
                <w:szCs w:val="15"/>
                <w:color w:val="auto"/>
              </w:rPr>
              <w:t>JAMES HARDIE IRRIGATION GROUP</w:t>
            </w: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5760" w:type="dxa"/>
            <w:vAlign w:val="bottom"/>
          </w:tcPr>
          <w:p>
            <w:pPr>
              <w:ind w:left="2460"/>
              <w:spacing w:after="0"/>
              <w:rPr>
                <w:sz w:val="20"/>
                <w:szCs w:val="20"/>
                <w:color w:val="auto"/>
              </w:rPr>
            </w:pPr>
            <w:r>
              <w:rPr>
                <w:rFonts w:ascii="Courier New" w:cs="Courier New" w:eastAsia="Courier New" w:hAnsi="Courier New"/>
                <w:sz w:val="15"/>
                <w:szCs w:val="15"/>
                <w:color w:val="auto"/>
              </w:rPr>
              <w:t>COMBINED STATEMENT OF CASH FLOWS</w:t>
            </w: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5760" w:type="dxa"/>
            <w:vAlign w:val="bottom"/>
          </w:tcPr>
          <w:p>
            <w:pPr>
              <w:jc w:val="center"/>
              <w:ind w:left="1944"/>
              <w:spacing w:after="0"/>
              <w:rPr>
                <w:sz w:val="20"/>
                <w:szCs w:val="20"/>
                <w:color w:val="auto"/>
              </w:rPr>
            </w:pPr>
            <w:r>
              <w:rPr>
                <w:rFonts w:ascii="Courier New" w:cs="Courier New" w:eastAsia="Courier New" w:hAnsi="Courier New"/>
                <w:sz w:val="15"/>
                <w:szCs w:val="15"/>
                <w:color w:val="auto"/>
              </w:rPr>
              <w:t>Year ended December 1, 1996</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5760" w:type="dxa"/>
            <w:vAlign w:val="bottom"/>
          </w:tcPr>
          <w:p>
            <w:pPr>
              <w:jc w:val="center"/>
              <w:ind w:left="1944"/>
              <w:spacing w:after="0"/>
              <w:rPr>
                <w:sz w:val="20"/>
                <w:szCs w:val="20"/>
                <w:color w:val="auto"/>
              </w:rPr>
            </w:pPr>
            <w:r>
              <w:rPr>
                <w:rFonts w:ascii="Courier New" w:cs="Courier New" w:eastAsia="Courier New" w:hAnsi="Courier New"/>
                <w:sz w:val="15"/>
                <w:szCs w:val="15"/>
                <w:color w:val="auto"/>
              </w:rPr>
              <w:t>_______________</w:t>
            </w: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4"/>
        </w:trPr>
        <w:tc>
          <w:tcPr>
            <w:tcW w:w="576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3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$5,263,749</w:t>
            </w:r>
          </w:p>
        </w:tc>
        <w:tc>
          <w:tcPr>
            <w:tcW w:w="0" w:type="dxa"/>
            <w:vAlign w:val="bottom"/>
          </w:tcPr>
          <w:p>
            <w:pPr>
              <w:spacing w:after="0"/>
              <w:rPr>
                <w:sz w:val="1"/>
                <w:szCs w:val="1"/>
                <w:color w:val="auto"/>
              </w:rPr>
            </w:pPr>
          </w:p>
        </w:tc>
      </w:tr>
      <w:tr>
        <w:trPr>
          <w:trHeight w:val="176"/>
        </w:trPr>
        <w:tc>
          <w:tcPr>
            <w:tcW w:w="5760" w:type="dxa"/>
            <w:vAlign w:val="bottom"/>
          </w:tcPr>
          <w:p>
            <w:pPr>
              <w:ind w:left="360"/>
              <w:spacing w:after="0"/>
              <w:rPr>
                <w:sz w:val="20"/>
                <w:szCs w:val="20"/>
                <w:color w:val="auto"/>
              </w:rPr>
            </w:pPr>
            <w:r>
              <w:rPr>
                <w:rFonts w:ascii="Courier New" w:cs="Courier New" w:eastAsia="Courier New" w:hAnsi="Courier New"/>
                <w:sz w:val="15"/>
                <w:szCs w:val="15"/>
                <w:color w:val="auto"/>
              </w:rPr>
              <w:t>Net income</w:t>
            </w: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60" w:type="dxa"/>
            <w:vAlign w:val="bottom"/>
          </w:tcPr>
          <w:p>
            <w:pPr>
              <w:ind w:left="360"/>
              <w:spacing w:after="0"/>
              <w:rPr>
                <w:sz w:val="20"/>
                <w:szCs w:val="20"/>
                <w:color w:val="auto"/>
              </w:rPr>
            </w:pPr>
            <w:r>
              <w:rPr>
                <w:rFonts w:ascii="Courier New" w:cs="Courier New" w:eastAsia="Courier New" w:hAnsi="Courier New"/>
                <w:sz w:val="15"/>
                <w:szCs w:val="15"/>
                <w:color w:val="auto"/>
              </w:rPr>
              <w:t>Adjustments to reconcile net income to net cash provided</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60" w:type="dxa"/>
            <w:vAlign w:val="bottom"/>
          </w:tcPr>
          <w:p>
            <w:pPr>
              <w:ind w:left="640"/>
              <w:spacing w:after="0"/>
              <w:rPr>
                <w:sz w:val="20"/>
                <w:szCs w:val="20"/>
                <w:color w:val="auto"/>
              </w:rPr>
            </w:pPr>
            <w:r>
              <w:rPr>
                <w:rFonts w:ascii="Courier New" w:cs="Courier New" w:eastAsia="Courier New" w:hAnsi="Courier New"/>
                <w:sz w:val="15"/>
                <w:szCs w:val="15"/>
                <w:color w:val="auto"/>
              </w:rPr>
              <w:t>by operating activities:</w:t>
            </w:r>
          </w:p>
        </w:tc>
        <w:tc>
          <w:tcPr>
            <w:tcW w:w="13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5,670,701</w:t>
            </w:r>
          </w:p>
        </w:tc>
        <w:tc>
          <w:tcPr>
            <w:tcW w:w="0" w:type="dxa"/>
            <w:vAlign w:val="bottom"/>
          </w:tcPr>
          <w:p>
            <w:pPr>
              <w:spacing w:after="0"/>
              <w:rPr>
                <w:sz w:val="1"/>
                <w:szCs w:val="1"/>
                <w:color w:val="auto"/>
              </w:rPr>
            </w:pPr>
          </w:p>
        </w:tc>
      </w:tr>
      <w:tr>
        <w:trPr>
          <w:trHeight w:val="176"/>
        </w:trPr>
        <w:tc>
          <w:tcPr>
            <w:tcW w:w="5760" w:type="dxa"/>
            <w:vAlign w:val="bottom"/>
          </w:tcPr>
          <w:p>
            <w:pPr>
              <w:ind w:left="640"/>
              <w:spacing w:after="0"/>
              <w:rPr>
                <w:sz w:val="20"/>
                <w:szCs w:val="20"/>
                <w:color w:val="auto"/>
              </w:rPr>
            </w:pPr>
            <w:r>
              <w:rPr>
                <w:rFonts w:ascii="Courier New" w:cs="Courier New" w:eastAsia="Courier New" w:hAnsi="Courier New"/>
                <w:sz w:val="15"/>
                <w:szCs w:val="15"/>
                <w:color w:val="auto"/>
              </w:rPr>
              <w:t>Depreciation and amortization</w:t>
            </w: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60" w:type="dxa"/>
            <w:vAlign w:val="bottom"/>
          </w:tcPr>
          <w:p>
            <w:pPr>
              <w:ind w:left="640"/>
              <w:spacing w:after="0"/>
              <w:rPr>
                <w:sz w:val="20"/>
                <w:szCs w:val="20"/>
                <w:color w:val="auto"/>
              </w:rPr>
            </w:pPr>
            <w:r>
              <w:rPr>
                <w:rFonts w:ascii="Courier New" w:cs="Courier New" w:eastAsia="Courier New" w:hAnsi="Courier New"/>
                <w:sz w:val="15"/>
                <w:szCs w:val="15"/>
                <w:color w:val="auto"/>
              </w:rPr>
              <w:t>Loss on writedown and disposal of assets</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795,370</w:t>
            </w:r>
          </w:p>
        </w:tc>
        <w:tc>
          <w:tcPr>
            <w:tcW w:w="0" w:type="dxa"/>
            <w:vAlign w:val="bottom"/>
          </w:tcPr>
          <w:p>
            <w:pPr>
              <w:spacing w:after="0"/>
              <w:rPr>
                <w:sz w:val="1"/>
                <w:szCs w:val="1"/>
                <w:color w:val="auto"/>
              </w:rPr>
            </w:pPr>
          </w:p>
        </w:tc>
      </w:tr>
      <w:tr>
        <w:trPr>
          <w:trHeight w:val="176"/>
        </w:trPr>
        <w:tc>
          <w:tcPr>
            <w:tcW w:w="5760" w:type="dxa"/>
            <w:vAlign w:val="bottom"/>
          </w:tcPr>
          <w:p>
            <w:pPr>
              <w:ind w:left="640"/>
              <w:spacing w:after="0"/>
              <w:rPr>
                <w:sz w:val="20"/>
                <w:szCs w:val="20"/>
                <w:color w:val="auto"/>
              </w:rPr>
            </w:pPr>
            <w:r>
              <w:rPr>
                <w:rFonts w:ascii="Courier New" w:cs="Courier New" w:eastAsia="Courier New" w:hAnsi="Courier New"/>
                <w:sz w:val="15"/>
                <w:szCs w:val="15"/>
                <w:color w:val="auto"/>
              </w:rPr>
              <w:t>Gain on sale of investment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(7,065,294)</w:t>
            </w:r>
          </w:p>
        </w:tc>
        <w:tc>
          <w:tcPr>
            <w:tcW w:w="0" w:type="dxa"/>
            <w:vAlign w:val="bottom"/>
          </w:tcPr>
          <w:p>
            <w:pPr>
              <w:spacing w:after="0"/>
              <w:rPr>
                <w:sz w:val="1"/>
                <w:szCs w:val="1"/>
                <w:color w:val="auto"/>
              </w:rPr>
            </w:pPr>
          </w:p>
        </w:tc>
      </w:tr>
      <w:tr>
        <w:trPr>
          <w:trHeight w:val="176"/>
        </w:trPr>
        <w:tc>
          <w:tcPr>
            <w:tcW w:w="5760" w:type="dxa"/>
            <w:vAlign w:val="bottom"/>
          </w:tcPr>
          <w:p>
            <w:pPr>
              <w:ind w:left="640"/>
              <w:spacing w:after="0"/>
              <w:rPr>
                <w:sz w:val="20"/>
                <w:szCs w:val="20"/>
                <w:color w:val="auto"/>
              </w:rPr>
            </w:pPr>
            <w:r>
              <w:rPr>
                <w:rFonts w:ascii="Courier New" w:cs="Courier New" w:eastAsia="Courier New" w:hAnsi="Courier New"/>
                <w:sz w:val="15"/>
                <w:szCs w:val="15"/>
                <w:color w:val="auto"/>
              </w:rPr>
              <w:t>Deferred income taxes</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(137,767)</w:t>
            </w:r>
          </w:p>
        </w:tc>
        <w:tc>
          <w:tcPr>
            <w:tcW w:w="0" w:type="dxa"/>
            <w:vAlign w:val="bottom"/>
          </w:tcPr>
          <w:p>
            <w:pPr>
              <w:spacing w:after="0"/>
              <w:rPr>
                <w:sz w:val="1"/>
                <w:szCs w:val="1"/>
                <w:color w:val="auto"/>
              </w:rPr>
            </w:pPr>
          </w:p>
        </w:tc>
      </w:tr>
      <w:tr>
        <w:trPr>
          <w:trHeight w:val="176"/>
        </w:trPr>
        <w:tc>
          <w:tcPr>
            <w:tcW w:w="5760" w:type="dxa"/>
            <w:vAlign w:val="bottom"/>
          </w:tcPr>
          <w:p>
            <w:pPr>
              <w:ind w:left="640"/>
              <w:spacing w:after="0"/>
              <w:rPr>
                <w:sz w:val="20"/>
                <w:szCs w:val="20"/>
                <w:color w:val="auto"/>
              </w:rPr>
            </w:pPr>
            <w:r>
              <w:rPr>
                <w:rFonts w:ascii="Courier New" w:cs="Courier New" w:eastAsia="Courier New" w:hAnsi="Courier New"/>
                <w:sz w:val="15"/>
                <w:szCs w:val="15"/>
                <w:color w:val="auto"/>
              </w:rPr>
              <w:t>Changes in operating assets and liabilities:</w:t>
            </w:r>
          </w:p>
        </w:tc>
        <w:tc>
          <w:tcPr>
            <w:tcW w:w="13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1,366,199</w:t>
            </w:r>
          </w:p>
        </w:tc>
        <w:tc>
          <w:tcPr>
            <w:tcW w:w="0" w:type="dxa"/>
            <w:vAlign w:val="bottom"/>
          </w:tcPr>
          <w:p>
            <w:pPr>
              <w:spacing w:after="0"/>
              <w:rPr>
                <w:sz w:val="1"/>
                <w:szCs w:val="1"/>
                <w:color w:val="auto"/>
              </w:rPr>
            </w:pPr>
          </w:p>
        </w:tc>
      </w:tr>
      <w:tr>
        <w:trPr>
          <w:trHeight w:val="176"/>
        </w:trPr>
        <w:tc>
          <w:tcPr>
            <w:tcW w:w="5760" w:type="dxa"/>
            <w:vAlign w:val="bottom"/>
          </w:tcPr>
          <w:p>
            <w:pPr>
              <w:ind w:left="1100"/>
              <w:spacing w:after="0"/>
              <w:rPr>
                <w:sz w:val="20"/>
                <w:szCs w:val="20"/>
                <w:color w:val="auto"/>
              </w:rPr>
            </w:pPr>
            <w:r>
              <w:rPr>
                <w:rFonts w:ascii="Courier New" w:cs="Courier New" w:eastAsia="Courier New" w:hAnsi="Courier New"/>
                <w:sz w:val="15"/>
                <w:szCs w:val="15"/>
                <w:color w:val="auto"/>
              </w:rPr>
              <w:t>Trade accounts receivable</w:t>
            </w: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60" w:type="dxa"/>
            <w:vAlign w:val="bottom"/>
          </w:tcPr>
          <w:p>
            <w:pPr>
              <w:ind w:left="1100"/>
              <w:spacing w:after="0"/>
              <w:rPr>
                <w:sz w:val="20"/>
                <w:szCs w:val="20"/>
                <w:color w:val="auto"/>
              </w:rPr>
            </w:pPr>
            <w:r>
              <w:rPr>
                <w:rFonts w:ascii="Courier New" w:cs="Courier New" w:eastAsia="Courier New" w:hAnsi="Courier New"/>
                <w:sz w:val="15"/>
                <w:szCs w:val="15"/>
                <w:color w:val="auto"/>
              </w:rPr>
              <w:t>Inventories</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9,382,667</w:t>
            </w:r>
          </w:p>
        </w:tc>
        <w:tc>
          <w:tcPr>
            <w:tcW w:w="0" w:type="dxa"/>
            <w:vAlign w:val="bottom"/>
          </w:tcPr>
          <w:p>
            <w:pPr>
              <w:spacing w:after="0"/>
              <w:rPr>
                <w:sz w:val="1"/>
                <w:szCs w:val="1"/>
                <w:color w:val="auto"/>
              </w:rPr>
            </w:pPr>
          </w:p>
        </w:tc>
      </w:tr>
      <w:tr>
        <w:trPr>
          <w:trHeight w:val="176"/>
        </w:trPr>
        <w:tc>
          <w:tcPr>
            <w:tcW w:w="5760" w:type="dxa"/>
            <w:vAlign w:val="bottom"/>
          </w:tcPr>
          <w:p>
            <w:pPr>
              <w:ind w:left="1100"/>
              <w:spacing w:after="0"/>
              <w:rPr>
                <w:sz w:val="20"/>
                <w:szCs w:val="20"/>
                <w:color w:val="auto"/>
              </w:rPr>
            </w:pPr>
            <w:r>
              <w:rPr>
                <w:rFonts w:ascii="Courier New" w:cs="Courier New" w:eastAsia="Courier New" w:hAnsi="Courier New"/>
                <w:sz w:val="15"/>
                <w:szCs w:val="15"/>
                <w:color w:val="auto"/>
              </w:rPr>
              <w:t>Prepaid and other current assets</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438,178</w:t>
            </w:r>
          </w:p>
        </w:tc>
        <w:tc>
          <w:tcPr>
            <w:tcW w:w="0" w:type="dxa"/>
            <w:vAlign w:val="bottom"/>
          </w:tcPr>
          <w:p>
            <w:pPr>
              <w:spacing w:after="0"/>
              <w:rPr>
                <w:sz w:val="1"/>
                <w:szCs w:val="1"/>
                <w:color w:val="auto"/>
              </w:rPr>
            </w:pPr>
          </w:p>
        </w:tc>
      </w:tr>
      <w:tr>
        <w:trPr>
          <w:trHeight w:val="176"/>
        </w:trPr>
        <w:tc>
          <w:tcPr>
            <w:tcW w:w="5760" w:type="dxa"/>
            <w:vAlign w:val="bottom"/>
          </w:tcPr>
          <w:p>
            <w:pPr>
              <w:ind w:left="1100"/>
              <w:spacing w:after="0"/>
              <w:rPr>
                <w:sz w:val="20"/>
                <w:szCs w:val="20"/>
                <w:color w:val="auto"/>
              </w:rPr>
            </w:pPr>
            <w:r>
              <w:rPr>
                <w:rFonts w:ascii="Courier New" w:cs="Courier New" w:eastAsia="Courier New" w:hAnsi="Courier New"/>
                <w:sz w:val="15"/>
                <w:szCs w:val="15"/>
                <w:color w:val="auto"/>
              </w:rPr>
              <w:t>Receivable from the U.S. Parent and affiliates</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(1,792,445)</w:t>
            </w:r>
          </w:p>
        </w:tc>
        <w:tc>
          <w:tcPr>
            <w:tcW w:w="0" w:type="dxa"/>
            <w:vAlign w:val="bottom"/>
          </w:tcPr>
          <w:p>
            <w:pPr>
              <w:spacing w:after="0"/>
              <w:rPr>
                <w:sz w:val="1"/>
                <w:szCs w:val="1"/>
                <w:color w:val="auto"/>
              </w:rPr>
            </w:pPr>
          </w:p>
        </w:tc>
      </w:tr>
      <w:tr>
        <w:trPr>
          <w:trHeight w:val="176"/>
        </w:trPr>
        <w:tc>
          <w:tcPr>
            <w:tcW w:w="5760" w:type="dxa"/>
            <w:vAlign w:val="bottom"/>
          </w:tcPr>
          <w:p>
            <w:pPr>
              <w:ind w:left="1100"/>
              <w:spacing w:after="0"/>
              <w:rPr>
                <w:sz w:val="20"/>
                <w:szCs w:val="20"/>
                <w:color w:val="auto"/>
              </w:rPr>
            </w:pPr>
            <w:r>
              <w:rPr>
                <w:rFonts w:ascii="Courier New" w:cs="Courier New" w:eastAsia="Courier New" w:hAnsi="Courier New"/>
                <w:sz w:val="15"/>
                <w:szCs w:val="15"/>
                <w:color w:val="auto"/>
              </w:rPr>
              <w:t>Trade accounts payable</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1,838,819</w:t>
            </w:r>
          </w:p>
        </w:tc>
        <w:tc>
          <w:tcPr>
            <w:tcW w:w="0" w:type="dxa"/>
            <w:vAlign w:val="bottom"/>
          </w:tcPr>
          <w:p>
            <w:pPr>
              <w:spacing w:after="0"/>
              <w:rPr>
                <w:sz w:val="1"/>
                <w:szCs w:val="1"/>
                <w:color w:val="auto"/>
              </w:rPr>
            </w:pPr>
          </w:p>
        </w:tc>
      </w:tr>
      <w:tr>
        <w:trPr>
          <w:trHeight w:val="176"/>
        </w:trPr>
        <w:tc>
          <w:tcPr>
            <w:tcW w:w="5760" w:type="dxa"/>
            <w:vAlign w:val="bottom"/>
          </w:tcPr>
          <w:p>
            <w:pPr>
              <w:ind w:left="1100"/>
              <w:spacing w:after="0"/>
              <w:rPr>
                <w:sz w:val="20"/>
                <w:szCs w:val="20"/>
                <w:color w:val="auto"/>
              </w:rPr>
            </w:pPr>
            <w:r>
              <w:rPr>
                <w:rFonts w:ascii="Courier New" w:cs="Courier New" w:eastAsia="Courier New" w:hAnsi="Courier New"/>
                <w:sz w:val="15"/>
                <w:szCs w:val="15"/>
                <w:color w:val="auto"/>
              </w:rPr>
              <w:t>Accrued expenses and other liabilities</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1,709,905</w:t>
            </w:r>
          </w:p>
        </w:tc>
        <w:tc>
          <w:tcPr>
            <w:tcW w:w="0" w:type="dxa"/>
            <w:vAlign w:val="bottom"/>
          </w:tcPr>
          <w:p>
            <w:pPr>
              <w:spacing w:after="0"/>
              <w:rPr>
                <w:sz w:val="1"/>
                <w:szCs w:val="1"/>
                <w:color w:val="auto"/>
              </w:rPr>
            </w:pPr>
          </w:p>
        </w:tc>
      </w:tr>
      <w:tr>
        <w:trPr>
          <w:trHeight w:val="176"/>
        </w:trPr>
        <w:tc>
          <w:tcPr>
            <w:tcW w:w="5760" w:type="dxa"/>
            <w:vAlign w:val="bottom"/>
          </w:tcPr>
          <w:p>
            <w:pPr>
              <w:ind w:left="1100"/>
              <w:spacing w:after="0"/>
              <w:rPr>
                <w:sz w:val="20"/>
                <w:szCs w:val="20"/>
                <w:color w:val="auto"/>
              </w:rPr>
            </w:pPr>
            <w:r>
              <w:rPr>
                <w:rFonts w:ascii="Courier New" w:cs="Courier New" w:eastAsia="Courier New" w:hAnsi="Courier New"/>
                <w:sz w:val="15"/>
                <w:szCs w:val="15"/>
                <w:color w:val="auto"/>
              </w:rPr>
              <w:t>Increase in severance liability</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41,457</w:t>
            </w:r>
          </w:p>
        </w:tc>
        <w:tc>
          <w:tcPr>
            <w:tcW w:w="0" w:type="dxa"/>
            <w:vAlign w:val="bottom"/>
          </w:tcPr>
          <w:p>
            <w:pPr>
              <w:spacing w:after="0"/>
              <w:rPr>
                <w:sz w:val="1"/>
                <w:szCs w:val="1"/>
                <w:color w:val="auto"/>
              </w:rPr>
            </w:pPr>
          </w:p>
        </w:tc>
      </w:tr>
      <w:tr>
        <w:trPr>
          <w:trHeight w:val="257"/>
        </w:trPr>
        <w:tc>
          <w:tcPr>
            <w:tcW w:w="5760" w:type="dxa"/>
            <w:vAlign w:val="bottom"/>
          </w:tcPr>
          <w:p>
            <w:pPr>
              <w:spacing w:after="0"/>
              <w:rPr>
                <w:sz w:val="22"/>
                <w:szCs w:val="22"/>
                <w:color w:val="auto"/>
              </w:rPr>
            </w:pP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5760" w:type="dxa"/>
            <w:vAlign w:val="bottom"/>
          </w:tcPr>
          <w:p>
            <w:pPr>
              <w:ind w:left="1740"/>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17,511,539</w:t>
            </w:r>
          </w:p>
        </w:tc>
        <w:tc>
          <w:tcPr>
            <w:tcW w:w="0" w:type="dxa"/>
            <w:vAlign w:val="bottom"/>
          </w:tcPr>
          <w:p>
            <w:pPr>
              <w:spacing w:after="0"/>
              <w:rPr>
                <w:sz w:val="1"/>
                <w:szCs w:val="1"/>
                <w:color w:val="auto"/>
              </w:rPr>
            </w:pPr>
          </w:p>
        </w:tc>
      </w:tr>
      <w:tr>
        <w:trPr>
          <w:trHeight w:val="257"/>
        </w:trPr>
        <w:tc>
          <w:tcPr>
            <w:tcW w:w="5760" w:type="dxa"/>
            <w:vAlign w:val="bottom"/>
          </w:tcPr>
          <w:p>
            <w:pPr>
              <w:spacing w:after="0"/>
              <w:rPr>
                <w:sz w:val="22"/>
                <w:szCs w:val="22"/>
                <w:color w:val="auto"/>
              </w:rPr>
            </w:pP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576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3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(5,022,051)</w:t>
            </w:r>
          </w:p>
        </w:tc>
        <w:tc>
          <w:tcPr>
            <w:tcW w:w="0" w:type="dxa"/>
            <w:vAlign w:val="bottom"/>
          </w:tcPr>
          <w:p>
            <w:pPr>
              <w:spacing w:after="0"/>
              <w:rPr>
                <w:sz w:val="1"/>
                <w:szCs w:val="1"/>
                <w:color w:val="auto"/>
              </w:rPr>
            </w:pPr>
          </w:p>
        </w:tc>
      </w:tr>
      <w:tr>
        <w:trPr>
          <w:trHeight w:val="176"/>
        </w:trPr>
        <w:tc>
          <w:tcPr>
            <w:tcW w:w="5760" w:type="dxa"/>
            <w:vAlign w:val="bottom"/>
          </w:tcPr>
          <w:p>
            <w:pPr>
              <w:ind w:left="360"/>
              <w:spacing w:after="0"/>
              <w:rPr>
                <w:sz w:val="20"/>
                <w:szCs w:val="20"/>
                <w:color w:val="auto"/>
              </w:rPr>
            </w:pPr>
            <w:r>
              <w:rPr>
                <w:rFonts w:ascii="Courier New" w:cs="Courier New" w:eastAsia="Courier New" w:hAnsi="Courier New"/>
                <w:sz w:val="15"/>
                <w:szCs w:val="15"/>
                <w:color w:val="auto"/>
              </w:rPr>
              <w:t>Capital expenditures</w:t>
            </w: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60" w:type="dxa"/>
            <w:vAlign w:val="bottom"/>
          </w:tcPr>
          <w:p>
            <w:pPr>
              <w:ind w:left="360"/>
              <w:spacing w:after="0"/>
              <w:rPr>
                <w:sz w:val="20"/>
                <w:szCs w:val="20"/>
                <w:color w:val="auto"/>
              </w:rPr>
            </w:pPr>
            <w:r>
              <w:rPr>
                <w:rFonts w:ascii="Courier New" w:cs="Courier New" w:eastAsia="Courier New" w:hAnsi="Courier New"/>
                <w:sz w:val="15"/>
                <w:szCs w:val="15"/>
                <w:color w:val="auto"/>
              </w:rPr>
              <w:t>Increase in purchased software</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(859,873)</w:t>
            </w:r>
          </w:p>
        </w:tc>
        <w:tc>
          <w:tcPr>
            <w:tcW w:w="0" w:type="dxa"/>
            <w:vAlign w:val="bottom"/>
          </w:tcPr>
          <w:p>
            <w:pPr>
              <w:spacing w:after="0"/>
              <w:rPr>
                <w:sz w:val="1"/>
                <w:szCs w:val="1"/>
                <w:color w:val="auto"/>
              </w:rPr>
            </w:pPr>
          </w:p>
        </w:tc>
      </w:tr>
      <w:tr>
        <w:trPr>
          <w:trHeight w:val="176"/>
        </w:trPr>
        <w:tc>
          <w:tcPr>
            <w:tcW w:w="5760" w:type="dxa"/>
            <w:vAlign w:val="bottom"/>
          </w:tcPr>
          <w:p>
            <w:pPr>
              <w:ind w:left="360"/>
              <w:spacing w:after="0"/>
              <w:rPr>
                <w:sz w:val="20"/>
                <w:szCs w:val="20"/>
                <w:color w:val="auto"/>
              </w:rPr>
            </w:pPr>
            <w:r>
              <w:rPr>
                <w:rFonts w:ascii="Courier New" w:cs="Courier New" w:eastAsia="Courier New" w:hAnsi="Courier New"/>
                <w:sz w:val="15"/>
                <w:szCs w:val="15"/>
                <w:color w:val="auto"/>
              </w:rPr>
              <w:t>Decrease in other assets</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281,780</w:t>
            </w:r>
          </w:p>
        </w:tc>
        <w:tc>
          <w:tcPr>
            <w:tcW w:w="0" w:type="dxa"/>
            <w:vAlign w:val="bottom"/>
          </w:tcPr>
          <w:p>
            <w:pPr>
              <w:spacing w:after="0"/>
              <w:rPr>
                <w:sz w:val="1"/>
                <w:szCs w:val="1"/>
                <w:color w:val="auto"/>
              </w:rPr>
            </w:pPr>
          </w:p>
        </w:tc>
      </w:tr>
      <w:tr>
        <w:trPr>
          <w:trHeight w:val="257"/>
        </w:trPr>
        <w:tc>
          <w:tcPr>
            <w:tcW w:w="5760" w:type="dxa"/>
            <w:vAlign w:val="bottom"/>
          </w:tcPr>
          <w:p>
            <w:pPr>
              <w:spacing w:after="0"/>
              <w:rPr>
                <w:sz w:val="22"/>
                <w:szCs w:val="22"/>
                <w:color w:val="auto"/>
              </w:rPr>
            </w:pP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5760" w:type="dxa"/>
            <w:vAlign w:val="bottom"/>
          </w:tcPr>
          <w:p>
            <w:pPr>
              <w:ind w:left="1740"/>
              <w:spacing w:after="0"/>
              <w:rPr>
                <w:sz w:val="20"/>
                <w:szCs w:val="20"/>
                <w:color w:val="auto"/>
              </w:rPr>
            </w:pPr>
            <w:r>
              <w:rPr>
                <w:rFonts w:ascii="Courier New" w:cs="Courier New" w:eastAsia="Courier New" w:hAnsi="Courier New"/>
                <w:sz w:val="15"/>
                <w:szCs w:val="15"/>
                <w:color w:val="auto"/>
              </w:rPr>
              <w:t>Net cash used in investing activities</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(5,600,144)</w:t>
            </w:r>
          </w:p>
        </w:tc>
        <w:tc>
          <w:tcPr>
            <w:tcW w:w="0" w:type="dxa"/>
            <w:vAlign w:val="bottom"/>
          </w:tcPr>
          <w:p>
            <w:pPr>
              <w:spacing w:after="0"/>
              <w:rPr>
                <w:sz w:val="1"/>
                <w:szCs w:val="1"/>
                <w:color w:val="auto"/>
              </w:rPr>
            </w:pPr>
          </w:p>
        </w:tc>
      </w:tr>
      <w:tr>
        <w:trPr>
          <w:trHeight w:val="257"/>
        </w:trPr>
        <w:tc>
          <w:tcPr>
            <w:tcW w:w="5760" w:type="dxa"/>
            <w:vAlign w:val="bottom"/>
          </w:tcPr>
          <w:p>
            <w:pPr>
              <w:spacing w:after="0"/>
              <w:rPr>
                <w:sz w:val="22"/>
                <w:szCs w:val="22"/>
                <w:color w:val="auto"/>
              </w:rPr>
            </w:pP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576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3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(10,333,314)</w:t>
            </w:r>
          </w:p>
        </w:tc>
        <w:tc>
          <w:tcPr>
            <w:tcW w:w="0" w:type="dxa"/>
            <w:vAlign w:val="bottom"/>
          </w:tcPr>
          <w:p>
            <w:pPr>
              <w:spacing w:after="0"/>
              <w:rPr>
                <w:sz w:val="1"/>
                <w:szCs w:val="1"/>
                <w:color w:val="auto"/>
              </w:rPr>
            </w:pPr>
          </w:p>
        </w:tc>
      </w:tr>
      <w:tr>
        <w:trPr>
          <w:trHeight w:val="176"/>
        </w:trPr>
        <w:tc>
          <w:tcPr>
            <w:tcW w:w="5760" w:type="dxa"/>
            <w:vAlign w:val="bottom"/>
          </w:tcPr>
          <w:p>
            <w:pPr>
              <w:ind w:left="360"/>
              <w:spacing w:after="0"/>
              <w:rPr>
                <w:sz w:val="20"/>
                <w:szCs w:val="20"/>
                <w:color w:val="auto"/>
              </w:rPr>
            </w:pPr>
            <w:r>
              <w:rPr>
                <w:rFonts w:ascii="Courier New" w:cs="Courier New" w:eastAsia="Courier New" w:hAnsi="Courier New"/>
                <w:sz w:val="15"/>
                <w:szCs w:val="15"/>
                <w:color w:val="auto"/>
              </w:rPr>
              <w:t>Decrease in loans due to the U.S. Parent and affiliates</w:t>
            </w: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60" w:type="dxa"/>
            <w:vAlign w:val="bottom"/>
          </w:tcPr>
          <w:p>
            <w:pPr>
              <w:ind w:left="360"/>
              <w:spacing w:after="0"/>
              <w:rPr>
                <w:sz w:val="20"/>
                <w:szCs w:val="20"/>
                <w:color w:val="auto"/>
              </w:rPr>
            </w:pPr>
            <w:r>
              <w:rPr>
                <w:rFonts w:ascii="Courier New" w:cs="Courier New" w:eastAsia="Courier New" w:hAnsi="Courier New"/>
                <w:sz w:val="15"/>
                <w:szCs w:val="15"/>
                <w:color w:val="auto"/>
              </w:rPr>
              <w:t>Decrease in bank overdrafts</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(4,034,936)</w:t>
            </w:r>
          </w:p>
        </w:tc>
        <w:tc>
          <w:tcPr>
            <w:tcW w:w="0" w:type="dxa"/>
            <w:vAlign w:val="bottom"/>
          </w:tcPr>
          <w:p>
            <w:pPr>
              <w:spacing w:after="0"/>
              <w:rPr>
                <w:sz w:val="1"/>
                <w:szCs w:val="1"/>
                <w:color w:val="auto"/>
              </w:rPr>
            </w:pPr>
          </w:p>
        </w:tc>
      </w:tr>
      <w:tr>
        <w:trPr>
          <w:trHeight w:val="257"/>
        </w:trPr>
        <w:tc>
          <w:tcPr>
            <w:tcW w:w="5760" w:type="dxa"/>
            <w:vAlign w:val="bottom"/>
          </w:tcPr>
          <w:p>
            <w:pPr>
              <w:spacing w:after="0"/>
              <w:rPr>
                <w:sz w:val="22"/>
                <w:szCs w:val="22"/>
                <w:color w:val="auto"/>
              </w:rPr>
            </w:pP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2"/>
        </w:trPr>
        <w:tc>
          <w:tcPr>
            <w:tcW w:w="5760" w:type="dxa"/>
            <w:vAlign w:val="bottom"/>
          </w:tcPr>
          <w:p>
            <w:pPr>
              <w:ind w:left="1740"/>
              <w:spacing w:after="0"/>
              <w:rPr>
                <w:sz w:val="20"/>
                <w:szCs w:val="20"/>
                <w:color w:val="auto"/>
              </w:rPr>
            </w:pPr>
            <w:r>
              <w:rPr>
                <w:rFonts w:ascii="Courier New" w:cs="Courier New" w:eastAsia="Courier New" w:hAnsi="Courier New"/>
                <w:sz w:val="15"/>
                <w:szCs w:val="15"/>
                <w:color w:val="auto"/>
              </w:rPr>
              <w:t>Net cash used in financing activities</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(14,368,250)</w:t>
            </w:r>
          </w:p>
        </w:tc>
        <w:tc>
          <w:tcPr>
            <w:tcW w:w="0" w:type="dxa"/>
            <w:vAlign w:val="bottom"/>
          </w:tcPr>
          <w:p>
            <w:pPr>
              <w:spacing w:after="0"/>
              <w:rPr>
                <w:sz w:val="1"/>
                <w:szCs w:val="1"/>
                <w:color w:val="auto"/>
              </w:rPr>
            </w:pPr>
          </w:p>
        </w:tc>
      </w:tr>
      <w:tr>
        <w:trPr>
          <w:trHeight w:val="271"/>
        </w:trPr>
        <w:tc>
          <w:tcPr>
            <w:tcW w:w="576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(43,802)</w:t>
            </w:r>
          </w:p>
        </w:tc>
        <w:tc>
          <w:tcPr>
            <w:tcW w:w="0" w:type="dxa"/>
            <w:vAlign w:val="bottom"/>
          </w:tcPr>
          <w:p>
            <w:pPr>
              <w:spacing w:after="0"/>
              <w:rPr>
                <w:sz w:val="1"/>
                <w:szCs w:val="1"/>
                <w:color w:val="auto"/>
              </w:rPr>
            </w:pPr>
          </w:p>
        </w:tc>
      </w:tr>
      <w:tr>
        <w:trPr>
          <w:trHeight w:val="257"/>
        </w:trPr>
        <w:tc>
          <w:tcPr>
            <w:tcW w:w="5760" w:type="dxa"/>
            <w:vAlign w:val="bottom"/>
          </w:tcPr>
          <w:p>
            <w:pPr>
              <w:spacing w:after="0"/>
              <w:rPr>
                <w:sz w:val="22"/>
                <w:szCs w:val="22"/>
                <w:color w:val="auto"/>
              </w:rPr>
            </w:pP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2"/>
        </w:trPr>
        <w:tc>
          <w:tcPr>
            <w:tcW w:w="5760" w:type="dxa"/>
            <w:vAlign w:val="bottom"/>
          </w:tcPr>
          <w:p>
            <w:pPr>
              <w:ind w:left="1740"/>
              <w:spacing w:after="0"/>
              <w:rPr>
                <w:sz w:val="20"/>
                <w:szCs w:val="20"/>
                <w:color w:val="auto"/>
              </w:rPr>
            </w:pPr>
            <w:r>
              <w:rPr>
                <w:rFonts w:ascii="Courier New" w:cs="Courier New" w:eastAsia="Courier New" w:hAnsi="Courier New"/>
                <w:sz w:val="15"/>
                <w:szCs w:val="15"/>
                <w:color w:val="auto"/>
              </w:rPr>
              <w:t>Net decrease in cash and cash equivalents</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(2,500,657)</w:t>
            </w:r>
          </w:p>
        </w:tc>
        <w:tc>
          <w:tcPr>
            <w:tcW w:w="0" w:type="dxa"/>
            <w:vAlign w:val="bottom"/>
          </w:tcPr>
          <w:p>
            <w:pPr>
              <w:spacing w:after="0"/>
              <w:rPr>
                <w:sz w:val="1"/>
                <w:szCs w:val="1"/>
                <w:color w:val="auto"/>
              </w:rPr>
            </w:pPr>
          </w:p>
        </w:tc>
      </w:tr>
      <w:tr>
        <w:trPr>
          <w:trHeight w:val="271"/>
        </w:trPr>
        <w:tc>
          <w:tcPr>
            <w:tcW w:w="576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 of year</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3,472,092</w:t>
            </w:r>
          </w:p>
        </w:tc>
        <w:tc>
          <w:tcPr>
            <w:tcW w:w="0" w:type="dxa"/>
            <w:vAlign w:val="bottom"/>
          </w:tcPr>
          <w:p>
            <w:pPr>
              <w:spacing w:after="0"/>
              <w:rPr>
                <w:sz w:val="1"/>
                <w:szCs w:val="1"/>
                <w:color w:val="auto"/>
              </w:rPr>
            </w:pPr>
          </w:p>
        </w:tc>
      </w:tr>
      <w:tr>
        <w:trPr>
          <w:trHeight w:val="257"/>
        </w:trPr>
        <w:tc>
          <w:tcPr>
            <w:tcW w:w="5760" w:type="dxa"/>
            <w:vAlign w:val="bottom"/>
          </w:tcPr>
          <w:p>
            <w:pPr>
              <w:spacing w:after="0"/>
              <w:rPr>
                <w:sz w:val="22"/>
                <w:szCs w:val="22"/>
                <w:color w:val="auto"/>
              </w:rPr>
            </w:pP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576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year</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$971,435</w:t>
            </w:r>
          </w:p>
        </w:tc>
        <w:tc>
          <w:tcPr>
            <w:tcW w:w="0" w:type="dxa"/>
            <w:vAlign w:val="bottom"/>
          </w:tcPr>
          <w:p>
            <w:pPr>
              <w:spacing w:after="0"/>
              <w:rPr>
                <w:sz w:val="1"/>
                <w:szCs w:val="1"/>
                <w:color w:val="auto"/>
              </w:rPr>
            </w:pPr>
          </w:p>
        </w:tc>
      </w:tr>
      <w:tr>
        <w:trPr>
          <w:trHeight w:val="176"/>
        </w:trPr>
        <w:tc>
          <w:tcPr>
            <w:tcW w:w="5760" w:type="dxa"/>
            <w:vAlign w:val="bottom"/>
          </w:tcPr>
          <w:p>
            <w:pPr>
              <w:spacing w:after="0"/>
              <w:rPr>
                <w:sz w:val="15"/>
                <w:szCs w:val="15"/>
                <w:color w:val="auto"/>
              </w:rPr>
            </w:pP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7"/>
        </w:trPr>
        <w:tc>
          <w:tcPr>
            <w:tcW w:w="5760" w:type="dxa"/>
            <w:vAlign w:val="bottom"/>
            <w:vMerge w:val="restart"/>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5"/>
        </w:trPr>
        <w:tc>
          <w:tcPr>
            <w:tcW w:w="5760" w:type="dxa"/>
            <w:vAlign w:val="bottom"/>
            <w:vMerge w:val="continue"/>
          </w:tcPr>
          <w:p>
            <w:pPr>
              <w:spacing w:after="0"/>
              <w:rPr>
                <w:sz w:val="8"/>
                <w:szCs w:val="8"/>
                <w:color w:val="auto"/>
              </w:rPr>
            </w:pPr>
          </w:p>
        </w:tc>
        <w:tc>
          <w:tcPr>
            <w:tcW w:w="138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$82,900</w:t>
            </w:r>
          </w:p>
        </w:tc>
        <w:tc>
          <w:tcPr>
            <w:tcW w:w="0" w:type="dxa"/>
            <w:vAlign w:val="bottom"/>
          </w:tcPr>
          <w:p>
            <w:pPr>
              <w:spacing w:after="0"/>
              <w:rPr>
                <w:sz w:val="1"/>
                <w:szCs w:val="1"/>
                <w:color w:val="auto"/>
              </w:rPr>
            </w:pPr>
          </w:p>
        </w:tc>
      </w:tr>
      <w:tr>
        <w:trPr>
          <w:trHeight w:val="176"/>
        </w:trPr>
        <w:tc>
          <w:tcPr>
            <w:tcW w:w="5760" w:type="dxa"/>
            <w:vAlign w:val="bottom"/>
          </w:tcPr>
          <w:p>
            <w:pPr>
              <w:ind w:left="360"/>
              <w:spacing w:after="0"/>
              <w:rPr>
                <w:sz w:val="20"/>
                <w:szCs w:val="20"/>
                <w:color w:val="auto"/>
              </w:rPr>
            </w:pPr>
            <w:r>
              <w:rPr>
                <w:rFonts w:ascii="Courier New" w:cs="Courier New" w:eastAsia="Courier New" w:hAnsi="Courier New"/>
                <w:sz w:val="15"/>
                <w:szCs w:val="15"/>
                <w:color w:val="auto"/>
              </w:rPr>
              <w:t>Interest paid to third parties</w:t>
            </w: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5760" w:type="dxa"/>
            <w:vAlign w:val="bottom"/>
          </w:tcPr>
          <w:p>
            <w:pPr>
              <w:ind w:left="360"/>
              <w:spacing w:after="0"/>
              <w:rPr>
                <w:sz w:val="20"/>
                <w:szCs w:val="20"/>
                <w:color w:val="auto"/>
              </w:rPr>
            </w:pPr>
            <w:r>
              <w:rPr>
                <w:rFonts w:ascii="Courier New" w:cs="Courier New" w:eastAsia="Courier New" w:hAnsi="Courier New"/>
                <w:sz w:val="15"/>
                <w:szCs w:val="15"/>
                <w:color w:val="auto"/>
              </w:rPr>
              <w:t>Interest paid to affiliates</w:t>
            </w:r>
          </w:p>
        </w:tc>
        <w:tc>
          <w:tcPr>
            <w:tcW w:w="13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$3,628,000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 combined financial statements</w:t>
      </w:r>
    </w:p>
    <w:p>
      <w:pPr>
        <w:spacing w:after="0" w:line="359"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A-5</w:t>
      </w:r>
    </w:p>
    <w:p>
      <w:pPr>
        <w:sectPr>
          <w:pgSz w:w="11900" w:h="16838" w:orient="portrait"/>
          <w:cols w:equalWidth="0" w:num="1">
            <w:col w:w="10219"/>
          </w:cols>
          <w:pgMar w:left="240" w:top="619" w:right="1440" w:bottom="1440" w:gutter="0" w:footer="0" w:header="0"/>
        </w:sectPr>
      </w:pPr>
    </w:p>
    <w:bookmarkStart w:id="9" w:name="page10"/>
    <w:bookmarkEnd w:id="9"/>
    <w:p>
      <w:pPr>
        <w:ind w:left="2566"/>
        <w:spacing w:after="0"/>
        <w:rPr>
          <w:sz w:val="20"/>
          <w:szCs w:val="20"/>
          <w:color w:val="auto"/>
        </w:rPr>
      </w:pPr>
      <w:r>
        <w:rPr>
          <w:rFonts w:ascii="Courier New" w:cs="Courier New" w:eastAsia="Courier New" w:hAnsi="Courier New"/>
          <w:sz w:val="15"/>
          <w:szCs w:val="15"/>
          <w:color w:val="auto"/>
        </w:rPr>
        <w:t>JAMES HARDIE IRRIGATION GROUP</w:t>
      </w:r>
    </w:p>
    <w:p>
      <w:pPr>
        <w:spacing w:after="0" w:line="182" w:lineRule="exact"/>
        <w:rPr>
          <w:sz w:val="20"/>
          <w:szCs w:val="20"/>
          <w:color w:val="auto"/>
        </w:rPr>
      </w:pPr>
    </w:p>
    <w:p>
      <w:pPr>
        <w:jc w:val="center"/>
        <w:ind w:right="2353"/>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34" w:lineRule="exact"/>
        <w:rPr>
          <w:sz w:val="20"/>
          <w:szCs w:val="20"/>
          <w:color w:val="auto"/>
        </w:rPr>
      </w:pPr>
    </w:p>
    <w:p>
      <w:pPr>
        <w:jc w:val="center"/>
        <w:ind w:right="2353"/>
        <w:spacing w:after="0"/>
        <w:rPr>
          <w:sz w:val="20"/>
          <w:szCs w:val="20"/>
          <w:color w:val="auto"/>
        </w:rPr>
      </w:pPr>
      <w:r>
        <w:rPr>
          <w:rFonts w:ascii="Courier New" w:cs="Courier New" w:eastAsia="Courier New" w:hAnsi="Courier New"/>
          <w:sz w:val="15"/>
          <w:szCs w:val="15"/>
          <w:color w:val="auto"/>
        </w:rPr>
        <w:t>December 1, 1996</w:t>
      </w:r>
    </w:p>
    <w:p>
      <w:pPr>
        <w:spacing w:after="0" w:line="6" w:lineRule="exact"/>
        <w:rPr>
          <w:sz w:val="20"/>
          <w:szCs w:val="20"/>
          <w:color w:val="auto"/>
        </w:rPr>
      </w:pPr>
    </w:p>
    <w:p>
      <w:pPr>
        <w:ind w:left="3206"/>
        <w:spacing w:after="0"/>
        <w:rPr>
          <w:sz w:val="20"/>
          <w:szCs w:val="20"/>
          <w:color w:val="auto"/>
        </w:rPr>
      </w:pPr>
      <w:r>
        <w:rPr>
          <w:rFonts w:ascii="Courier New" w:cs="Courier New" w:eastAsia="Courier New" w:hAnsi="Courier New"/>
          <w:sz w:val="15"/>
          <w:szCs w:val="15"/>
          <w:color w:val="auto"/>
        </w:rPr>
        <w:t>_______________</w:t>
      </w:r>
    </w:p>
    <w:p>
      <w:pPr>
        <w:spacing w:after="0" w:line="331" w:lineRule="exact"/>
        <w:rPr>
          <w:sz w:val="20"/>
          <w:szCs w:val="20"/>
          <w:color w:val="auto"/>
        </w:rPr>
      </w:pPr>
    </w:p>
    <w:p>
      <w:pPr>
        <w:ind w:left="466" w:hanging="466"/>
        <w:spacing w:after="0"/>
        <w:tabs>
          <w:tab w:leader="none" w:pos="466"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 and Summary of Significant Accounting Policies:</w:t>
      </w:r>
    </w:p>
    <w:p>
      <w:pPr>
        <w:spacing w:after="0" w:line="182" w:lineRule="exact"/>
        <w:rPr>
          <w:rFonts w:ascii="Courier New" w:cs="Courier New" w:eastAsia="Courier New" w:hAnsi="Courier New"/>
          <w:sz w:val="15"/>
          <w:szCs w:val="15"/>
          <w:color w:val="auto"/>
        </w:rPr>
      </w:pPr>
    </w:p>
    <w:p>
      <w:pPr>
        <w:ind w:left="4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COMPANIES</w:t>
      </w:r>
    </w:p>
    <w:p>
      <w:pPr>
        <w:spacing w:after="0" w:line="182" w:lineRule="exact"/>
        <w:rPr>
          <w:rFonts w:ascii="Courier New" w:cs="Courier New" w:eastAsia="Courier New" w:hAnsi="Courier New"/>
          <w:sz w:val="15"/>
          <w:szCs w:val="15"/>
          <w:color w:val="auto"/>
        </w:rPr>
      </w:pPr>
    </w:p>
    <w:p>
      <w:pPr>
        <w:ind w:left="466" w:right="2899"/>
        <w:spacing w:after="0" w:line="25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combined financial statements of the James Hardie Irrigation Group (the "Companies") have been prepared by combining the assets, liabilities, divisional and shareholders' equity, results of operations and cash flows of James Hardie Irrigation, a division of James Hardie Irrigation, Inc. ("Hardie U.S."), (a wholly owned subsidiary of J.H. Industries (USA), Inc. (the "U.S. Parent")), James Hardie Irrigation Pty Limited ("Hardie Australia"), a corporation organized under the laws of South Australia, and James Hardie Irrigation Europe S.p.A. ("Hardie Europe"), a corporation organized under the laws of Italy. The effects of all transactions between the Companies have been eliminated in the combined financial statements. Prior to the sale discussed in Note 12, the Companies were owned directly or indirectly by an Australian company, James Hardie Industries Limited, the ultimate parent company (the "Parent").</w:t>
      </w:r>
    </w:p>
    <w:p>
      <w:pPr>
        <w:spacing w:after="0" w:line="82" w:lineRule="exact"/>
        <w:rPr>
          <w:rFonts w:ascii="Courier New" w:cs="Courier New" w:eastAsia="Courier New" w:hAnsi="Courier New"/>
          <w:sz w:val="15"/>
          <w:szCs w:val="15"/>
          <w:color w:val="auto"/>
        </w:rPr>
      </w:pPr>
    </w:p>
    <w:p>
      <w:pPr>
        <w:ind w:left="466" w:right="2979"/>
        <w:spacing w:after="0" w:line="26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Companies manufacture and distribute products for the landscape and agricultural irrigation industries and market a wide selection of products for residential and commercial irrigation applications. The Companies are headquartered in Laguna Niguel, California; Beverly, South Australia; and Fiano Romano, near Rome, Italy. The Companies also have production and distribution facilities in various locations in the United States and Australia.</w:t>
      </w:r>
    </w:p>
    <w:p>
      <w:pPr>
        <w:spacing w:after="0" w:line="76" w:lineRule="exact"/>
        <w:rPr>
          <w:rFonts w:ascii="Courier New" w:cs="Courier New" w:eastAsia="Courier New" w:hAnsi="Courier New"/>
          <w:sz w:val="15"/>
          <w:szCs w:val="15"/>
          <w:color w:val="auto"/>
        </w:rPr>
      </w:pPr>
    </w:p>
    <w:p>
      <w:pPr>
        <w:ind w:left="4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December 1, 1996 all of the issued and outstanding</w:t>
      </w:r>
    </w:p>
    <w:p>
      <w:pPr>
        <w:spacing w:after="0" w:line="34" w:lineRule="exact"/>
        <w:rPr>
          <w:rFonts w:ascii="Courier New" w:cs="Courier New" w:eastAsia="Courier New" w:hAnsi="Courier New"/>
          <w:sz w:val="15"/>
          <w:szCs w:val="15"/>
          <w:color w:val="auto"/>
        </w:rPr>
      </w:pPr>
    </w:p>
    <w:p>
      <w:pPr>
        <w:ind w:left="466" w:right="3179"/>
        <w:spacing w:after="0" w:line="33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the Companies were acquired by The Toro Company ("Toro"). See Note 12 to these combined financial statements.</w:t>
      </w:r>
    </w:p>
    <w:p>
      <w:pPr>
        <w:spacing w:after="0" w:line="206" w:lineRule="exact"/>
        <w:rPr>
          <w:rFonts w:ascii="Courier New" w:cs="Courier New" w:eastAsia="Courier New" w:hAnsi="Courier New"/>
          <w:sz w:val="15"/>
          <w:szCs w:val="15"/>
          <w:color w:val="auto"/>
        </w:rPr>
      </w:pPr>
    </w:p>
    <w:p>
      <w:pPr>
        <w:ind w:left="4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CASH AND CASH EQUIVALENTS</w:t>
      </w:r>
    </w:p>
    <w:p>
      <w:pPr>
        <w:spacing w:after="0" w:line="182" w:lineRule="exact"/>
        <w:rPr>
          <w:rFonts w:ascii="Courier New" w:cs="Courier New" w:eastAsia="Courier New" w:hAnsi="Courier New"/>
          <w:sz w:val="15"/>
          <w:szCs w:val="15"/>
          <w:color w:val="auto"/>
        </w:rPr>
      </w:pPr>
    </w:p>
    <w:p>
      <w:pPr>
        <w:ind w:left="466" w:right="2899"/>
        <w:spacing w:after="0" w:line="28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Cash and cash equivalents include cash balances and all highly liquid investments with original maturities of three months or less at the date of purchase. The Companies maintain cash accounts with established commercial banks.</w:t>
      </w:r>
    </w:p>
    <w:p>
      <w:pPr>
        <w:spacing w:after="0" w:line="62" w:lineRule="exact"/>
        <w:rPr>
          <w:rFonts w:ascii="Courier New" w:cs="Courier New" w:eastAsia="Courier New" w:hAnsi="Courier New"/>
          <w:sz w:val="15"/>
          <w:szCs w:val="15"/>
          <w:color w:val="auto"/>
        </w:rPr>
      </w:pPr>
    </w:p>
    <w:p>
      <w:pPr>
        <w:ind w:left="4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w:t>
      </w:r>
    </w:p>
    <w:p>
      <w:pPr>
        <w:spacing w:after="0" w:line="182" w:lineRule="exact"/>
        <w:rPr>
          <w:rFonts w:ascii="Courier New" w:cs="Courier New" w:eastAsia="Courier New" w:hAnsi="Courier New"/>
          <w:sz w:val="15"/>
          <w:szCs w:val="15"/>
          <w:color w:val="auto"/>
        </w:rPr>
      </w:pPr>
    </w:p>
    <w:p>
      <w:pPr>
        <w:ind w:left="466" w:right="2899"/>
        <w:spacing w:after="0" w:line="28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 are stated at the lower of cost or market. Cost is determined using standard costs which approximate actual cost utilizing the first-in, first-out ("FIFO") method. The Companies maintain inventory allowances for slow-moving and obsolete inventory.</w:t>
      </w:r>
    </w:p>
    <w:p>
      <w:pPr>
        <w:spacing w:after="0" w:line="62" w:lineRule="exact"/>
        <w:rPr>
          <w:rFonts w:ascii="Courier New" w:cs="Courier New" w:eastAsia="Courier New" w:hAnsi="Courier New"/>
          <w:sz w:val="15"/>
          <w:szCs w:val="15"/>
          <w:color w:val="auto"/>
        </w:rPr>
      </w:pPr>
    </w:p>
    <w:p>
      <w:pPr>
        <w:ind w:left="4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PLANT AND EQUIPMENT</w:t>
      </w:r>
    </w:p>
    <w:p>
      <w:pPr>
        <w:spacing w:after="0" w:line="182" w:lineRule="exact"/>
        <w:rPr>
          <w:rFonts w:ascii="Courier New" w:cs="Courier New" w:eastAsia="Courier New" w:hAnsi="Courier New"/>
          <w:sz w:val="15"/>
          <w:szCs w:val="15"/>
          <w:color w:val="auto"/>
        </w:rPr>
      </w:pPr>
    </w:p>
    <w:p>
      <w:pPr>
        <w:ind w:left="466" w:right="2899"/>
        <w:spacing w:after="0" w:line="28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plant and equipment are stated at cost, less accumulated depreciation and amortization. Depreciation of buildings, plant and equipment is computed using the straight-line method based on the estimated useful lives ranging from 3 to 40 years.</w:t>
      </w:r>
    </w:p>
    <w:p>
      <w:pPr>
        <w:spacing w:after="0" w:line="239" w:lineRule="exact"/>
        <w:rPr>
          <w:sz w:val="20"/>
          <w:szCs w:val="20"/>
          <w:color w:val="auto"/>
        </w:rPr>
      </w:pPr>
    </w:p>
    <w:p>
      <w:pPr>
        <w:jc w:val="center"/>
        <w:ind w:right="2433"/>
        <w:spacing w:after="0"/>
        <w:rPr>
          <w:sz w:val="20"/>
          <w:szCs w:val="20"/>
          <w:color w:val="auto"/>
        </w:rPr>
      </w:pPr>
      <w:r>
        <w:rPr>
          <w:rFonts w:ascii="Courier New" w:cs="Courier New" w:eastAsia="Courier New" w:hAnsi="Courier New"/>
          <w:sz w:val="15"/>
          <w:szCs w:val="15"/>
          <w:color w:val="auto"/>
        </w:rPr>
        <w:t>Continued</w:t>
      </w:r>
    </w:p>
    <w:p>
      <w:pPr>
        <w:spacing w:after="0" w:line="34" w:lineRule="exact"/>
        <w:rPr>
          <w:sz w:val="20"/>
          <w:szCs w:val="20"/>
          <w:color w:val="auto"/>
        </w:rPr>
      </w:pPr>
    </w:p>
    <w:p>
      <w:pPr>
        <w:jc w:val="center"/>
        <w:ind w:right="2433"/>
        <w:spacing w:after="0"/>
        <w:rPr>
          <w:sz w:val="20"/>
          <w:szCs w:val="20"/>
          <w:color w:val="auto"/>
        </w:rPr>
      </w:pPr>
      <w:r>
        <w:rPr>
          <w:rFonts w:ascii="Courier New" w:cs="Courier New" w:eastAsia="Courier New" w:hAnsi="Courier New"/>
          <w:sz w:val="15"/>
          <w:szCs w:val="15"/>
          <w:color w:val="auto"/>
        </w:rPr>
        <w:t>A-6</w:t>
      </w:r>
    </w:p>
    <w:p>
      <w:pPr>
        <w:sectPr>
          <w:pgSz w:w="11900" w:h="16838" w:orient="portrait"/>
          <w:cols w:equalWidth="0" w:num="1">
            <w:col w:w="10225"/>
          </w:cols>
          <w:pgMar w:left="234" w:top="619" w:right="1440" w:bottom="1440" w:gutter="0" w:footer="0" w:header="0"/>
        </w:sectPr>
      </w:pPr>
    </w:p>
    <w:bookmarkStart w:id="10" w:name="page11"/>
    <w:bookmarkEnd w:id="10"/>
    <w:p>
      <w:pPr>
        <w:ind w:left="2566"/>
        <w:spacing w:after="0"/>
        <w:rPr>
          <w:sz w:val="20"/>
          <w:szCs w:val="20"/>
          <w:color w:val="auto"/>
        </w:rPr>
      </w:pPr>
      <w:r>
        <w:rPr>
          <w:rFonts w:ascii="Courier New" w:cs="Courier New" w:eastAsia="Courier New" w:hAnsi="Courier New"/>
          <w:sz w:val="15"/>
          <w:szCs w:val="15"/>
          <w:color w:val="auto"/>
        </w:rPr>
        <w:t>JAMES HARDIE IRRIGATION GROUP</w:t>
      </w:r>
    </w:p>
    <w:p>
      <w:pPr>
        <w:spacing w:after="0" w:line="182" w:lineRule="exact"/>
        <w:rPr>
          <w:sz w:val="20"/>
          <w:szCs w:val="20"/>
          <w:color w:val="auto"/>
        </w:rPr>
      </w:pPr>
    </w:p>
    <w:p>
      <w:pPr>
        <w:jc w:val="center"/>
        <w:ind w:right="2353"/>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34" w:lineRule="exact"/>
        <w:rPr>
          <w:sz w:val="20"/>
          <w:szCs w:val="20"/>
          <w:color w:val="auto"/>
        </w:rPr>
      </w:pPr>
    </w:p>
    <w:p>
      <w:pPr>
        <w:jc w:val="center"/>
        <w:ind w:right="2353"/>
        <w:spacing w:after="0"/>
        <w:rPr>
          <w:sz w:val="20"/>
          <w:szCs w:val="20"/>
          <w:color w:val="auto"/>
        </w:rPr>
      </w:pPr>
      <w:r>
        <w:rPr>
          <w:rFonts w:ascii="Courier New" w:cs="Courier New" w:eastAsia="Courier New" w:hAnsi="Courier New"/>
          <w:sz w:val="15"/>
          <w:szCs w:val="15"/>
          <w:color w:val="auto"/>
        </w:rPr>
        <w:t>December 1, 1996</w:t>
      </w:r>
    </w:p>
    <w:p>
      <w:pPr>
        <w:spacing w:after="0" w:line="6" w:lineRule="exact"/>
        <w:rPr>
          <w:sz w:val="20"/>
          <w:szCs w:val="20"/>
          <w:color w:val="auto"/>
        </w:rPr>
      </w:pPr>
    </w:p>
    <w:p>
      <w:pPr>
        <w:ind w:left="3206"/>
        <w:spacing w:after="0"/>
        <w:rPr>
          <w:sz w:val="20"/>
          <w:szCs w:val="20"/>
          <w:color w:val="auto"/>
        </w:rPr>
      </w:pPr>
      <w:r>
        <w:rPr>
          <w:rFonts w:ascii="Courier New" w:cs="Courier New" w:eastAsia="Courier New" w:hAnsi="Courier New"/>
          <w:sz w:val="15"/>
          <w:szCs w:val="15"/>
          <w:color w:val="auto"/>
        </w:rPr>
        <w:t>_______________</w:t>
      </w:r>
    </w:p>
    <w:p>
      <w:pPr>
        <w:spacing w:after="0" w:line="331" w:lineRule="exact"/>
        <w:rPr>
          <w:sz w:val="20"/>
          <w:szCs w:val="20"/>
          <w:color w:val="auto"/>
        </w:rPr>
      </w:pPr>
    </w:p>
    <w:p>
      <w:pPr>
        <w:ind w:left="466" w:right="3439" w:hanging="466"/>
        <w:spacing w:after="0" w:line="372" w:lineRule="auto"/>
        <w:tabs>
          <w:tab w:leader="none" w:pos="466"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 and Summary of Significant Accounting Policies, Continued:</w:t>
      </w:r>
    </w:p>
    <w:p>
      <w:pPr>
        <w:spacing w:after="0" w:line="1" w:lineRule="exact"/>
        <w:rPr>
          <w:rFonts w:ascii="Courier New" w:cs="Courier New" w:eastAsia="Courier New" w:hAnsi="Courier New"/>
          <w:sz w:val="15"/>
          <w:szCs w:val="15"/>
          <w:color w:val="auto"/>
        </w:rPr>
      </w:pPr>
    </w:p>
    <w:p>
      <w:pPr>
        <w:ind w:left="4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PLANT AND EQUIPMENT, CONTINUED</w:t>
      </w:r>
    </w:p>
    <w:p>
      <w:pPr>
        <w:spacing w:after="0" w:line="182" w:lineRule="exact"/>
        <w:rPr>
          <w:rFonts w:ascii="Courier New" w:cs="Courier New" w:eastAsia="Courier New" w:hAnsi="Courier New"/>
          <w:sz w:val="15"/>
          <w:szCs w:val="15"/>
          <w:color w:val="auto"/>
        </w:rPr>
      </w:pPr>
    </w:p>
    <w:p>
      <w:pPr>
        <w:ind w:left="466" w:right="2979"/>
        <w:spacing w:after="0" w:line="31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Leasehold improvements are amortized on the straight-line basis over their estimated economic useful lives or the life of the lease, whichever is shorter.</w:t>
      </w:r>
    </w:p>
    <w:p>
      <w:pPr>
        <w:spacing w:after="0" w:line="46" w:lineRule="exact"/>
        <w:rPr>
          <w:rFonts w:ascii="Courier New" w:cs="Courier New" w:eastAsia="Courier New" w:hAnsi="Courier New"/>
          <w:sz w:val="15"/>
          <w:szCs w:val="15"/>
          <w:color w:val="auto"/>
        </w:rPr>
      </w:pPr>
    </w:p>
    <w:p>
      <w:pPr>
        <w:ind w:left="466" w:right="3079"/>
        <w:spacing w:after="0" w:line="37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Expenditures for maintenance and repairs are expensed as incurred. Costs of major replacements and betterments are capitalized.</w:t>
      </w:r>
    </w:p>
    <w:p>
      <w:pPr>
        <w:spacing w:after="0" w:line="1" w:lineRule="exact"/>
        <w:rPr>
          <w:rFonts w:ascii="Courier New" w:cs="Courier New" w:eastAsia="Courier New" w:hAnsi="Courier New"/>
          <w:sz w:val="15"/>
          <w:szCs w:val="15"/>
          <w:color w:val="auto"/>
        </w:rPr>
      </w:pPr>
    </w:p>
    <w:p>
      <w:pPr>
        <w:ind w:left="4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TOOLING COSTS</w:t>
      </w:r>
    </w:p>
    <w:p>
      <w:pPr>
        <w:spacing w:after="0" w:line="182" w:lineRule="exact"/>
        <w:rPr>
          <w:rFonts w:ascii="Courier New" w:cs="Courier New" w:eastAsia="Courier New" w:hAnsi="Courier New"/>
          <w:sz w:val="15"/>
          <w:szCs w:val="15"/>
          <w:color w:val="auto"/>
        </w:rPr>
      </w:pPr>
    </w:p>
    <w:p>
      <w:pPr>
        <w:ind w:left="466" w:right="2899"/>
        <w:spacing w:after="0" w:line="28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Perishable tooling costs are charged to expense in the year incurred. Certain non-perishable tooling costs are capitalized in machinery and equipment and depreciated over estimated useful lives which range from 3 to 8 years.</w:t>
      </w:r>
    </w:p>
    <w:p>
      <w:pPr>
        <w:spacing w:after="0" w:line="62" w:lineRule="exact"/>
        <w:rPr>
          <w:rFonts w:ascii="Courier New" w:cs="Courier New" w:eastAsia="Courier New" w:hAnsi="Courier New"/>
          <w:sz w:val="15"/>
          <w:szCs w:val="15"/>
          <w:color w:val="auto"/>
        </w:rPr>
      </w:pPr>
    </w:p>
    <w:p>
      <w:pPr>
        <w:ind w:left="4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INTANGIBLE ASSETS</w:t>
      </w:r>
    </w:p>
    <w:p>
      <w:pPr>
        <w:spacing w:after="0" w:line="182" w:lineRule="exact"/>
        <w:rPr>
          <w:rFonts w:ascii="Courier New" w:cs="Courier New" w:eastAsia="Courier New" w:hAnsi="Courier New"/>
          <w:sz w:val="15"/>
          <w:szCs w:val="15"/>
          <w:color w:val="auto"/>
        </w:rPr>
      </w:pPr>
    </w:p>
    <w:p>
      <w:pPr>
        <w:ind w:left="466" w:right="2899"/>
        <w:spacing w:after="0" w:line="27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Intangible assets are stated at cost or at fair value as of the date acquired in a business combination accounted for as a purchase, less accumulated amortization. Amortization of intangible assets is computed on a straight-line basis over their estimated useful lives of 17 years for patents and 20 years for goodwill.</w:t>
      </w:r>
    </w:p>
    <w:p>
      <w:pPr>
        <w:spacing w:after="0" w:line="69" w:lineRule="exact"/>
        <w:rPr>
          <w:rFonts w:ascii="Courier New" w:cs="Courier New" w:eastAsia="Courier New" w:hAnsi="Courier New"/>
          <w:sz w:val="15"/>
          <w:szCs w:val="15"/>
          <w:color w:val="auto"/>
        </w:rPr>
      </w:pPr>
    </w:p>
    <w:p>
      <w:pPr>
        <w:ind w:left="466" w:right="2979"/>
        <w:spacing w:after="0" w:line="25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Goodwill is comprised of the excess of cost over the fair value of the net assets of businesses acquired in purchase transactions. The Companies' management periodically evaluates the realizability of goodwill, and impairment losses, if any, are recognized when the expected nondiscounted future operating cash flows derived from such assets are less than their carrying value. During the year ended December 1, 1996, the</w:t>
      </w:r>
    </w:p>
    <w:p>
      <w:pPr>
        <w:spacing w:after="0" w:line="1" w:lineRule="exact"/>
        <w:rPr>
          <w:rFonts w:ascii="Courier New" w:cs="Courier New" w:eastAsia="Courier New" w:hAnsi="Courier New"/>
          <w:sz w:val="15"/>
          <w:szCs w:val="15"/>
          <w:color w:val="auto"/>
        </w:rPr>
      </w:pPr>
    </w:p>
    <w:p>
      <w:pPr>
        <w:ind w:left="466" w:right="2979"/>
        <w:spacing w:after="0" w:line="26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Companies adopted Statement of Financial Accounting Standards ("SFAS") No. 121, "Accounting for Impairment of Long-Lived Assets and for Long-Lived Assets to be Disposed of." SFAS No. 121 requires that long-lived assets and certain identifiable intangible assets to be held and used be reviewed for impairment whenever events or changes in circumstances indicate the carrying amount of such assets may not be recoverable. The adoption of SFAS No. 121 did not have any impact on the financial position, results of operations, or cash flows of the Companies.</w:t>
      </w:r>
    </w:p>
    <w:p>
      <w:pPr>
        <w:spacing w:after="0" w:line="85" w:lineRule="exact"/>
        <w:rPr>
          <w:rFonts w:ascii="Courier New" w:cs="Courier New" w:eastAsia="Courier New" w:hAnsi="Courier New"/>
          <w:sz w:val="15"/>
          <w:szCs w:val="15"/>
          <w:color w:val="auto"/>
        </w:rPr>
      </w:pPr>
    </w:p>
    <w:p>
      <w:pPr>
        <w:ind w:left="4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82" w:lineRule="exact"/>
        <w:rPr>
          <w:rFonts w:ascii="Courier New" w:cs="Courier New" w:eastAsia="Courier New" w:hAnsi="Courier New"/>
          <w:sz w:val="15"/>
          <w:szCs w:val="15"/>
          <w:color w:val="auto"/>
        </w:rPr>
      </w:pPr>
    </w:p>
    <w:p>
      <w:pPr>
        <w:ind w:left="466" w:right="2899"/>
        <w:spacing w:after="0" w:line="26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Companies are subject to taxation under applicable tax laws in the United States, Australia, Italy and Greece. Hardie U.S. is included in the consolidated tax return filed by the U.S. Parent, which is responsible for making tax payments on behalf of the subsidiaries included in the consolidated group. These tax payments are allocated to the various members of the consolidated group through the intercompany accounts. Hardie Australia and Hardie Europe file income tax returns and pay income taxes on their own behalf. In the event of a taxable loss incurred by Hardie Australia, the tax loss is transferred to the Parent or an affiliate and the tax benefit is allocated to Hardie Australia.</w:t>
      </w:r>
    </w:p>
    <w:p>
      <w:pPr>
        <w:spacing w:after="0" w:line="259" w:lineRule="exact"/>
        <w:rPr>
          <w:sz w:val="20"/>
          <w:szCs w:val="20"/>
          <w:color w:val="auto"/>
        </w:rPr>
      </w:pPr>
    </w:p>
    <w:p>
      <w:pPr>
        <w:jc w:val="center"/>
        <w:ind w:right="2433"/>
        <w:spacing w:after="0"/>
        <w:rPr>
          <w:sz w:val="20"/>
          <w:szCs w:val="20"/>
          <w:color w:val="auto"/>
        </w:rPr>
      </w:pPr>
      <w:r>
        <w:rPr>
          <w:rFonts w:ascii="Courier New" w:cs="Courier New" w:eastAsia="Courier New" w:hAnsi="Courier New"/>
          <w:sz w:val="15"/>
          <w:szCs w:val="15"/>
          <w:color w:val="auto"/>
        </w:rPr>
        <w:t>Continued</w:t>
      </w:r>
    </w:p>
    <w:p>
      <w:pPr>
        <w:spacing w:after="0" w:line="34" w:lineRule="exact"/>
        <w:rPr>
          <w:sz w:val="20"/>
          <w:szCs w:val="20"/>
          <w:color w:val="auto"/>
        </w:rPr>
      </w:pPr>
    </w:p>
    <w:p>
      <w:pPr>
        <w:jc w:val="center"/>
        <w:ind w:right="2433"/>
        <w:spacing w:after="0"/>
        <w:rPr>
          <w:sz w:val="20"/>
          <w:szCs w:val="20"/>
          <w:color w:val="auto"/>
        </w:rPr>
      </w:pPr>
      <w:r>
        <w:rPr>
          <w:rFonts w:ascii="Courier New" w:cs="Courier New" w:eastAsia="Courier New" w:hAnsi="Courier New"/>
          <w:sz w:val="15"/>
          <w:szCs w:val="15"/>
          <w:color w:val="auto"/>
        </w:rPr>
        <w:t>A-7</w:t>
      </w:r>
    </w:p>
    <w:p>
      <w:pPr>
        <w:sectPr>
          <w:pgSz w:w="11900" w:h="16838" w:orient="portrait"/>
          <w:cols w:equalWidth="0" w:num="1">
            <w:col w:w="10225"/>
          </w:cols>
          <w:pgMar w:left="234" w:top="619" w:right="1440" w:bottom="1440" w:gutter="0" w:footer="0" w:header="0"/>
        </w:sectPr>
      </w:pPr>
    </w:p>
    <w:bookmarkStart w:id="11" w:name="page12"/>
    <w:bookmarkEnd w:id="11"/>
    <w:p>
      <w:pPr>
        <w:ind w:left="2566"/>
        <w:spacing w:after="0"/>
        <w:rPr>
          <w:sz w:val="20"/>
          <w:szCs w:val="20"/>
          <w:color w:val="auto"/>
        </w:rPr>
      </w:pPr>
      <w:r>
        <w:rPr>
          <w:rFonts w:ascii="Courier New" w:cs="Courier New" w:eastAsia="Courier New" w:hAnsi="Courier New"/>
          <w:sz w:val="15"/>
          <w:szCs w:val="15"/>
          <w:color w:val="auto"/>
        </w:rPr>
        <w:t>JAMES HARDIE IRRIGATION GROUP</w:t>
      </w:r>
    </w:p>
    <w:p>
      <w:pPr>
        <w:spacing w:after="0" w:line="182" w:lineRule="exact"/>
        <w:rPr>
          <w:sz w:val="20"/>
          <w:szCs w:val="20"/>
          <w:color w:val="auto"/>
        </w:rPr>
      </w:pPr>
    </w:p>
    <w:p>
      <w:pPr>
        <w:jc w:val="center"/>
        <w:ind w:right="2353"/>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34" w:lineRule="exact"/>
        <w:rPr>
          <w:sz w:val="20"/>
          <w:szCs w:val="20"/>
          <w:color w:val="auto"/>
        </w:rPr>
      </w:pPr>
    </w:p>
    <w:p>
      <w:pPr>
        <w:jc w:val="center"/>
        <w:ind w:right="2353"/>
        <w:spacing w:after="0"/>
        <w:rPr>
          <w:sz w:val="20"/>
          <w:szCs w:val="20"/>
          <w:color w:val="auto"/>
        </w:rPr>
      </w:pPr>
      <w:r>
        <w:rPr>
          <w:rFonts w:ascii="Courier New" w:cs="Courier New" w:eastAsia="Courier New" w:hAnsi="Courier New"/>
          <w:sz w:val="15"/>
          <w:szCs w:val="15"/>
          <w:color w:val="auto"/>
        </w:rPr>
        <w:t>December 1, 1996</w:t>
      </w:r>
    </w:p>
    <w:p>
      <w:pPr>
        <w:spacing w:after="0" w:line="6" w:lineRule="exact"/>
        <w:rPr>
          <w:sz w:val="20"/>
          <w:szCs w:val="20"/>
          <w:color w:val="auto"/>
        </w:rPr>
      </w:pPr>
    </w:p>
    <w:p>
      <w:pPr>
        <w:ind w:left="3206"/>
        <w:spacing w:after="0"/>
        <w:rPr>
          <w:sz w:val="20"/>
          <w:szCs w:val="20"/>
          <w:color w:val="auto"/>
        </w:rPr>
      </w:pPr>
      <w:r>
        <w:rPr>
          <w:rFonts w:ascii="Courier New" w:cs="Courier New" w:eastAsia="Courier New" w:hAnsi="Courier New"/>
          <w:sz w:val="15"/>
          <w:szCs w:val="15"/>
          <w:color w:val="auto"/>
        </w:rPr>
        <w:t>_______________</w:t>
      </w:r>
    </w:p>
    <w:p>
      <w:pPr>
        <w:spacing w:after="0" w:line="331" w:lineRule="exact"/>
        <w:rPr>
          <w:sz w:val="20"/>
          <w:szCs w:val="20"/>
          <w:color w:val="auto"/>
        </w:rPr>
      </w:pPr>
    </w:p>
    <w:p>
      <w:pPr>
        <w:ind w:left="466" w:right="3439" w:hanging="466"/>
        <w:spacing w:after="0" w:line="372" w:lineRule="auto"/>
        <w:tabs>
          <w:tab w:leader="none" w:pos="46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 and Summary of Significant Accounting Policies, Continued:</w:t>
      </w:r>
    </w:p>
    <w:p>
      <w:pPr>
        <w:spacing w:after="0" w:line="1" w:lineRule="exact"/>
        <w:rPr>
          <w:rFonts w:ascii="Courier New" w:cs="Courier New" w:eastAsia="Courier New" w:hAnsi="Courier New"/>
          <w:sz w:val="15"/>
          <w:szCs w:val="15"/>
          <w:color w:val="auto"/>
        </w:rPr>
      </w:pPr>
    </w:p>
    <w:p>
      <w:pPr>
        <w:ind w:left="4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 CONTINUED</w:t>
      </w:r>
    </w:p>
    <w:p>
      <w:pPr>
        <w:spacing w:after="0" w:line="182" w:lineRule="exact"/>
        <w:rPr>
          <w:rFonts w:ascii="Courier New" w:cs="Courier New" w:eastAsia="Courier New" w:hAnsi="Courier New"/>
          <w:sz w:val="15"/>
          <w:szCs w:val="15"/>
          <w:color w:val="auto"/>
        </w:rPr>
      </w:pPr>
    </w:p>
    <w:p>
      <w:pPr>
        <w:ind w:left="466" w:right="3259"/>
        <w:spacing w:after="0" w:line="26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Companies account for income taxes in accordance with SFAS No. 109, "Accounting for Income Taxes", which prescribes an asset and liability approach. The asset and liability method requires the recognition of deferred tax assets and liabilities for the expected future tax consequences of temporary differences between tax bases and financial reporting bases of assets and liabilities, using enacted tax rates in effect for the year in which the differences are expected to reverse.</w:t>
      </w:r>
    </w:p>
    <w:p>
      <w:pPr>
        <w:spacing w:after="0" w:line="76" w:lineRule="exact"/>
        <w:rPr>
          <w:rFonts w:ascii="Courier New" w:cs="Courier New" w:eastAsia="Courier New" w:hAnsi="Courier New"/>
          <w:sz w:val="15"/>
          <w:szCs w:val="15"/>
          <w:color w:val="auto"/>
        </w:rPr>
      </w:pPr>
    </w:p>
    <w:p>
      <w:pPr>
        <w:ind w:left="466" w:right="3079"/>
        <w:spacing w:after="0" w:line="26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 for income taxes includes federal, state and foreign income taxes currently payable as if each of the Companies had filed a separate tax return, and those taxes deferred because of temporary differences between the financial statement and tax bases of assets and liabilities. Such temporary differences primarily result from the use of accelerated methods of depreciation for tax purposes, allowances for accounts receivable, differences between book and tax inventory, and accrued expenses.</w:t>
      </w:r>
    </w:p>
    <w:p>
      <w:pPr>
        <w:spacing w:after="0" w:line="79" w:lineRule="exact"/>
        <w:rPr>
          <w:rFonts w:ascii="Courier New" w:cs="Courier New" w:eastAsia="Courier New" w:hAnsi="Courier New"/>
          <w:sz w:val="15"/>
          <w:szCs w:val="15"/>
          <w:color w:val="auto"/>
        </w:rPr>
      </w:pPr>
    </w:p>
    <w:p>
      <w:pPr>
        <w:ind w:left="4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REVENUE RECOGNITION</w:t>
      </w:r>
    </w:p>
    <w:p>
      <w:pPr>
        <w:spacing w:after="0" w:line="182" w:lineRule="exact"/>
        <w:rPr>
          <w:rFonts w:ascii="Courier New" w:cs="Courier New" w:eastAsia="Courier New" w:hAnsi="Courier New"/>
          <w:sz w:val="15"/>
          <w:szCs w:val="15"/>
          <w:color w:val="auto"/>
        </w:rPr>
      </w:pPr>
    </w:p>
    <w:p>
      <w:pPr>
        <w:ind w:left="466" w:right="2899"/>
        <w:spacing w:after="0" w:line="31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Companies recognize revenue when product is shipped to customers. The Companies provide an allowance for potential sales returns when the product is shipped.</w:t>
      </w:r>
    </w:p>
    <w:p>
      <w:pPr>
        <w:spacing w:after="0" w:line="46" w:lineRule="exact"/>
        <w:rPr>
          <w:rFonts w:ascii="Courier New" w:cs="Courier New" w:eastAsia="Courier New" w:hAnsi="Courier New"/>
          <w:sz w:val="15"/>
          <w:szCs w:val="15"/>
          <w:color w:val="auto"/>
        </w:rPr>
      </w:pPr>
    </w:p>
    <w:p>
      <w:pPr>
        <w:ind w:left="4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WARRANTY COSTS</w:t>
      </w:r>
    </w:p>
    <w:p>
      <w:pPr>
        <w:spacing w:after="0" w:line="182" w:lineRule="exact"/>
        <w:rPr>
          <w:rFonts w:ascii="Courier New" w:cs="Courier New" w:eastAsia="Courier New" w:hAnsi="Courier New"/>
          <w:sz w:val="15"/>
          <w:szCs w:val="15"/>
          <w:color w:val="auto"/>
        </w:rPr>
      </w:pPr>
    </w:p>
    <w:p>
      <w:pPr>
        <w:ind w:left="4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Companies provide for estimated warranty costs as products are shipped.</w:t>
      </w:r>
    </w:p>
    <w:p>
      <w:pPr>
        <w:spacing w:after="0" w:line="182" w:lineRule="exact"/>
        <w:rPr>
          <w:rFonts w:ascii="Courier New" w:cs="Courier New" w:eastAsia="Courier New" w:hAnsi="Courier New"/>
          <w:sz w:val="15"/>
          <w:szCs w:val="15"/>
          <w:color w:val="auto"/>
        </w:rPr>
      </w:pPr>
    </w:p>
    <w:p>
      <w:pPr>
        <w:ind w:left="4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ADVERTISING EXPENSES</w:t>
      </w:r>
    </w:p>
    <w:p>
      <w:pPr>
        <w:spacing w:after="0" w:line="182" w:lineRule="exact"/>
        <w:rPr>
          <w:rFonts w:ascii="Courier New" w:cs="Courier New" w:eastAsia="Courier New" w:hAnsi="Courier New"/>
          <w:sz w:val="15"/>
          <w:szCs w:val="15"/>
          <w:color w:val="auto"/>
        </w:rPr>
      </w:pPr>
    </w:p>
    <w:p>
      <w:pPr>
        <w:ind w:left="466" w:right="3259"/>
        <w:spacing w:after="0" w:line="37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Advertising expenses are charged to operations in the year incurred and totalled $1,291,465 for the year ended December 1, 1996.</w:t>
      </w:r>
    </w:p>
    <w:p>
      <w:pPr>
        <w:spacing w:after="0" w:line="1" w:lineRule="exact"/>
        <w:rPr>
          <w:rFonts w:ascii="Courier New" w:cs="Courier New" w:eastAsia="Courier New" w:hAnsi="Courier New"/>
          <w:sz w:val="15"/>
          <w:szCs w:val="15"/>
          <w:color w:val="auto"/>
        </w:rPr>
      </w:pPr>
    </w:p>
    <w:p>
      <w:pPr>
        <w:ind w:left="4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RESEARCH AND DEVELOPMENT</w:t>
      </w:r>
    </w:p>
    <w:p>
      <w:pPr>
        <w:spacing w:after="0" w:line="182" w:lineRule="exact"/>
        <w:rPr>
          <w:rFonts w:ascii="Courier New" w:cs="Courier New" w:eastAsia="Courier New" w:hAnsi="Courier New"/>
          <w:sz w:val="15"/>
          <w:szCs w:val="15"/>
          <w:color w:val="auto"/>
        </w:rPr>
      </w:pPr>
    </w:p>
    <w:p>
      <w:pPr>
        <w:ind w:left="466" w:right="2979"/>
        <w:spacing w:after="0" w:line="31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Research and development costs are charged to expense in the year incurred in accordance with SFAS No. 2, "Accounting for Research and Development Costs."</w:t>
      </w:r>
    </w:p>
    <w:p>
      <w:pPr>
        <w:spacing w:after="0" w:line="46" w:lineRule="exact"/>
        <w:rPr>
          <w:rFonts w:ascii="Courier New" w:cs="Courier New" w:eastAsia="Courier New" w:hAnsi="Courier New"/>
          <w:sz w:val="15"/>
          <w:szCs w:val="15"/>
          <w:color w:val="auto"/>
        </w:rPr>
      </w:pPr>
    </w:p>
    <w:p>
      <w:pPr>
        <w:ind w:left="4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SELF-INSURANCE</w:t>
      </w:r>
    </w:p>
    <w:p>
      <w:pPr>
        <w:spacing w:after="0" w:line="182" w:lineRule="exact"/>
        <w:rPr>
          <w:rFonts w:ascii="Courier New" w:cs="Courier New" w:eastAsia="Courier New" w:hAnsi="Courier New"/>
          <w:sz w:val="15"/>
          <w:szCs w:val="15"/>
          <w:color w:val="auto"/>
        </w:rPr>
      </w:pPr>
    </w:p>
    <w:p>
      <w:pPr>
        <w:ind w:left="466" w:right="3079"/>
        <w:spacing w:after="0" w:line="26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Hardie U.S. is self-insured through the U.S. Parent for health-related costs for each employee working in the United States, up to a maximum of $75,000 per covered person per policy year or an aggregate stop loss of 125% of Expected Paid Claims, as defined in the insurance contract. Any amounts in excess of this maximum are subject to reimbursement by the insurance carrier. Provisions for claims expected under this program are recorded by the U.S. Parent (and allocated to Hardie U.S.), including the U.S. Parent's estimate of the aggregate liability for claims incurred but not reported through the year ended December 1, 1996 based on historical information.</w:t>
      </w:r>
    </w:p>
    <w:p>
      <w:pPr>
        <w:spacing w:after="0" w:line="259" w:lineRule="exact"/>
        <w:rPr>
          <w:sz w:val="20"/>
          <w:szCs w:val="20"/>
          <w:color w:val="auto"/>
        </w:rPr>
      </w:pPr>
    </w:p>
    <w:p>
      <w:pPr>
        <w:jc w:val="center"/>
        <w:ind w:right="2433"/>
        <w:spacing w:after="0"/>
        <w:rPr>
          <w:sz w:val="20"/>
          <w:szCs w:val="20"/>
          <w:color w:val="auto"/>
        </w:rPr>
      </w:pPr>
      <w:r>
        <w:rPr>
          <w:rFonts w:ascii="Courier New" w:cs="Courier New" w:eastAsia="Courier New" w:hAnsi="Courier New"/>
          <w:sz w:val="15"/>
          <w:szCs w:val="15"/>
          <w:color w:val="auto"/>
        </w:rPr>
        <w:t>Continued</w:t>
      </w:r>
    </w:p>
    <w:p>
      <w:pPr>
        <w:spacing w:after="0" w:line="34" w:lineRule="exact"/>
        <w:rPr>
          <w:sz w:val="20"/>
          <w:szCs w:val="20"/>
          <w:color w:val="auto"/>
        </w:rPr>
      </w:pPr>
    </w:p>
    <w:p>
      <w:pPr>
        <w:jc w:val="center"/>
        <w:ind w:right="2433"/>
        <w:spacing w:after="0"/>
        <w:rPr>
          <w:sz w:val="20"/>
          <w:szCs w:val="20"/>
          <w:color w:val="auto"/>
        </w:rPr>
      </w:pPr>
      <w:r>
        <w:rPr>
          <w:rFonts w:ascii="Courier New" w:cs="Courier New" w:eastAsia="Courier New" w:hAnsi="Courier New"/>
          <w:sz w:val="15"/>
          <w:szCs w:val="15"/>
          <w:color w:val="auto"/>
        </w:rPr>
        <w:t>A-8</w:t>
      </w:r>
    </w:p>
    <w:p>
      <w:pPr>
        <w:sectPr>
          <w:pgSz w:w="11900" w:h="16838" w:orient="portrait"/>
          <w:cols w:equalWidth="0" w:num="1">
            <w:col w:w="10225"/>
          </w:cols>
          <w:pgMar w:left="234" w:top="619" w:right="1440" w:bottom="1440" w:gutter="0" w:footer="0" w:header="0"/>
        </w:sectPr>
      </w:pPr>
    </w:p>
    <w:bookmarkStart w:id="12" w:name="page13"/>
    <w:bookmarkEnd w:id="12"/>
    <w:p>
      <w:pPr>
        <w:ind w:left="2566"/>
        <w:spacing w:after="0"/>
        <w:rPr>
          <w:sz w:val="20"/>
          <w:szCs w:val="20"/>
          <w:color w:val="auto"/>
        </w:rPr>
      </w:pPr>
      <w:r>
        <w:rPr>
          <w:rFonts w:ascii="Courier New" w:cs="Courier New" w:eastAsia="Courier New" w:hAnsi="Courier New"/>
          <w:sz w:val="15"/>
          <w:szCs w:val="15"/>
          <w:color w:val="auto"/>
        </w:rPr>
        <w:t>JAMES HARDIE IRRIGATION GROUP</w:t>
      </w:r>
    </w:p>
    <w:p>
      <w:pPr>
        <w:spacing w:after="0" w:line="182" w:lineRule="exact"/>
        <w:rPr>
          <w:sz w:val="20"/>
          <w:szCs w:val="20"/>
          <w:color w:val="auto"/>
        </w:rPr>
      </w:pPr>
    </w:p>
    <w:p>
      <w:pPr>
        <w:jc w:val="center"/>
        <w:ind w:right="2353"/>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34" w:lineRule="exact"/>
        <w:rPr>
          <w:sz w:val="20"/>
          <w:szCs w:val="20"/>
          <w:color w:val="auto"/>
        </w:rPr>
      </w:pPr>
    </w:p>
    <w:p>
      <w:pPr>
        <w:jc w:val="center"/>
        <w:ind w:right="2353"/>
        <w:spacing w:after="0"/>
        <w:rPr>
          <w:sz w:val="20"/>
          <w:szCs w:val="20"/>
          <w:color w:val="auto"/>
        </w:rPr>
      </w:pPr>
      <w:r>
        <w:rPr>
          <w:rFonts w:ascii="Courier New" w:cs="Courier New" w:eastAsia="Courier New" w:hAnsi="Courier New"/>
          <w:sz w:val="15"/>
          <w:szCs w:val="15"/>
          <w:color w:val="auto"/>
        </w:rPr>
        <w:t>December 1, 1996</w:t>
      </w:r>
    </w:p>
    <w:p>
      <w:pPr>
        <w:spacing w:after="0" w:line="6" w:lineRule="exact"/>
        <w:rPr>
          <w:sz w:val="20"/>
          <w:szCs w:val="20"/>
          <w:color w:val="auto"/>
        </w:rPr>
      </w:pPr>
    </w:p>
    <w:p>
      <w:pPr>
        <w:ind w:left="3206"/>
        <w:spacing w:after="0"/>
        <w:rPr>
          <w:sz w:val="20"/>
          <w:szCs w:val="20"/>
          <w:color w:val="auto"/>
        </w:rPr>
      </w:pPr>
      <w:r>
        <w:rPr>
          <w:rFonts w:ascii="Courier New" w:cs="Courier New" w:eastAsia="Courier New" w:hAnsi="Courier New"/>
          <w:sz w:val="15"/>
          <w:szCs w:val="15"/>
          <w:color w:val="auto"/>
        </w:rPr>
        <w:t>_______________</w:t>
      </w:r>
    </w:p>
    <w:p>
      <w:pPr>
        <w:spacing w:after="0" w:line="331" w:lineRule="exact"/>
        <w:rPr>
          <w:sz w:val="20"/>
          <w:szCs w:val="20"/>
          <w:color w:val="auto"/>
        </w:rPr>
      </w:pPr>
    </w:p>
    <w:p>
      <w:pPr>
        <w:ind w:left="466" w:right="3439" w:hanging="466"/>
        <w:spacing w:after="0" w:line="372" w:lineRule="auto"/>
        <w:tabs>
          <w:tab w:leader="none" w:pos="466"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 and Summary of Significant Accounting Policies, Continued:</w:t>
      </w:r>
    </w:p>
    <w:p>
      <w:pPr>
        <w:spacing w:after="0" w:line="1" w:lineRule="exact"/>
        <w:rPr>
          <w:rFonts w:ascii="Courier New" w:cs="Courier New" w:eastAsia="Courier New" w:hAnsi="Courier New"/>
          <w:sz w:val="15"/>
          <w:szCs w:val="15"/>
          <w:color w:val="auto"/>
        </w:rPr>
      </w:pPr>
    </w:p>
    <w:p>
      <w:pPr>
        <w:ind w:left="4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SEVERANCE COSTS</w:t>
      </w:r>
    </w:p>
    <w:p>
      <w:pPr>
        <w:spacing w:after="0" w:line="182" w:lineRule="exact"/>
        <w:rPr>
          <w:rFonts w:ascii="Courier New" w:cs="Courier New" w:eastAsia="Courier New" w:hAnsi="Courier New"/>
          <w:sz w:val="15"/>
          <w:szCs w:val="15"/>
          <w:color w:val="auto"/>
        </w:rPr>
      </w:pPr>
    </w:p>
    <w:p>
      <w:pPr>
        <w:ind w:left="466" w:right="2899"/>
        <w:spacing w:after="0" w:line="27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Under Italian and Greek law, Hardie Europe accrues deferred compensation which is payable to employees when employment is terminated for any reason. The severance liability included in the combined financial statements represents the estimated amount payable to employees, based upon their compensation and an inflation index as of December 1, 1996.</w:t>
      </w:r>
    </w:p>
    <w:p>
      <w:pPr>
        <w:spacing w:after="0" w:line="69" w:lineRule="exact"/>
        <w:rPr>
          <w:rFonts w:ascii="Courier New" w:cs="Courier New" w:eastAsia="Courier New" w:hAnsi="Courier New"/>
          <w:sz w:val="15"/>
          <w:szCs w:val="15"/>
          <w:color w:val="auto"/>
        </w:rPr>
      </w:pPr>
    </w:p>
    <w:p>
      <w:pPr>
        <w:ind w:left="4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CONCENTRATION OF CREDIT RISK</w:t>
      </w:r>
    </w:p>
    <w:p>
      <w:pPr>
        <w:spacing w:after="0" w:line="182" w:lineRule="exact"/>
        <w:rPr>
          <w:rFonts w:ascii="Courier New" w:cs="Courier New" w:eastAsia="Courier New" w:hAnsi="Courier New"/>
          <w:sz w:val="15"/>
          <w:szCs w:val="15"/>
          <w:color w:val="auto"/>
        </w:rPr>
      </w:pPr>
    </w:p>
    <w:p>
      <w:pPr>
        <w:ind w:left="466" w:right="2899"/>
        <w:spacing w:after="0" w:line="26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Companies are engaged in the business of manufacturing and distributing products for the landscape and agricultural irrigation industries primarily throughout the United States and Australia to various retailers, wholesalers and installation contractors. Concentration of credit risk with respect to trade receivables for the Companies is limited due to the large number of customers comprising the Companies' customer base, and their dispersion across several geographical regions. The Companies maintain allowances for potential credit losses. In general, the Companies do not require collateral in relation to these trade receivables.</w:t>
      </w:r>
    </w:p>
    <w:p>
      <w:pPr>
        <w:spacing w:after="0" w:line="79" w:lineRule="exact"/>
        <w:rPr>
          <w:rFonts w:ascii="Courier New" w:cs="Courier New" w:eastAsia="Courier New" w:hAnsi="Courier New"/>
          <w:sz w:val="15"/>
          <w:szCs w:val="15"/>
          <w:color w:val="auto"/>
        </w:rPr>
      </w:pPr>
    </w:p>
    <w:p>
      <w:pPr>
        <w:ind w:left="4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FAIR VALUE OF FINANCIAL INSTRUMENTS</w:t>
      </w:r>
    </w:p>
    <w:p>
      <w:pPr>
        <w:spacing w:after="0" w:line="182" w:lineRule="exact"/>
        <w:rPr>
          <w:rFonts w:ascii="Courier New" w:cs="Courier New" w:eastAsia="Courier New" w:hAnsi="Courier New"/>
          <w:sz w:val="15"/>
          <w:szCs w:val="15"/>
          <w:color w:val="auto"/>
        </w:rPr>
      </w:pPr>
    </w:p>
    <w:p>
      <w:pPr>
        <w:ind w:left="466" w:right="2979"/>
        <w:spacing w:after="0" w:line="27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SFAS No. 107, "Disclosures about Fair Value of Financial Instruments," requires certain disclosures regarding the fair value of financial instruments. Cash and cash equivalents, trade accounts receivable, trade accounts payable, accrued expenses and other liabilities and amounts currently due to and from affiliates approximate fair value because of the short-term maturity of these instruments.</w:t>
      </w:r>
    </w:p>
    <w:p>
      <w:pPr>
        <w:spacing w:after="0" w:line="73" w:lineRule="exact"/>
        <w:rPr>
          <w:rFonts w:ascii="Courier New" w:cs="Courier New" w:eastAsia="Courier New" w:hAnsi="Courier New"/>
          <w:sz w:val="15"/>
          <w:szCs w:val="15"/>
          <w:color w:val="auto"/>
        </w:rPr>
      </w:pPr>
    </w:p>
    <w:p>
      <w:pPr>
        <w:ind w:left="4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USE OF ESTIMATES</w:t>
      </w:r>
    </w:p>
    <w:p>
      <w:pPr>
        <w:spacing w:after="0" w:line="182" w:lineRule="exact"/>
        <w:rPr>
          <w:rFonts w:ascii="Courier New" w:cs="Courier New" w:eastAsia="Courier New" w:hAnsi="Courier New"/>
          <w:sz w:val="15"/>
          <w:szCs w:val="15"/>
          <w:color w:val="auto"/>
        </w:rPr>
      </w:pPr>
    </w:p>
    <w:p>
      <w:pPr>
        <w:ind w:left="466" w:right="3079"/>
        <w:spacing w:after="0" w:line="26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for the reporting period and as of the financial statement date. These estimates and assumptions affect the reported amounts of assets and liabilities, the disclosure of contingent liabilities, and the reported amounts of revenues and expenses. Actual results could differ from those estimates.</w:t>
      </w:r>
    </w:p>
    <w:p>
      <w:pPr>
        <w:spacing w:after="0" w:line="76" w:lineRule="exact"/>
        <w:rPr>
          <w:rFonts w:ascii="Courier New" w:cs="Courier New" w:eastAsia="Courier New" w:hAnsi="Courier New"/>
          <w:sz w:val="15"/>
          <w:szCs w:val="15"/>
          <w:color w:val="auto"/>
        </w:rPr>
      </w:pPr>
    </w:p>
    <w:p>
      <w:pPr>
        <w:ind w:left="4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FOREIGN CURRENCY TRANSLATION</w:t>
      </w:r>
    </w:p>
    <w:p>
      <w:pPr>
        <w:spacing w:after="0" w:line="182" w:lineRule="exact"/>
        <w:rPr>
          <w:rFonts w:ascii="Courier New" w:cs="Courier New" w:eastAsia="Courier New" w:hAnsi="Courier New"/>
          <w:sz w:val="15"/>
          <w:szCs w:val="15"/>
          <w:color w:val="auto"/>
        </w:rPr>
      </w:pPr>
    </w:p>
    <w:p>
      <w:pPr>
        <w:ind w:left="466" w:right="2899"/>
        <w:spacing w:after="0" w:line="26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functional currency of each of the Companies is the applicable local currency. The functional currency is translated into U.S. dollars in accordance with SFAS No. 52, "Foreign Currency Translation," which is performed for the balance sheet accounts using current exchange rates in effect at the balance sheet date and for revenue and expense accounts using a weighted average exchange rate during the year ended December 1, 1996. The gains or losses resulting from such translations are included in equity. Gains and losses from foreign currency transactions are included in income currently.</w:t>
      </w:r>
    </w:p>
    <w:p>
      <w:pPr>
        <w:spacing w:after="0" w:line="256" w:lineRule="exact"/>
        <w:rPr>
          <w:sz w:val="20"/>
          <w:szCs w:val="20"/>
          <w:color w:val="auto"/>
        </w:rPr>
      </w:pPr>
    </w:p>
    <w:p>
      <w:pPr>
        <w:jc w:val="center"/>
        <w:ind w:right="2433"/>
        <w:spacing w:after="0"/>
        <w:rPr>
          <w:sz w:val="20"/>
          <w:szCs w:val="20"/>
          <w:color w:val="auto"/>
        </w:rPr>
      </w:pPr>
      <w:r>
        <w:rPr>
          <w:rFonts w:ascii="Courier New" w:cs="Courier New" w:eastAsia="Courier New" w:hAnsi="Courier New"/>
          <w:sz w:val="15"/>
          <w:szCs w:val="15"/>
          <w:color w:val="auto"/>
        </w:rPr>
        <w:t>Continued</w:t>
      </w:r>
    </w:p>
    <w:p>
      <w:pPr>
        <w:spacing w:after="0" w:line="34" w:lineRule="exact"/>
        <w:rPr>
          <w:sz w:val="20"/>
          <w:szCs w:val="20"/>
          <w:color w:val="auto"/>
        </w:rPr>
      </w:pPr>
    </w:p>
    <w:p>
      <w:pPr>
        <w:jc w:val="center"/>
        <w:ind w:right="2433"/>
        <w:spacing w:after="0"/>
        <w:rPr>
          <w:sz w:val="20"/>
          <w:szCs w:val="20"/>
          <w:color w:val="auto"/>
        </w:rPr>
      </w:pPr>
      <w:r>
        <w:rPr>
          <w:rFonts w:ascii="Courier New" w:cs="Courier New" w:eastAsia="Courier New" w:hAnsi="Courier New"/>
          <w:sz w:val="15"/>
          <w:szCs w:val="15"/>
          <w:color w:val="auto"/>
        </w:rPr>
        <w:t>A-9</w:t>
      </w:r>
    </w:p>
    <w:p>
      <w:pPr>
        <w:sectPr>
          <w:pgSz w:w="11900" w:h="16838" w:orient="portrait"/>
          <w:cols w:equalWidth="0" w:num="1">
            <w:col w:w="10225"/>
          </w:cols>
          <w:pgMar w:left="234" w:top="619" w:right="1440" w:bottom="1440" w:gutter="0" w:footer="0" w:header="0"/>
        </w:sectPr>
      </w:pPr>
    </w:p>
    <w:bookmarkStart w:id="13" w:name="page14"/>
    <w:bookmarkEnd w:id="13"/>
    <w:p>
      <w:pPr>
        <w:ind w:left="2566"/>
        <w:spacing w:after="0"/>
        <w:rPr>
          <w:sz w:val="20"/>
          <w:szCs w:val="20"/>
          <w:color w:val="auto"/>
        </w:rPr>
      </w:pPr>
      <w:r>
        <w:rPr>
          <w:rFonts w:ascii="Courier New" w:cs="Courier New" w:eastAsia="Courier New" w:hAnsi="Courier New"/>
          <w:sz w:val="15"/>
          <w:szCs w:val="15"/>
          <w:color w:val="auto"/>
        </w:rPr>
        <w:t>JAMES HARDIE IRRIGATION GROUP</w:t>
      </w:r>
    </w:p>
    <w:p>
      <w:pPr>
        <w:spacing w:after="0" w:line="182" w:lineRule="exact"/>
        <w:rPr>
          <w:sz w:val="20"/>
          <w:szCs w:val="20"/>
          <w:color w:val="auto"/>
        </w:rPr>
      </w:pPr>
    </w:p>
    <w:p>
      <w:pPr>
        <w:jc w:val="center"/>
        <w:ind w:right="2353"/>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34" w:lineRule="exact"/>
        <w:rPr>
          <w:sz w:val="20"/>
          <w:szCs w:val="20"/>
          <w:color w:val="auto"/>
        </w:rPr>
      </w:pPr>
    </w:p>
    <w:p>
      <w:pPr>
        <w:jc w:val="center"/>
        <w:ind w:right="2353"/>
        <w:spacing w:after="0"/>
        <w:rPr>
          <w:sz w:val="20"/>
          <w:szCs w:val="20"/>
          <w:color w:val="auto"/>
        </w:rPr>
      </w:pPr>
      <w:r>
        <w:rPr>
          <w:rFonts w:ascii="Courier New" w:cs="Courier New" w:eastAsia="Courier New" w:hAnsi="Courier New"/>
          <w:sz w:val="15"/>
          <w:szCs w:val="15"/>
          <w:color w:val="auto"/>
        </w:rPr>
        <w:t>December 1, 1996</w:t>
      </w:r>
    </w:p>
    <w:p>
      <w:pPr>
        <w:spacing w:after="0" w:line="6" w:lineRule="exact"/>
        <w:rPr>
          <w:sz w:val="20"/>
          <w:szCs w:val="20"/>
          <w:color w:val="auto"/>
        </w:rPr>
      </w:pPr>
    </w:p>
    <w:p>
      <w:pPr>
        <w:ind w:left="3206"/>
        <w:spacing w:after="0"/>
        <w:rPr>
          <w:sz w:val="20"/>
          <w:szCs w:val="20"/>
          <w:color w:val="auto"/>
        </w:rPr>
      </w:pPr>
      <w:r>
        <w:rPr>
          <w:rFonts w:ascii="Courier New" w:cs="Courier New" w:eastAsia="Courier New" w:hAnsi="Courier New"/>
          <w:sz w:val="15"/>
          <w:szCs w:val="15"/>
          <w:color w:val="auto"/>
        </w:rPr>
        <w:t>_______________</w:t>
      </w:r>
    </w:p>
    <w:p>
      <w:pPr>
        <w:spacing w:after="0" w:line="331" w:lineRule="exact"/>
        <w:rPr>
          <w:sz w:val="20"/>
          <w:szCs w:val="20"/>
          <w:color w:val="auto"/>
        </w:rPr>
      </w:pPr>
    </w:p>
    <w:p>
      <w:pPr>
        <w:ind w:left="466" w:hanging="466"/>
        <w:spacing w:after="0"/>
        <w:tabs>
          <w:tab w:leader="none" w:pos="466"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w:t>
      </w:r>
    </w:p>
    <w:p>
      <w:pPr>
        <w:spacing w:after="0" w:line="182" w:lineRule="exact"/>
        <w:rPr>
          <w:rFonts w:ascii="Courier New" w:cs="Courier New" w:eastAsia="Courier New" w:hAnsi="Courier New"/>
          <w:sz w:val="15"/>
          <w:szCs w:val="15"/>
          <w:color w:val="auto"/>
        </w:rPr>
      </w:pPr>
    </w:p>
    <w:p>
      <w:pPr>
        <w:ind w:left="4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 consist of the following components as of December 1, 1996:</w:t>
      </w:r>
    </w:p>
    <w:p>
      <w:pPr>
        <w:spacing w:after="0" w:line="359" w:lineRule="exact"/>
        <w:rPr>
          <w:sz w:val="20"/>
          <w:szCs w:val="20"/>
          <w:color w:val="auto"/>
        </w:rPr>
      </w:pPr>
    </w:p>
    <w:tbl>
      <w:tblPr>
        <w:tblLayout w:type="fixed"/>
        <w:tblInd w:w="466" w:type="dxa"/>
        <w:tblCellMar>
          <w:top w:w="0" w:type="dxa"/>
          <w:left w:w="0" w:type="dxa"/>
          <w:bottom w:w="0" w:type="dxa"/>
          <w:right w:w="0" w:type="dxa"/>
        </w:tblCellMar>
      </w:tblPr>
      <w:tr>
        <w:trPr>
          <w:trHeight w:val="176"/>
        </w:trPr>
        <w:tc>
          <w:tcPr>
            <w:tcW w:w="430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2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$24,941,786</w:t>
            </w:r>
          </w:p>
        </w:tc>
      </w:tr>
      <w:tr>
        <w:trPr>
          <w:trHeight w:val="176"/>
        </w:trPr>
        <w:tc>
          <w:tcPr>
            <w:tcW w:w="4300" w:type="dxa"/>
            <w:vAlign w:val="bottom"/>
          </w:tcPr>
          <w:p>
            <w:pPr>
              <w:spacing w:after="0"/>
              <w:rPr>
                <w:sz w:val="20"/>
                <w:szCs w:val="20"/>
                <w:color w:val="auto"/>
              </w:rPr>
            </w:pPr>
            <w:r>
              <w:rPr>
                <w:rFonts w:ascii="Courier New" w:cs="Courier New" w:eastAsia="Courier New" w:hAnsi="Courier New"/>
                <w:sz w:val="15"/>
                <w:szCs w:val="15"/>
                <w:color w:val="auto"/>
              </w:rPr>
              <w:t>Raw materials</w:t>
            </w:r>
          </w:p>
        </w:tc>
        <w:tc>
          <w:tcPr>
            <w:tcW w:w="2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6,259,933</w:t>
            </w:r>
          </w:p>
        </w:tc>
      </w:tr>
      <w:tr>
        <w:trPr>
          <w:trHeight w:val="176"/>
        </w:trPr>
        <w:tc>
          <w:tcPr>
            <w:tcW w:w="4300" w:type="dxa"/>
            <w:vAlign w:val="bottom"/>
          </w:tcPr>
          <w:p>
            <w:pPr>
              <w:spacing w:after="0"/>
              <w:rPr>
                <w:sz w:val="20"/>
                <w:szCs w:val="20"/>
                <w:color w:val="auto"/>
              </w:rPr>
            </w:pPr>
            <w:r>
              <w:rPr>
                <w:rFonts w:ascii="Courier New" w:cs="Courier New" w:eastAsia="Courier New" w:hAnsi="Courier New"/>
                <w:sz w:val="15"/>
                <w:szCs w:val="15"/>
                <w:color w:val="auto"/>
              </w:rPr>
              <w:t>Work-in-process</w:t>
            </w:r>
          </w:p>
        </w:tc>
        <w:tc>
          <w:tcPr>
            <w:tcW w:w="2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3,974,316</w:t>
            </w:r>
          </w:p>
        </w:tc>
      </w:tr>
      <w:tr>
        <w:trPr>
          <w:trHeight w:val="257"/>
        </w:trPr>
        <w:tc>
          <w:tcPr>
            <w:tcW w:w="4300" w:type="dxa"/>
            <w:vAlign w:val="bottom"/>
          </w:tcPr>
          <w:p>
            <w:pPr>
              <w:spacing w:after="0"/>
              <w:rPr>
                <w:sz w:val="22"/>
                <w:szCs w:val="22"/>
                <w:color w:val="auto"/>
              </w:rPr>
            </w:pPr>
          </w:p>
        </w:tc>
        <w:tc>
          <w:tcPr>
            <w:tcW w:w="2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529"/>
        </w:trPr>
        <w:tc>
          <w:tcPr>
            <w:tcW w:w="4300" w:type="dxa"/>
            <w:vAlign w:val="bottom"/>
          </w:tcPr>
          <w:p>
            <w:pPr>
              <w:spacing w:after="0"/>
              <w:rPr>
                <w:sz w:val="24"/>
                <w:szCs w:val="24"/>
                <w:color w:val="auto"/>
              </w:rPr>
            </w:pPr>
          </w:p>
        </w:tc>
        <w:tc>
          <w:tcPr>
            <w:tcW w:w="2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35,176,035</w:t>
            </w:r>
          </w:p>
        </w:tc>
      </w:tr>
      <w:tr>
        <w:trPr>
          <w:trHeight w:val="271"/>
        </w:trPr>
        <w:tc>
          <w:tcPr>
            <w:tcW w:w="4300" w:type="dxa"/>
            <w:vAlign w:val="bottom"/>
          </w:tcPr>
          <w:p>
            <w:pPr>
              <w:spacing w:after="0"/>
              <w:rPr>
                <w:sz w:val="20"/>
                <w:szCs w:val="20"/>
                <w:color w:val="auto"/>
              </w:rPr>
            </w:pPr>
            <w:r>
              <w:rPr>
                <w:rFonts w:ascii="Courier New" w:cs="Courier New" w:eastAsia="Courier New" w:hAnsi="Courier New"/>
                <w:sz w:val="15"/>
                <w:szCs w:val="15"/>
                <w:color w:val="auto"/>
              </w:rPr>
              <w:t>Less: Inventory valuation allowance</w:t>
            </w:r>
          </w:p>
        </w:tc>
        <w:tc>
          <w:tcPr>
            <w:tcW w:w="2200" w:type="dxa"/>
            <w:vAlign w:val="bottom"/>
          </w:tcPr>
          <w:p>
            <w:pPr>
              <w:jc w:val="right"/>
              <w:spacing w:after="0"/>
              <w:rPr>
                <w:sz w:val="20"/>
                <w:szCs w:val="20"/>
                <w:color w:val="auto"/>
              </w:rPr>
            </w:pPr>
            <w:r>
              <w:rPr>
                <w:rFonts w:ascii="Courier New" w:cs="Courier New" w:eastAsia="Courier New" w:hAnsi="Courier New"/>
                <w:sz w:val="15"/>
                <w:szCs w:val="15"/>
                <w:color w:val="auto"/>
              </w:rPr>
              <w:t>(4,126,672)</w:t>
            </w:r>
          </w:p>
        </w:tc>
      </w:tr>
      <w:tr>
        <w:trPr>
          <w:trHeight w:val="257"/>
        </w:trPr>
        <w:tc>
          <w:tcPr>
            <w:tcW w:w="4300" w:type="dxa"/>
            <w:vAlign w:val="bottom"/>
          </w:tcPr>
          <w:p>
            <w:pPr>
              <w:spacing w:after="0"/>
              <w:rPr>
                <w:sz w:val="22"/>
                <w:szCs w:val="22"/>
                <w:color w:val="auto"/>
              </w:rPr>
            </w:pPr>
          </w:p>
        </w:tc>
        <w:tc>
          <w:tcPr>
            <w:tcW w:w="22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271" w:lineRule="exact"/>
        <w:rPr>
          <w:sz w:val="20"/>
          <w:szCs w:val="20"/>
          <w:color w:val="auto"/>
        </w:rPr>
      </w:pPr>
    </w:p>
    <w:p>
      <w:pPr>
        <w:ind w:left="5866"/>
        <w:spacing w:after="0"/>
        <w:rPr>
          <w:sz w:val="20"/>
          <w:szCs w:val="20"/>
          <w:color w:val="auto"/>
        </w:rPr>
      </w:pPr>
      <w:r>
        <w:rPr>
          <w:rFonts w:ascii="Courier New" w:cs="Courier New" w:eastAsia="Courier New" w:hAnsi="Courier New"/>
          <w:sz w:val="15"/>
          <w:szCs w:val="15"/>
          <w:color w:val="auto"/>
        </w:rPr>
        <w:t>$31,049,363</w:t>
      </w:r>
    </w:p>
    <w:p>
      <w:pPr>
        <w:spacing w:after="0" w:line="34" w:lineRule="exact"/>
        <w:rPr>
          <w:sz w:val="20"/>
          <w:szCs w:val="20"/>
          <w:color w:val="auto"/>
        </w:rPr>
      </w:pPr>
    </w:p>
    <w:p>
      <w:pPr>
        <w:ind w:left="5866"/>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5866"/>
        <w:spacing w:after="0"/>
        <w:rPr>
          <w:sz w:val="20"/>
          <w:szCs w:val="20"/>
          <w:color w:val="auto"/>
        </w:rPr>
      </w:pPr>
      <w:r>
        <w:rPr>
          <w:rFonts w:ascii="Courier New" w:cs="Courier New" w:eastAsia="Courier New" w:hAnsi="Courier New"/>
          <w:sz w:val="15"/>
          <w:szCs w:val="15"/>
          <w:color w:val="auto"/>
        </w:rPr>
        <w:t>-----------</w:t>
      </w:r>
    </w:p>
    <w:p>
      <w:pPr>
        <w:spacing w:after="0" w:line="154" w:lineRule="exact"/>
        <w:rPr>
          <w:sz w:val="20"/>
          <w:szCs w:val="20"/>
          <w:color w:val="auto"/>
        </w:rPr>
      </w:pPr>
    </w:p>
    <w:p>
      <w:pPr>
        <w:ind w:left="466" w:hanging="466"/>
        <w:spacing w:after="0"/>
        <w:tabs>
          <w:tab w:leader="none" w:pos="46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Plant and Equipment:</w:t>
      </w:r>
    </w:p>
    <w:p>
      <w:pPr>
        <w:spacing w:after="0" w:line="182" w:lineRule="exact"/>
        <w:rPr>
          <w:rFonts w:ascii="Courier New" w:cs="Courier New" w:eastAsia="Courier New" w:hAnsi="Courier New"/>
          <w:sz w:val="15"/>
          <w:szCs w:val="15"/>
          <w:color w:val="auto"/>
        </w:rPr>
      </w:pPr>
    </w:p>
    <w:p>
      <w:pPr>
        <w:ind w:left="466" w:right="3179"/>
        <w:spacing w:after="0" w:line="37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plant and equipment consists of the following components as of December 1, 1996:</w:t>
      </w:r>
    </w:p>
    <w:p>
      <w:pPr>
        <w:spacing w:after="0" w:line="178" w:lineRule="exact"/>
        <w:rPr>
          <w:sz w:val="20"/>
          <w:szCs w:val="20"/>
          <w:color w:val="auto"/>
        </w:rPr>
      </w:pPr>
    </w:p>
    <w:tbl>
      <w:tblPr>
        <w:tblLayout w:type="fixed"/>
        <w:tblInd w:w="466" w:type="dxa"/>
        <w:tblCellMar>
          <w:top w:w="0" w:type="dxa"/>
          <w:left w:w="0" w:type="dxa"/>
          <w:bottom w:w="0" w:type="dxa"/>
          <w:right w:w="0" w:type="dxa"/>
        </w:tblCellMar>
      </w:tblPr>
      <w:tr>
        <w:trPr>
          <w:trHeight w:val="176"/>
        </w:trPr>
        <w:tc>
          <w:tcPr>
            <w:tcW w:w="4200" w:type="dxa"/>
            <w:vAlign w:val="bottom"/>
          </w:tcPr>
          <w:p>
            <w:pPr>
              <w:spacing w:after="0"/>
              <w:rPr>
                <w:sz w:val="20"/>
                <w:szCs w:val="20"/>
                <w:color w:val="auto"/>
              </w:rPr>
            </w:pPr>
            <w:r>
              <w:rPr>
                <w:rFonts w:ascii="Courier New" w:cs="Courier New" w:eastAsia="Courier New" w:hAnsi="Courier New"/>
                <w:sz w:val="15"/>
                <w:szCs w:val="15"/>
                <w:color w:val="auto"/>
              </w:rPr>
              <w:t>Machinery and equipment</w:t>
            </w:r>
          </w:p>
        </w:tc>
        <w:tc>
          <w:tcPr>
            <w:tcW w:w="2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$62,151,772</w:t>
            </w:r>
          </w:p>
        </w:tc>
        <w:tc>
          <w:tcPr>
            <w:tcW w:w="0" w:type="dxa"/>
            <w:vAlign w:val="bottom"/>
          </w:tcPr>
          <w:p>
            <w:pPr>
              <w:spacing w:after="0"/>
              <w:rPr>
                <w:sz w:val="1"/>
                <w:szCs w:val="1"/>
                <w:color w:val="auto"/>
              </w:rPr>
            </w:pPr>
          </w:p>
        </w:tc>
      </w:tr>
      <w:tr>
        <w:trPr>
          <w:trHeight w:val="176"/>
        </w:trPr>
        <w:tc>
          <w:tcPr>
            <w:tcW w:w="4200" w:type="dxa"/>
            <w:vAlign w:val="bottom"/>
          </w:tcPr>
          <w:p>
            <w:pPr>
              <w:spacing w:after="0"/>
              <w:rPr>
                <w:sz w:val="20"/>
                <w:szCs w:val="20"/>
                <w:color w:val="auto"/>
              </w:rPr>
            </w:pPr>
            <w:r>
              <w:rPr>
                <w:rFonts w:ascii="Courier New" w:cs="Courier New" w:eastAsia="Courier New" w:hAnsi="Courier New"/>
                <w:sz w:val="15"/>
                <w:szCs w:val="15"/>
                <w:color w:val="auto"/>
              </w:rPr>
              <w:t>Buildings and improvements</w:t>
            </w:r>
          </w:p>
        </w:tc>
        <w:tc>
          <w:tcPr>
            <w:tcW w:w="2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11,885,333</w:t>
            </w:r>
          </w:p>
        </w:tc>
        <w:tc>
          <w:tcPr>
            <w:tcW w:w="0" w:type="dxa"/>
            <w:vAlign w:val="bottom"/>
          </w:tcPr>
          <w:p>
            <w:pPr>
              <w:spacing w:after="0"/>
              <w:rPr>
                <w:sz w:val="1"/>
                <w:szCs w:val="1"/>
                <w:color w:val="auto"/>
              </w:rPr>
            </w:pPr>
          </w:p>
        </w:tc>
      </w:tr>
      <w:tr>
        <w:trPr>
          <w:trHeight w:val="176"/>
        </w:trPr>
        <w:tc>
          <w:tcPr>
            <w:tcW w:w="4200" w:type="dxa"/>
            <w:vAlign w:val="bottom"/>
          </w:tcPr>
          <w:p>
            <w:pPr>
              <w:spacing w:after="0"/>
              <w:rPr>
                <w:sz w:val="20"/>
                <w:szCs w:val="20"/>
                <w:color w:val="auto"/>
              </w:rPr>
            </w:pPr>
            <w:r>
              <w:rPr>
                <w:rFonts w:ascii="Courier New" w:cs="Courier New" w:eastAsia="Courier New" w:hAnsi="Courier New"/>
                <w:sz w:val="15"/>
                <w:szCs w:val="15"/>
                <w:color w:val="auto"/>
              </w:rPr>
              <w:t>Furniture and fixtures</w:t>
            </w:r>
          </w:p>
        </w:tc>
        <w:tc>
          <w:tcPr>
            <w:tcW w:w="2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1,364,615</w:t>
            </w:r>
          </w:p>
        </w:tc>
        <w:tc>
          <w:tcPr>
            <w:tcW w:w="0" w:type="dxa"/>
            <w:vAlign w:val="bottom"/>
          </w:tcPr>
          <w:p>
            <w:pPr>
              <w:spacing w:after="0"/>
              <w:rPr>
                <w:sz w:val="1"/>
                <w:szCs w:val="1"/>
                <w:color w:val="auto"/>
              </w:rPr>
            </w:pPr>
          </w:p>
        </w:tc>
      </w:tr>
      <w:tr>
        <w:trPr>
          <w:trHeight w:val="176"/>
        </w:trPr>
        <w:tc>
          <w:tcPr>
            <w:tcW w:w="4200" w:type="dxa"/>
            <w:vAlign w:val="bottom"/>
          </w:tcPr>
          <w:p>
            <w:pPr>
              <w:spacing w:after="0"/>
              <w:rPr>
                <w:sz w:val="20"/>
                <w:szCs w:val="20"/>
                <w:color w:val="auto"/>
              </w:rPr>
            </w:pPr>
            <w:r>
              <w:rPr>
                <w:rFonts w:ascii="Courier New" w:cs="Courier New" w:eastAsia="Courier New" w:hAnsi="Courier New"/>
                <w:sz w:val="15"/>
                <w:szCs w:val="15"/>
                <w:color w:val="auto"/>
              </w:rPr>
              <w:t>Leasehold improvements</w:t>
            </w:r>
          </w:p>
        </w:tc>
        <w:tc>
          <w:tcPr>
            <w:tcW w:w="2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1,097,888</w:t>
            </w:r>
          </w:p>
        </w:tc>
        <w:tc>
          <w:tcPr>
            <w:tcW w:w="0" w:type="dxa"/>
            <w:vAlign w:val="bottom"/>
          </w:tcPr>
          <w:p>
            <w:pPr>
              <w:spacing w:after="0"/>
              <w:rPr>
                <w:sz w:val="1"/>
                <w:szCs w:val="1"/>
                <w:color w:val="auto"/>
              </w:rPr>
            </w:pPr>
          </w:p>
        </w:tc>
      </w:tr>
      <w:tr>
        <w:trPr>
          <w:trHeight w:val="176"/>
        </w:trPr>
        <w:tc>
          <w:tcPr>
            <w:tcW w:w="4200" w:type="dxa"/>
            <w:vAlign w:val="bottom"/>
          </w:tcPr>
          <w:p>
            <w:pPr>
              <w:spacing w:after="0"/>
              <w:rPr>
                <w:sz w:val="20"/>
                <w:szCs w:val="20"/>
                <w:color w:val="auto"/>
              </w:rPr>
            </w:pPr>
            <w:r>
              <w:rPr>
                <w:rFonts w:ascii="Courier New" w:cs="Courier New" w:eastAsia="Courier New" w:hAnsi="Courier New"/>
                <w:sz w:val="15"/>
                <w:szCs w:val="15"/>
                <w:color w:val="auto"/>
              </w:rPr>
              <w:t>Land</w:t>
            </w:r>
          </w:p>
        </w:tc>
        <w:tc>
          <w:tcPr>
            <w:tcW w:w="2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1,391,522</w:t>
            </w:r>
          </w:p>
        </w:tc>
        <w:tc>
          <w:tcPr>
            <w:tcW w:w="0" w:type="dxa"/>
            <w:vAlign w:val="bottom"/>
          </w:tcPr>
          <w:p>
            <w:pPr>
              <w:spacing w:after="0"/>
              <w:rPr>
                <w:sz w:val="1"/>
                <w:szCs w:val="1"/>
                <w:color w:val="auto"/>
              </w:rPr>
            </w:pPr>
          </w:p>
        </w:tc>
      </w:tr>
      <w:tr>
        <w:trPr>
          <w:trHeight w:val="176"/>
        </w:trPr>
        <w:tc>
          <w:tcPr>
            <w:tcW w:w="4200" w:type="dxa"/>
            <w:vAlign w:val="bottom"/>
          </w:tcPr>
          <w:p>
            <w:pPr>
              <w:spacing w:after="0"/>
              <w:rPr>
                <w:sz w:val="20"/>
                <w:szCs w:val="20"/>
                <w:color w:val="auto"/>
              </w:rPr>
            </w:pPr>
            <w:r>
              <w:rPr>
                <w:rFonts w:ascii="Courier New" w:cs="Courier New" w:eastAsia="Courier New" w:hAnsi="Courier New"/>
                <w:sz w:val="15"/>
                <w:szCs w:val="15"/>
                <w:color w:val="auto"/>
              </w:rPr>
              <w:t>Automobiles</w:t>
            </w:r>
          </w:p>
        </w:tc>
        <w:tc>
          <w:tcPr>
            <w:tcW w:w="2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1,011,927</w:t>
            </w:r>
          </w:p>
        </w:tc>
        <w:tc>
          <w:tcPr>
            <w:tcW w:w="0" w:type="dxa"/>
            <w:vAlign w:val="bottom"/>
          </w:tcPr>
          <w:p>
            <w:pPr>
              <w:spacing w:after="0"/>
              <w:rPr>
                <w:sz w:val="1"/>
                <w:szCs w:val="1"/>
                <w:color w:val="auto"/>
              </w:rPr>
            </w:pPr>
          </w:p>
        </w:tc>
      </w:tr>
      <w:tr>
        <w:trPr>
          <w:trHeight w:val="176"/>
        </w:trPr>
        <w:tc>
          <w:tcPr>
            <w:tcW w:w="4200" w:type="dxa"/>
            <w:vAlign w:val="bottom"/>
          </w:tcPr>
          <w:p>
            <w:pPr>
              <w:spacing w:after="0"/>
              <w:rPr>
                <w:sz w:val="20"/>
                <w:szCs w:val="20"/>
                <w:color w:val="auto"/>
              </w:rPr>
            </w:pPr>
            <w:r>
              <w:rPr>
                <w:rFonts w:ascii="Courier New" w:cs="Courier New" w:eastAsia="Courier New" w:hAnsi="Courier New"/>
                <w:sz w:val="15"/>
                <w:szCs w:val="15"/>
                <w:color w:val="auto"/>
              </w:rPr>
              <w:t>Construction-in-progress</w:t>
            </w:r>
          </w:p>
        </w:tc>
        <w:tc>
          <w:tcPr>
            <w:tcW w:w="2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2,131,631</w:t>
            </w:r>
          </w:p>
        </w:tc>
        <w:tc>
          <w:tcPr>
            <w:tcW w:w="0" w:type="dxa"/>
            <w:vAlign w:val="bottom"/>
          </w:tcPr>
          <w:p>
            <w:pPr>
              <w:spacing w:after="0"/>
              <w:rPr>
                <w:sz w:val="1"/>
                <w:szCs w:val="1"/>
                <w:color w:val="auto"/>
              </w:rPr>
            </w:pPr>
          </w:p>
        </w:tc>
      </w:tr>
      <w:tr>
        <w:trPr>
          <w:trHeight w:val="257"/>
        </w:trPr>
        <w:tc>
          <w:tcPr>
            <w:tcW w:w="4200" w:type="dxa"/>
            <w:vAlign w:val="bottom"/>
          </w:tcPr>
          <w:p>
            <w:pPr>
              <w:spacing w:after="0"/>
              <w:rPr>
                <w:sz w:val="22"/>
                <w:szCs w:val="22"/>
                <w:color w:val="auto"/>
              </w:rPr>
            </w:pPr>
          </w:p>
        </w:tc>
        <w:tc>
          <w:tcPr>
            <w:tcW w:w="2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2"/>
        </w:trPr>
        <w:tc>
          <w:tcPr>
            <w:tcW w:w="4200" w:type="dxa"/>
            <w:vAlign w:val="bottom"/>
            <w:vMerge w:val="restart"/>
          </w:tcPr>
          <w:p>
            <w:pPr>
              <w:spacing w:after="0"/>
              <w:rPr>
                <w:sz w:val="20"/>
                <w:szCs w:val="20"/>
                <w:color w:val="auto"/>
              </w:rPr>
            </w:pPr>
            <w:r>
              <w:rPr>
                <w:rFonts w:ascii="Courier New" w:cs="Courier New" w:eastAsia="Courier New" w:hAnsi="Courier New"/>
                <w:sz w:val="15"/>
                <w:szCs w:val="15"/>
                <w:color w:val="auto"/>
              </w:rPr>
              <w:t>Less: Accumulated depreciation an</w:t>
            </w:r>
          </w:p>
        </w:tc>
        <w:tc>
          <w:tcPr>
            <w:tcW w:w="2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81,034,688</w:t>
            </w:r>
          </w:p>
        </w:tc>
        <w:tc>
          <w:tcPr>
            <w:tcW w:w="0" w:type="dxa"/>
            <w:vAlign w:val="bottom"/>
          </w:tcPr>
          <w:p>
            <w:pPr>
              <w:spacing w:after="0"/>
              <w:rPr>
                <w:sz w:val="1"/>
                <w:szCs w:val="1"/>
                <w:color w:val="auto"/>
              </w:rPr>
            </w:pPr>
          </w:p>
        </w:tc>
      </w:tr>
      <w:tr>
        <w:trPr>
          <w:trHeight w:val="95"/>
        </w:trPr>
        <w:tc>
          <w:tcPr>
            <w:tcW w:w="4200" w:type="dxa"/>
            <w:vAlign w:val="bottom"/>
            <w:vMerge w:val="continue"/>
          </w:tcPr>
          <w:p>
            <w:pPr>
              <w:spacing w:after="0"/>
              <w:rPr>
                <w:sz w:val="8"/>
                <w:szCs w:val="8"/>
                <w:color w:val="auto"/>
              </w:rPr>
            </w:pPr>
          </w:p>
        </w:tc>
        <w:tc>
          <w:tcPr>
            <w:tcW w:w="23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(52,308,405)</w:t>
            </w:r>
          </w:p>
        </w:tc>
        <w:tc>
          <w:tcPr>
            <w:tcW w:w="0" w:type="dxa"/>
            <w:vAlign w:val="bottom"/>
          </w:tcPr>
          <w:p>
            <w:pPr>
              <w:spacing w:after="0"/>
              <w:rPr>
                <w:sz w:val="1"/>
                <w:szCs w:val="1"/>
                <w:color w:val="auto"/>
              </w:rPr>
            </w:pPr>
          </w:p>
        </w:tc>
      </w:tr>
      <w:tr>
        <w:trPr>
          <w:trHeight w:val="176"/>
        </w:trPr>
        <w:tc>
          <w:tcPr>
            <w:tcW w:w="4200" w:type="dxa"/>
            <w:vAlign w:val="bottom"/>
          </w:tcPr>
          <w:p>
            <w:pPr>
              <w:ind w:left="640"/>
              <w:spacing w:after="0"/>
              <w:rPr>
                <w:sz w:val="20"/>
                <w:szCs w:val="20"/>
                <w:color w:val="auto"/>
              </w:rPr>
            </w:pPr>
            <w:r>
              <w:rPr>
                <w:rFonts w:ascii="Courier New" w:cs="Courier New" w:eastAsia="Courier New" w:hAnsi="Courier New"/>
                <w:sz w:val="15"/>
                <w:szCs w:val="15"/>
                <w:color w:val="auto"/>
              </w:rPr>
              <w:t>amortization</w:t>
            </w:r>
          </w:p>
        </w:tc>
        <w:tc>
          <w:tcPr>
            <w:tcW w:w="2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200" w:type="dxa"/>
            <w:vAlign w:val="bottom"/>
          </w:tcPr>
          <w:p>
            <w:pPr>
              <w:spacing w:after="0"/>
              <w:rPr>
                <w:sz w:val="22"/>
                <w:szCs w:val="22"/>
                <w:color w:val="auto"/>
              </w:rPr>
            </w:pPr>
          </w:p>
        </w:tc>
        <w:tc>
          <w:tcPr>
            <w:tcW w:w="23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5866"/>
        <w:spacing w:after="0"/>
        <w:rPr>
          <w:sz w:val="20"/>
          <w:szCs w:val="20"/>
          <w:color w:val="auto"/>
        </w:rPr>
      </w:pPr>
      <w:r>
        <w:rPr>
          <w:rFonts w:ascii="Courier New" w:cs="Courier New" w:eastAsia="Courier New" w:hAnsi="Courier New"/>
          <w:sz w:val="15"/>
          <w:szCs w:val="15"/>
          <w:color w:val="auto"/>
        </w:rPr>
        <w:t>$28,726,283</w:t>
      </w:r>
    </w:p>
    <w:p>
      <w:pPr>
        <w:spacing w:after="0" w:line="34" w:lineRule="exact"/>
        <w:rPr>
          <w:sz w:val="20"/>
          <w:szCs w:val="20"/>
          <w:color w:val="auto"/>
        </w:rPr>
      </w:pPr>
    </w:p>
    <w:p>
      <w:pPr>
        <w:ind w:left="5866"/>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5866"/>
        <w:spacing w:after="0"/>
        <w:rPr>
          <w:sz w:val="20"/>
          <w:szCs w:val="20"/>
          <w:color w:val="auto"/>
        </w:rPr>
      </w:pPr>
      <w:r>
        <w:rPr>
          <w:rFonts w:ascii="Courier New" w:cs="Courier New" w:eastAsia="Courier New" w:hAnsi="Courier New"/>
          <w:sz w:val="15"/>
          <w:szCs w:val="15"/>
          <w:color w:val="auto"/>
        </w:rPr>
        <w:t>-----------</w:t>
      </w:r>
    </w:p>
    <w:p>
      <w:pPr>
        <w:spacing w:after="0" w:line="331" w:lineRule="exact"/>
        <w:rPr>
          <w:sz w:val="20"/>
          <w:szCs w:val="20"/>
          <w:color w:val="auto"/>
        </w:rPr>
      </w:pPr>
    </w:p>
    <w:p>
      <w:pPr>
        <w:ind w:left="466" w:right="2899"/>
        <w:spacing w:after="0" w:line="310" w:lineRule="auto"/>
        <w:rPr>
          <w:sz w:val="20"/>
          <w:szCs w:val="20"/>
          <w:color w:val="auto"/>
        </w:rPr>
      </w:pPr>
      <w:r>
        <w:rPr>
          <w:rFonts w:ascii="Courier New" w:cs="Courier New" w:eastAsia="Courier New" w:hAnsi="Courier New"/>
          <w:sz w:val="15"/>
          <w:szCs w:val="15"/>
          <w:color w:val="auto"/>
        </w:rPr>
        <w:t>Construction-in-progress is primarily comprised of tooling and molds, production machinery and equipment and certain computer equipment which has not yet been placed in service.</w:t>
      </w:r>
    </w:p>
    <w:p>
      <w:pPr>
        <w:spacing w:after="0" w:line="222"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Continued</w:t>
      </w:r>
    </w:p>
    <w:p>
      <w:pPr>
        <w:spacing w:after="0" w:line="34" w:lineRule="exact"/>
        <w:rPr>
          <w:sz w:val="20"/>
          <w:szCs w:val="20"/>
          <w:color w:val="auto"/>
        </w:rPr>
      </w:pPr>
    </w:p>
    <w:p>
      <w:pPr>
        <w:ind w:left="3766"/>
        <w:spacing w:after="0"/>
        <w:rPr>
          <w:sz w:val="20"/>
          <w:szCs w:val="20"/>
          <w:color w:val="auto"/>
        </w:rPr>
      </w:pPr>
      <w:r>
        <w:rPr>
          <w:rFonts w:ascii="Courier New" w:cs="Courier New" w:eastAsia="Courier New" w:hAnsi="Courier New"/>
          <w:sz w:val="15"/>
          <w:szCs w:val="15"/>
          <w:color w:val="auto"/>
        </w:rPr>
        <w:t>A-10</w:t>
      </w:r>
    </w:p>
    <w:p>
      <w:pPr>
        <w:sectPr>
          <w:pgSz w:w="11900" w:h="16838" w:orient="portrait"/>
          <w:cols w:equalWidth="0" w:num="1">
            <w:col w:w="10225"/>
          </w:cols>
          <w:pgMar w:left="234" w:top="619" w:right="1440" w:bottom="1440" w:gutter="0" w:footer="0" w:header="0"/>
        </w:sectPr>
      </w:pPr>
    </w:p>
    <w:bookmarkStart w:id="14" w:name="page15"/>
    <w:bookmarkEnd w:id="14"/>
    <w:p>
      <w:pPr>
        <w:ind w:left="2566"/>
        <w:spacing w:after="0"/>
        <w:rPr>
          <w:sz w:val="20"/>
          <w:szCs w:val="20"/>
          <w:color w:val="auto"/>
        </w:rPr>
      </w:pPr>
      <w:r>
        <w:rPr>
          <w:rFonts w:ascii="Courier New" w:cs="Courier New" w:eastAsia="Courier New" w:hAnsi="Courier New"/>
          <w:sz w:val="15"/>
          <w:szCs w:val="15"/>
          <w:color w:val="auto"/>
        </w:rPr>
        <w:t>JAMES HARDIE IRRIGATION GROUP</w:t>
      </w:r>
    </w:p>
    <w:p>
      <w:pPr>
        <w:spacing w:after="0" w:line="182" w:lineRule="exact"/>
        <w:rPr>
          <w:sz w:val="20"/>
          <w:szCs w:val="20"/>
          <w:color w:val="auto"/>
        </w:rPr>
      </w:pPr>
    </w:p>
    <w:p>
      <w:pPr>
        <w:jc w:val="center"/>
        <w:ind w:right="2333"/>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34" w:lineRule="exact"/>
        <w:rPr>
          <w:sz w:val="20"/>
          <w:szCs w:val="20"/>
          <w:color w:val="auto"/>
        </w:rPr>
      </w:pPr>
    </w:p>
    <w:p>
      <w:pPr>
        <w:jc w:val="center"/>
        <w:ind w:right="2333"/>
        <w:spacing w:after="0"/>
        <w:rPr>
          <w:sz w:val="20"/>
          <w:szCs w:val="20"/>
          <w:color w:val="auto"/>
        </w:rPr>
      </w:pPr>
      <w:r>
        <w:rPr>
          <w:rFonts w:ascii="Courier New" w:cs="Courier New" w:eastAsia="Courier New" w:hAnsi="Courier New"/>
          <w:sz w:val="15"/>
          <w:szCs w:val="15"/>
          <w:color w:val="auto"/>
        </w:rPr>
        <w:t>December 1, 1996</w:t>
      </w:r>
    </w:p>
    <w:p>
      <w:pPr>
        <w:spacing w:after="0" w:line="6" w:lineRule="exact"/>
        <w:rPr>
          <w:sz w:val="20"/>
          <w:szCs w:val="20"/>
          <w:color w:val="auto"/>
        </w:rPr>
      </w:pPr>
    </w:p>
    <w:p>
      <w:pPr>
        <w:ind w:left="3206"/>
        <w:spacing w:after="0"/>
        <w:rPr>
          <w:sz w:val="20"/>
          <w:szCs w:val="20"/>
          <w:color w:val="auto"/>
        </w:rPr>
      </w:pPr>
      <w:r>
        <w:rPr>
          <w:rFonts w:ascii="Courier New" w:cs="Courier New" w:eastAsia="Courier New" w:hAnsi="Courier New"/>
          <w:sz w:val="15"/>
          <w:szCs w:val="15"/>
          <w:color w:val="auto"/>
        </w:rPr>
        <w:t>_______________</w:t>
      </w:r>
    </w:p>
    <w:p>
      <w:pPr>
        <w:spacing w:after="0" w:line="331" w:lineRule="exact"/>
        <w:rPr>
          <w:sz w:val="20"/>
          <w:szCs w:val="20"/>
          <w:color w:val="auto"/>
        </w:rPr>
      </w:pPr>
    </w:p>
    <w:p>
      <w:pPr>
        <w:ind w:left="466" w:hanging="466"/>
        <w:spacing w:after="0"/>
        <w:tabs>
          <w:tab w:leader="none" w:pos="466"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Intangible Assets:</w:t>
      </w:r>
    </w:p>
    <w:p>
      <w:pPr>
        <w:spacing w:after="0" w:line="182" w:lineRule="exact"/>
        <w:rPr>
          <w:rFonts w:ascii="Courier New" w:cs="Courier New" w:eastAsia="Courier New" w:hAnsi="Courier New"/>
          <w:sz w:val="15"/>
          <w:szCs w:val="15"/>
          <w:color w:val="auto"/>
        </w:rPr>
      </w:pPr>
    </w:p>
    <w:p>
      <w:pPr>
        <w:ind w:left="466" w:right="3259"/>
        <w:spacing w:after="0" w:line="37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Intangible assets consist of the following components as of December 1, 1996:</w:t>
      </w:r>
    </w:p>
    <w:p>
      <w:pPr>
        <w:spacing w:after="0" w:line="178" w:lineRule="exact"/>
        <w:rPr>
          <w:sz w:val="20"/>
          <w:szCs w:val="20"/>
          <w:color w:val="auto"/>
        </w:rPr>
      </w:pPr>
    </w:p>
    <w:tbl>
      <w:tblPr>
        <w:tblLayout w:type="fixed"/>
        <w:tblInd w:w="466" w:type="dxa"/>
        <w:tblCellMar>
          <w:top w:w="0" w:type="dxa"/>
          <w:left w:w="0" w:type="dxa"/>
          <w:bottom w:w="0" w:type="dxa"/>
          <w:right w:w="0" w:type="dxa"/>
        </w:tblCellMar>
      </w:tblPr>
      <w:tr>
        <w:trPr>
          <w:trHeight w:val="176"/>
        </w:trPr>
        <w:tc>
          <w:tcPr>
            <w:tcW w:w="4840" w:type="dxa"/>
            <w:vAlign w:val="bottom"/>
          </w:tcPr>
          <w:p>
            <w:pPr>
              <w:spacing w:after="0"/>
              <w:rPr>
                <w:sz w:val="20"/>
                <w:szCs w:val="20"/>
                <w:color w:val="auto"/>
              </w:rPr>
            </w:pPr>
            <w:r>
              <w:rPr>
                <w:rFonts w:ascii="Courier New" w:cs="Courier New" w:eastAsia="Courier New" w:hAnsi="Courier New"/>
                <w:sz w:val="15"/>
                <w:szCs w:val="15"/>
                <w:color w:val="auto"/>
              </w:rPr>
              <w:t>Costs in excess of fair value of net assets of</w:t>
            </w:r>
          </w:p>
        </w:tc>
        <w:tc>
          <w:tcPr>
            <w:tcW w:w="16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$7,642,904</w:t>
            </w:r>
          </w:p>
        </w:tc>
        <w:tc>
          <w:tcPr>
            <w:tcW w:w="0" w:type="dxa"/>
            <w:vAlign w:val="bottom"/>
          </w:tcPr>
          <w:p>
            <w:pPr>
              <w:spacing w:after="0"/>
              <w:rPr>
                <w:sz w:val="1"/>
                <w:szCs w:val="1"/>
                <w:color w:val="auto"/>
              </w:rPr>
            </w:pPr>
          </w:p>
        </w:tc>
      </w:tr>
      <w:tr>
        <w:trPr>
          <w:trHeight w:val="176"/>
        </w:trPr>
        <w:tc>
          <w:tcPr>
            <w:tcW w:w="4840" w:type="dxa"/>
            <w:vAlign w:val="bottom"/>
          </w:tcPr>
          <w:p>
            <w:pPr>
              <w:ind w:left="80"/>
              <w:spacing w:after="0"/>
              <w:rPr>
                <w:sz w:val="20"/>
                <w:szCs w:val="20"/>
                <w:color w:val="auto"/>
              </w:rPr>
            </w:pPr>
            <w:r>
              <w:rPr>
                <w:rFonts w:ascii="Courier New" w:cs="Courier New" w:eastAsia="Courier New" w:hAnsi="Courier New"/>
                <w:sz w:val="15"/>
                <w:szCs w:val="15"/>
                <w:color w:val="auto"/>
              </w:rPr>
              <w:t>businesses acquired</w:t>
            </w:r>
          </w:p>
        </w:tc>
        <w:tc>
          <w:tcPr>
            <w:tcW w:w="166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800,642</w:t>
            </w:r>
          </w:p>
        </w:tc>
        <w:tc>
          <w:tcPr>
            <w:tcW w:w="0" w:type="dxa"/>
            <w:vAlign w:val="bottom"/>
          </w:tcPr>
          <w:p>
            <w:pPr>
              <w:spacing w:after="0"/>
              <w:rPr>
                <w:sz w:val="1"/>
                <w:szCs w:val="1"/>
                <w:color w:val="auto"/>
              </w:rPr>
            </w:pPr>
          </w:p>
        </w:tc>
      </w:tr>
      <w:tr>
        <w:trPr>
          <w:trHeight w:val="176"/>
        </w:trPr>
        <w:tc>
          <w:tcPr>
            <w:tcW w:w="4840" w:type="dxa"/>
            <w:vAlign w:val="bottom"/>
          </w:tcPr>
          <w:p>
            <w:pPr>
              <w:spacing w:after="0"/>
              <w:rPr>
                <w:sz w:val="20"/>
                <w:szCs w:val="20"/>
                <w:color w:val="auto"/>
              </w:rPr>
            </w:pPr>
            <w:r>
              <w:rPr>
                <w:rFonts w:ascii="Courier New" w:cs="Courier New" w:eastAsia="Courier New" w:hAnsi="Courier New"/>
                <w:sz w:val="15"/>
                <w:szCs w:val="15"/>
                <w:color w:val="auto"/>
              </w:rPr>
              <w:t>Patents and trade names</w:t>
            </w: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840" w:type="dxa"/>
            <w:vAlign w:val="bottom"/>
          </w:tcPr>
          <w:p>
            <w:pPr>
              <w:spacing w:after="0"/>
              <w:rPr>
                <w:sz w:val="22"/>
                <w:szCs w:val="22"/>
                <w:color w:val="auto"/>
              </w:rPr>
            </w:pPr>
          </w:p>
        </w:tc>
        <w:tc>
          <w:tcPr>
            <w:tcW w:w="16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2"/>
        </w:trPr>
        <w:tc>
          <w:tcPr>
            <w:tcW w:w="4840" w:type="dxa"/>
            <w:vAlign w:val="bottom"/>
          </w:tcPr>
          <w:p>
            <w:pPr>
              <w:spacing w:after="0"/>
              <w:rPr>
                <w:sz w:val="24"/>
                <w:szCs w:val="24"/>
                <w:color w:val="auto"/>
              </w:rPr>
            </w:pPr>
          </w:p>
        </w:tc>
        <w:tc>
          <w:tcPr>
            <w:tcW w:w="16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8,443,546</w:t>
            </w:r>
          </w:p>
        </w:tc>
        <w:tc>
          <w:tcPr>
            <w:tcW w:w="0" w:type="dxa"/>
            <w:vAlign w:val="bottom"/>
          </w:tcPr>
          <w:p>
            <w:pPr>
              <w:spacing w:after="0"/>
              <w:rPr>
                <w:sz w:val="1"/>
                <w:szCs w:val="1"/>
                <w:color w:val="auto"/>
              </w:rPr>
            </w:pPr>
          </w:p>
        </w:tc>
      </w:tr>
      <w:tr>
        <w:trPr>
          <w:trHeight w:val="271"/>
        </w:trPr>
        <w:tc>
          <w:tcPr>
            <w:tcW w:w="4840" w:type="dxa"/>
            <w:vAlign w:val="bottom"/>
          </w:tcPr>
          <w:p>
            <w:pPr>
              <w:spacing w:after="0"/>
              <w:rPr>
                <w:sz w:val="20"/>
                <w:szCs w:val="20"/>
                <w:color w:val="auto"/>
              </w:rPr>
            </w:pPr>
            <w:r>
              <w:rPr>
                <w:rFonts w:ascii="Courier New" w:cs="Courier New" w:eastAsia="Courier New" w:hAnsi="Courier New"/>
                <w:sz w:val="15"/>
                <w:szCs w:val="15"/>
                <w:color w:val="auto"/>
              </w:rPr>
              <w:t>Less: Accumulated amortization</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(5,465,156)</w:t>
            </w:r>
          </w:p>
        </w:tc>
        <w:tc>
          <w:tcPr>
            <w:tcW w:w="0" w:type="dxa"/>
            <w:vAlign w:val="bottom"/>
          </w:tcPr>
          <w:p>
            <w:pPr>
              <w:spacing w:after="0"/>
              <w:rPr>
                <w:sz w:val="1"/>
                <w:szCs w:val="1"/>
                <w:color w:val="auto"/>
              </w:rPr>
            </w:pPr>
          </w:p>
        </w:tc>
      </w:tr>
      <w:tr>
        <w:trPr>
          <w:trHeight w:val="257"/>
        </w:trPr>
        <w:tc>
          <w:tcPr>
            <w:tcW w:w="4840" w:type="dxa"/>
            <w:vAlign w:val="bottom"/>
          </w:tcPr>
          <w:p>
            <w:pPr>
              <w:spacing w:after="0"/>
              <w:rPr>
                <w:sz w:val="22"/>
                <w:szCs w:val="22"/>
                <w:color w:val="auto"/>
              </w:rPr>
            </w:pPr>
          </w:p>
        </w:tc>
        <w:tc>
          <w:tcPr>
            <w:tcW w:w="16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5946"/>
        <w:spacing w:after="0"/>
        <w:rPr>
          <w:sz w:val="20"/>
          <w:szCs w:val="20"/>
          <w:color w:val="auto"/>
        </w:rPr>
      </w:pPr>
      <w:r>
        <w:rPr>
          <w:rFonts w:ascii="Courier New" w:cs="Courier New" w:eastAsia="Courier New" w:hAnsi="Courier New"/>
          <w:sz w:val="15"/>
          <w:szCs w:val="15"/>
          <w:color w:val="auto"/>
        </w:rPr>
        <w:t>$2,978,390</w:t>
      </w:r>
    </w:p>
    <w:p>
      <w:pPr>
        <w:spacing w:after="0" w:line="34" w:lineRule="exact"/>
        <w:rPr>
          <w:sz w:val="20"/>
          <w:szCs w:val="20"/>
          <w:color w:val="auto"/>
        </w:rPr>
      </w:pPr>
    </w:p>
    <w:p>
      <w:pPr>
        <w:ind w:left="5946"/>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5946"/>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7" w:lineRule="exact"/>
        <w:rPr>
          <w:sz w:val="20"/>
          <w:szCs w:val="20"/>
          <w:color w:val="auto"/>
        </w:rPr>
      </w:pPr>
    </w:p>
    <w:p>
      <w:pPr>
        <w:ind w:left="466" w:hanging="466"/>
        <w:spacing w:after="0"/>
        <w:tabs>
          <w:tab w:leader="none" w:pos="466"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Assets:</w:t>
      </w:r>
    </w:p>
    <w:p>
      <w:pPr>
        <w:spacing w:after="0" w:line="182" w:lineRule="exact"/>
        <w:rPr>
          <w:rFonts w:ascii="Courier New" w:cs="Courier New" w:eastAsia="Courier New" w:hAnsi="Courier New"/>
          <w:sz w:val="15"/>
          <w:szCs w:val="15"/>
          <w:color w:val="auto"/>
        </w:rPr>
      </w:pPr>
    </w:p>
    <w:p>
      <w:pPr>
        <w:ind w:left="466"/>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Other assets consist of the following components as of December  1, 1996:</w:t>
      </w:r>
    </w:p>
    <w:p>
      <w:pPr>
        <w:spacing w:after="0" w:line="359" w:lineRule="exact"/>
        <w:rPr>
          <w:sz w:val="20"/>
          <w:szCs w:val="20"/>
          <w:color w:val="auto"/>
        </w:rPr>
      </w:pPr>
    </w:p>
    <w:tbl>
      <w:tblPr>
        <w:tblLayout w:type="fixed"/>
        <w:tblInd w:w="466" w:type="dxa"/>
        <w:tblCellMar>
          <w:top w:w="0" w:type="dxa"/>
          <w:left w:w="0" w:type="dxa"/>
          <w:bottom w:w="0" w:type="dxa"/>
          <w:right w:w="0" w:type="dxa"/>
        </w:tblCellMar>
      </w:tblP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Purchased software</w:t>
            </w:r>
          </w:p>
        </w:tc>
        <w:tc>
          <w:tcPr>
            <w:tcW w:w="2840" w:type="dxa"/>
            <w:vAlign w:val="bottom"/>
          </w:tcPr>
          <w:p>
            <w:pPr>
              <w:jc w:val="right"/>
              <w:spacing w:after="0"/>
              <w:rPr>
                <w:sz w:val="20"/>
                <w:szCs w:val="20"/>
                <w:color w:val="auto"/>
              </w:rPr>
            </w:pPr>
            <w:r>
              <w:rPr>
                <w:rFonts w:ascii="Courier New" w:cs="Courier New" w:eastAsia="Courier New" w:hAnsi="Courier New"/>
                <w:sz w:val="15"/>
                <w:szCs w:val="15"/>
                <w:color w:val="auto"/>
              </w:rPr>
              <w:t>$2,853,867</w:t>
            </w:r>
          </w:p>
        </w:tc>
      </w:tr>
      <w:tr>
        <w:trPr>
          <w:trHeight w:val="176"/>
        </w:trPr>
        <w:tc>
          <w:tcPr>
            <w:tcW w:w="3560" w:type="dxa"/>
            <w:vAlign w:val="bottom"/>
          </w:tcPr>
          <w:p>
            <w:pPr>
              <w:spacing w:after="0"/>
              <w:rPr>
                <w:sz w:val="20"/>
                <w:szCs w:val="20"/>
                <w:color w:val="auto"/>
              </w:rPr>
            </w:pPr>
            <w:r>
              <w:rPr>
                <w:rFonts w:ascii="Courier New" w:cs="Courier New" w:eastAsia="Courier New" w:hAnsi="Courier New"/>
                <w:sz w:val="15"/>
                <w:szCs w:val="15"/>
                <w:color w:val="auto"/>
              </w:rPr>
              <w:t>Deposits</w:t>
            </w:r>
          </w:p>
        </w:tc>
        <w:tc>
          <w:tcPr>
            <w:tcW w:w="2840" w:type="dxa"/>
            <w:vAlign w:val="bottom"/>
          </w:tcPr>
          <w:p>
            <w:pPr>
              <w:jc w:val="right"/>
              <w:spacing w:after="0"/>
              <w:rPr>
                <w:sz w:val="20"/>
                <w:szCs w:val="20"/>
                <w:color w:val="auto"/>
              </w:rPr>
            </w:pPr>
            <w:r>
              <w:rPr>
                <w:rFonts w:ascii="Courier New" w:cs="Courier New" w:eastAsia="Courier New" w:hAnsi="Courier New"/>
                <w:sz w:val="15"/>
                <w:szCs w:val="15"/>
                <w:color w:val="auto"/>
              </w:rPr>
              <w:t>191,416</w:t>
            </w:r>
          </w:p>
        </w:tc>
      </w:tr>
      <w:tr>
        <w:trPr>
          <w:trHeight w:val="257"/>
        </w:trPr>
        <w:tc>
          <w:tcPr>
            <w:tcW w:w="3560" w:type="dxa"/>
            <w:vAlign w:val="bottom"/>
          </w:tcPr>
          <w:p>
            <w:pPr>
              <w:spacing w:after="0"/>
              <w:rPr>
                <w:sz w:val="22"/>
                <w:szCs w:val="22"/>
                <w:color w:val="auto"/>
              </w:rPr>
            </w:pPr>
          </w:p>
        </w:tc>
        <w:tc>
          <w:tcPr>
            <w:tcW w:w="2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271"/>
        </w:trPr>
        <w:tc>
          <w:tcPr>
            <w:tcW w:w="3560" w:type="dxa"/>
            <w:vAlign w:val="bottom"/>
          </w:tcPr>
          <w:p>
            <w:pPr>
              <w:spacing w:after="0"/>
              <w:rPr>
                <w:sz w:val="23"/>
                <w:szCs w:val="23"/>
                <w:color w:val="auto"/>
              </w:rPr>
            </w:pPr>
          </w:p>
        </w:tc>
        <w:tc>
          <w:tcPr>
            <w:tcW w:w="2840" w:type="dxa"/>
            <w:vAlign w:val="bottom"/>
          </w:tcPr>
          <w:p>
            <w:pPr>
              <w:jc w:val="right"/>
              <w:spacing w:after="0"/>
              <w:rPr>
                <w:sz w:val="20"/>
                <w:szCs w:val="20"/>
                <w:color w:val="auto"/>
              </w:rPr>
            </w:pPr>
            <w:r>
              <w:rPr>
                <w:rFonts w:ascii="Courier New" w:cs="Courier New" w:eastAsia="Courier New" w:hAnsi="Courier New"/>
                <w:sz w:val="15"/>
                <w:szCs w:val="15"/>
                <w:color w:val="auto"/>
              </w:rPr>
              <w:t>$3,045,283</w:t>
            </w:r>
          </w:p>
        </w:tc>
      </w:tr>
      <w:tr>
        <w:trPr>
          <w:trHeight w:val="176"/>
        </w:trPr>
        <w:tc>
          <w:tcPr>
            <w:tcW w:w="3560" w:type="dxa"/>
            <w:vAlign w:val="bottom"/>
          </w:tcPr>
          <w:p>
            <w:pPr>
              <w:spacing w:after="0"/>
              <w:rPr>
                <w:sz w:val="15"/>
                <w:szCs w:val="15"/>
                <w:color w:val="auto"/>
              </w:rPr>
            </w:pPr>
          </w:p>
        </w:tc>
        <w:tc>
          <w:tcPr>
            <w:tcW w:w="2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257"/>
        </w:trPr>
        <w:tc>
          <w:tcPr>
            <w:tcW w:w="3560" w:type="dxa"/>
            <w:vAlign w:val="bottom"/>
          </w:tcPr>
          <w:p>
            <w:pPr>
              <w:spacing w:after="0"/>
              <w:rPr>
                <w:sz w:val="22"/>
                <w:szCs w:val="22"/>
                <w:color w:val="auto"/>
              </w:rPr>
            </w:pPr>
          </w:p>
        </w:tc>
        <w:tc>
          <w:tcPr>
            <w:tcW w:w="2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71" w:lineRule="exact"/>
        <w:rPr>
          <w:sz w:val="20"/>
          <w:szCs w:val="20"/>
          <w:color w:val="auto"/>
        </w:rPr>
      </w:pPr>
    </w:p>
    <w:p>
      <w:pPr>
        <w:ind w:left="466" w:right="2979"/>
        <w:spacing w:after="0" w:line="273" w:lineRule="auto"/>
        <w:rPr>
          <w:sz w:val="20"/>
          <w:szCs w:val="20"/>
          <w:color w:val="auto"/>
        </w:rPr>
      </w:pPr>
      <w:r>
        <w:rPr>
          <w:rFonts w:ascii="Courier New" w:cs="Courier New" w:eastAsia="Courier New" w:hAnsi="Courier New"/>
          <w:sz w:val="15"/>
          <w:szCs w:val="15"/>
          <w:color w:val="auto"/>
        </w:rPr>
        <w:t>In March 1994, Hardie U.S. suspended operations at its Carson City, Nevada manufacturing facility and transferred the majority of the machinery and equipment, inventory and personnel to other facilities of Hardie U.S. In 1995, the Carson City facility was held for sale and written down to its net realizable value. Effective December 1, 1996, the Carson City land and building were transferred to a subsidiary of the U.S. Parent.</w:t>
      </w:r>
    </w:p>
    <w:p>
      <w:pPr>
        <w:spacing w:after="0" w:line="74" w:lineRule="exact"/>
        <w:rPr>
          <w:sz w:val="20"/>
          <w:szCs w:val="20"/>
          <w:color w:val="auto"/>
        </w:rPr>
      </w:pPr>
    </w:p>
    <w:p>
      <w:pPr>
        <w:ind w:left="466" w:right="3079"/>
        <w:spacing w:after="0" w:line="264" w:lineRule="auto"/>
        <w:rPr>
          <w:sz w:val="20"/>
          <w:szCs w:val="20"/>
          <w:color w:val="auto"/>
        </w:rPr>
      </w:pPr>
      <w:r>
        <w:rPr>
          <w:rFonts w:ascii="Courier New" w:cs="Courier New" w:eastAsia="Courier New" w:hAnsi="Courier New"/>
          <w:sz w:val="15"/>
          <w:szCs w:val="15"/>
          <w:color w:val="auto"/>
        </w:rPr>
        <w:t>In 1995, Hardie U.S. purchased satellite technology and computer software from Sovran (PTY) Ltd. The acquired technology enables the operator to control large irrigation systems from remote locations via computer. Hardie U.S. is currently adapting the acquired technology to enhance its line of irrigation products. As of December 1, 1996, Hardie U.S. has capitalized $2,853,867 associated with the initial acquisition and subsequent costs incurred to modify the then existing technology. Amortization of these costs will commence upon the release of the new product line to the market.</w:t>
      </w:r>
    </w:p>
    <w:p>
      <w:pPr>
        <w:spacing w:after="0" w:line="256"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Continued</w:t>
      </w:r>
    </w:p>
    <w:p>
      <w:pPr>
        <w:spacing w:after="0" w:line="34" w:lineRule="exact"/>
        <w:rPr>
          <w:sz w:val="20"/>
          <w:szCs w:val="20"/>
          <w:color w:val="auto"/>
        </w:rPr>
      </w:pPr>
    </w:p>
    <w:p>
      <w:pPr>
        <w:ind w:left="3766"/>
        <w:spacing w:after="0"/>
        <w:rPr>
          <w:sz w:val="20"/>
          <w:szCs w:val="20"/>
          <w:color w:val="auto"/>
        </w:rPr>
      </w:pPr>
      <w:r>
        <w:rPr>
          <w:rFonts w:ascii="Courier New" w:cs="Courier New" w:eastAsia="Courier New" w:hAnsi="Courier New"/>
          <w:sz w:val="15"/>
          <w:szCs w:val="15"/>
          <w:color w:val="auto"/>
        </w:rPr>
        <w:t>A-11</w:t>
      </w:r>
    </w:p>
    <w:p>
      <w:pPr>
        <w:sectPr>
          <w:pgSz w:w="11900" w:h="16838" w:orient="portrait"/>
          <w:cols w:equalWidth="0" w:num="1">
            <w:col w:w="10225"/>
          </w:cols>
          <w:pgMar w:left="234" w:top="619" w:right="1440" w:bottom="1440" w:gutter="0" w:footer="0" w:header="0"/>
        </w:sectPr>
      </w:pPr>
    </w:p>
    <w:bookmarkStart w:id="15" w:name="page16"/>
    <w:bookmarkEnd w:id="15"/>
    <w:p>
      <w:pPr>
        <w:ind w:left="2566"/>
        <w:spacing w:after="0"/>
        <w:rPr>
          <w:sz w:val="20"/>
          <w:szCs w:val="20"/>
          <w:color w:val="auto"/>
        </w:rPr>
      </w:pPr>
      <w:r>
        <w:rPr>
          <w:rFonts w:ascii="Courier New" w:cs="Courier New" w:eastAsia="Courier New" w:hAnsi="Courier New"/>
          <w:sz w:val="15"/>
          <w:szCs w:val="15"/>
          <w:color w:val="auto"/>
        </w:rPr>
        <w:t>JAMES HARDIE IRRIGATION GROUP</w:t>
      </w:r>
    </w:p>
    <w:p>
      <w:pPr>
        <w:spacing w:after="0" w:line="182" w:lineRule="exact"/>
        <w:rPr>
          <w:sz w:val="20"/>
          <w:szCs w:val="20"/>
          <w:color w:val="auto"/>
        </w:rPr>
      </w:pPr>
    </w:p>
    <w:p>
      <w:pPr>
        <w:jc w:val="center"/>
        <w:ind w:right="2353"/>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34" w:lineRule="exact"/>
        <w:rPr>
          <w:sz w:val="20"/>
          <w:szCs w:val="20"/>
          <w:color w:val="auto"/>
        </w:rPr>
      </w:pPr>
    </w:p>
    <w:p>
      <w:pPr>
        <w:jc w:val="center"/>
        <w:ind w:right="2353"/>
        <w:spacing w:after="0"/>
        <w:rPr>
          <w:sz w:val="20"/>
          <w:szCs w:val="20"/>
          <w:color w:val="auto"/>
        </w:rPr>
      </w:pPr>
      <w:r>
        <w:rPr>
          <w:rFonts w:ascii="Courier New" w:cs="Courier New" w:eastAsia="Courier New" w:hAnsi="Courier New"/>
          <w:sz w:val="15"/>
          <w:szCs w:val="15"/>
          <w:color w:val="auto"/>
        </w:rPr>
        <w:t>December 1, 1996</w:t>
      </w:r>
    </w:p>
    <w:p>
      <w:pPr>
        <w:spacing w:after="0" w:line="6" w:lineRule="exact"/>
        <w:rPr>
          <w:sz w:val="20"/>
          <w:szCs w:val="20"/>
          <w:color w:val="auto"/>
        </w:rPr>
      </w:pPr>
    </w:p>
    <w:p>
      <w:pPr>
        <w:ind w:left="3206"/>
        <w:spacing w:after="0"/>
        <w:rPr>
          <w:sz w:val="20"/>
          <w:szCs w:val="20"/>
          <w:color w:val="auto"/>
        </w:rPr>
      </w:pPr>
      <w:r>
        <w:rPr>
          <w:rFonts w:ascii="Courier New" w:cs="Courier New" w:eastAsia="Courier New" w:hAnsi="Courier New"/>
          <w:sz w:val="15"/>
          <w:szCs w:val="15"/>
          <w:color w:val="auto"/>
        </w:rPr>
        <w:t>_______________</w:t>
      </w:r>
    </w:p>
    <w:p>
      <w:pPr>
        <w:spacing w:after="0" w:line="331" w:lineRule="exact"/>
        <w:rPr>
          <w:sz w:val="20"/>
          <w:szCs w:val="20"/>
          <w:color w:val="auto"/>
        </w:rPr>
      </w:pPr>
    </w:p>
    <w:p>
      <w:pPr>
        <w:ind w:left="466" w:hanging="466"/>
        <w:spacing w:after="0"/>
        <w:tabs>
          <w:tab w:leader="none" w:pos="466"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82" w:lineRule="exact"/>
        <w:rPr>
          <w:rFonts w:ascii="Courier New" w:cs="Courier New" w:eastAsia="Courier New" w:hAnsi="Courier New"/>
          <w:sz w:val="15"/>
          <w:szCs w:val="15"/>
          <w:color w:val="auto"/>
        </w:rPr>
      </w:pPr>
    </w:p>
    <w:p>
      <w:pPr>
        <w:ind w:left="466" w:right="2899"/>
        <w:spacing w:after="0" w:line="28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are the components of the income tax benefit income taxes included in the combined statement of operations for the year ended December 1, 1996. There was no provision for income taxes for Hardie Europe for the year ended December 1, 1996.</w:t>
      </w:r>
    </w:p>
    <w:p>
      <w:pPr>
        <w:spacing w:after="0" w:line="239" w:lineRule="exact"/>
        <w:rPr>
          <w:sz w:val="20"/>
          <w:szCs w:val="20"/>
          <w:color w:val="auto"/>
        </w:rPr>
      </w:pPr>
    </w:p>
    <w:tbl>
      <w:tblPr>
        <w:tblLayout w:type="fixed"/>
        <w:tblInd w:w="466" w:type="dxa"/>
        <w:tblCellMar>
          <w:top w:w="0" w:type="dxa"/>
          <w:left w:w="0" w:type="dxa"/>
          <w:bottom w:w="0" w:type="dxa"/>
          <w:right w:w="0" w:type="dxa"/>
        </w:tblCellMar>
      </w:tblPr>
      <w:tr>
        <w:trPr>
          <w:trHeight w:val="176"/>
        </w:trPr>
        <w:tc>
          <w:tcPr>
            <w:tcW w:w="320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2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$10,800</w:t>
            </w:r>
          </w:p>
        </w:tc>
        <w:tc>
          <w:tcPr>
            <w:tcW w:w="0" w:type="dxa"/>
            <w:vAlign w:val="bottom"/>
          </w:tcPr>
          <w:p>
            <w:pPr>
              <w:spacing w:after="0"/>
              <w:rPr>
                <w:sz w:val="1"/>
                <w:szCs w:val="1"/>
                <w:color w:val="auto"/>
              </w:rPr>
            </w:pPr>
          </w:p>
        </w:tc>
      </w:tr>
      <w:tr>
        <w:trPr>
          <w:trHeight w:val="176"/>
        </w:trPr>
        <w:tc>
          <w:tcPr>
            <w:tcW w:w="3200" w:type="dxa"/>
            <w:vAlign w:val="bottom"/>
          </w:tcPr>
          <w:p>
            <w:pPr>
              <w:ind w:left="260"/>
              <w:spacing w:after="0"/>
              <w:rPr>
                <w:sz w:val="20"/>
                <w:szCs w:val="20"/>
                <w:color w:val="auto"/>
              </w:rPr>
            </w:pPr>
            <w:r>
              <w:rPr>
                <w:rFonts w:ascii="Courier New" w:cs="Courier New" w:eastAsia="Courier New" w:hAnsi="Courier New"/>
                <w:sz w:val="15"/>
                <w:szCs w:val="15"/>
                <w:color w:val="auto"/>
              </w:rPr>
              <w:t>U.S. Federal</w:t>
            </w:r>
          </w:p>
        </w:tc>
        <w:tc>
          <w:tcPr>
            <w:tcW w:w="2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00" w:type="dxa"/>
            <w:vAlign w:val="bottom"/>
          </w:tcPr>
          <w:p>
            <w:pPr>
              <w:ind w:left="260"/>
              <w:spacing w:after="0"/>
              <w:rPr>
                <w:sz w:val="20"/>
                <w:szCs w:val="20"/>
                <w:color w:val="auto"/>
              </w:rPr>
            </w:pPr>
            <w:r>
              <w:rPr>
                <w:rFonts w:ascii="Courier New" w:cs="Courier New" w:eastAsia="Courier New" w:hAnsi="Courier New"/>
                <w:sz w:val="15"/>
                <w:szCs w:val="15"/>
                <w:color w:val="auto"/>
              </w:rPr>
              <w:t>Australian</w:t>
            </w:r>
          </w:p>
        </w:tc>
        <w:tc>
          <w:tcPr>
            <w:tcW w:w="2280" w:type="dxa"/>
            <w:vAlign w:val="bottom"/>
          </w:tcPr>
          <w:p>
            <w:pPr>
              <w:jc w:val="right"/>
              <w:spacing w:after="0"/>
              <w:rPr>
                <w:sz w:val="20"/>
                <w:szCs w:val="20"/>
                <w:color w:val="auto"/>
              </w:rPr>
            </w:pPr>
            <w:r>
              <w:rPr>
                <w:rFonts w:ascii="Courier New" w:cs="Courier New" w:eastAsia="Courier New" w:hAnsi="Courier New"/>
                <w:sz w:val="15"/>
                <w:szCs w:val="15"/>
                <w:color w:val="auto"/>
              </w:rPr>
              <w:t>499,433</w:t>
            </w:r>
          </w:p>
        </w:tc>
        <w:tc>
          <w:tcPr>
            <w:tcW w:w="0" w:type="dxa"/>
            <w:vAlign w:val="bottom"/>
          </w:tcPr>
          <w:p>
            <w:pPr>
              <w:spacing w:after="0"/>
              <w:rPr>
                <w:sz w:val="1"/>
                <w:szCs w:val="1"/>
                <w:color w:val="auto"/>
              </w:rPr>
            </w:pPr>
          </w:p>
        </w:tc>
      </w:tr>
      <w:tr>
        <w:trPr>
          <w:trHeight w:val="176"/>
        </w:trPr>
        <w:tc>
          <w:tcPr>
            <w:tcW w:w="3200" w:type="dxa"/>
            <w:vAlign w:val="bottom"/>
          </w:tcPr>
          <w:p>
            <w:pPr>
              <w:ind w:left="260"/>
              <w:spacing w:after="0"/>
              <w:rPr>
                <w:sz w:val="20"/>
                <w:szCs w:val="20"/>
                <w:color w:val="auto"/>
              </w:rPr>
            </w:pPr>
            <w:r>
              <w:rPr>
                <w:rFonts w:ascii="Courier New" w:cs="Courier New" w:eastAsia="Courier New" w:hAnsi="Courier New"/>
                <w:sz w:val="15"/>
                <w:szCs w:val="15"/>
                <w:color w:val="auto"/>
              </w:rPr>
              <w:t>U.S. State</w:t>
            </w:r>
          </w:p>
        </w:tc>
        <w:tc>
          <w:tcPr>
            <w:tcW w:w="2280" w:type="dxa"/>
            <w:vAlign w:val="bottom"/>
          </w:tcPr>
          <w:p>
            <w:pPr>
              <w:jc w:val="right"/>
              <w:spacing w:after="0"/>
              <w:rPr>
                <w:sz w:val="20"/>
                <w:szCs w:val="20"/>
                <w:color w:val="auto"/>
              </w:rPr>
            </w:pPr>
            <w:r>
              <w:rPr>
                <w:rFonts w:ascii="Courier New" w:cs="Courier New" w:eastAsia="Courier New" w:hAnsi="Courier New"/>
                <w:sz w:val="15"/>
                <w:szCs w:val="15"/>
                <w:color w:val="auto"/>
              </w:rPr>
              <w:t>3,200</w:t>
            </w:r>
          </w:p>
        </w:tc>
        <w:tc>
          <w:tcPr>
            <w:tcW w:w="0" w:type="dxa"/>
            <w:vAlign w:val="bottom"/>
          </w:tcPr>
          <w:p>
            <w:pPr>
              <w:spacing w:after="0"/>
              <w:rPr>
                <w:sz w:val="1"/>
                <w:szCs w:val="1"/>
                <w:color w:val="auto"/>
              </w:rPr>
            </w:pPr>
          </w:p>
        </w:tc>
      </w:tr>
      <w:tr>
        <w:trPr>
          <w:trHeight w:val="257"/>
        </w:trPr>
        <w:tc>
          <w:tcPr>
            <w:tcW w:w="3200" w:type="dxa"/>
            <w:vAlign w:val="bottom"/>
          </w:tcPr>
          <w:p>
            <w:pPr>
              <w:spacing w:after="0"/>
              <w:rPr>
                <w:sz w:val="22"/>
                <w:szCs w:val="22"/>
                <w:color w:val="auto"/>
              </w:rPr>
            </w:pPr>
          </w:p>
        </w:tc>
        <w:tc>
          <w:tcPr>
            <w:tcW w:w="2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3200" w:type="dxa"/>
            <w:vAlign w:val="bottom"/>
          </w:tcPr>
          <w:p>
            <w:pPr>
              <w:spacing w:after="0"/>
              <w:rPr>
                <w:sz w:val="20"/>
                <w:szCs w:val="20"/>
                <w:color w:val="auto"/>
              </w:rPr>
            </w:pPr>
            <w:r>
              <w:rPr>
                <w:rFonts w:ascii="Courier New" w:cs="Courier New" w:eastAsia="Courier New" w:hAnsi="Courier New"/>
                <w:sz w:val="15"/>
                <w:szCs w:val="15"/>
                <w:color w:val="auto"/>
              </w:rPr>
              <w:t>Income tax benefit</w:t>
            </w:r>
          </w:p>
        </w:tc>
        <w:tc>
          <w:tcPr>
            <w:tcW w:w="2280" w:type="dxa"/>
            <w:vAlign w:val="bottom"/>
          </w:tcPr>
          <w:p>
            <w:pPr>
              <w:jc w:val="right"/>
              <w:spacing w:after="0"/>
              <w:rPr>
                <w:sz w:val="20"/>
                <w:szCs w:val="20"/>
                <w:color w:val="auto"/>
              </w:rPr>
            </w:pPr>
            <w:r>
              <w:rPr>
                <w:rFonts w:ascii="Courier New" w:cs="Courier New" w:eastAsia="Courier New" w:hAnsi="Courier New"/>
                <w:sz w:val="15"/>
                <w:szCs w:val="15"/>
                <w:color w:val="auto"/>
              </w:rPr>
              <w:t>$513,433</w:t>
            </w:r>
          </w:p>
        </w:tc>
        <w:tc>
          <w:tcPr>
            <w:tcW w:w="0" w:type="dxa"/>
            <w:vAlign w:val="bottom"/>
          </w:tcPr>
          <w:p>
            <w:pPr>
              <w:spacing w:after="0"/>
              <w:rPr>
                <w:sz w:val="1"/>
                <w:szCs w:val="1"/>
                <w:color w:val="auto"/>
              </w:rPr>
            </w:pPr>
          </w:p>
        </w:tc>
      </w:tr>
      <w:tr>
        <w:trPr>
          <w:trHeight w:val="176"/>
        </w:trPr>
        <w:tc>
          <w:tcPr>
            <w:tcW w:w="3200" w:type="dxa"/>
            <w:vAlign w:val="bottom"/>
          </w:tcPr>
          <w:p>
            <w:pPr>
              <w:spacing w:after="0"/>
              <w:rPr>
                <w:sz w:val="15"/>
                <w:szCs w:val="15"/>
                <w:color w:val="auto"/>
              </w:rPr>
            </w:pPr>
          </w:p>
        </w:tc>
        <w:tc>
          <w:tcPr>
            <w:tcW w:w="2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7"/>
        </w:trPr>
        <w:tc>
          <w:tcPr>
            <w:tcW w:w="3200" w:type="dxa"/>
            <w:vAlign w:val="bottom"/>
          </w:tcPr>
          <w:p>
            <w:pPr>
              <w:spacing w:after="0"/>
              <w:rPr>
                <w:sz w:val="22"/>
                <w:szCs w:val="22"/>
                <w:color w:val="auto"/>
              </w:rPr>
            </w:pPr>
          </w:p>
        </w:tc>
        <w:tc>
          <w:tcPr>
            <w:tcW w:w="2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71"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Deferred tax assets consist of the following components as of</w:t>
      </w:r>
    </w:p>
    <w:p>
      <w:pPr>
        <w:spacing w:after="0" w:line="34"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December 1, 1996:</w:t>
      </w:r>
    </w:p>
    <w:p>
      <w:pPr>
        <w:spacing w:after="0" w:line="154" w:lineRule="exact"/>
        <w:rPr>
          <w:sz w:val="20"/>
          <w:szCs w:val="20"/>
          <w:color w:val="auto"/>
        </w:rPr>
      </w:pPr>
    </w:p>
    <w:tbl>
      <w:tblPr>
        <w:tblLayout w:type="fixed"/>
        <w:tblInd w:w="466" w:type="dxa"/>
        <w:tblCellMar>
          <w:top w:w="0" w:type="dxa"/>
          <w:left w:w="0" w:type="dxa"/>
          <w:bottom w:w="0" w:type="dxa"/>
          <w:right w:w="0" w:type="dxa"/>
        </w:tblCellMar>
      </w:tblPr>
      <w:tr>
        <w:trPr>
          <w:trHeight w:val="176"/>
        </w:trPr>
        <w:tc>
          <w:tcPr>
            <w:tcW w:w="3880" w:type="dxa"/>
            <w:vAlign w:val="bottom"/>
          </w:tcPr>
          <w:p>
            <w:pPr>
              <w:spacing w:after="0"/>
              <w:rPr>
                <w:sz w:val="20"/>
                <w:szCs w:val="20"/>
                <w:color w:val="auto"/>
              </w:rPr>
            </w:pPr>
            <w:r>
              <w:rPr>
                <w:rFonts w:ascii="Courier New" w:cs="Courier New" w:eastAsia="Courier New" w:hAnsi="Courier New"/>
                <w:sz w:val="15"/>
                <w:szCs w:val="15"/>
                <w:color w:val="auto"/>
              </w:rPr>
              <w:t>Gross deferred tax assets:</w:t>
            </w:r>
          </w:p>
        </w:tc>
        <w:tc>
          <w:tcPr>
            <w:tcW w:w="1700" w:type="dxa"/>
            <w:vAlign w:val="bottom"/>
            <w:vMerge w:val="restart"/>
          </w:tcPr>
          <w:p>
            <w:pPr>
              <w:jc w:val="right"/>
              <w:ind w:right="24"/>
              <w:spacing w:after="0"/>
              <w:rPr>
                <w:sz w:val="20"/>
                <w:szCs w:val="20"/>
                <w:color w:val="auto"/>
              </w:rPr>
            </w:pPr>
            <w:r>
              <w:rPr>
                <w:rFonts w:ascii="Courier New" w:cs="Courier New" w:eastAsia="Courier New" w:hAnsi="Courier New"/>
                <w:sz w:val="15"/>
                <w:szCs w:val="15"/>
                <w:color w:val="auto"/>
              </w:rPr>
              <w:t>$1,885,744</w:t>
            </w:r>
          </w:p>
        </w:tc>
        <w:tc>
          <w:tcPr>
            <w:tcW w:w="0" w:type="dxa"/>
            <w:vAlign w:val="bottom"/>
          </w:tcPr>
          <w:p>
            <w:pPr>
              <w:spacing w:after="0"/>
              <w:rPr>
                <w:sz w:val="1"/>
                <w:szCs w:val="1"/>
                <w:color w:val="auto"/>
              </w:rPr>
            </w:pPr>
          </w:p>
        </w:tc>
      </w:tr>
      <w:tr>
        <w:trPr>
          <w:trHeight w:val="176"/>
        </w:trPr>
        <w:tc>
          <w:tcPr>
            <w:tcW w:w="3880" w:type="dxa"/>
            <w:vAlign w:val="bottom"/>
          </w:tcPr>
          <w:p>
            <w:pPr>
              <w:ind w:left="260"/>
              <w:spacing w:after="0"/>
              <w:rPr>
                <w:sz w:val="20"/>
                <w:szCs w:val="20"/>
                <w:color w:val="auto"/>
              </w:rPr>
            </w:pPr>
            <w:r>
              <w:rPr>
                <w:rFonts w:ascii="Courier New" w:cs="Courier New" w:eastAsia="Courier New" w:hAnsi="Courier New"/>
                <w:sz w:val="15"/>
                <w:szCs w:val="15"/>
                <w:color w:val="auto"/>
              </w:rPr>
              <w:t>Inventory</w:t>
            </w:r>
          </w:p>
        </w:tc>
        <w:tc>
          <w:tcPr>
            <w:tcW w:w="1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80" w:type="dxa"/>
            <w:vAlign w:val="bottom"/>
          </w:tcPr>
          <w:p>
            <w:pPr>
              <w:ind w:left="260"/>
              <w:spacing w:after="0"/>
              <w:rPr>
                <w:sz w:val="20"/>
                <w:szCs w:val="20"/>
                <w:color w:val="auto"/>
              </w:rPr>
            </w:pPr>
            <w:r>
              <w:rPr>
                <w:rFonts w:ascii="Courier New" w:cs="Courier New" w:eastAsia="Courier New" w:hAnsi="Courier New"/>
                <w:sz w:val="15"/>
                <w:szCs w:val="15"/>
                <w:color w:val="auto"/>
              </w:rPr>
              <w:t>Fixed assets</w:t>
            </w:r>
          </w:p>
        </w:tc>
        <w:tc>
          <w:tcPr>
            <w:tcW w:w="17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1,741,263</w:t>
            </w:r>
          </w:p>
        </w:tc>
        <w:tc>
          <w:tcPr>
            <w:tcW w:w="0" w:type="dxa"/>
            <w:vAlign w:val="bottom"/>
          </w:tcPr>
          <w:p>
            <w:pPr>
              <w:spacing w:after="0"/>
              <w:rPr>
                <w:sz w:val="1"/>
                <w:szCs w:val="1"/>
                <w:color w:val="auto"/>
              </w:rPr>
            </w:pPr>
          </w:p>
        </w:tc>
      </w:tr>
      <w:tr>
        <w:trPr>
          <w:trHeight w:val="176"/>
        </w:trPr>
        <w:tc>
          <w:tcPr>
            <w:tcW w:w="3880" w:type="dxa"/>
            <w:vAlign w:val="bottom"/>
          </w:tcPr>
          <w:p>
            <w:pPr>
              <w:ind w:left="260"/>
              <w:spacing w:after="0"/>
              <w:rPr>
                <w:sz w:val="20"/>
                <w:szCs w:val="20"/>
                <w:color w:val="auto"/>
              </w:rPr>
            </w:pPr>
            <w:r>
              <w:rPr>
                <w:rFonts w:ascii="Courier New" w:cs="Courier New" w:eastAsia="Courier New" w:hAnsi="Courier New"/>
                <w:sz w:val="15"/>
                <w:szCs w:val="15"/>
                <w:color w:val="auto"/>
              </w:rPr>
              <w:t>Allowance for doubtful accounts</w:t>
            </w:r>
          </w:p>
        </w:tc>
        <w:tc>
          <w:tcPr>
            <w:tcW w:w="17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786,724</w:t>
            </w:r>
          </w:p>
        </w:tc>
        <w:tc>
          <w:tcPr>
            <w:tcW w:w="0" w:type="dxa"/>
            <w:vAlign w:val="bottom"/>
          </w:tcPr>
          <w:p>
            <w:pPr>
              <w:spacing w:after="0"/>
              <w:rPr>
                <w:sz w:val="1"/>
                <w:szCs w:val="1"/>
                <w:color w:val="auto"/>
              </w:rPr>
            </w:pPr>
          </w:p>
        </w:tc>
      </w:tr>
      <w:tr>
        <w:trPr>
          <w:trHeight w:val="176"/>
        </w:trPr>
        <w:tc>
          <w:tcPr>
            <w:tcW w:w="3880" w:type="dxa"/>
            <w:vAlign w:val="bottom"/>
          </w:tcPr>
          <w:p>
            <w:pPr>
              <w:ind w:left="260"/>
              <w:spacing w:after="0"/>
              <w:rPr>
                <w:sz w:val="20"/>
                <w:szCs w:val="20"/>
                <w:color w:val="auto"/>
              </w:rPr>
            </w:pPr>
            <w:r>
              <w:rPr>
                <w:rFonts w:ascii="Courier New" w:cs="Courier New" w:eastAsia="Courier New" w:hAnsi="Courier New"/>
                <w:sz w:val="15"/>
                <w:szCs w:val="15"/>
                <w:color w:val="auto"/>
              </w:rPr>
              <w:t>Accrued expenses</w:t>
            </w:r>
          </w:p>
        </w:tc>
        <w:tc>
          <w:tcPr>
            <w:tcW w:w="17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3,122,513</w:t>
            </w:r>
          </w:p>
        </w:tc>
        <w:tc>
          <w:tcPr>
            <w:tcW w:w="0" w:type="dxa"/>
            <w:vAlign w:val="bottom"/>
          </w:tcPr>
          <w:p>
            <w:pPr>
              <w:spacing w:after="0"/>
              <w:rPr>
                <w:sz w:val="1"/>
                <w:szCs w:val="1"/>
                <w:color w:val="auto"/>
              </w:rPr>
            </w:pPr>
          </w:p>
        </w:tc>
      </w:tr>
      <w:tr>
        <w:trPr>
          <w:trHeight w:val="176"/>
        </w:trPr>
        <w:tc>
          <w:tcPr>
            <w:tcW w:w="3880" w:type="dxa"/>
            <w:vAlign w:val="bottom"/>
          </w:tcPr>
          <w:p>
            <w:pPr>
              <w:ind w:left="260"/>
              <w:spacing w:after="0"/>
              <w:rPr>
                <w:sz w:val="20"/>
                <w:szCs w:val="20"/>
                <w:color w:val="auto"/>
              </w:rPr>
            </w:pPr>
            <w:r>
              <w:rPr>
                <w:rFonts w:ascii="Courier New" w:cs="Courier New" w:eastAsia="Courier New" w:hAnsi="Courier New"/>
                <w:sz w:val="15"/>
                <w:szCs w:val="15"/>
                <w:color w:val="auto"/>
              </w:rPr>
              <w:t>Net operating loss carryforwards</w:t>
            </w:r>
          </w:p>
        </w:tc>
        <w:tc>
          <w:tcPr>
            <w:tcW w:w="17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937,137</w:t>
            </w:r>
          </w:p>
        </w:tc>
        <w:tc>
          <w:tcPr>
            <w:tcW w:w="0" w:type="dxa"/>
            <w:vAlign w:val="bottom"/>
          </w:tcPr>
          <w:p>
            <w:pPr>
              <w:spacing w:after="0"/>
              <w:rPr>
                <w:sz w:val="1"/>
                <w:szCs w:val="1"/>
                <w:color w:val="auto"/>
              </w:rPr>
            </w:pPr>
          </w:p>
        </w:tc>
      </w:tr>
      <w:tr>
        <w:trPr>
          <w:trHeight w:val="176"/>
        </w:trPr>
        <w:tc>
          <w:tcPr>
            <w:tcW w:w="3880" w:type="dxa"/>
            <w:vAlign w:val="bottom"/>
          </w:tcPr>
          <w:p>
            <w:pPr>
              <w:ind w:left="260"/>
              <w:spacing w:after="0"/>
              <w:rPr>
                <w:sz w:val="20"/>
                <w:szCs w:val="20"/>
                <w:color w:val="auto"/>
              </w:rPr>
            </w:pPr>
            <w:r>
              <w:rPr>
                <w:rFonts w:ascii="Courier New" w:cs="Courier New" w:eastAsia="Courier New" w:hAnsi="Courier New"/>
                <w:sz w:val="15"/>
                <w:szCs w:val="15"/>
                <w:color w:val="auto"/>
              </w:rPr>
              <w:t>Other</w:t>
            </w:r>
          </w:p>
        </w:tc>
        <w:tc>
          <w:tcPr>
            <w:tcW w:w="17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90,245</w:t>
            </w:r>
          </w:p>
        </w:tc>
        <w:tc>
          <w:tcPr>
            <w:tcW w:w="0" w:type="dxa"/>
            <w:vAlign w:val="bottom"/>
          </w:tcPr>
          <w:p>
            <w:pPr>
              <w:spacing w:after="0"/>
              <w:rPr>
                <w:sz w:val="1"/>
                <w:szCs w:val="1"/>
                <w:color w:val="auto"/>
              </w:rPr>
            </w:pPr>
          </w:p>
        </w:tc>
      </w:tr>
      <w:tr>
        <w:trPr>
          <w:trHeight w:val="257"/>
        </w:trPr>
        <w:tc>
          <w:tcPr>
            <w:tcW w:w="3880" w:type="dxa"/>
            <w:vAlign w:val="bottom"/>
          </w:tcPr>
          <w:p>
            <w:pPr>
              <w:spacing w:after="0"/>
              <w:rPr>
                <w:sz w:val="22"/>
                <w:szCs w:val="22"/>
                <w:color w:val="auto"/>
              </w:rPr>
            </w:pPr>
          </w:p>
        </w:tc>
        <w:tc>
          <w:tcPr>
            <w:tcW w:w="17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52"/>
        </w:trPr>
        <w:tc>
          <w:tcPr>
            <w:tcW w:w="3880" w:type="dxa"/>
            <w:vAlign w:val="bottom"/>
          </w:tcPr>
          <w:p>
            <w:pPr>
              <w:spacing w:after="0"/>
              <w:rPr>
                <w:sz w:val="20"/>
                <w:szCs w:val="20"/>
                <w:color w:val="auto"/>
              </w:rPr>
            </w:pPr>
            <w:r>
              <w:rPr>
                <w:rFonts w:ascii="Courier New" w:cs="Courier New" w:eastAsia="Courier New" w:hAnsi="Courier New"/>
                <w:sz w:val="15"/>
                <w:szCs w:val="15"/>
                <w:color w:val="auto"/>
              </w:rPr>
              <w:t>Total deferred tax assets</w:t>
            </w:r>
          </w:p>
        </w:tc>
        <w:tc>
          <w:tcPr>
            <w:tcW w:w="17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8,563,626</w:t>
            </w:r>
          </w:p>
        </w:tc>
        <w:tc>
          <w:tcPr>
            <w:tcW w:w="0" w:type="dxa"/>
            <w:vAlign w:val="bottom"/>
          </w:tcPr>
          <w:p>
            <w:pPr>
              <w:spacing w:after="0"/>
              <w:rPr>
                <w:sz w:val="1"/>
                <w:szCs w:val="1"/>
                <w:color w:val="auto"/>
              </w:rPr>
            </w:pPr>
          </w:p>
        </w:tc>
      </w:tr>
      <w:tr>
        <w:trPr>
          <w:trHeight w:val="271"/>
        </w:trPr>
        <w:tc>
          <w:tcPr>
            <w:tcW w:w="3880" w:type="dxa"/>
            <w:vAlign w:val="bottom"/>
          </w:tcPr>
          <w:p>
            <w:pPr>
              <w:ind w:left="260"/>
              <w:spacing w:after="0"/>
              <w:rPr>
                <w:sz w:val="20"/>
                <w:szCs w:val="20"/>
                <w:color w:val="auto"/>
              </w:rPr>
            </w:pPr>
            <w:r>
              <w:rPr>
                <w:rFonts w:ascii="Courier New" w:cs="Courier New" w:eastAsia="Courier New" w:hAnsi="Courier New"/>
                <w:sz w:val="15"/>
                <w:szCs w:val="15"/>
                <w:color w:val="auto"/>
              </w:rPr>
              <w:t>Valuation allowance</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(1,483,689)</w:t>
            </w:r>
          </w:p>
        </w:tc>
        <w:tc>
          <w:tcPr>
            <w:tcW w:w="0" w:type="dxa"/>
            <w:vAlign w:val="bottom"/>
          </w:tcPr>
          <w:p>
            <w:pPr>
              <w:spacing w:after="0"/>
              <w:rPr>
                <w:sz w:val="1"/>
                <w:szCs w:val="1"/>
                <w:color w:val="auto"/>
              </w:rPr>
            </w:pPr>
          </w:p>
        </w:tc>
      </w:tr>
      <w:tr>
        <w:trPr>
          <w:trHeight w:val="257"/>
        </w:trPr>
        <w:tc>
          <w:tcPr>
            <w:tcW w:w="3880" w:type="dxa"/>
            <w:vAlign w:val="bottom"/>
          </w:tcPr>
          <w:p>
            <w:pPr>
              <w:spacing w:after="0"/>
              <w:rPr>
                <w:sz w:val="22"/>
                <w:szCs w:val="22"/>
                <w:color w:val="auto"/>
              </w:rPr>
            </w:pPr>
          </w:p>
        </w:tc>
        <w:tc>
          <w:tcPr>
            <w:tcW w:w="17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3880" w:type="dxa"/>
            <w:vAlign w:val="bottom"/>
          </w:tcPr>
          <w:p>
            <w:pPr>
              <w:ind w:left="900"/>
              <w:spacing w:after="0"/>
              <w:rPr>
                <w:sz w:val="20"/>
                <w:szCs w:val="20"/>
                <w:color w:val="auto"/>
              </w:rPr>
            </w:pPr>
            <w:r>
              <w:rPr>
                <w:rFonts w:ascii="Courier New" w:cs="Courier New" w:eastAsia="Courier New" w:hAnsi="Courier New"/>
                <w:sz w:val="15"/>
                <w:szCs w:val="15"/>
                <w:color w:val="auto"/>
              </w:rPr>
              <w:t>Net deferred tax assets</w:t>
            </w:r>
          </w:p>
        </w:tc>
        <w:tc>
          <w:tcPr>
            <w:tcW w:w="17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$7,079,937</w:t>
            </w:r>
          </w:p>
        </w:tc>
        <w:tc>
          <w:tcPr>
            <w:tcW w:w="0" w:type="dxa"/>
            <w:vAlign w:val="bottom"/>
          </w:tcPr>
          <w:p>
            <w:pPr>
              <w:spacing w:after="0"/>
              <w:rPr>
                <w:sz w:val="1"/>
                <w:szCs w:val="1"/>
                <w:color w:val="auto"/>
              </w:rPr>
            </w:pPr>
          </w:p>
        </w:tc>
      </w:tr>
      <w:tr>
        <w:trPr>
          <w:trHeight w:val="176"/>
        </w:trPr>
        <w:tc>
          <w:tcPr>
            <w:tcW w:w="3880" w:type="dxa"/>
            <w:vAlign w:val="bottom"/>
          </w:tcPr>
          <w:p>
            <w:pPr>
              <w:spacing w:after="0"/>
              <w:rPr>
                <w:sz w:val="15"/>
                <w:szCs w:val="15"/>
                <w:color w:val="auto"/>
              </w:rPr>
            </w:pPr>
          </w:p>
        </w:tc>
        <w:tc>
          <w:tcPr>
            <w:tcW w:w="17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7"/>
        </w:trPr>
        <w:tc>
          <w:tcPr>
            <w:tcW w:w="3880" w:type="dxa"/>
            <w:vAlign w:val="bottom"/>
          </w:tcPr>
          <w:p>
            <w:pPr>
              <w:spacing w:after="0"/>
              <w:rPr>
                <w:sz w:val="22"/>
                <w:szCs w:val="22"/>
                <w:color w:val="auto"/>
              </w:rPr>
            </w:pPr>
          </w:p>
        </w:tc>
        <w:tc>
          <w:tcPr>
            <w:tcW w:w="17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466" w:right="2899"/>
        <w:spacing w:after="0" w:line="262" w:lineRule="auto"/>
        <w:rPr>
          <w:sz w:val="20"/>
          <w:szCs w:val="20"/>
          <w:color w:val="auto"/>
        </w:rPr>
      </w:pPr>
      <w:r>
        <w:rPr>
          <w:rFonts w:ascii="Courier New" w:cs="Courier New" w:eastAsia="Courier New" w:hAnsi="Courier New"/>
          <w:sz w:val="15"/>
          <w:szCs w:val="15"/>
          <w:color w:val="auto"/>
        </w:rPr>
        <w:t>Management has provided a valuation allowance against those net operating loss carryforwards and temporary differences which will more likely than not expire prior to utilization. This valuation allowance relates entirely to the deferred tax assets of Hardie Europe. Management has not provided a valuation allowance against deferred tax assets related to Hardie U.S. or Hardie Australia, as management believes it is more likely than not that sufficient taxable income will be generated in the foreseeable future to realize these deferred tax assets. At December 1, 1996, net operating loss carryforwards available to offset future taxable income of Hardie Europe expire as follows:</w:t>
      </w:r>
    </w:p>
    <w:p>
      <w:pPr>
        <w:spacing w:after="0" w:line="83" w:lineRule="exact"/>
        <w:rPr>
          <w:sz w:val="20"/>
          <w:szCs w:val="20"/>
          <w:color w:val="auto"/>
        </w:rPr>
      </w:pPr>
    </w:p>
    <w:tbl>
      <w:tblPr>
        <w:tblLayout w:type="fixed"/>
        <w:tblInd w:w="466" w:type="dxa"/>
        <w:tblCellMar>
          <w:top w:w="0" w:type="dxa"/>
          <w:left w:w="0" w:type="dxa"/>
          <w:bottom w:w="0" w:type="dxa"/>
          <w:right w:w="0" w:type="dxa"/>
        </w:tblCellMar>
      </w:tblPr>
      <w:tr>
        <w:trPr>
          <w:trHeight w:val="176"/>
        </w:trPr>
        <w:tc>
          <w:tcPr>
            <w:tcW w:w="960" w:type="dxa"/>
            <w:vAlign w:val="bottom"/>
            <w:gridSpan w:val="2"/>
          </w:tcPr>
          <w:p>
            <w:pPr>
              <w:spacing w:after="0"/>
              <w:rPr>
                <w:sz w:val="20"/>
                <w:szCs w:val="20"/>
                <w:color w:val="auto"/>
              </w:rPr>
            </w:pPr>
            <w:r>
              <w:rPr>
                <w:rFonts w:ascii="Courier New" w:cs="Courier New" w:eastAsia="Courier New" w:hAnsi="Courier New"/>
                <w:sz w:val="15"/>
                <w:szCs w:val="15"/>
                <w:color w:val="auto"/>
              </w:rPr>
              <w:t>March 1998</w:t>
            </w:r>
          </w:p>
        </w:tc>
        <w:tc>
          <w:tcPr>
            <w:tcW w:w="24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to March 1999</w:t>
            </w:r>
          </w:p>
        </w:tc>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$2,033,000</w:t>
            </w:r>
          </w:p>
        </w:tc>
      </w:tr>
      <w:tr>
        <w:trPr>
          <w:trHeight w:val="176"/>
        </w:trPr>
        <w:tc>
          <w:tcPr>
            <w:tcW w:w="500" w:type="dxa"/>
            <w:vAlign w:val="bottom"/>
          </w:tcPr>
          <w:p>
            <w:pPr>
              <w:spacing w:after="0"/>
              <w:rPr>
                <w:sz w:val="20"/>
                <w:szCs w:val="20"/>
                <w:color w:val="auto"/>
              </w:rPr>
            </w:pPr>
            <w:r>
              <w:rPr>
                <w:rFonts w:ascii="Courier New" w:cs="Courier New" w:eastAsia="Courier New" w:hAnsi="Courier New"/>
                <w:sz w:val="15"/>
                <w:szCs w:val="15"/>
                <w:color w:val="auto"/>
              </w:rPr>
              <w:t>March</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to March</w:t>
            </w:r>
          </w:p>
        </w:tc>
        <w:tc>
          <w:tcPr>
            <w:tcW w:w="1600" w:type="dxa"/>
            <w:vAlign w:val="bottom"/>
          </w:tcPr>
          <w:p>
            <w:pPr>
              <w:jc w:val="right"/>
              <w:ind w:right="1104"/>
              <w:spacing w:after="0"/>
              <w:rPr>
                <w:sz w:val="20"/>
                <w:szCs w:val="20"/>
                <w:color w:val="auto"/>
              </w:rPr>
            </w:pPr>
            <w:r>
              <w:rPr>
                <w:rFonts w:ascii="Courier New" w:cs="Courier New" w:eastAsia="Courier New" w:hAnsi="Courier New"/>
                <w:sz w:val="15"/>
                <w:szCs w:val="15"/>
                <w:color w:val="auto"/>
              </w:rPr>
              <w:t>2000</w:t>
            </w:r>
          </w:p>
        </w:tc>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133,000</w:t>
            </w:r>
          </w:p>
        </w:tc>
      </w:tr>
      <w:tr>
        <w:trPr>
          <w:trHeight w:val="204"/>
        </w:trPr>
        <w:tc>
          <w:tcPr>
            <w:tcW w:w="500" w:type="dxa"/>
            <w:vAlign w:val="bottom"/>
          </w:tcPr>
          <w:p>
            <w:pPr>
              <w:spacing w:after="0"/>
              <w:rPr>
                <w:sz w:val="20"/>
                <w:szCs w:val="20"/>
                <w:color w:val="auto"/>
              </w:rPr>
            </w:pPr>
            <w:r>
              <w:rPr>
                <w:rFonts w:ascii="Courier New" w:cs="Courier New" w:eastAsia="Courier New" w:hAnsi="Courier New"/>
                <w:sz w:val="15"/>
                <w:szCs w:val="15"/>
                <w:color w:val="auto"/>
              </w:rPr>
              <w:t>March</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to March</w:t>
            </w:r>
          </w:p>
        </w:tc>
        <w:tc>
          <w:tcPr>
            <w:tcW w:w="1600" w:type="dxa"/>
            <w:vAlign w:val="bottom"/>
          </w:tcPr>
          <w:p>
            <w:pPr>
              <w:jc w:val="right"/>
              <w:ind w:right="1104"/>
              <w:spacing w:after="0"/>
              <w:rPr>
                <w:sz w:val="20"/>
                <w:szCs w:val="20"/>
                <w:color w:val="auto"/>
              </w:rPr>
            </w:pPr>
            <w:r>
              <w:rPr>
                <w:rFonts w:ascii="Courier New" w:cs="Courier New" w:eastAsia="Courier New" w:hAnsi="Courier New"/>
                <w:sz w:val="15"/>
                <w:szCs w:val="15"/>
                <w:color w:val="auto"/>
              </w:rPr>
              <w:t>2001</w:t>
            </w:r>
          </w:p>
        </w:tc>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368,000</w:t>
            </w:r>
          </w:p>
        </w:tc>
      </w:tr>
    </w:tbl>
    <w:p>
      <w:pPr>
        <w:ind w:left="5046"/>
        <w:spacing w:after="0"/>
        <w:rPr>
          <w:sz w:val="20"/>
          <w:szCs w:val="20"/>
          <w:color w:val="auto"/>
        </w:rPr>
      </w:pPr>
      <w:r>
        <w:rPr>
          <w:rFonts w:ascii="Courier New" w:cs="Courier New" w:eastAsia="Courier New" w:hAnsi="Courier New"/>
          <w:sz w:val="15"/>
          <w:szCs w:val="15"/>
          <w:color w:val="auto"/>
        </w:rPr>
        <w:t>----------</w:t>
      </w:r>
    </w:p>
    <w:p>
      <w:pPr>
        <w:spacing w:after="0" w:line="154" w:lineRule="exact"/>
        <w:rPr>
          <w:sz w:val="20"/>
          <w:szCs w:val="20"/>
          <w:color w:val="auto"/>
        </w:rPr>
      </w:pPr>
    </w:p>
    <w:p>
      <w:pPr>
        <w:ind w:left="5046"/>
        <w:spacing w:after="0"/>
        <w:rPr>
          <w:sz w:val="20"/>
          <w:szCs w:val="20"/>
          <w:color w:val="auto"/>
        </w:rPr>
      </w:pPr>
      <w:r>
        <w:rPr>
          <w:rFonts w:ascii="Courier New" w:cs="Courier New" w:eastAsia="Courier New" w:hAnsi="Courier New"/>
          <w:sz w:val="15"/>
          <w:szCs w:val="15"/>
          <w:color w:val="auto"/>
        </w:rPr>
        <w:t>$2,534,000</w:t>
      </w:r>
    </w:p>
    <w:p>
      <w:pPr>
        <w:spacing w:after="0" w:line="34" w:lineRule="exact"/>
        <w:rPr>
          <w:sz w:val="20"/>
          <w:szCs w:val="20"/>
          <w:color w:val="auto"/>
        </w:rPr>
      </w:pPr>
    </w:p>
    <w:p>
      <w:pPr>
        <w:ind w:left="5046"/>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5046"/>
        <w:spacing w:after="0"/>
        <w:rPr>
          <w:sz w:val="20"/>
          <w:szCs w:val="20"/>
          <w:color w:val="auto"/>
        </w:rPr>
      </w:pPr>
      <w:r>
        <w:rPr>
          <w:rFonts w:ascii="Courier New" w:cs="Courier New" w:eastAsia="Courier New" w:hAnsi="Courier New"/>
          <w:sz w:val="15"/>
          <w:szCs w:val="15"/>
          <w:color w:val="auto"/>
        </w:rPr>
        <w:t>----------</w:t>
      </w:r>
    </w:p>
    <w:p>
      <w:pPr>
        <w:spacing w:after="0" w:line="331"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Continued</w:t>
      </w:r>
    </w:p>
    <w:p>
      <w:pPr>
        <w:spacing w:after="0" w:line="34" w:lineRule="exact"/>
        <w:rPr>
          <w:sz w:val="20"/>
          <w:szCs w:val="20"/>
          <w:color w:val="auto"/>
        </w:rPr>
      </w:pPr>
    </w:p>
    <w:p>
      <w:pPr>
        <w:ind w:left="3766"/>
        <w:spacing w:after="0"/>
        <w:rPr>
          <w:sz w:val="20"/>
          <w:szCs w:val="20"/>
          <w:color w:val="auto"/>
        </w:rPr>
      </w:pPr>
      <w:r>
        <w:rPr>
          <w:rFonts w:ascii="Courier New" w:cs="Courier New" w:eastAsia="Courier New" w:hAnsi="Courier New"/>
          <w:sz w:val="15"/>
          <w:szCs w:val="15"/>
          <w:color w:val="auto"/>
        </w:rPr>
        <w:t>A-12</w:t>
      </w:r>
    </w:p>
    <w:p>
      <w:pPr>
        <w:sectPr>
          <w:pgSz w:w="11900" w:h="16838" w:orient="portrait"/>
          <w:cols w:equalWidth="0" w:num="1">
            <w:col w:w="10225"/>
          </w:cols>
          <w:pgMar w:left="234" w:top="619" w:right="1440" w:bottom="1440" w:gutter="0" w:footer="0" w:header="0"/>
        </w:sectPr>
      </w:pPr>
    </w:p>
    <w:bookmarkStart w:id="16" w:name="page17"/>
    <w:bookmarkEnd w:id="16"/>
    <w:p>
      <w:pPr>
        <w:ind w:left="2566"/>
        <w:spacing w:after="0"/>
        <w:rPr>
          <w:sz w:val="20"/>
          <w:szCs w:val="20"/>
          <w:color w:val="auto"/>
        </w:rPr>
      </w:pPr>
      <w:r>
        <w:rPr>
          <w:rFonts w:ascii="Courier New" w:cs="Courier New" w:eastAsia="Courier New" w:hAnsi="Courier New"/>
          <w:sz w:val="15"/>
          <w:szCs w:val="15"/>
          <w:color w:val="auto"/>
        </w:rPr>
        <w:t>JAMES HARDIE IRRIGATION GROUP</w:t>
      </w:r>
    </w:p>
    <w:p>
      <w:pPr>
        <w:spacing w:after="0" w:line="182" w:lineRule="exact"/>
        <w:rPr>
          <w:sz w:val="20"/>
          <w:szCs w:val="20"/>
          <w:color w:val="auto"/>
        </w:rPr>
      </w:pPr>
    </w:p>
    <w:p>
      <w:pPr>
        <w:jc w:val="center"/>
        <w:ind w:right="2353"/>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34" w:lineRule="exact"/>
        <w:rPr>
          <w:sz w:val="20"/>
          <w:szCs w:val="20"/>
          <w:color w:val="auto"/>
        </w:rPr>
      </w:pPr>
    </w:p>
    <w:p>
      <w:pPr>
        <w:jc w:val="center"/>
        <w:ind w:right="2353"/>
        <w:spacing w:after="0"/>
        <w:rPr>
          <w:sz w:val="20"/>
          <w:szCs w:val="20"/>
          <w:color w:val="auto"/>
        </w:rPr>
      </w:pPr>
      <w:r>
        <w:rPr>
          <w:rFonts w:ascii="Courier New" w:cs="Courier New" w:eastAsia="Courier New" w:hAnsi="Courier New"/>
          <w:sz w:val="15"/>
          <w:szCs w:val="15"/>
          <w:color w:val="auto"/>
        </w:rPr>
        <w:t>December 1, 1996</w:t>
      </w:r>
    </w:p>
    <w:p>
      <w:pPr>
        <w:spacing w:after="0" w:line="6" w:lineRule="exact"/>
        <w:rPr>
          <w:sz w:val="20"/>
          <w:szCs w:val="20"/>
          <w:color w:val="auto"/>
        </w:rPr>
      </w:pPr>
    </w:p>
    <w:p>
      <w:pPr>
        <w:ind w:left="3206"/>
        <w:spacing w:after="0"/>
        <w:rPr>
          <w:sz w:val="20"/>
          <w:szCs w:val="20"/>
          <w:color w:val="auto"/>
        </w:rPr>
      </w:pPr>
      <w:r>
        <w:rPr>
          <w:rFonts w:ascii="Courier New" w:cs="Courier New" w:eastAsia="Courier New" w:hAnsi="Courier New"/>
          <w:sz w:val="15"/>
          <w:szCs w:val="15"/>
          <w:color w:val="auto"/>
        </w:rPr>
        <w:t>_______________</w:t>
      </w:r>
    </w:p>
    <w:p>
      <w:pPr>
        <w:spacing w:after="0" w:line="331" w:lineRule="exact"/>
        <w:rPr>
          <w:sz w:val="20"/>
          <w:szCs w:val="20"/>
          <w:color w:val="auto"/>
        </w:rPr>
      </w:pPr>
    </w:p>
    <w:p>
      <w:pPr>
        <w:ind w:left="466" w:hanging="466"/>
        <w:spacing w:after="0"/>
        <w:tabs>
          <w:tab w:leader="none" w:pos="466"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 Continued:</w:t>
      </w:r>
    </w:p>
    <w:p>
      <w:pPr>
        <w:spacing w:after="0" w:line="182" w:lineRule="exact"/>
        <w:rPr>
          <w:sz w:val="20"/>
          <w:szCs w:val="20"/>
          <w:color w:val="auto"/>
        </w:rPr>
      </w:pPr>
    </w:p>
    <w:p>
      <w:pPr>
        <w:jc w:val="both"/>
        <w:ind w:left="466" w:right="3179"/>
        <w:spacing w:after="0" w:line="310" w:lineRule="auto"/>
        <w:rPr>
          <w:sz w:val="20"/>
          <w:szCs w:val="20"/>
          <w:color w:val="auto"/>
        </w:rPr>
      </w:pPr>
      <w:r>
        <w:rPr>
          <w:rFonts w:ascii="Courier New" w:cs="Courier New" w:eastAsia="Courier New" w:hAnsi="Courier New"/>
          <w:sz w:val="15"/>
          <w:szCs w:val="15"/>
          <w:color w:val="auto"/>
        </w:rPr>
        <w:t>The following is a reconciliation of the statutory U.S. federal tax rate with the income tax rate effective for the Companies for the fiscal year ended December 1, 1996:</w:t>
      </w:r>
    </w:p>
    <w:p>
      <w:pPr>
        <w:spacing w:after="0" w:line="46" w:lineRule="exact"/>
        <w:rPr>
          <w:sz w:val="20"/>
          <w:szCs w:val="20"/>
          <w:color w:val="auto"/>
        </w:rPr>
      </w:pPr>
    </w:p>
    <w:tbl>
      <w:tblPr>
        <w:tblLayout w:type="fixed"/>
        <w:tblInd w:w="466" w:type="dxa"/>
        <w:tblCellMar>
          <w:top w:w="0" w:type="dxa"/>
          <w:left w:w="0" w:type="dxa"/>
          <w:bottom w:w="0" w:type="dxa"/>
          <w:right w:w="0" w:type="dxa"/>
        </w:tblCellMar>
      </w:tblP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U.S. statutory federal income rate</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34.0%</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State income rate, net of U.S. federal income tax benefit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5.3</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Effect of U.S. permanent differences, net</w:t>
            </w: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4.0</w:t>
            </w:r>
          </w:p>
        </w:tc>
      </w:tr>
      <w:tr>
        <w:trPr>
          <w:trHeight w:val="176"/>
        </w:trPr>
        <w:tc>
          <w:tcPr>
            <w:tcW w:w="5580" w:type="dxa"/>
            <w:vAlign w:val="bottom"/>
          </w:tcPr>
          <w:p>
            <w:pPr>
              <w:spacing w:after="0"/>
              <w:rPr>
                <w:sz w:val="20"/>
                <w:szCs w:val="20"/>
                <w:color w:val="auto"/>
              </w:rPr>
            </w:pPr>
            <w:r>
              <w:rPr>
                <w:rFonts w:ascii="Courier New" w:cs="Courier New" w:eastAsia="Courier New" w:hAnsi="Courier New"/>
                <w:sz w:val="15"/>
                <w:szCs w:val="15"/>
                <w:color w:val="auto"/>
              </w:rPr>
              <w:t>Effect of foreign operations on income tax rate</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(54.1)</w:t>
            </w:r>
          </w:p>
        </w:tc>
      </w:tr>
      <w:tr>
        <w:trPr>
          <w:trHeight w:val="257"/>
        </w:trPr>
        <w:tc>
          <w:tcPr>
            <w:tcW w:w="5580" w:type="dxa"/>
            <w:vAlign w:val="bottom"/>
          </w:tcPr>
          <w:p>
            <w:pPr>
              <w:spacing w:after="0"/>
              <w:rPr>
                <w:sz w:val="22"/>
                <w:szCs w:val="22"/>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r>
        <w:trPr>
          <w:trHeight w:val="271"/>
        </w:trPr>
        <w:tc>
          <w:tcPr>
            <w:tcW w:w="5580" w:type="dxa"/>
            <w:vAlign w:val="bottom"/>
          </w:tcPr>
          <w:p>
            <w:pPr>
              <w:ind w:left="900"/>
              <w:spacing w:after="0"/>
              <w:rPr>
                <w:sz w:val="20"/>
                <w:szCs w:val="20"/>
                <w:color w:val="auto"/>
              </w:rPr>
            </w:pPr>
            <w:r>
              <w:rPr>
                <w:rFonts w:ascii="Courier New" w:cs="Courier New" w:eastAsia="Courier New" w:hAnsi="Courier New"/>
                <w:sz w:val="15"/>
                <w:szCs w:val="15"/>
                <w:color w:val="auto"/>
              </w:rPr>
              <w:t>Effective income tax rate (benefit)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(10.8)%</w:t>
            </w:r>
          </w:p>
        </w:tc>
      </w:tr>
      <w:tr>
        <w:trPr>
          <w:trHeight w:val="257"/>
        </w:trPr>
        <w:tc>
          <w:tcPr>
            <w:tcW w:w="5580" w:type="dxa"/>
            <w:vAlign w:val="bottom"/>
          </w:tcPr>
          <w:p>
            <w:pPr>
              <w:spacing w:after="0"/>
              <w:rPr>
                <w:sz w:val="22"/>
                <w:szCs w:val="22"/>
                <w:color w:val="auto"/>
              </w:rPr>
            </w:pPr>
          </w:p>
        </w:tc>
        <w:tc>
          <w:tcPr>
            <w:tcW w:w="1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48" w:lineRule="exact"/>
        <w:rPr>
          <w:sz w:val="20"/>
          <w:szCs w:val="20"/>
          <w:color w:val="auto"/>
        </w:rPr>
      </w:pPr>
    </w:p>
    <w:p>
      <w:pPr>
        <w:ind w:left="466" w:hanging="466"/>
        <w:spacing w:after="0"/>
        <w:tabs>
          <w:tab w:leader="none" w:pos="466"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Accrued Expenses and Other Liabilities:</w:t>
      </w:r>
    </w:p>
    <w:p>
      <w:pPr>
        <w:spacing w:after="0" w:line="182" w:lineRule="exact"/>
        <w:rPr>
          <w:sz w:val="20"/>
          <w:szCs w:val="20"/>
          <w:color w:val="auto"/>
        </w:rPr>
      </w:pPr>
    </w:p>
    <w:p>
      <w:pPr>
        <w:ind w:left="466" w:right="2979"/>
        <w:spacing w:after="0" w:line="372" w:lineRule="auto"/>
        <w:rPr>
          <w:sz w:val="20"/>
          <w:szCs w:val="20"/>
          <w:color w:val="auto"/>
        </w:rPr>
      </w:pPr>
      <w:r>
        <w:rPr>
          <w:rFonts w:ascii="Courier New" w:cs="Courier New" w:eastAsia="Courier New" w:hAnsi="Courier New"/>
          <w:sz w:val="15"/>
          <w:szCs w:val="15"/>
          <w:color w:val="auto"/>
        </w:rPr>
        <w:t>Accrued expenses and other liabilities consist of the following components as of December 1, 1996:</w:t>
      </w:r>
    </w:p>
    <w:p>
      <w:pPr>
        <w:spacing w:after="0" w:line="2" w:lineRule="exact"/>
        <w:rPr>
          <w:sz w:val="20"/>
          <w:szCs w:val="20"/>
          <w:color w:val="auto"/>
        </w:rPr>
      </w:pPr>
    </w:p>
    <w:tbl>
      <w:tblPr>
        <w:tblLayout w:type="fixed"/>
        <w:tblInd w:w="6" w:type="dxa"/>
        <w:tblCellMar>
          <w:top w:w="0" w:type="dxa"/>
          <w:left w:w="0" w:type="dxa"/>
          <w:bottom w:w="0" w:type="dxa"/>
          <w:right w:w="0" w:type="dxa"/>
        </w:tblCellMar>
      </w:tblPr>
      <w:tr>
        <w:trPr>
          <w:trHeight w:val="176"/>
        </w:trPr>
        <w:tc>
          <w:tcPr>
            <w:tcW w:w="4120" w:type="dxa"/>
            <w:vAlign w:val="bottom"/>
          </w:tcPr>
          <w:p>
            <w:pPr>
              <w:spacing w:after="0"/>
              <w:rPr>
                <w:sz w:val="20"/>
                <w:szCs w:val="20"/>
                <w:color w:val="auto"/>
              </w:rPr>
            </w:pPr>
            <w:r>
              <w:rPr>
                <w:rFonts w:ascii="Courier New" w:cs="Courier New" w:eastAsia="Courier New" w:hAnsi="Courier New"/>
                <w:sz w:val="15"/>
                <w:szCs w:val="15"/>
                <w:color w:val="auto"/>
              </w:rPr>
              <w:t>Warranty</w:t>
            </w:r>
          </w:p>
        </w:tc>
        <w:tc>
          <w:tcPr>
            <w:tcW w:w="2740" w:type="dxa"/>
            <w:vAlign w:val="bottom"/>
          </w:tcPr>
          <w:p>
            <w:pPr>
              <w:jc w:val="right"/>
              <w:spacing w:after="0"/>
              <w:rPr>
                <w:sz w:val="20"/>
                <w:szCs w:val="20"/>
                <w:color w:val="auto"/>
              </w:rPr>
            </w:pPr>
            <w:r>
              <w:rPr>
                <w:rFonts w:ascii="Courier New" w:cs="Courier New" w:eastAsia="Courier New" w:hAnsi="Courier New"/>
                <w:sz w:val="15"/>
                <w:szCs w:val="15"/>
                <w:color w:val="auto"/>
              </w:rPr>
              <w:t>$3,280,289</w:t>
            </w:r>
          </w:p>
        </w:tc>
      </w:tr>
      <w:tr>
        <w:trPr>
          <w:trHeight w:val="176"/>
        </w:trPr>
        <w:tc>
          <w:tcPr>
            <w:tcW w:w="4120" w:type="dxa"/>
            <w:vAlign w:val="bottom"/>
          </w:tcPr>
          <w:p>
            <w:pPr>
              <w:spacing w:after="0"/>
              <w:rPr>
                <w:sz w:val="20"/>
                <w:szCs w:val="20"/>
                <w:color w:val="auto"/>
              </w:rPr>
            </w:pPr>
            <w:r>
              <w:rPr>
                <w:rFonts w:ascii="Courier New" w:cs="Courier New" w:eastAsia="Courier New" w:hAnsi="Courier New"/>
                <w:sz w:val="15"/>
                <w:szCs w:val="15"/>
                <w:color w:val="auto"/>
              </w:rPr>
              <w:t>Advertising and promotion</w:t>
            </w:r>
          </w:p>
        </w:tc>
        <w:tc>
          <w:tcPr>
            <w:tcW w:w="2740" w:type="dxa"/>
            <w:vAlign w:val="bottom"/>
          </w:tcPr>
          <w:p>
            <w:pPr>
              <w:jc w:val="right"/>
              <w:spacing w:after="0"/>
              <w:rPr>
                <w:sz w:val="20"/>
                <w:szCs w:val="20"/>
                <w:color w:val="auto"/>
              </w:rPr>
            </w:pPr>
            <w:r>
              <w:rPr>
                <w:rFonts w:ascii="Courier New" w:cs="Courier New" w:eastAsia="Courier New" w:hAnsi="Courier New"/>
                <w:sz w:val="15"/>
                <w:szCs w:val="15"/>
                <w:color w:val="auto"/>
              </w:rPr>
              <w:t>639,906</w:t>
            </w:r>
          </w:p>
        </w:tc>
      </w:tr>
      <w:tr>
        <w:trPr>
          <w:trHeight w:val="176"/>
        </w:trPr>
        <w:tc>
          <w:tcPr>
            <w:tcW w:w="4120" w:type="dxa"/>
            <w:vAlign w:val="bottom"/>
          </w:tcPr>
          <w:p>
            <w:pPr>
              <w:spacing w:after="0"/>
              <w:rPr>
                <w:sz w:val="20"/>
                <w:szCs w:val="20"/>
                <w:color w:val="auto"/>
              </w:rPr>
            </w:pPr>
            <w:r>
              <w:rPr>
                <w:rFonts w:ascii="Courier New" w:cs="Courier New" w:eastAsia="Courier New" w:hAnsi="Courier New"/>
                <w:sz w:val="15"/>
                <w:szCs w:val="15"/>
                <w:color w:val="auto"/>
              </w:rPr>
              <w:t>Cooperative advertising</w:t>
            </w:r>
          </w:p>
        </w:tc>
        <w:tc>
          <w:tcPr>
            <w:tcW w:w="2740" w:type="dxa"/>
            <w:vAlign w:val="bottom"/>
          </w:tcPr>
          <w:p>
            <w:pPr>
              <w:jc w:val="right"/>
              <w:spacing w:after="0"/>
              <w:rPr>
                <w:sz w:val="20"/>
                <w:szCs w:val="20"/>
                <w:color w:val="auto"/>
              </w:rPr>
            </w:pPr>
            <w:r>
              <w:rPr>
                <w:rFonts w:ascii="Courier New" w:cs="Courier New" w:eastAsia="Courier New" w:hAnsi="Courier New"/>
                <w:sz w:val="15"/>
                <w:szCs w:val="15"/>
                <w:color w:val="auto"/>
              </w:rPr>
              <w:t>635,581</w:t>
            </w:r>
          </w:p>
        </w:tc>
      </w:tr>
      <w:tr>
        <w:trPr>
          <w:trHeight w:val="176"/>
        </w:trPr>
        <w:tc>
          <w:tcPr>
            <w:tcW w:w="4120" w:type="dxa"/>
            <w:vAlign w:val="bottom"/>
          </w:tcPr>
          <w:p>
            <w:pPr>
              <w:spacing w:after="0"/>
              <w:rPr>
                <w:sz w:val="20"/>
                <w:szCs w:val="20"/>
                <w:color w:val="auto"/>
              </w:rPr>
            </w:pPr>
            <w:r>
              <w:rPr>
                <w:rFonts w:ascii="Courier New" w:cs="Courier New" w:eastAsia="Courier New" w:hAnsi="Courier New"/>
                <w:sz w:val="15"/>
                <w:szCs w:val="15"/>
                <w:color w:val="auto"/>
              </w:rPr>
              <w:t>Vacation</w:t>
            </w:r>
          </w:p>
        </w:tc>
        <w:tc>
          <w:tcPr>
            <w:tcW w:w="2740" w:type="dxa"/>
            <w:vAlign w:val="bottom"/>
          </w:tcPr>
          <w:p>
            <w:pPr>
              <w:jc w:val="right"/>
              <w:spacing w:after="0"/>
              <w:rPr>
                <w:sz w:val="20"/>
                <w:szCs w:val="20"/>
                <w:color w:val="auto"/>
              </w:rPr>
            </w:pPr>
            <w:r>
              <w:rPr>
                <w:rFonts w:ascii="Courier New" w:cs="Courier New" w:eastAsia="Courier New" w:hAnsi="Courier New"/>
                <w:sz w:val="15"/>
                <w:szCs w:val="15"/>
                <w:color w:val="auto"/>
              </w:rPr>
              <w:t>1,869,472</w:t>
            </w:r>
          </w:p>
        </w:tc>
      </w:tr>
      <w:tr>
        <w:trPr>
          <w:trHeight w:val="176"/>
        </w:trPr>
        <w:tc>
          <w:tcPr>
            <w:tcW w:w="4120" w:type="dxa"/>
            <w:vAlign w:val="bottom"/>
          </w:tcPr>
          <w:p>
            <w:pPr>
              <w:spacing w:after="0"/>
              <w:rPr>
                <w:sz w:val="20"/>
                <w:szCs w:val="20"/>
                <w:color w:val="auto"/>
              </w:rPr>
            </w:pPr>
            <w:r>
              <w:rPr>
                <w:rFonts w:ascii="Courier New" w:cs="Courier New" w:eastAsia="Courier New" w:hAnsi="Courier New"/>
                <w:sz w:val="15"/>
                <w:szCs w:val="15"/>
                <w:color w:val="auto"/>
              </w:rPr>
              <w:t>Sales commissions</w:t>
            </w:r>
          </w:p>
        </w:tc>
        <w:tc>
          <w:tcPr>
            <w:tcW w:w="2740" w:type="dxa"/>
            <w:vAlign w:val="bottom"/>
          </w:tcPr>
          <w:p>
            <w:pPr>
              <w:jc w:val="right"/>
              <w:spacing w:after="0"/>
              <w:rPr>
                <w:sz w:val="20"/>
                <w:szCs w:val="20"/>
                <w:color w:val="auto"/>
              </w:rPr>
            </w:pPr>
            <w:r>
              <w:rPr>
                <w:rFonts w:ascii="Courier New" w:cs="Courier New" w:eastAsia="Courier New" w:hAnsi="Courier New"/>
                <w:sz w:val="15"/>
                <w:szCs w:val="15"/>
                <w:color w:val="auto"/>
              </w:rPr>
              <w:t>210,580</w:t>
            </w:r>
          </w:p>
        </w:tc>
      </w:tr>
      <w:tr>
        <w:trPr>
          <w:trHeight w:val="176"/>
        </w:trPr>
        <w:tc>
          <w:tcPr>
            <w:tcW w:w="4120" w:type="dxa"/>
            <w:vAlign w:val="bottom"/>
          </w:tcPr>
          <w:p>
            <w:pPr>
              <w:spacing w:after="0"/>
              <w:rPr>
                <w:sz w:val="20"/>
                <w:szCs w:val="20"/>
                <w:color w:val="auto"/>
              </w:rPr>
            </w:pPr>
            <w:r>
              <w:rPr>
                <w:rFonts w:ascii="Courier New" w:cs="Courier New" w:eastAsia="Courier New" w:hAnsi="Courier New"/>
                <w:sz w:val="15"/>
                <w:szCs w:val="15"/>
                <w:color w:val="auto"/>
              </w:rPr>
              <w:t>Accrued payroll</w:t>
            </w:r>
          </w:p>
        </w:tc>
        <w:tc>
          <w:tcPr>
            <w:tcW w:w="2740" w:type="dxa"/>
            <w:vAlign w:val="bottom"/>
          </w:tcPr>
          <w:p>
            <w:pPr>
              <w:jc w:val="right"/>
              <w:spacing w:after="0"/>
              <w:rPr>
                <w:sz w:val="20"/>
                <w:szCs w:val="20"/>
                <w:color w:val="auto"/>
              </w:rPr>
            </w:pPr>
            <w:r>
              <w:rPr>
                <w:rFonts w:ascii="Courier New" w:cs="Courier New" w:eastAsia="Courier New" w:hAnsi="Courier New"/>
                <w:sz w:val="15"/>
                <w:szCs w:val="15"/>
                <w:color w:val="auto"/>
              </w:rPr>
              <w:t>1,185,436</w:t>
            </w:r>
          </w:p>
        </w:tc>
      </w:tr>
      <w:tr>
        <w:trPr>
          <w:trHeight w:val="176"/>
        </w:trPr>
        <w:tc>
          <w:tcPr>
            <w:tcW w:w="4120" w:type="dxa"/>
            <w:vAlign w:val="bottom"/>
          </w:tcPr>
          <w:p>
            <w:pPr>
              <w:spacing w:after="0"/>
              <w:rPr>
                <w:sz w:val="20"/>
                <w:szCs w:val="20"/>
                <w:color w:val="auto"/>
              </w:rPr>
            </w:pPr>
            <w:r>
              <w:rPr>
                <w:rFonts w:ascii="Courier New" w:cs="Courier New" w:eastAsia="Courier New" w:hAnsi="Courier New"/>
                <w:sz w:val="15"/>
                <w:szCs w:val="15"/>
                <w:color w:val="auto"/>
              </w:rPr>
              <w:t>Deferred income</w:t>
            </w:r>
          </w:p>
        </w:tc>
        <w:tc>
          <w:tcPr>
            <w:tcW w:w="2740" w:type="dxa"/>
            <w:vAlign w:val="bottom"/>
          </w:tcPr>
          <w:p>
            <w:pPr>
              <w:jc w:val="right"/>
              <w:spacing w:after="0"/>
              <w:rPr>
                <w:sz w:val="20"/>
                <w:szCs w:val="20"/>
                <w:color w:val="auto"/>
              </w:rPr>
            </w:pPr>
            <w:r>
              <w:rPr>
                <w:rFonts w:ascii="Courier New" w:cs="Courier New" w:eastAsia="Courier New" w:hAnsi="Courier New"/>
                <w:sz w:val="15"/>
                <w:szCs w:val="15"/>
                <w:color w:val="auto"/>
              </w:rPr>
              <w:t>194,537</w:t>
            </w:r>
          </w:p>
        </w:tc>
      </w:tr>
      <w:tr>
        <w:trPr>
          <w:trHeight w:val="176"/>
        </w:trPr>
        <w:tc>
          <w:tcPr>
            <w:tcW w:w="4120" w:type="dxa"/>
            <w:vAlign w:val="bottom"/>
          </w:tcPr>
          <w:p>
            <w:pPr>
              <w:spacing w:after="0"/>
              <w:rPr>
                <w:sz w:val="20"/>
                <w:szCs w:val="20"/>
                <w:color w:val="auto"/>
              </w:rPr>
            </w:pPr>
            <w:r>
              <w:rPr>
                <w:rFonts w:ascii="Courier New" w:cs="Courier New" w:eastAsia="Courier New" w:hAnsi="Courier New"/>
                <w:sz w:val="15"/>
                <w:szCs w:val="15"/>
                <w:color w:val="auto"/>
              </w:rPr>
              <w:t>Other liabilities</w:t>
            </w:r>
          </w:p>
        </w:tc>
        <w:tc>
          <w:tcPr>
            <w:tcW w:w="2740" w:type="dxa"/>
            <w:vAlign w:val="bottom"/>
          </w:tcPr>
          <w:p>
            <w:pPr>
              <w:jc w:val="right"/>
              <w:spacing w:after="0"/>
              <w:rPr>
                <w:sz w:val="20"/>
                <w:szCs w:val="20"/>
                <w:color w:val="auto"/>
              </w:rPr>
            </w:pPr>
            <w:r>
              <w:rPr>
                <w:rFonts w:ascii="Courier New" w:cs="Courier New" w:eastAsia="Courier New" w:hAnsi="Courier New"/>
                <w:sz w:val="15"/>
                <w:szCs w:val="15"/>
                <w:color w:val="auto"/>
              </w:rPr>
              <w:t>1,700,695</w:t>
            </w:r>
          </w:p>
        </w:tc>
      </w:tr>
      <w:tr>
        <w:trPr>
          <w:trHeight w:val="257"/>
        </w:trPr>
        <w:tc>
          <w:tcPr>
            <w:tcW w:w="4120" w:type="dxa"/>
            <w:vAlign w:val="bottom"/>
          </w:tcPr>
          <w:p>
            <w:pPr>
              <w:spacing w:after="0"/>
              <w:rPr>
                <w:sz w:val="22"/>
                <w:szCs w:val="22"/>
                <w:color w:val="auto"/>
              </w:rPr>
            </w:pPr>
          </w:p>
        </w:tc>
        <w:tc>
          <w:tcPr>
            <w:tcW w:w="2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95" w:lineRule="exact"/>
        <w:rPr>
          <w:sz w:val="20"/>
          <w:szCs w:val="20"/>
          <w:color w:val="auto"/>
        </w:rPr>
      </w:pPr>
    </w:p>
    <w:p>
      <w:pPr>
        <w:ind w:left="5946"/>
        <w:spacing w:after="0"/>
        <w:rPr>
          <w:sz w:val="20"/>
          <w:szCs w:val="20"/>
          <w:color w:val="auto"/>
        </w:rPr>
      </w:pPr>
      <w:r>
        <w:rPr>
          <w:rFonts w:ascii="Courier New" w:cs="Courier New" w:eastAsia="Courier New" w:hAnsi="Courier New"/>
          <w:sz w:val="15"/>
          <w:szCs w:val="15"/>
          <w:color w:val="auto"/>
        </w:rPr>
        <w:t>$9,716,496</w:t>
      </w:r>
    </w:p>
    <w:p>
      <w:pPr>
        <w:spacing w:after="0" w:line="34" w:lineRule="exact"/>
        <w:rPr>
          <w:sz w:val="20"/>
          <w:szCs w:val="20"/>
          <w:color w:val="auto"/>
        </w:rPr>
      </w:pPr>
    </w:p>
    <w:p>
      <w:pPr>
        <w:ind w:left="5946"/>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5946"/>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7" w:lineRule="exact"/>
        <w:rPr>
          <w:sz w:val="20"/>
          <w:szCs w:val="20"/>
          <w:color w:val="auto"/>
        </w:rPr>
      </w:pPr>
    </w:p>
    <w:p>
      <w:pPr>
        <w:ind w:left="466" w:hanging="466"/>
        <w:spacing w:after="0"/>
        <w:tabs>
          <w:tab w:leader="none" w:pos="466"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w:t>
      </w:r>
    </w:p>
    <w:p>
      <w:pPr>
        <w:spacing w:after="0" w:line="182" w:lineRule="exact"/>
        <w:rPr>
          <w:rFonts w:ascii="Courier New" w:cs="Courier New" w:eastAsia="Courier New" w:hAnsi="Courier New"/>
          <w:sz w:val="15"/>
          <w:szCs w:val="15"/>
          <w:color w:val="auto"/>
        </w:rPr>
      </w:pPr>
    </w:p>
    <w:p>
      <w:pPr>
        <w:ind w:left="466" w:right="2899"/>
        <w:spacing w:after="0" w:line="26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Companies conduct their operations from certain facilities that are leased under operating leases over the next 3 to 7 years. There are options to renew certain leases for additional periods of 2 to 5 years at renegotiated rental amounts. Certain of these leases contain escalation clauses and/or require the Companies to pay property taxes, insurance, and maintenance costs. The Companies also lease certain vehicles and equipment under operating lease agreements from various third parties with terms up to 5 years.</w:t>
      </w:r>
    </w:p>
    <w:p>
      <w:pPr>
        <w:spacing w:after="0" w:line="255"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Continued</w:t>
      </w:r>
    </w:p>
    <w:p>
      <w:pPr>
        <w:spacing w:after="0" w:line="34" w:lineRule="exact"/>
        <w:rPr>
          <w:sz w:val="20"/>
          <w:szCs w:val="20"/>
          <w:color w:val="auto"/>
        </w:rPr>
      </w:pPr>
    </w:p>
    <w:p>
      <w:pPr>
        <w:ind w:left="3766"/>
        <w:spacing w:after="0"/>
        <w:rPr>
          <w:sz w:val="20"/>
          <w:szCs w:val="20"/>
          <w:color w:val="auto"/>
        </w:rPr>
      </w:pPr>
      <w:r>
        <w:rPr>
          <w:rFonts w:ascii="Courier New" w:cs="Courier New" w:eastAsia="Courier New" w:hAnsi="Courier New"/>
          <w:sz w:val="15"/>
          <w:szCs w:val="15"/>
          <w:color w:val="auto"/>
        </w:rPr>
        <w:t>A-13</w:t>
      </w:r>
    </w:p>
    <w:p>
      <w:pPr>
        <w:sectPr>
          <w:pgSz w:w="11900" w:h="16838" w:orient="portrait"/>
          <w:cols w:equalWidth="0" w:num="1">
            <w:col w:w="10225"/>
          </w:cols>
          <w:pgMar w:left="234" w:top="619" w:right="1440" w:bottom="1440" w:gutter="0" w:footer="0" w:header="0"/>
        </w:sectPr>
      </w:pPr>
    </w:p>
    <w:bookmarkStart w:id="17" w:name="page18"/>
    <w:bookmarkEnd w:id="17"/>
    <w:p>
      <w:pPr>
        <w:ind w:left="2566"/>
        <w:spacing w:after="0"/>
        <w:rPr>
          <w:sz w:val="20"/>
          <w:szCs w:val="20"/>
          <w:color w:val="auto"/>
        </w:rPr>
      </w:pPr>
      <w:r>
        <w:rPr>
          <w:rFonts w:ascii="Courier New" w:cs="Courier New" w:eastAsia="Courier New" w:hAnsi="Courier New"/>
          <w:sz w:val="15"/>
          <w:szCs w:val="15"/>
          <w:color w:val="auto"/>
        </w:rPr>
        <w:t>JAMES HARDIE IRRIGATION GROUP</w:t>
      </w:r>
    </w:p>
    <w:p>
      <w:pPr>
        <w:spacing w:after="0" w:line="182" w:lineRule="exact"/>
        <w:rPr>
          <w:sz w:val="20"/>
          <w:szCs w:val="20"/>
          <w:color w:val="auto"/>
        </w:rPr>
      </w:pPr>
    </w:p>
    <w:p>
      <w:pPr>
        <w:jc w:val="center"/>
        <w:ind w:right="2353"/>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34" w:lineRule="exact"/>
        <w:rPr>
          <w:sz w:val="20"/>
          <w:szCs w:val="20"/>
          <w:color w:val="auto"/>
        </w:rPr>
      </w:pPr>
    </w:p>
    <w:p>
      <w:pPr>
        <w:jc w:val="center"/>
        <w:ind w:right="2353"/>
        <w:spacing w:after="0"/>
        <w:rPr>
          <w:sz w:val="20"/>
          <w:szCs w:val="20"/>
          <w:color w:val="auto"/>
        </w:rPr>
      </w:pPr>
      <w:r>
        <w:rPr>
          <w:rFonts w:ascii="Courier New" w:cs="Courier New" w:eastAsia="Courier New" w:hAnsi="Courier New"/>
          <w:sz w:val="15"/>
          <w:szCs w:val="15"/>
          <w:color w:val="auto"/>
        </w:rPr>
        <w:t>December 1, 1996</w:t>
      </w:r>
    </w:p>
    <w:p>
      <w:pPr>
        <w:spacing w:after="0" w:line="6" w:lineRule="exact"/>
        <w:rPr>
          <w:sz w:val="20"/>
          <w:szCs w:val="20"/>
          <w:color w:val="auto"/>
        </w:rPr>
      </w:pPr>
    </w:p>
    <w:p>
      <w:pPr>
        <w:ind w:left="3206"/>
        <w:spacing w:after="0"/>
        <w:rPr>
          <w:sz w:val="20"/>
          <w:szCs w:val="20"/>
          <w:color w:val="auto"/>
        </w:rPr>
      </w:pPr>
      <w:r>
        <w:rPr>
          <w:rFonts w:ascii="Courier New" w:cs="Courier New" w:eastAsia="Courier New" w:hAnsi="Courier New"/>
          <w:sz w:val="15"/>
          <w:szCs w:val="15"/>
          <w:color w:val="auto"/>
        </w:rPr>
        <w:t>_______________</w:t>
      </w:r>
    </w:p>
    <w:p>
      <w:pPr>
        <w:spacing w:after="0" w:line="331" w:lineRule="exact"/>
        <w:rPr>
          <w:sz w:val="20"/>
          <w:szCs w:val="20"/>
          <w:color w:val="auto"/>
        </w:rPr>
      </w:pPr>
    </w:p>
    <w:p>
      <w:pPr>
        <w:ind w:left="466" w:hanging="466"/>
        <w:spacing w:after="0"/>
        <w:tabs>
          <w:tab w:leader="none" w:pos="466"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Continued:</w:t>
      </w:r>
    </w:p>
    <w:p>
      <w:pPr>
        <w:spacing w:after="0" w:line="182" w:lineRule="exact"/>
        <w:rPr>
          <w:sz w:val="20"/>
          <w:szCs w:val="20"/>
          <w:color w:val="auto"/>
        </w:rPr>
      </w:pPr>
    </w:p>
    <w:p>
      <w:pPr>
        <w:ind w:left="466" w:right="3259"/>
        <w:spacing w:after="0" w:line="310" w:lineRule="auto"/>
        <w:rPr>
          <w:sz w:val="20"/>
          <w:szCs w:val="20"/>
          <w:color w:val="auto"/>
        </w:rPr>
      </w:pPr>
      <w:r>
        <w:rPr>
          <w:rFonts w:ascii="Courier New" w:cs="Courier New" w:eastAsia="Courier New" w:hAnsi="Courier New"/>
          <w:sz w:val="15"/>
          <w:szCs w:val="15"/>
          <w:color w:val="auto"/>
        </w:rPr>
        <w:t>The following are the remaining future minimum rental payments required under the above operating leases for each of the next five years ending December 1 and in total thereafter:</w:t>
      </w:r>
    </w:p>
    <w:p>
      <w:pPr>
        <w:spacing w:after="0" w:line="46" w:lineRule="exact"/>
        <w:rPr>
          <w:sz w:val="20"/>
          <w:szCs w:val="20"/>
          <w:color w:val="auto"/>
        </w:rPr>
      </w:pPr>
    </w:p>
    <w:tbl>
      <w:tblPr>
        <w:tblLayout w:type="fixed"/>
        <w:tblInd w:w="1366" w:type="dxa"/>
        <w:tblCellMar>
          <w:top w:w="0" w:type="dxa"/>
          <w:left w:w="0" w:type="dxa"/>
          <w:bottom w:w="0" w:type="dxa"/>
          <w:right w:w="0" w:type="dxa"/>
        </w:tblCellMar>
      </w:tblPr>
      <w:tr>
        <w:trPr>
          <w:trHeight w:val="176"/>
        </w:trPr>
        <w:tc>
          <w:tcPr>
            <w:tcW w:w="230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2280" w:type="dxa"/>
            <w:vAlign w:val="bottom"/>
          </w:tcPr>
          <w:p>
            <w:pPr>
              <w:jc w:val="right"/>
              <w:spacing w:after="0"/>
              <w:rPr>
                <w:sz w:val="20"/>
                <w:szCs w:val="20"/>
                <w:color w:val="auto"/>
              </w:rPr>
            </w:pPr>
            <w:r>
              <w:rPr>
                <w:rFonts w:ascii="Courier New" w:cs="Courier New" w:eastAsia="Courier New" w:hAnsi="Courier New"/>
                <w:sz w:val="15"/>
                <w:szCs w:val="15"/>
                <w:color w:val="auto"/>
              </w:rPr>
              <w:t>$1,159,613</w:t>
            </w:r>
          </w:p>
        </w:tc>
      </w:tr>
      <w:tr>
        <w:trPr>
          <w:trHeight w:val="176"/>
        </w:trPr>
        <w:tc>
          <w:tcPr>
            <w:tcW w:w="230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2280" w:type="dxa"/>
            <w:vAlign w:val="bottom"/>
          </w:tcPr>
          <w:p>
            <w:pPr>
              <w:jc w:val="right"/>
              <w:spacing w:after="0"/>
              <w:rPr>
                <w:sz w:val="20"/>
                <w:szCs w:val="20"/>
                <w:color w:val="auto"/>
              </w:rPr>
            </w:pPr>
            <w:r>
              <w:rPr>
                <w:rFonts w:ascii="Courier New" w:cs="Courier New" w:eastAsia="Courier New" w:hAnsi="Courier New"/>
                <w:sz w:val="15"/>
                <w:szCs w:val="15"/>
                <w:color w:val="auto"/>
              </w:rPr>
              <w:t>586,455</w:t>
            </w:r>
          </w:p>
        </w:tc>
      </w:tr>
      <w:tr>
        <w:trPr>
          <w:trHeight w:val="176"/>
        </w:trPr>
        <w:tc>
          <w:tcPr>
            <w:tcW w:w="230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2280" w:type="dxa"/>
            <w:vAlign w:val="bottom"/>
          </w:tcPr>
          <w:p>
            <w:pPr>
              <w:jc w:val="right"/>
              <w:spacing w:after="0"/>
              <w:rPr>
                <w:sz w:val="20"/>
                <w:szCs w:val="20"/>
                <w:color w:val="auto"/>
              </w:rPr>
            </w:pPr>
            <w:r>
              <w:rPr>
                <w:rFonts w:ascii="Courier New" w:cs="Courier New" w:eastAsia="Courier New" w:hAnsi="Courier New"/>
                <w:sz w:val="15"/>
                <w:szCs w:val="15"/>
                <w:color w:val="auto"/>
              </w:rPr>
              <w:t>178,324</w:t>
            </w:r>
          </w:p>
        </w:tc>
      </w:tr>
      <w:tr>
        <w:trPr>
          <w:trHeight w:val="176"/>
        </w:trPr>
        <w:tc>
          <w:tcPr>
            <w:tcW w:w="230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2280" w:type="dxa"/>
            <w:vAlign w:val="bottom"/>
          </w:tcPr>
          <w:p>
            <w:pPr>
              <w:jc w:val="right"/>
              <w:spacing w:after="0"/>
              <w:rPr>
                <w:sz w:val="20"/>
                <w:szCs w:val="20"/>
                <w:color w:val="auto"/>
              </w:rPr>
            </w:pPr>
            <w:r>
              <w:rPr>
                <w:rFonts w:ascii="Courier New" w:cs="Courier New" w:eastAsia="Courier New" w:hAnsi="Courier New"/>
                <w:sz w:val="15"/>
                <w:szCs w:val="15"/>
                <w:color w:val="auto"/>
              </w:rPr>
              <w:t>17,010</w:t>
            </w:r>
          </w:p>
        </w:tc>
      </w:tr>
      <w:tr>
        <w:trPr>
          <w:trHeight w:val="176"/>
        </w:trPr>
        <w:tc>
          <w:tcPr>
            <w:tcW w:w="230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2280" w:type="dxa"/>
            <w:vAlign w:val="bottom"/>
          </w:tcPr>
          <w:p>
            <w:pPr>
              <w:jc w:val="right"/>
              <w:spacing w:after="0"/>
              <w:rPr>
                <w:sz w:val="20"/>
                <w:szCs w:val="20"/>
                <w:color w:val="auto"/>
              </w:rPr>
            </w:pPr>
            <w:r>
              <w:rPr>
                <w:rFonts w:ascii="Courier New" w:cs="Courier New" w:eastAsia="Courier New" w:hAnsi="Courier New"/>
                <w:sz w:val="15"/>
                <w:szCs w:val="15"/>
                <w:color w:val="auto"/>
              </w:rPr>
              <w:t>16,020</w:t>
            </w:r>
          </w:p>
        </w:tc>
      </w:tr>
      <w:tr>
        <w:trPr>
          <w:trHeight w:val="176"/>
        </w:trPr>
        <w:tc>
          <w:tcPr>
            <w:tcW w:w="2300" w:type="dxa"/>
            <w:vAlign w:val="bottom"/>
          </w:tcPr>
          <w:p>
            <w:pPr>
              <w:spacing w:after="0"/>
              <w:rPr>
                <w:sz w:val="20"/>
                <w:szCs w:val="20"/>
                <w:color w:val="auto"/>
              </w:rPr>
            </w:pPr>
            <w:r>
              <w:rPr>
                <w:rFonts w:ascii="Courier New" w:cs="Courier New" w:eastAsia="Courier New" w:hAnsi="Courier New"/>
                <w:sz w:val="15"/>
                <w:szCs w:val="15"/>
                <w:color w:val="auto"/>
              </w:rPr>
              <w:t>Thereafter</w:t>
            </w:r>
          </w:p>
        </w:tc>
        <w:tc>
          <w:tcPr>
            <w:tcW w:w="2280" w:type="dxa"/>
            <w:vAlign w:val="bottom"/>
          </w:tcPr>
          <w:p>
            <w:pPr>
              <w:jc w:val="right"/>
              <w:spacing w:after="0"/>
              <w:rPr>
                <w:sz w:val="20"/>
                <w:szCs w:val="20"/>
                <w:color w:val="auto"/>
              </w:rPr>
            </w:pPr>
            <w:r>
              <w:rPr>
                <w:rFonts w:ascii="Courier New" w:cs="Courier New" w:eastAsia="Courier New" w:hAnsi="Courier New"/>
                <w:sz w:val="15"/>
                <w:szCs w:val="15"/>
                <w:color w:val="auto"/>
              </w:rPr>
              <w:t>12,015</w:t>
            </w:r>
          </w:p>
        </w:tc>
      </w:tr>
      <w:tr>
        <w:trPr>
          <w:trHeight w:val="257"/>
        </w:trPr>
        <w:tc>
          <w:tcPr>
            <w:tcW w:w="2300" w:type="dxa"/>
            <w:vAlign w:val="bottom"/>
          </w:tcPr>
          <w:p>
            <w:pPr>
              <w:spacing w:after="0"/>
              <w:rPr>
                <w:sz w:val="22"/>
                <w:szCs w:val="22"/>
                <w:color w:val="auto"/>
              </w:rPr>
            </w:pPr>
          </w:p>
        </w:tc>
        <w:tc>
          <w:tcPr>
            <w:tcW w:w="2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95" w:lineRule="exact"/>
        <w:rPr>
          <w:sz w:val="20"/>
          <w:szCs w:val="20"/>
          <w:color w:val="auto"/>
        </w:rPr>
      </w:pPr>
    </w:p>
    <w:p>
      <w:pPr>
        <w:ind w:left="5046"/>
        <w:spacing w:after="0"/>
        <w:rPr>
          <w:sz w:val="20"/>
          <w:szCs w:val="20"/>
          <w:color w:val="auto"/>
        </w:rPr>
      </w:pPr>
      <w:r>
        <w:rPr>
          <w:rFonts w:ascii="Courier New" w:cs="Courier New" w:eastAsia="Courier New" w:hAnsi="Courier New"/>
          <w:sz w:val="15"/>
          <w:szCs w:val="15"/>
          <w:color w:val="auto"/>
        </w:rPr>
        <w:t>$1,969,437</w:t>
      </w:r>
    </w:p>
    <w:p>
      <w:pPr>
        <w:spacing w:after="0" w:line="34" w:lineRule="exact"/>
        <w:rPr>
          <w:sz w:val="20"/>
          <w:szCs w:val="20"/>
          <w:color w:val="auto"/>
        </w:rPr>
      </w:pPr>
    </w:p>
    <w:p>
      <w:pPr>
        <w:ind w:left="5046"/>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ind w:left="5046"/>
        <w:spacing w:after="0"/>
        <w:rPr>
          <w:sz w:val="20"/>
          <w:szCs w:val="20"/>
          <w:color w:val="auto"/>
        </w:rPr>
      </w:pPr>
      <w:r>
        <w:rPr>
          <w:rFonts w:ascii="Courier New" w:cs="Courier New" w:eastAsia="Courier New" w:hAnsi="Courier New"/>
          <w:sz w:val="15"/>
          <w:szCs w:val="15"/>
          <w:color w:val="auto"/>
        </w:rPr>
        <w:t>----------</w:t>
      </w:r>
    </w:p>
    <w:p>
      <w:pPr>
        <w:spacing w:after="0" w:line="154" w:lineRule="exact"/>
        <w:rPr>
          <w:sz w:val="20"/>
          <w:szCs w:val="20"/>
          <w:color w:val="auto"/>
        </w:rPr>
      </w:pPr>
    </w:p>
    <w:p>
      <w:pPr>
        <w:ind w:left="466"/>
        <w:spacing w:after="0"/>
        <w:rPr>
          <w:sz w:val="20"/>
          <w:szCs w:val="20"/>
          <w:color w:val="auto"/>
        </w:rPr>
      </w:pPr>
      <w:r>
        <w:rPr>
          <w:rFonts w:ascii="Courier New" w:cs="Courier New" w:eastAsia="Courier New" w:hAnsi="Courier New"/>
          <w:sz w:val="15"/>
          <w:szCs w:val="15"/>
          <w:color w:val="auto"/>
        </w:rPr>
        <w:t>Rent expense was $1,117,494 for the year ended December 1, 1996.</w:t>
      </w:r>
    </w:p>
    <w:p>
      <w:pPr>
        <w:spacing w:after="0" w:line="182" w:lineRule="exact"/>
        <w:rPr>
          <w:sz w:val="20"/>
          <w:szCs w:val="20"/>
          <w:color w:val="auto"/>
        </w:rPr>
      </w:pPr>
    </w:p>
    <w:p>
      <w:pPr>
        <w:ind w:left="466" w:right="2899"/>
        <w:spacing w:after="0" w:line="310" w:lineRule="auto"/>
        <w:rPr>
          <w:sz w:val="20"/>
          <w:szCs w:val="20"/>
          <w:color w:val="auto"/>
        </w:rPr>
      </w:pPr>
      <w:r>
        <w:rPr>
          <w:rFonts w:ascii="Courier New" w:cs="Courier New" w:eastAsia="Courier New" w:hAnsi="Courier New"/>
          <w:sz w:val="15"/>
          <w:szCs w:val="15"/>
          <w:color w:val="auto"/>
        </w:rPr>
        <w:t>Letters of credit are issued by the Companies during the ordinary course of business, as required by certain vendor contracts. The Companies have commitments for letters of credit totaling $3,097,981 at December 1, 1996.</w:t>
      </w:r>
    </w:p>
    <w:p>
      <w:pPr>
        <w:spacing w:after="0" w:line="46" w:lineRule="exact"/>
        <w:rPr>
          <w:sz w:val="20"/>
          <w:szCs w:val="20"/>
          <w:color w:val="auto"/>
        </w:rPr>
      </w:pPr>
    </w:p>
    <w:p>
      <w:pPr>
        <w:ind w:left="466" w:right="3259"/>
        <w:spacing w:after="0" w:line="279" w:lineRule="auto"/>
        <w:rPr>
          <w:sz w:val="20"/>
          <w:szCs w:val="20"/>
          <w:color w:val="auto"/>
        </w:rPr>
      </w:pPr>
      <w:r>
        <w:rPr>
          <w:rFonts w:ascii="Courier New" w:cs="Courier New" w:eastAsia="Courier New" w:hAnsi="Courier New"/>
          <w:sz w:val="15"/>
          <w:szCs w:val="15"/>
          <w:color w:val="auto"/>
        </w:rPr>
        <w:t>The Companies are involved in certain asserted and unasserted potential claims which have not been finally adjudicated. In the opinion of management, the resolution of these matters will not have a material adverse effect on the Companies' financial position or results of operations.</w:t>
      </w:r>
    </w:p>
    <w:p>
      <w:pPr>
        <w:spacing w:after="0" w:line="246" w:lineRule="exact"/>
        <w:rPr>
          <w:sz w:val="20"/>
          <w:szCs w:val="20"/>
          <w:color w:val="auto"/>
        </w:rPr>
      </w:pPr>
    </w:p>
    <w:p>
      <w:pPr>
        <w:ind w:left="466" w:hanging="466"/>
        <w:spacing w:after="0"/>
        <w:tabs>
          <w:tab w:leader="none" w:pos="46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Shareholders' and Divisional Equity:</w:t>
      </w:r>
    </w:p>
    <w:p>
      <w:pPr>
        <w:spacing w:after="0" w:line="182" w:lineRule="exact"/>
        <w:rPr>
          <w:rFonts w:ascii="Courier New" w:cs="Courier New" w:eastAsia="Courier New" w:hAnsi="Courier New"/>
          <w:sz w:val="15"/>
          <w:szCs w:val="15"/>
          <w:color w:val="auto"/>
        </w:rPr>
      </w:pPr>
    </w:p>
    <w:p>
      <w:pPr>
        <w:ind w:left="466" w:right="3359"/>
        <w:spacing w:after="0" w:line="26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At December 1, 1996, Hardie Australia had 100,000,000 authorized ordinary shares and 34,538 authorized preference shares. All authorized and issued shares have a par value of A$1 each. There were 12,000,000 ordinary shares and 34,538 preference shares issued and outstanding at December 1, 1996. During 1996, certain loans due to affiliates of Hardie Australia were repaid through the issuance of the preference shares.</w:t>
      </w:r>
    </w:p>
    <w:p>
      <w:pPr>
        <w:spacing w:after="0" w:line="76" w:lineRule="exact"/>
        <w:rPr>
          <w:rFonts w:ascii="Courier New" w:cs="Courier New" w:eastAsia="Courier New" w:hAnsi="Courier New"/>
          <w:sz w:val="15"/>
          <w:szCs w:val="15"/>
          <w:color w:val="auto"/>
        </w:rPr>
      </w:pPr>
    </w:p>
    <w:p>
      <w:pPr>
        <w:ind w:left="466" w:right="3539"/>
        <w:spacing w:after="0" w:line="27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At December 1, 1996, Hardie U.S. had 25,000 shares of $.01 par value common stock authorized, of which 1,000 shares were issued and outstanding. During the year ended December 1, 1996, Hardie U.S. recapitalized its divisional equity through the issuance of common stock.</w:t>
      </w:r>
    </w:p>
    <w:p>
      <w:pPr>
        <w:spacing w:after="0" w:line="69" w:lineRule="exact"/>
        <w:rPr>
          <w:rFonts w:ascii="Courier New" w:cs="Courier New" w:eastAsia="Courier New" w:hAnsi="Courier New"/>
          <w:sz w:val="15"/>
          <w:szCs w:val="15"/>
          <w:color w:val="auto"/>
        </w:rPr>
      </w:pPr>
    </w:p>
    <w:p>
      <w:pPr>
        <w:ind w:left="466" w:right="2979"/>
        <w:spacing w:after="0" w:line="37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At December 1, 1996, Hardie Europe had 2,090 issued and outstanding shares of stock with a par value of 1 Lit/million each.</w:t>
      </w:r>
    </w:p>
    <w:p>
      <w:pPr>
        <w:spacing w:after="0" w:line="177" w:lineRule="exact"/>
        <w:rPr>
          <w:rFonts w:ascii="Courier New" w:cs="Courier New" w:eastAsia="Courier New" w:hAnsi="Courier New"/>
          <w:sz w:val="15"/>
          <w:szCs w:val="15"/>
          <w:color w:val="auto"/>
        </w:rPr>
      </w:pPr>
    </w:p>
    <w:p>
      <w:pPr>
        <w:ind w:left="466" w:hanging="466"/>
        <w:spacing w:after="0"/>
        <w:tabs>
          <w:tab w:leader="none" w:pos="466"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 Plans:</w:t>
      </w:r>
    </w:p>
    <w:p>
      <w:pPr>
        <w:spacing w:after="0" w:line="182" w:lineRule="exact"/>
        <w:rPr>
          <w:rFonts w:ascii="Courier New" w:cs="Courier New" w:eastAsia="Courier New" w:hAnsi="Courier New"/>
          <w:sz w:val="15"/>
          <w:szCs w:val="15"/>
          <w:color w:val="auto"/>
        </w:rPr>
      </w:pPr>
    </w:p>
    <w:p>
      <w:pPr>
        <w:ind w:left="466" w:right="2899"/>
        <w:spacing w:after="0" w:line="26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U.S. Parent sponsors a 401(k) defined contribution plan for Hardie U.S. employees who have completed one year of service and are at least 21 years of age. Employees may contribute up to 14% of their compensation on a before-tax basis, subject to the maximum dollar amount allowed under Section 404(a) of the Internal Revenue Code, as amended. The Company matches 100% of each employee's contribution, limited to 6% of the employee's compensation. Participants become immediately 100% vested in their contributions and earnings thereon. All Company contributions vest over a five-year period. The expense for Hardie U.S. related to this plan was $360,487 for the year ended December 1, 1996.</w:t>
      </w:r>
    </w:p>
    <w:p>
      <w:pPr>
        <w:spacing w:after="0" w:line="259"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Continued</w:t>
      </w:r>
    </w:p>
    <w:p>
      <w:pPr>
        <w:spacing w:after="0" w:line="34" w:lineRule="exact"/>
        <w:rPr>
          <w:sz w:val="20"/>
          <w:szCs w:val="20"/>
          <w:color w:val="auto"/>
        </w:rPr>
      </w:pPr>
    </w:p>
    <w:p>
      <w:pPr>
        <w:ind w:left="3766"/>
        <w:spacing w:after="0"/>
        <w:rPr>
          <w:sz w:val="20"/>
          <w:szCs w:val="20"/>
          <w:color w:val="auto"/>
        </w:rPr>
      </w:pPr>
      <w:r>
        <w:rPr>
          <w:rFonts w:ascii="Courier New" w:cs="Courier New" w:eastAsia="Courier New" w:hAnsi="Courier New"/>
          <w:sz w:val="15"/>
          <w:szCs w:val="15"/>
          <w:color w:val="auto"/>
        </w:rPr>
        <w:t>A-14</w:t>
      </w:r>
    </w:p>
    <w:p>
      <w:pPr>
        <w:sectPr>
          <w:pgSz w:w="11900" w:h="16838" w:orient="portrait"/>
          <w:cols w:equalWidth="0" w:num="1">
            <w:col w:w="10225"/>
          </w:cols>
          <w:pgMar w:left="234" w:top="619" w:right="1440" w:bottom="1440" w:gutter="0" w:footer="0" w:header="0"/>
        </w:sectPr>
      </w:pPr>
    </w:p>
    <w:bookmarkStart w:id="18" w:name="page19"/>
    <w:bookmarkEnd w:id="18"/>
    <w:p>
      <w:pPr>
        <w:ind w:left="2566"/>
        <w:spacing w:after="0"/>
        <w:rPr>
          <w:sz w:val="20"/>
          <w:szCs w:val="20"/>
          <w:color w:val="auto"/>
        </w:rPr>
      </w:pPr>
      <w:r>
        <w:rPr>
          <w:rFonts w:ascii="Courier New" w:cs="Courier New" w:eastAsia="Courier New" w:hAnsi="Courier New"/>
          <w:sz w:val="15"/>
          <w:szCs w:val="15"/>
          <w:color w:val="auto"/>
        </w:rPr>
        <w:t>JAMES HARDIE IRRIGATION GROUP</w:t>
      </w:r>
    </w:p>
    <w:p>
      <w:pPr>
        <w:spacing w:after="0" w:line="182" w:lineRule="exact"/>
        <w:rPr>
          <w:sz w:val="20"/>
          <w:szCs w:val="20"/>
          <w:color w:val="auto"/>
        </w:rPr>
      </w:pPr>
    </w:p>
    <w:p>
      <w:pPr>
        <w:jc w:val="center"/>
        <w:ind w:right="2353"/>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34" w:lineRule="exact"/>
        <w:rPr>
          <w:sz w:val="20"/>
          <w:szCs w:val="20"/>
          <w:color w:val="auto"/>
        </w:rPr>
      </w:pPr>
    </w:p>
    <w:p>
      <w:pPr>
        <w:jc w:val="center"/>
        <w:ind w:right="2353"/>
        <w:spacing w:after="0"/>
        <w:rPr>
          <w:sz w:val="20"/>
          <w:szCs w:val="20"/>
          <w:color w:val="auto"/>
        </w:rPr>
      </w:pPr>
      <w:r>
        <w:rPr>
          <w:rFonts w:ascii="Courier New" w:cs="Courier New" w:eastAsia="Courier New" w:hAnsi="Courier New"/>
          <w:sz w:val="15"/>
          <w:szCs w:val="15"/>
          <w:color w:val="auto"/>
        </w:rPr>
        <w:t>December 1, 1996</w:t>
      </w:r>
    </w:p>
    <w:p>
      <w:pPr>
        <w:spacing w:after="0" w:line="6" w:lineRule="exact"/>
        <w:rPr>
          <w:sz w:val="20"/>
          <w:szCs w:val="20"/>
          <w:color w:val="auto"/>
        </w:rPr>
      </w:pPr>
    </w:p>
    <w:p>
      <w:pPr>
        <w:ind w:left="3206"/>
        <w:spacing w:after="0"/>
        <w:rPr>
          <w:sz w:val="20"/>
          <w:szCs w:val="20"/>
          <w:color w:val="auto"/>
        </w:rPr>
      </w:pPr>
      <w:r>
        <w:rPr>
          <w:rFonts w:ascii="Courier New" w:cs="Courier New" w:eastAsia="Courier New" w:hAnsi="Courier New"/>
          <w:sz w:val="15"/>
          <w:szCs w:val="15"/>
          <w:color w:val="auto"/>
        </w:rPr>
        <w:t>_______________</w:t>
      </w:r>
    </w:p>
    <w:p>
      <w:pPr>
        <w:spacing w:after="0" w:line="331" w:lineRule="exact"/>
        <w:rPr>
          <w:sz w:val="20"/>
          <w:szCs w:val="20"/>
          <w:color w:val="auto"/>
        </w:rPr>
      </w:pPr>
    </w:p>
    <w:p>
      <w:pPr>
        <w:ind w:left="466" w:hanging="466"/>
        <w:spacing w:after="0"/>
        <w:tabs>
          <w:tab w:leader="none" w:pos="466"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 Plans, Continued:</w:t>
      </w:r>
    </w:p>
    <w:p>
      <w:pPr>
        <w:spacing w:after="0" w:line="182" w:lineRule="exact"/>
        <w:rPr>
          <w:rFonts w:ascii="Courier New" w:cs="Courier New" w:eastAsia="Courier New" w:hAnsi="Courier New"/>
          <w:sz w:val="15"/>
          <w:szCs w:val="15"/>
          <w:color w:val="auto"/>
        </w:rPr>
      </w:pPr>
    </w:p>
    <w:p>
      <w:pPr>
        <w:ind w:left="466" w:right="2899"/>
        <w:spacing w:after="0" w:line="26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Parent also sponsors a defined contribution plan for employees of Hardie Australia. Employees are eligible immediately upon commencement of permanent employment, and may contribute up to 10% of their salary on a before-tax basis. Hardie Australia provides a minimum benefit of at least the superannuation guarantee amount determined by the Federal Government in Australia (currently 6% of salary). Vesting is based on years of credited service. Participants become immediately 100% vested in employee contributions and earnings thereon. The expense for Hardie Australia related to this plan was approximately $560,000 for the year ended December 1, 1996.</w:t>
      </w:r>
    </w:p>
    <w:p>
      <w:pPr>
        <w:spacing w:after="0" w:line="200" w:lineRule="exact"/>
        <w:rPr>
          <w:rFonts w:ascii="Courier New" w:cs="Courier New" w:eastAsia="Courier New" w:hAnsi="Courier New"/>
          <w:sz w:val="15"/>
          <w:szCs w:val="15"/>
          <w:color w:val="auto"/>
        </w:rPr>
      </w:pPr>
    </w:p>
    <w:p>
      <w:pPr>
        <w:spacing w:after="0" w:line="244" w:lineRule="exact"/>
        <w:rPr>
          <w:rFonts w:ascii="Courier New" w:cs="Courier New" w:eastAsia="Courier New" w:hAnsi="Courier New"/>
          <w:sz w:val="15"/>
          <w:szCs w:val="15"/>
          <w:color w:val="auto"/>
        </w:rPr>
      </w:pPr>
    </w:p>
    <w:p>
      <w:pPr>
        <w:ind w:left="466" w:hanging="466"/>
        <w:spacing w:after="0"/>
        <w:tabs>
          <w:tab w:leader="none" w:pos="466"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Party Transactions:</w:t>
      </w:r>
    </w:p>
    <w:p>
      <w:pPr>
        <w:spacing w:after="0" w:line="182" w:lineRule="exact"/>
        <w:rPr>
          <w:rFonts w:ascii="Courier New" w:cs="Courier New" w:eastAsia="Courier New" w:hAnsi="Courier New"/>
          <w:sz w:val="15"/>
          <w:szCs w:val="15"/>
          <w:color w:val="auto"/>
        </w:rPr>
      </w:pPr>
    </w:p>
    <w:p>
      <w:pPr>
        <w:ind w:left="466" w:right="2899"/>
        <w:spacing w:after="0" w:line="26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Companies have short-term amounts receivable and payable to James Hardie Industries Limited, the U.S. Parent and affiliates which are shown net in the accompanying combined financial statements. These amounts are related to various intercompany transactions including, among others, sales of products to affiliates, purchases of product from affiliates, current income taxes, and the allocation of certain operating expenses to the Companies by James Hardie Industries Limited, the U.S. Parent and affiliates. These amounts are due and payable on demand and do not bear interest.</w:t>
      </w:r>
    </w:p>
    <w:p>
      <w:pPr>
        <w:spacing w:after="0" w:line="266" w:lineRule="exact"/>
        <w:rPr>
          <w:rFonts w:ascii="Courier New" w:cs="Courier New" w:eastAsia="Courier New" w:hAnsi="Courier New"/>
          <w:sz w:val="15"/>
          <w:szCs w:val="15"/>
          <w:color w:val="auto"/>
        </w:rPr>
      </w:pPr>
    </w:p>
    <w:p>
      <w:pPr>
        <w:ind w:left="466" w:right="3079"/>
        <w:spacing w:after="0" w:line="31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Sales of products to affiliates totaled approximately $1,600,000 for the year ended December 1, 1996. Purchases of product from affiliates were approximately $300,000 for the year ended December 1, 1996.</w:t>
      </w:r>
    </w:p>
    <w:p>
      <w:pPr>
        <w:spacing w:after="0" w:line="46" w:lineRule="exact"/>
        <w:rPr>
          <w:rFonts w:ascii="Courier New" w:cs="Courier New" w:eastAsia="Courier New" w:hAnsi="Courier New"/>
          <w:sz w:val="15"/>
          <w:szCs w:val="15"/>
          <w:color w:val="auto"/>
        </w:rPr>
      </w:pPr>
    </w:p>
    <w:p>
      <w:pPr>
        <w:ind w:left="466" w:right="2899"/>
        <w:spacing w:after="0" w:line="26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June 12, 1996, Hardie Australia sold its investment interest in certain depositary receipts issued by the Stichting Administration RIS International Finance N.V. to an affiliate. This investment was acquired in fiscal year 1988 at an initial cost of A$15,235,000 and was written down to zero prior to the fiscal year ended December 1, 1996. Hardie Australia did not receive cash in connection with this transaction but reduced an intercompany payable account and recognized a gain of $7,065,294 (A$9,057,000) for the full amount of the sales price. This gain is included in "other income, net" in the combined statement of operations.</w:t>
      </w:r>
    </w:p>
    <w:p>
      <w:pPr>
        <w:spacing w:after="0" w:line="79" w:lineRule="exact"/>
        <w:rPr>
          <w:rFonts w:ascii="Courier New" w:cs="Courier New" w:eastAsia="Courier New" w:hAnsi="Courier New"/>
          <w:sz w:val="15"/>
          <w:szCs w:val="15"/>
          <w:color w:val="auto"/>
        </w:rPr>
      </w:pPr>
    </w:p>
    <w:p>
      <w:pPr>
        <w:ind w:left="466" w:right="2899"/>
        <w:spacing w:after="0" w:line="27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Hardie U.S. has a loan payable to the U.S. Parent which bears interest at the average six month LIBOR rate plus 0.4%. The effective interest rate on this loan was 5.9% at December 1, 1996. The outstanding balance of this loan was effectively repaid on December 2, 1996 when the companies were acquired by The Toro Company. See Note 12 to these combined financial statements.</w:t>
      </w:r>
    </w:p>
    <w:p>
      <w:pPr>
        <w:spacing w:after="0" w:line="263" w:lineRule="exact"/>
        <w:rPr>
          <w:rFonts w:ascii="Courier New" w:cs="Courier New" w:eastAsia="Courier New" w:hAnsi="Courier New"/>
          <w:sz w:val="15"/>
          <w:szCs w:val="15"/>
          <w:color w:val="auto"/>
        </w:rPr>
      </w:pPr>
    </w:p>
    <w:p>
      <w:pPr>
        <w:ind w:left="466" w:right="2899"/>
        <w:spacing w:after="0" w:line="26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Hardie Europe has a loan due to James Hardie Holdings Ltd., which bears interest at the one-month LIBOR plus 0.75%. The effective interest rate on this loan was 6.102% at December 1, 1996. The principal amount of this loan is $5,000,000. In addition, Hardie Europe has a non-interest bearing loan totaling $2,133,375 due to RIS International Finance N.V.. This loan is denominated in Italian Lira. This loan was effectively repaid on December 2, 1996 when the companies were acquired by The Toro Company. See Note 12 to these combined financial statements.</w:t>
      </w:r>
    </w:p>
    <w:p>
      <w:pPr>
        <w:spacing w:after="0" w:line="255" w:lineRule="exact"/>
        <w:rPr>
          <w:sz w:val="20"/>
          <w:szCs w:val="20"/>
          <w:color w:val="auto"/>
        </w:rPr>
      </w:pPr>
    </w:p>
    <w:p>
      <w:pPr>
        <w:ind w:left="3486"/>
        <w:spacing w:after="0"/>
        <w:rPr>
          <w:sz w:val="20"/>
          <w:szCs w:val="20"/>
          <w:color w:val="auto"/>
        </w:rPr>
      </w:pPr>
      <w:r>
        <w:rPr>
          <w:rFonts w:ascii="Courier New" w:cs="Courier New" w:eastAsia="Courier New" w:hAnsi="Courier New"/>
          <w:sz w:val="15"/>
          <w:szCs w:val="15"/>
          <w:color w:val="auto"/>
        </w:rPr>
        <w:t>Continued</w:t>
      </w:r>
    </w:p>
    <w:p>
      <w:pPr>
        <w:spacing w:after="0" w:line="34" w:lineRule="exact"/>
        <w:rPr>
          <w:sz w:val="20"/>
          <w:szCs w:val="20"/>
          <w:color w:val="auto"/>
        </w:rPr>
      </w:pPr>
    </w:p>
    <w:p>
      <w:pPr>
        <w:ind w:left="3766"/>
        <w:spacing w:after="0"/>
        <w:rPr>
          <w:sz w:val="20"/>
          <w:szCs w:val="20"/>
          <w:color w:val="auto"/>
        </w:rPr>
      </w:pPr>
      <w:r>
        <w:rPr>
          <w:rFonts w:ascii="Courier New" w:cs="Courier New" w:eastAsia="Courier New" w:hAnsi="Courier New"/>
          <w:sz w:val="15"/>
          <w:szCs w:val="15"/>
          <w:color w:val="auto"/>
        </w:rPr>
        <w:t>A-15</w:t>
      </w:r>
    </w:p>
    <w:p>
      <w:pPr>
        <w:sectPr>
          <w:pgSz w:w="11900" w:h="16838" w:orient="portrait"/>
          <w:cols w:equalWidth="0" w:num="1">
            <w:col w:w="10225"/>
          </w:cols>
          <w:pgMar w:left="234" w:top="619" w:right="1440" w:bottom="1440" w:gutter="0" w:footer="0" w:header="0"/>
        </w:sectPr>
      </w:pPr>
    </w:p>
    <w:bookmarkStart w:id="19" w:name="page20"/>
    <w:bookmarkEnd w:id="19"/>
    <w:p>
      <w:pPr>
        <w:ind w:left="2566"/>
        <w:spacing w:after="0"/>
        <w:rPr>
          <w:sz w:val="20"/>
          <w:szCs w:val="20"/>
          <w:color w:val="auto"/>
        </w:rPr>
      </w:pPr>
      <w:r>
        <w:rPr>
          <w:rFonts w:ascii="Courier New" w:cs="Courier New" w:eastAsia="Courier New" w:hAnsi="Courier New"/>
          <w:sz w:val="15"/>
          <w:szCs w:val="15"/>
          <w:color w:val="auto"/>
        </w:rPr>
        <w:t>JAMES HARDIE IRRIGATION GROUP</w:t>
      </w:r>
    </w:p>
    <w:p>
      <w:pPr>
        <w:spacing w:after="0" w:line="182" w:lineRule="exact"/>
        <w:rPr>
          <w:sz w:val="20"/>
          <w:szCs w:val="20"/>
          <w:color w:val="auto"/>
        </w:rPr>
      </w:pPr>
    </w:p>
    <w:p>
      <w:pPr>
        <w:jc w:val="center"/>
        <w:ind w:right="2333"/>
        <w:spacing w:after="0"/>
        <w:rPr>
          <w:sz w:val="20"/>
          <w:szCs w:val="20"/>
          <w:color w:val="auto"/>
        </w:rPr>
      </w:pPr>
      <w:r>
        <w:rPr>
          <w:rFonts w:ascii="Courier New" w:cs="Courier New" w:eastAsia="Courier New" w:hAnsi="Courier New"/>
          <w:sz w:val="15"/>
          <w:szCs w:val="15"/>
          <w:color w:val="auto"/>
        </w:rPr>
        <w:t>NOTES TO COMBINED FINANCIAL STATEMENTS</w:t>
      </w:r>
    </w:p>
    <w:p>
      <w:pPr>
        <w:spacing w:after="0" w:line="34" w:lineRule="exact"/>
        <w:rPr>
          <w:sz w:val="20"/>
          <w:szCs w:val="20"/>
          <w:color w:val="auto"/>
        </w:rPr>
      </w:pPr>
    </w:p>
    <w:p>
      <w:pPr>
        <w:jc w:val="center"/>
        <w:ind w:right="2333"/>
        <w:spacing w:after="0"/>
        <w:rPr>
          <w:sz w:val="20"/>
          <w:szCs w:val="20"/>
          <w:color w:val="auto"/>
        </w:rPr>
      </w:pPr>
      <w:r>
        <w:rPr>
          <w:rFonts w:ascii="Courier New" w:cs="Courier New" w:eastAsia="Courier New" w:hAnsi="Courier New"/>
          <w:sz w:val="15"/>
          <w:szCs w:val="15"/>
          <w:color w:val="auto"/>
        </w:rPr>
        <w:t>December 1, 1996</w:t>
      </w:r>
    </w:p>
    <w:p>
      <w:pPr>
        <w:spacing w:after="0" w:line="6" w:lineRule="exact"/>
        <w:rPr>
          <w:sz w:val="20"/>
          <w:szCs w:val="20"/>
          <w:color w:val="auto"/>
        </w:rPr>
      </w:pPr>
    </w:p>
    <w:p>
      <w:pPr>
        <w:ind w:left="3206"/>
        <w:spacing w:after="0"/>
        <w:rPr>
          <w:sz w:val="20"/>
          <w:szCs w:val="20"/>
          <w:color w:val="auto"/>
        </w:rPr>
      </w:pPr>
      <w:r>
        <w:rPr>
          <w:rFonts w:ascii="Courier New" w:cs="Courier New" w:eastAsia="Courier New" w:hAnsi="Courier New"/>
          <w:sz w:val="15"/>
          <w:szCs w:val="15"/>
          <w:color w:val="auto"/>
        </w:rPr>
        <w:t>_______________</w:t>
      </w:r>
    </w:p>
    <w:p>
      <w:pPr>
        <w:spacing w:after="0" w:line="331" w:lineRule="exact"/>
        <w:rPr>
          <w:sz w:val="20"/>
          <w:szCs w:val="20"/>
          <w:color w:val="auto"/>
        </w:rPr>
      </w:pPr>
    </w:p>
    <w:p>
      <w:pPr>
        <w:ind w:left="466" w:hanging="466"/>
        <w:spacing w:after="0"/>
        <w:tabs>
          <w:tab w:leader="none" w:pos="466"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Party Transactions, Continued:</w:t>
      </w:r>
    </w:p>
    <w:p>
      <w:pPr>
        <w:spacing w:after="0" w:line="358" w:lineRule="exact"/>
        <w:rPr>
          <w:rFonts w:ascii="Courier New" w:cs="Courier New" w:eastAsia="Courier New" w:hAnsi="Courier New"/>
          <w:sz w:val="15"/>
          <w:szCs w:val="15"/>
          <w:color w:val="auto"/>
        </w:rPr>
      </w:pPr>
    </w:p>
    <w:p>
      <w:pPr>
        <w:ind w:left="466" w:right="2979"/>
        <w:spacing w:after="0" w:line="28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Hardie U.S. receives interest income from or pays interest expense to the U.S. Parent based upon the level of working capital employed. Hardie U.S. also pays a management fee to the U.S. Parent and is allocated certain general and administrative expenses.</w:t>
      </w:r>
    </w:p>
    <w:p>
      <w:pPr>
        <w:spacing w:after="0" w:line="238" w:lineRule="exact"/>
        <w:rPr>
          <w:rFonts w:ascii="Courier New" w:cs="Courier New" w:eastAsia="Courier New" w:hAnsi="Courier New"/>
          <w:sz w:val="15"/>
          <w:szCs w:val="15"/>
          <w:color w:val="auto"/>
        </w:rPr>
      </w:pPr>
    </w:p>
    <w:p>
      <w:pPr>
        <w:ind w:left="466" w:hanging="466"/>
        <w:spacing w:after="0"/>
        <w:tabs>
          <w:tab w:leader="none" w:pos="466"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 of the Company:</w:t>
      </w:r>
    </w:p>
    <w:p>
      <w:pPr>
        <w:spacing w:after="0" w:line="182" w:lineRule="exact"/>
        <w:rPr>
          <w:rFonts w:ascii="Courier New" w:cs="Courier New" w:eastAsia="Courier New" w:hAnsi="Courier New"/>
          <w:sz w:val="15"/>
          <w:szCs w:val="15"/>
          <w:color w:val="auto"/>
        </w:rPr>
      </w:pPr>
    </w:p>
    <w:p>
      <w:pPr>
        <w:ind w:left="466" w:right="3179"/>
        <w:spacing w:after="0" w:line="25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September 18, 1996, the Parent entered into an agreement to sell all of the issued and outstanding shares of the Companies to The Toro Company for an initially estimated purchase price of $131,500,000. The closing date purchase price was subsequently adjusted to $119,125,000 based on the estimated unaudited aggregate shareholders' equity on December 1, 1996. Based upon the shareholder's equity of the Companies as of the closing date, the purchase price has been reduced by approximately $10,545,000. In addition, under the procedures established in the purchase agreement, Toro has delivered a letter of objections to James Hardie, Ltd. related to the valuation of assets, accounting methods applied, estimates used and other items. The resolution of these objections may result in an additional reduction of the purchase price.</w:t>
      </w:r>
    </w:p>
    <w:p>
      <w:pPr>
        <w:spacing w:after="0" w:line="266" w:lineRule="exact"/>
        <w:rPr>
          <w:sz w:val="20"/>
          <w:szCs w:val="20"/>
          <w:color w:val="auto"/>
        </w:rPr>
      </w:pPr>
    </w:p>
    <w:p>
      <w:pPr>
        <w:ind w:left="3766"/>
        <w:spacing w:after="0"/>
        <w:rPr>
          <w:sz w:val="20"/>
          <w:szCs w:val="20"/>
          <w:color w:val="auto"/>
        </w:rPr>
      </w:pPr>
      <w:r>
        <w:rPr>
          <w:rFonts w:ascii="Courier New" w:cs="Courier New" w:eastAsia="Courier New" w:hAnsi="Courier New"/>
          <w:sz w:val="15"/>
          <w:szCs w:val="15"/>
          <w:color w:val="auto"/>
        </w:rPr>
        <w:t>A-16</w:t>
      </w:r>
    </w:p>
    <w:p>
      <w:pPr>
        <w:sectPr>
          <w:pgSz w:w="11900" w:h="16838" w:orient="portrait"/>
          <w:cols w:equalWidth="0" w:num="1">
            <w:col w:w="10225"/>
          </w:cols>
          <w:pgMar w:left="234" w:top="619" w:right="1440" w:bottom="1440" w:gutter="0" w:footer="0" w:header="0"/>
        </w:sectPr>
      </w:pPr>
    </w:p>
    <w:bookmarkStart w:id="20" w:name="page21"/>
    <w:bookmarkEnd w:id="20"/>
    <w:p>
      <w:pPr>
        <w:jc w:val="center"/>
        <w:ind w:right="2359"/>
        <w:spacing w:after="0"/>
        <w:rPr>
          <w:sz w:val="20"/>
          <w:szCs w:val="20"/>
          <w:color w:val="auto"/>
        </w:rPr>
      </w:pPr>
      <w:r>
        <w:rPr>
          <w:rFonts w:ascii="Courier New" w:cs="Courier New" w:eastAsia="Courier New" w:hAnsi="Courier New"/>
          <w:sz w:val="15"/>
          <w:szCs w:val="15"/>
          <w:color w:val="auto"/>
        </w:rPr>
        <w:t>The Toro Company</w:t>
      </w:r>
    </w:p>
    <w:p>
      <w:pPr>
        <w:spacing w:after="0" w:line="3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5"/>
          <w:szCs w:val="15"/>
          <w:color w:val="auto"/>
        </w:rPr>
        <w:t>Unaudited Pro Forma Condensed Combined Financial Statements</w:t>
      </w:r>
    </w:p>
    <w:p>
      <w:pPr>
        <w:spacing w:after="0" w:line="154" w:lineRule="exact"/>
        <w:rPr>
          <w:sz w:val="20"/>
          <w:szCs w:val="20"/>
          <w:color w:val="auto"/>
        </w:rPr>
      </w:pPr>
    </w:p>
    <w:p>
      <w:pPr>
        <w:ind w:right="3179"/>
        <w:spacing w:after="0" w:line="269" w:lineRule="auto"/>
        <w:rPr>
          <w:sz w:val="20"/>
          <w:szCs w:val="20"/>
          <w:color w:val="auto"/>
        </w:rPr>
      </w:pPr>
      <w:r>
        <w:rPr>
          <w:rFonts w:ascii="Courier New" w:cs="Courier New" w:eastAsia="Courier New" w:hAnsi="Courier New"/>
          <w:sz w:val="15"/>
          <w:szCs w:val="15"/>
          <w:color w:val="auto"/>
        </w:rPr>
        <w:t>Effective December 1, 1996, The Toro Company acquired the James Hardie Irrigation Group ("Hardie") from James Hardie, Ltd. under an agreement dated September 18, 1996. The initial purchase price pursuant to the agreement was estimated to be $131,500,000. The purchase price was subsequently adjusted to $119,125,000 based on estimated, unaudited aggregate shareholders' equity of Hardie on December 1, 1996, subject to further adjustment based on final audit results.</w:t>
      </w:r>
    </w:p>
    <w:p>
      <w:pPr>
        <w:spacing w:after="0" w:line="76" w:lineRule="exact"/>
        <w:rPr>
          <w:sz w:val="20"/>
          <w:szCs w:val="20"/>
          <w:color w:val="auto"/>
        </w:rPr>
      </w:pPr>
    </w:p>
    <w:p>
      <w:pPr>
        <w:ind w:right="2899"/>
        <w:spacing w:after="0" w:line="266" w:lineRule="auto"/>
        <w:rPr>
          <w:sz w:val="20"/>
          <w:szCs w:val="20"/>
          <w:color w:val="auto"/>
        </w:rPr>
      </w:pPr>
      <w:r>
        <w:rPr>
          <w:rFonts w:ascii="Courier New" w:cs="Courier New" w:eastAsia="Courier New" w:hAnsi="Courier New"/>
          <w:sz w:val="15"/>
          <w:szCs w:val="15"/>
          <w:color w:val="auto"/>
        </w:rPr>
        <w:t>Based on the financial statements of Hardie as of the acquisition date, shareholders' equity at the acquisition date was approximately $10,545,000 less than the estimated equity used as the closing date purchase price, and this $10,545,000 is to be returned from James Hardie, Ltd. to Toro. In addition, under the procedures established in the purchase agreement, Toro has delivered a letter of objections to James Hardie, Ltd. related to the valuation of assets, accounting methods applied, estimates used and other items. The resolution of these objections may result in an additional reduction of the purchase price.</w:t>
      </w:r>
    </w:p>
    <w:p>
      <w:pPr>
        <w:spacing w:after="0" w:line="79" w:lineRule="exact"/>
        <w:rPr>
          <w:sz w:val="20"/>
          <w:szCs w:val="20"/>
          <w:color w:val="auto"/>
        </w:rPr>
      </w:pPr>
    </w:p>
    <w:p>
      <w:pPr>
        <w:ind w:right="3179"/>
        <w:spacing w:after="0" w:line="264" w:lineRule="auto"/>
        <w:rPr>
          <w:sz w:val="20"/>
          <w:szCs w:val="20"/>
          <w:color w:val="auto"/>
        </w:rPr>
      </w:pPr>
      <w:r>
        <w:rPr>
          <w:rFonts w:ascii="Courier New" w:cs="Courier New" w:eastAsia="Courier New" w:hAnsi="Courier New"/>
          <w:sz w:val="15"/>
          <w:szCs w:val="15"/>
          <w:color w:val="auto"/>
        </w:rPr>
        <w:t>The acquisition is accounted for using the purchase method of accounting and, accordingly, the adjusted purchase price of $108,580,000 has initially been allocated based on the estimated fair values of assets acquired and liabilities assumed on the date of acquisition. The excess of the purchase price over the estimated fair value of net tangible assets acquired has been recorded as goodwill and is being amortized on a straight-line basis over 20 years. Any additional reductions in the purchase price as a result of resolution of the objections discussed in the preceding paragraph will result in a reduction of goodwill and/or other net assets.</w:t>
      </w:r>
    </w:p>
    <w:p>
      <w:pPr>
        <w:spacing w:after="0" w:line="80" w:lineRule="exact"/>
        <w:rPr>
          <w:sz w:val="20"/>
          <w:szCs w:val="20"/>
          <w:color w:val="auto"/>
        </w:rPr>
      </w:pPr>
    </w:p>
    <w:p>
      <w:pPr>
        <w:ind w:right="2899"/>
        <w:spacing w:after="0" w:line="273" w:lineRule="auto"/>
        <w:rPr>
          <w:sz w:val="20"/>
          <w:szCs w:val="20"/>
          <w:color w:val="auto"/>
        </w:rPr>
      </w:pPr>
      <w:r>
        <w:rPr>
          <w:rFonts w:ascii="Courier New" w:cs="Courier New" w:eastAsia="Courier New" w:hAnsi="Courier New"/>
          <w:sz w:val="15"/>
          <w:szCs w:val="15"/>
          <w:color w:val="auto"/>
        </w:rPr>
        <w:t>The unaudited pro forma condensed combined balance sheet and results of operations are based on available information and certain assumptions regarding the allocation of the purchase price, which could change significantly based on the results of appraisals and finalization of the purchase price as a result of the resolution of the objections discussed in the preceeding paragraph and other analysis.</w:t>
      </w:r>
    </w:p>
    <w:p>
      <w:pPr>
        <w:spacing w:after="0" w:line="74" w:lineRule="exact"/>
        <w:rPr>
          <w:sz w:val="20"/>
          <w:szCs w:val="20"/>
          <w:color w:val="auto"/>
        </w:rPr>
      </w:pPr>
    </w:p>
    <w:p>
      <w:pPr>
        <w:ind w:right="2899"/>
        <w:spacing w:after="0" w:line="264" w:lineRule="auto"/>
        <w:rPr>
          <w:sz w:val="20"/>
          <w:szCs w:val="20"/>
          <w:color w:val="auto"/>
        </w:rPr>
      </w:pPr>
      <w:r>
        <w:rPr>
          <w:rFonts w:ascii="Courier New" w:cs="Courier New" w:eastAsia="Courier New" w:hAnsi="Courier New"/>
          <w:sz w:val="15"/>
          <w:szCs w:val="15"/>
          <w:color w:val="auto"/>
        </w:rPr>
        <w:t>The accompanying pro forma condensed combined financial statements present the effect of the acquisition on The Toro Company's financial position at October 31, 1996 and results of operations for the year then ended as if the acquisition had taken place on October 31, 1996 with respect to the balance sheet and November 1, 1995 with respect to the statement of operations. These pro forma condensed combined financial statements were prepared utilizing The Toro Company's October 31, 1996 balance sheet and results of operations for the year then ended and Hardie Irrigation Group's December 1, 1996 balance sheet and results of operations for the year then ended.</w:t>
      </w:r>
    </w:p>
    <w:p>
      <w:pPr>
        <w:spacing w:after="0" w:line="80" w:lineRule="exact"/>
        <w:rPr>
          <w:sz w:val="20"/>
          <w:szCs w:val="20"/>
          <w:color w:val="auto"/>
        </w:rPr>
      </w:pPr>
    </w:p>
    <w:p>
      <w:pPr>
        <w:jc w:val="both"/>
        <w:ind w:right="2899"/>
        <w:spacing w:after="0" w:line="310" w:lineRule="auto"/>
        <w:rPr>
          <w:sz w:val="20"/>
          <w:szCs w:val="20"/>
          <w:color w:val="auto"/>
        </w:rPr>
      </w:pPr>
      <w:r>
        <w:rPr>
          <w:rFonts w:ascii="Courier New" w:cs="Courier New" w:eastAsia="Courier New" w:hAnsi="Courier New"/>
          <w:sz w:val="15"/>
          <w:szCs w:val="15"/>
          <w:color w:val="auto"/>
        </w:rPr>
        <w:t>The pro forma condensed combined results of operations may not be indicative of actual results which would have been obtained if the acquisition had occurred on November 1, 1995.</w:t>
      </w:r>
    </w:p>
    <w:p>
      <w:pPr>
        <w:spacing w:after="0" w:line="222"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B-1</w:t>
      </w:r>
    </w:p>
    <w:p>
      <w:pPr>
        <w:sectPr>
          <w:pgSz w:w="11900" w:h="16838" w:orient="portrait"/>
          <w:cols w:equalWidth="0" w:num="1">
            <w:col w:w="10219"/>
          </w:cols>
          <w:pgMar w:left="240" w:top="619" w:right="1440" w:bottom="1440" w:gutter="0" w:footer="0" w:header="0"/>
        </w:sectPr>
      </w:pPr>
    </w:p>
    <w:bookmarkStart w:id="21" w:name="page22"/>
    <w:bookmarkEnd w:id="21"/>
    <w:p>
      <w:pPr>
        <w:jc w:val="center"/>
        <w:ind w:right="2359"/>
        <w:spacing w:after="0"/>
        <w:rPr>
          <w:sz w:val="20"/>
          <w:szCs w:val="20"/>
          <w:color w:val="auto"/>
        </w:rPr>
      </w:pPr>
      <w:r>
        <w:rPr>
          <w:rFonts w:ascii="Courier New" w:cs="Courier New" w:eastAsia="Courier New" w:hAnsi="Courier New"/>
          <w:sz w:val="15"/>
          <w:szCs w:val="15"/>
          <w:color w:val="auto"/>
        </w:rPr>
        <w:t>The Toro Company</w:t>
      </w:r>
    </w:p>
    <w:p>
      <w:pPr>
        <w:spacing w:after="0" w:line="34"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5"/>
          <w:szCs w:val="15"/>
          <w:color w:val="auto"/>
        </w:rPr>
        <w:t>Unaudited Pro Forma Condensed Combined Balance Sheet</w:t>
      </w:r>
    </w:p>
    <w:p>
      <w:pPr>
        <w:spacing w:after="0" w:line="6"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5"/>
          <w:szCs w:val="15"/>
          <w:color w:val="auto"/>
        </w:rPr>
        <w:t>October 31, 1996</w:t>
      </w:r>
    </w:p>
    <w:p>
      <w:pPr>
        <w:spacing w:after="0" w:line="6"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5"/>
          <w:szCs w:val="15"/>
          <w:color w:val="auto"/>
        </w:rPr>
        <w:t>(Dollars in thousands)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gridSpan w:val="2"/>
            <w:vMerge w:val="restart"/>
          </w:tcPr>
          <w:p>
            <w:pPr>
              <w:jc w:val="right"/>
              <w:ind w:right="244"/>
              <w:spacing w:after="0"/>
              <w:rPr>
                <w:sz w:val="20"/>
                <w:szCs w:val="20"/>
                <w:color w:val="auto"/>
              </w:rPr>
            </w:pPr>
            <w:r>
              <w:rPr>
                <w:rFonts w:ascii="Courier New" w:cs="Courier New" w:eastAsia="Courier New" w:hAnsi="Courier New"/>
                <w:sz w:val="15"/>
                <w:szCs w:val="15"/>
                <w:color w:val="auto"/>
                <w:w w:val="97"/>
              </w:rPr>
              <w:t>The Toro</w:t>
            </w: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Hardie</w:t>
            </w:r>
          </w:p>
        </w:tc>
        <w:tc>
          <w:tcPr>
            <w:tcW w:w="1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The Toro</w:t>
            </w:r>
          </w:p>
        </w:tc>
        <w:tc>
          <w:tcPr>
            <w:tcW w:w="0" w:type="dxa"/>
            <w:vAlign w:val="bottom"/>
          </w:tcPr>
          <w:p>
            <w:pPr>
              <w:spacing w:after="0"/>
              <w:rPr>
                <w:sz w:val="1"/>
                <w:szCs w:val="1"/>
                <w:color w:val="auto"/>
              </w:rPr>
            </w:pPr>
          </w:p>
        </w:tc>
      </w:tr>
      <w:tr>
        <w:trPr>
          <w:trHeight w:val="176"/>
        </w:trPr>
        <w:tc>
          <w:tcPr>
            <w:tcW w:w="2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4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Irrigation</w:t>
            </w:r>
          </w:p>
        </w:tc>
        <w:tc>
          <w:tcPr>
            <w:tcW w:w="128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Pro forma</w:t>
            </w:r>
          </w:p>
        </w:tc>
        <w:tc>
          <w:tcPr>
            <w:tcW w:w="52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Company</w:t>
            </w:r>
          </w:p>
        </w:tc>
        <w:tc>
          <w:tcPr>
            <w:tcW w:w="14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Group</w:t>
            </w:r>
          </w:p>
        </w:tc>
        <w:tc>
          <w:tcPr>
            <w:tcW w:w="12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Company</w:t>
            </w:r>
          </w:p>
        </w:tc>
        <w:tc>
          <w:tcPr>
            <w:tcW w:w="0" w:type="dxa"/>
            <w:vAlign w:val="bottom"/>
          </w:tcPr>
          <w:p>
            <w:pPr>
              <w:spacing w:after="0"/>
              <w:rPr>
                <w:sz w:val="1"/>
                <w:szCs w:val="1"/>
                <w:color w:val="auto"/>
              </w:rPr>
            </w:pPr>
          </w:p>
        </w:tc>
      </w:tr>
      <w:tr>
        <w:trPr>
          <w:trHeight w:val="176"/>
        </w:trPr>
        <w:tc>
          <w:tcPr>
            <w:tcW w:w="2920" w:type="dxa"/>
            <w:vAlign w:val="bottom"/>
          </w:tcPr>
          <w:p>
            <w:pPr>
              <w:spacing w:after="0"/>
              <w:rPr>
                <w:sz w:val="15"/>
                <w:szCs w:val="15"/>
                <w:color w:val="auto"/>
              </w:rPr>
            </w:pPr>
          </w:p>
        </w:tc>
        <w:tc>
          <w:tcPr>
            <w:tcW w:w="1420" w:type="dxa"/>
            <w:vAlign w:val="bottom"/>
            <w:gridSpan w:val="3"/>
          </w:tcPr>
          <w:p>
            <w:pPr>
              <w:jc w:val="right"/>
              <w:ind w:right="64"/>
              <w:spacing w:after="0"/>
              <w:rPr>
                <w:sz w:val="20"/>
                <w:szCs w:val="20"/>
                <w:color w:val="auto"/>
              </w:rPr>
            </w:pPr>
            <w:r>
              <w:rPr>
                <w:rFonts w:ascii="Courier New" w:cs="Courier New" w:eastAsia="Courier New" w:hAnsi="Courier New"/>
                <w:sz w:val="15"/>
                <w:szCs w:val="15"/>
                <w:color w:val="auto"/>
              </w:rPr>
              <w:t>(Historical)</w:t>
            </w:r>
          </w:p>
        </w:tc>
        <w:tc>
          <w:tcPr>
            <w:tcW w:w="14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(Historical)</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adjustments</w:t>
            </w:r>
          </w:p>
        </w:tc>
        <w:tc>
          <w:tcPr>
            <w:tcW w:w="5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(Pro forma)</w:t>
            </w:r>
          </w:p>
        </w:tc>
        <w:tc>
          <w:tcPr>
            <w:tcW w:w="0" w:type="dxa"/>
            <w:vAlign w:val="bottom"/>
          </w:tcPr>
          <w:p>
            <w:pPr>
              <w:spacing w:after="0"/>
              <w:rPr>
                <w:sz w:val="1"/>
                <w:szCs w:val="1"/>
                <w:color w:val="auto"/>
              </w:rPr>
            </w:pPr>
          </w:p>
        </w:tc>
      </w:tr>
      <w:tr>
        <w:trPr>
          <w:trHeight w:val="257"/>
        </w:trPr>
        <w:tc>
          <w:tcPr>
            <w:tcW w:w="2920" w:type="dxa"/>
            <w:vAlign w:val="bottom"/>
          </w:tcPr>
          <w:p>
            <w:pPr>
              <w:spacing w:after="0"/>
              <w:rPr>
                <w:sz w:val="22"/>
                <w:szCs w:val="22"/>
                <w:color w:val="auto"/>
              </w:rPr>
            </w:pPr>
          </w:p>
        </w:tc>
        <w:tc>
          <w:tcPr>
            <w:tcW w:w="5960" w:type="dxa"/>
            <w:vAlign w:val="bottom"/>
            <w:gridSpan w:val="7"/>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380" w:type="dxa"/>
            <w:vAlign w:val="bottom"/>
          </w:tcPr>
          <w:p>
            <w:pPr>
              <w:spacing w:after="0"/>
              <w:rPr>
                <w:sz w:val="23"/>
                <w:szCs w:val="23"/>
                <w:color w:val="auto"/>
              </w:rPr>
            </w:pPr>
          </w:p>
        </w:tc>
        <w:tc>
          <w:tcPr>
            <w:tcW w:w="540" w:type="dxa"/>
            <w:vAlign w:val="bottom"/>
            <w:vMerge w:val="restart"/>
          </w:tcPr>
          <w:p>
            <w:pPr>
              <w:jc w:val="right"/>
              <w:ind w:right="4"/>
              <w:spacing w:after="0"/>
              <w:rPr>
                <w:sz w:val="20"/>
                <w:szCs w:val="20"/>
                <w:color w:val="auto"/>
              </w:rPr>
            </w:pPr>
            <w:r>
              <w:rPr>
                <w:rFonts w:ascii="Courier New" w:cs="Courier New" w:eastAsia="Courier New" w:hAnsi="Courier New"/>
                <w:sz w:val="15"/>
                <w:szCs w:val="15"/>
                <w:color w:val="auto"/>
              </w:rPr>
              <w:t>$</w:t>
            </w:r>
          </w:p>
        </w:tc>
        <w:tc>
          <w:tcPr>
            <w:tcW w:w="50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66</w:t>
            </w:r>
          </w:p>
        </w:tc>
        <w:tc>
          <w:tcPr>
            <w:tcW w:w="142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971</w:t>
            </w:r>
          </w:p>
        </w:tc>
        <w:tc>
          <w:tcPr>
            <w:tcW w:w="1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3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1,037</w:t>
            </w:r>
          </w:p>
        </w:tc>
        <w:tc>
          <w:tcPr>
            <w:tcW w:w="0" w:type="dxa"/>
            <w:vAlign w:val="bottom"/>
          </w:tcPr>
          <w:p>
            <w:pPr>
              <w:spacing w:after="0"/>
              <w:rPr>
                <w:sz w:val="1"/>
                <w:szCs w:val="1"/>
                <w:color w:val="auto"/>
              </w:rPr>
            </w:pPr>
          </w:p>
        </w:tc>
      </w:tr>
      <w:tr>
        <w:trPr>
          <w:trHeight w:val="176"/>
        </w:trPr>
        <w:tc>
          <w:tcPr>
            <w:tcW w:w="292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3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1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20" w:type="dxa"/>
            <w:vAlign w:val="bottom"/>
          </w:tcPr>
          <w:p>
            <w:pPr>
              <w:spacing w:after="0"/>
              <w:rPr>
                <w:sz w:val="20"/>
                <w:szCs w:val="20"/>
                <w:color w:val="auto"/>
              </w:rPr>
            </w:pPr>
            <w:r>
              <w:rPr>
                <w:rFonts w:ascii="Courier New" w:cs="Courier New" w:eastAsia="Courier New" w:hAnsi="Courier New"/>
                <w:sz w:val="15"/>
                <w:szCs w:val="15"/>
                <w:color w:val="auto"/>
              </w:rPr>
              <w:t>Receivables, net</w:t>
            </w:r>
          </w:p>
        </w:tc>
        <w:tc>
          <w:tcPr>
            <w:tcW w:w="380" w:type="dxa"/>
            <w:vAlign w:val="bottom"/>
          </w:tcPr>
          <w:p>
            <w:pPr>
              <w:spacing w:after="0"/>
              <w:rPr>
                <w:sz w:val="15"/>
                <w:szCs w:val="15"/>
                <w:color w:val="auto"/>
              </w:rPr>
            </w:pPr>
          </w:p>
        </w:tc>
        <w:tc>
          <w:tcPr>
            <w:tcW w:w="10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239,637</w:t>
            </w:r>
          </w:p>
        </w:tc>
        <w:tc>
          <w:tcPr>
            <w:tcW w:w="14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24,067</w:t>
            </w:r>
          </w:p>
        </w:tc>
        <w:tc>
          <w:tcPr>
            <w:tcW w:w="1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263,704</w:t>
            </w:r>
          </w:p>
        </w:tc>
        <w:tc>
          <w:tcPr>
            <w:tcW w:w="0" w:type="dxa"/>
            <w:vAlign w:val="bottom"/>
          </w:tcPr>
          <w:p>
            <w:pPr>
              <w:spacing w:after="0"/>
              <w:rPr>
                <w:sz w:val="1"/>
                <w:szCs w:val="1"/>
                <w:color w:val="auto"/>
              </w:rPr>
            </w:pPr>
          </w:p>
        </w:tc>
      </w:tr>
      <w:tr>
        <w:trPr>
          <w:trHeight w:val="176"/>
        </w:trPr>
        <w:tc>
          <w:tcPr>
            <w:tcW w:w="2920" w:type="dxa"/>
            <w:vAlign w:val="bottom"/>
          </w:tcPr>
          <w:p>
            <w:pPr>
              <w:spacing w:after="0"/>
              <w:rPr>
                <w:sz w:val="20"/>
                <w:szCs w:val="20"/>
                <w:color w:val="auto"/>
              </w:rPr>
            </w:pPr>
            <w:r>
              <w:rPr>
                <w:rFonts w:ascii="Courier New" w:cs="Courier New" w:eastAsia="Courier New" w:hAnsi="Courier New"/>
                <w:sz w:val="15"/>
                <w:szCs w:val="15"/>
                <w:color w:val="auto"/>
              </w:rPr>
              <w:t>Inventories</w:t>
            </w:r>
          </w:p>
        </w:tc>
        <w:tc>
          <w:tcPr>
            <w:tcW w:w="380" w:type="dxa"/>
            <w:vAlign w:val="bottom"/>
          </w:tcPr>
          <w:p>
            <w:pPr>
              <w:spacing w:after="0"/>
              <w:rPr>
                <w:sz w:val="15"/>
                <w:szCs w:val="15"/>
                <w:color w:val="auto"/>
              </w:rPr>
            </w:pPr>
          </w:p>
        </w:tc>
        <w:tc>
          <w:tcPr>
            <w:tcW w:w="10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130,288</w:t>
            </w:r>
          </w:p>
        </w:tc>
        <w:tc>
          <w:tcPr>
            <w:tcW w:w="14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31,049</w:t>
            </w:r>
          </w:p>
        </w:tc>
        <w:tc>
          <w:tcPr>
            <w:tcW w:w="1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161,337</w:t>
            </w:r>
          </w:p>
        </w:tc>
        <w:tc>
          <w:tcPr>
            <w:tcW w:w="0" w:type="dxa"/>
            <w:vAlign w:val="bottom"/>
          </w:tcPr>
          <w:p>
            <w:pPr>
              <w:spacing w:after="0"/>
              <w:rPr>
                <w:sz w:val="1"/>
                <w:szCs w:val="1"/>
                <w:color w:val="auto"/>
              </w:rPr>
            </w:pPr>
          </w:p>
        </w:tc>
      </w:tr>
      <w:tr>
        <w:trPr>
          <w:trHeight w:val="176"/>
        </w:trPr>
        <w:tc>
          <w:tcPr>
            <w:tcW w:w="2920" w:type="dxa"/>
            <w:vAlign w:val="bottom"/>
          </w:tcPr>
          <w:p>
            <w:pPr>
              <w:spacing w:after="0"/>
              <w:rPr>
                <w:sz w:val="20"/>
                <w:szCs w:val="20"/>
                <w:color w:val="auto"/>
              </w:rPr>
            </w:pPr>
            <w:r>
              <w:rPr>
                <w:rFonts w:ascii="Courier New" w:cs="Courier New" w:eastAsia="Courier New" w:hAnsi="Courier New"/>
                <w:sz w:val="15"/>
                <w:szCs w:val="15"/>
                <w:color w:val="auto"/>
              </w:rPr>
              <w:t>Other current assets</w:t>
            </w:r>
          </w:p>
        </w:tc>
        <w:tc>
          <w:tcPr>
            <w:tcW w:w="380" w:type="dxa"/>
            <w:vAlign w:val="bottom"/>
          </w:tcPr>
          <w:p>
            <w:pPr>
              <w:spacing w:after="0"/>
              <w:rPr>
                <w:sz w:val="15"/>
                <w:szCs w:val="15"/>
                <w:color w:val="auto"/>
              </w:rPr>
            </w:pPr>
          </w:p>
        </w:tc>
        <w:tc>
          <w:tcPr>
            <w:tcW w:w="10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35,010</w:t>
            </w:r>
          </w:p>
        </w:tc>
        <w:tc>
          <w:tcPr>
            <w:tcW w:w="14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7,418</w:t>
            </w:r>
          </w:p>
        </w:tc>
        <w:tc>
          <w:tcPr>
            <w:tcW w:w="1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42,428</w:t>
            </w:r>
          </w:p>
        </w:tc>
        <w:tc>
          <w:tcPr>
            <w:tcW w:w="0" w:type="dxa"/>
            <w:vAlign w:val="bottom"/>
          </w:tcPr>
          <w:p>
            <w:pPr>
              <w:spacing w:after="0"/>
              <w:rPr>
                <w:sz w:val="1"/>
                <w:szCs w:val="1"/>
                <w:color w:val="auto"/>
              </w:rPr>
            </w:pPr>
          </w:p>
        </w:tc>
      </w:tr>
      <w:tr>
        <w:trPr>
          <w:trHeight w:val="176"/>
        </w:trPr>
        <w:tc>
          <w:tcPr>
            <w:tcW w:w="2920" w:type="dxa"/>
            <w:vAlign w:val="bottom"/>
            <w:vMerge w:val="restart"/>
          </w:tcPr>
          <w:p>
            <w:pPr>
              <w:ind w:left="460"/>
              <w:spacing w:after="0"/>
              <w:rPr>
                <w:sz w:val="20"/>
                <w:szCs w:val="20"/>
                <w:color w:val="auto"/>
              </w:rPr>
            </w:pPr>
            <w:r>
              <w:rPr>
                <w:rFonts w:ascii="Courier New" w:cs="Courier New" w:eastAsia="Courier New" w:hAnsi="Courier New"/>
                <w:sz w:val="15"/>
                <w:szCs w:val="15"/>
                <w:color w:val="auto"/>
              </w:rPr>
              <w:t>Total current assets</w:t>
            </w:r>
          </w:p>
        </w:tc>
        <w:tc>
          <w:tcPr>
            <w:tcW w:w="380" w:type="dxa"/>
            <w:vAlign w:val="bottom"/>
          </w:tcPr>
          <w:p>
            <w:pPr>
              <w:ind w:left="280"/>
              <w:spacing w:after="0"/>
              <w:rPr>
                <w:sz w:val="20"/>
                <w:szCs w:val="20"/>
                <w:color w:val="auto"/>
              </w:rPr>
            </w:pPr>
            <w:r>
              <w:rPr>
                <w:rFonts w:ascii="Courier New" w:cs="Courier New" w:eastAsia="Courier New" w:hAnsi="Courier New"/>
                <w:sz w:val="1"/>
                <w:szCs w:val="1"/>
                <w:color w:val="auto"/>
              </w:rPr>
              <w:t>----------</w:t>
            </w:r>
          </w:p>
        </w:tc>
        <w:tc>
          <w:tcPr>
            <w:tcW w:w="1040" w:type="dxa"/>
            <w:vAlign w:val="bottom"/>
            <w:gridSpan w:val="2"/>
            <w:vMerge w:val="restart"/>
          </w:tcPr>
          <w:p>
            <w:pPr>
              <w:jc w:val="right"/>
              <w:ind w:right="144"/>
              <w:spacing w:after="0"/>
              <w:rPr>
                <w:sz w:val="20"/>
                <w:szCs w:val="20"/>
                <w:color w:val="auto"/>
              </w:rPr>
            </w:pPr>
            <w:r>
              <w:rPr>
                <w:rFonts w:ascii="Courier New" w:cs="Courier New" w:eastAsia="Courier New" w:hAnsi="Courier New"/>
                <w:sz w:val="15"/>
                <w:szCs w:val="15"/>
                <w:color w:val="auto"/>
              </w:rPr>
              <w:t>405,001</w:t>
            </w:r>
          </w:p>
        </w:tc>
        <w:tc>
          <w:tcPr>
            <w:tcW w:w="14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29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4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63,505</w:t>
            </w:r>
          </w:p>
        </w:tc>
        <w:tc>
          <w:tcPr>
            <w:tcW w:w="1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468,506</w:t>
            </w:r>
          </w:p>
        </w:tc>
        <w:tc>
          <w:tcPr>
            <w:tcW w:w="0" w:type="dxa"/>
            <w:vAlign w:val="bottom"/>
          </w:tcPr>
          <w:p>
            <w:pPr>
              <w:spacing w:after="0"/>
              <w:rPr>
                <w:sz w:val="1"/>
                <w:szCs w:val="1"/>
                <w:color w:val="auto"/>
              </w:rPr>
            </w:pPr>
          </w:p>
        </w:tc>
      </w:tr>
      <w:tr>
        <w:trPr>
          <w:trHeight w:val="257"/>
        </w:trPr>
        <w:tc>
          <w:tcPr>
            <w:tcW w:w="2920" w:type="dxa"/>
            <w:vAlign w:val="bottom"/>
          </w:tcPr>
          <w:p>
            <w:pPr>
              <w:spacing w:after="0"/>
              <w:rPr>
                <w:sz w:val="22"/>
                <w:szCs w:val="22"/>
                <w:color w:val="auto"/>
              </w:rPr>
            </w:pPr>
          </w:p>
        </w:tc>
        <w:tc>
          <w:tcPr>
            <w:tcW w:w="920" w:type="dxa"/>
            <w:vAlign w:val="bottom"/>
            <w:gridSpan w:val="2"/>
          </w:tcPr>
          <w:p>
            <w:pPr>
              <w:ind w:left="280"/>
              <w:spacing w:after="0"/>
              <w:rPr>
                <w:sz w:val="20"/>
                <w:szCs w:val="20"/>
                <w:color w:val="auto"/>
              </w:rPr>
            </w:pPr>
            <w:r>
              <w:rPr>
                <w:rFonts w:ascii="Courier New" w:cs="Courier New" w:eastAsia="Courier New" w:hAnsi="Courier New"/>
                <w:sz w:val="14"/>
                <w:szCs w:val="14"/>
                <w:color w:val="auto"/>
                <w:w w:val="73"/>
              </w:rPr>
              <w:t>----------</w:t>
            </w:r>
          </w:p>
        </w:tc>
        <w:tc>
          <w:tcPr>
            <w:tcW w:w="500" w:type="dxa"/>
            <w:vAlign w:val="bottom"/>
          </w:tcPr>
          <w:p>
            <w:pPr>
              <w:spacing w:after="0"/>
              <w:rPr>
                <w:sz w:val="22"/>
                <w:szCs w:val="22"/>
                <w:color w:val="auto"/>
              </w:rPr>
            </w:pPr>
          </w:p>
        </w:tc>
        <w:tc>
          <w:tcPr>
            <w:tcW w:w="14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Property, plant and equipment,</w:t>
            </w:r>
          </w:p>
        </w:tc>
        <w:tc>
          <w:tcPr>
            <w:tcW w:w="380" w:type="dxa"/>
            <w:vAlign w:val="bottom"/>
          </w:tcPr>
          <w:p>
            <w:pPr>
              <w:spacing w:after="0"/>
              <w:rPr>
                <w:sz w:val="23"/>
                <w:szCs w:val="23"/>
                <w:color w:val="auto"/>
              </w:rPr>
            </w:pPr>
          </w:p>
        </w:tc>
        <w:tc>
          <w:tcPr>
            <w:tcW w:w="1040" w:type="dxa"/>
            <w:vAlign w:val="bottom"/>
            <w:gridSpan w:val="2"/>
            <w:vMerge w:val="restart"/>
          </w:tcPr>
          <w:p>
            <w:pPr>
              <w:jc w:val="right"/>
              <w:ind w:right="144"/>
              <w:spacing w:after="0"/>
              <w:rPr>
                <w:sz w:val="20"/>
                <w:szCs w:val="20"/>
                <w:color w:val="auto"/>
              </w:rPr>
            </w:pPr>
            <w:r>
              <w:rPr>
                <w:rFonts w:ascii="Courier New" w:cs="Courier New" w:eastAsia="Courier New" w:hAnsi="Courier New"/>
                <w:sz w:val="15"/>
                <w:szCs w:val="15"/>
                <w:color w:val="auto"/>
              </w:rPr>
              <w:t>73,810</w:t>
            </w:r>
          </w:p>
        </w:tc>
        <w:tc>
          <w:tcPr>
            <w:tcW w:w="142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28,727</w:t>
            </w:r>
          </w:p>
        </w:tc>
        <w:tc>
          <w:tcPr>
            <w:tcW w:w="1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3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102,537</w:t>
            </w:r>
          </w:p>
        </w:tc>
        <w:tc>
          <w:tcPr>
            <w:tcW w:w="0" w:type="dxa"/>
            <w:vAlign w:val="bottom"/>
          </w:tcPr>
          <w:p>
            <w:pPr>
              <w:spacing w:after="0"/>
              <w:rPr>
                <w:sz w:val="1"/>
                <w:szCs w:val="1"/>
                <w:color w:val="auto"/>
              </w:rPr>
            </w:pPr>
          </w:p>
        </w:tc>
      </w:tr>
      <w:tr>
        <w:trPr>
          <w:trHeight w:val="176"/>
        </w:trPr>
        <w:tc>
          <w:tcPr>
            <w:tcW w:w="2920" w:type="dxa"/>
            <w:vAlign w:val="bottom"/>
          </w:tcPr>
          <w:p>
            <w:pPr>
              <w:ind w:left="460"/>
              <w:spacing w:after="0"/>
              <w:rPr>
                <w:sz w:val="20"/>
                <w:szCs w:val="20"/>
                <w:color w:val="auto"/>
              </w:rPr>
            </w:pPr>
            <w:r>
              <w:rPr>
                <w:rFonts w:ascii="Courier New" w:cs="Courier New" w:eastAsia="Courier New" w:hAnsi="Courier New"/>
                <w:sz w:val="15"/>
                <w:szCs w:val="15"/>
                <w:color w:val="auto"/>
              </w:rPr>
              <w:t>net</w:t>
            </w:r>
          </w:p>
        </w:tc>
        <w:tc>
          <w:tcPr>
            <w:tcW w:w="3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12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43,625</w:t>
            </w:r>
          </w:p>
        </w:tc>
        <w:tc>
          <w:tcPr>
            <w:tcW w:w="52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w w:val="96"/>
              </w:rPr>
              <w:t>(1)</w:t>
            </w: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2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380" w:type="dxa"/>
            <w:vAlign w:val="bottom"/>
          </w:tcPr>
          <w:p>
            <w:pPr>
              <w:spacing w:after="0"/>
              <w:rPr>
                <w:sz w:val="15"/>
                <w:szCs w:val="15"/>
                <w:color w:val="auto"/>
              </w:rPr>
            </w:pPr>
          </w:p>
        </w:tc>
        <w:tc>
          <w:tcPr>
            <w:tcW w:w="10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18,066</w:t>
            </w:r>
          </w:p>
        </w:tc>
        <w:tc>
          <w:tcPr>
            <w:tcW w:w="14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6,498</w:t>
            </w:r>
          </w:p>
        </w:tc>
        <w:tc>
          <w:tcPr>
            <w:tcW w:w="128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68,189</w:t>
            </w:r>
          </w:p>
        </w:tc>
        <w:tc>
          <w:tcPr>
            <w:tcW w:w="0" w:type="dxa"/>
            <w:vAlign w:val="bottom"/>
          </w:tcPr>
          <w:p>
            <w:pPr>
              <w:spacing w:after="0"/>
              <w:rPr>
                <w:sz w:val="1"/>
                <w:szCs w:val="1"/>
                <w:color w:val="auto"/>
              </w:rPr>
            </w:pPr>
          </w:p>
        </w:tc>
      </w:tr>
      <w:tr>
        <w:trPr>
          <w:trHeight w:val="176"/>
        </w:trPr>
        <w:tc>
          <w:tcPr>
            <w:tcW w:w="2920" w:type="dxa"/>
            <w:vAlign w:val="bottom"/>
            <w:vMerge w:val="restart"/>
          </w:tcPr>
          <w:p>
            <w:pPr>
              <w:ind w:left="460"/>
              <w:spacing w:after="0"/>
              <w:rPr>
                <w:sz w:val="20"/>
                <w:szCs w:val="20"/>
                <w:color w:val="auto"/>
              </w:rPr>
            </w:pPr>
            <w:r>
              <w:rPr>
                <w:rFonts w:ascii="Courier New" w:cs="Courier New" w:eastAsia="Courier New" w:hAnsi="Courier New"/>
                <w:sz w:val="15"/>
                <w:szCs w:val="15"/>
                <w:color w:val="auto"/>
              </w:rPr>
              <w:t>Total assets</w:t>
            </w:r>
          </w:p>
        </w:tc>
        <w:tc>
          <w:tcPr>
            <w:tcW w:w="380" w:type="dxa"/>
            <w:vAlign w:val="bottom"/>
            <w:vMerge w:val="restart"/>
          </w:tcPr>
          <w:p>
            <w:pPr>
              <w:ind w:left="280"/>
              <w:spacing w:after="0"/>
              <w:rPr>
                <w:sz w:val="20"/>
                <w:szCs w:val="20"/>
                <w:color w:val="auto"/>
              </w:rPr>
            </w:pPr>
            <w:r>
              <w:rPr>
                <w:rFonts w:ascii="Courier New" w:cs="Courier New" w:eastAsia="Courier New" w:hAnsi="Courier New"/>
                <w:sz w:val="2"/>
                <w:szCs w:val="2"/>
                <w:color w:val="auto"/>
                <w:vertAlign w:val="subscript"/>
              </w:rPr>
              <w:t>$</w:t>
            </w:r>
            <w:r>
              <w:rPr>
                <w:rFonts w:ascii="Courier New" w:cs="Courier New" w:eastAsia="Courier New" w:hAnsi="Courier New"/>
                <w:sz w:val="1"/>
                <w:szCs w:val="1"/>
                <w:color w:val="auto"/>
              </w:rPr>
              <w:t>----------</w:t>
            </w:r>
          </w:p>
        </w:tc>
        <w:tc>
          <w:tcPr>
            <w:tcW w:w="1040" w:type="dxa"/>
            <w:vAlign w:val="bottom"/>
            <w:gridSpan w:val="2"/>
            <w:vMerge w:val="restart"/>
          </w:tcPr>
          <w:p>
            <w:pPr>
              <w:jc w:val="right"/>
              <w:ind w:right="144"/>
              <w:spacing w:after="0"/>
              <w:rPr>
                <w:sz w:val="20"/>
                <w:szCs w:val="20"/>
                <w:color w:val="auto"/>
              </w:rPr>
            </w:pPr>
            <w:r>
              <w:rPr>
                <w:rFonts w:ascii="Courier New" w:cs="Courier New" w:eastAsia="Courier New" w:hAnsi="Courier New"/>
                <w:sz w:val="15"/>
                <w:szCs w:val="15"/>
                <w:color w:val="auto"/>
              </w:rPr>
              <w:t>496,877</w:t>
            </w:r>
          </w:p>
        </w:tc>
        <w:tc>
          <w:tcPr>
            <w:tcW w:w="14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5"/>
                <w:szCs w:val="15"/>
                <w:color w:val="auto"/>
              </w:rPr>
            </w:pP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292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4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98,730</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43,625</w:t>
            </w:r>
          </w:p>
        </w:tc>
        <w:tc>
          <w:tcPr>
            <w:tcW w:w="520" w:type="dxa"/>
            <w:vAlign w:val="bottom"/>
          </w:tcPr>
          <w:p>
            <w:pPr>
              <w:spacing w:after="0"/>
              <w:rPr>
                <w:sz w:val="15"/>
                <w:szCs w:val="15"/>
                <w:color w:val="auto"/>
              </w:rPr>
            </w:pP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639,232</w:t>
            </w:r>
          </w:p>
        </w:tc>
        <w:tc>
          <w:tcPr>
            <w:tcW w:w="0" w:type="dxa"/>
            <w:vAlign w:val="bottom"/>
          </w:tcPr>
          <w:p>
            <w:pPr>
              <w:spacing w:after="0"/>
              <w:rPr>
                <w:sz w:val="1"/>
                <w:szCs w:val="1"/>
                <w:color w:val="auto"/>
              </w:rPr>
            </w:pPr>
          </w:p>
        </w:tc>
      </w:tr>
      <w:tr>
        <w:trPr>
          <w:trHeight w:val="176"/>
        </w:trPr>
        <w:tc>
          <w:tcPr>
            <w:tcW w:w="2920" w:type="dxa"/>
            <w:vAlign w:val="bottom"/>
          </w:tcPr>
          <w:p>
            <w:pPr>
              <w:spacing w:after="0"/>
              <w:rPr>
                <w:sz w:val="15"/>
                <w:szCs w:val="15"/>
                <w:color w:val="auto"/>
              </w:rPr>
            </w:pPr>
          </w:p>
        </w:tc>
        <w:tc>
          <w:tcPr>
            <w:tcW w:w="920" w:type="dxa"/>
            <w:vAlign w:val="bottom"/>
            <w:gridSpan w:val="2"/>
          </w:tcPr>
          <w:p>
            <w:pPr>
              <w:ind w:left="280"/>
              <w:spacing w:after="0"/>
              <w:rPr>
                <w:sz w:val="20"/>
                <w:szCs w:val="20"/>
                <w:color w:val="auto"/>
              </w:rPr>
            </w:pPr>
            <w:r>
              <w:rPr>
                <w:rFonts w:ascii="Courier New" w:cs="Courier New" w:eastAsia="Courier New" w:hAnsi="Courier New"/>
                <w:sz w:val="14"/>
                <w:szCs w:val="14"/>
                <w:color w:val="auto"/>
                <w:w w:val="73"/>
              </w:rPr>
              <w:t>----------</w:t>
            </w:r>
          </w:p>
        </w:tc>
        <w:tc>
          <w:tcPr>
            <w:tcW w:w="500" w:type="dxa"/>
            <w:vAlign w:val="bottom"/>
          </w:tcPr>
          <w:p>
            <w:pPr>
              <w:spacing w:after="0"/>
              <w:rPr>
                <w:sz w:val="15"/>
                <w:szCs w:val="15"/>
                <w:color w:val="auto"/>
              </w:rPr>
            </w:pPr>
          </w:p>
        </w:tc>
        <w:tc>
          <w:tcPr>
            <w:tcW w:w="14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5"/>
                <w:szCs w:val="15"/>
                <w:color w:val="auto"/>
              </w:rPr>
            </w:pP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7"/>
        </w:trPr>
        <w:tc>
          <w:tcPr>
            <w:tcW w:w="2920" w:type="dxa"/>
            <w:vAlign w:val="bottom"/>
          </w:tcPr>
          <w:p>
            <w:pPr>
              <w:spacing w:after="0"/>
              <w:rPr>
                <w:sz w:val="22"/>
                <w:szCs w:val="22"/>
                <w:color w:val="auto"/>
              </w:rPr>
            </w:pPr>
          </w:p>
        </w:tc>
        <w:tc>
          <w:tcPr>
            <w:tcW w:w="920" w:type="dxa"/>
            <w:vAlign w:val="bottom"/>
            <w:gridSpan w:val="2"/>
          </w:tcPr>
          <w:p>
            <w:pPr>
              <w:ind w:left="280"/>
              <w:spacing w:after="0"/>
              <w:rPr>
                <w:sz w:val="20"/>
                <w:szCs w:val="20"/>
                <w:color w:val="auto"/>
              </w:rPr>
            </w:pPr>
            <w:r>
              <w:rPr>
                <w:rFonts w:ascii="Courier New" w:cs="Courier New" w:eastAsia="Courier New" w:hAnsi="Courier New"/>
                <w:sz w:val="14"/>
                <w:szCs w:val="14"/>
                <w:color w:val="auto"/>
                <w:w w:val="73"/>
              </w:rPr>
              <w:t>----------</w:t>
            </w:r>
          </w:p>
        </w:tc>
        <w:tc>
          <w:tcPr>
            <w:tcW w:w="500" w:type="dxa"/>
            <w:vAlign w:val="bottom"/>
          </w:tcPr>
          <w:p>
            <w:pPr>
              <w:spacing w:after="0"/>
              <w:rPr>
                <w:sz w:val="22"/>
                <w:szCs w:val="22"/>
                <w:color w:val="auto"/>
              </w:rPr>
            </w:pPr>
          </w:p>
        </w:tc>
        <w:tc>
          <w:tcPr>
            <w:tcW w:w="14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22"/>
                <w:szCs w:val="22"/>
                <w:color w:val="auto"/>
              </w:rPr>
            </w:pP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LIABILITIES AND EQUITY</w:t>
            </w:r>
          </w:p>
        </w:tc>
        <w:tc>
          <w:tcPr>
            <w:tcW w:w="380" w:type="dxa"/>
            <w:vAlign w:val="bottom"/>
          </w:tcPr>
          <w:p>
            <w:pPr>
              <w:spacing w:after="0"/>
              <w:rPr>
                <w:sz w:val="23"/>
                <w:szCs w:val="23"/>
                <w:color w:val="auto"/>
              </w:rPr>
            </w:pPr>
          </w:p>
        </w:tc>
        <w:tc>
          <w:tcPr>
            <w:tcW w:w="5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2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2,602</w:t>
            </w:r>
          </w:p>
        </w:tc>
        <w:tc>
          <w:tcPr>
            <w:tcW w:w="1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3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2,602</w:t>
            </w:r>
          </w:p>
        </w:tc>
        <w:tc>
          <w:tcPr>
            <w:tcW w:w="0" w:type="dxa"/>
            <w:vAlign w:val="bottom"/>
          </w:tcPr>
          <w:p>
            <w:pPr>
              <w:spacing w:after="0"/>
              <w:rPr>
                <w:sz w:val="1"/>
                <w:szCs w:val="1"/>
                <w:color w:val="auto"/>
              </w:rPr>
            </w:pPr>
          </w:p>
        </w:tc>
      </w:tr>
      <w:tr>
        <w:trPr>
          <w:trHeight w:val="176"/>
        </w:trPr>
        <w:tc>
          <w:tcPr>
            <w:tcW w:w="2920" w:type="dxa"/>
            <w:vAlign w:val="bottom"/>
          </w:tcPr>
          <w:p>
            <w:pPr>
              <w:spacing w:after="0"/>
              <w:rPr>
                <w:sz w:val="20"/>
                <w:szCs w:val="20"/>
                <w:color w:val="auto"/>
              </w:rPr>
            </w:pPr>
            <w:r>
              <w:rPr>
                <w:rFonts w:ascii="Courier New" w:cs="Courier New" w:eastAsia="Courier New" w:hAnsi="Courier New"/>
                <w:sz w:val="15"/>
                <w:szCs w:val="15"/>
                <w:color w:val="auto"/>
              </w:rPr>
              <w:t>Bank overdrafts</w:t>
            </w:r>
          </w:p>
        </w:tc>
        <w:tc>
          <w:tcPr>
            <w:tcW w:w="38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1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20" w:type="dxa"/>
            <w:vAlign w:val="bottom"/>
          </w:tcPr>
          <w:p>
            <w:pPr>
              <w:spacing w:after="0"/>
              <w:rPr>
                <w:sz w:val="20"/>
                <w:szCs w:val="20"/>
                <w:color w:val="auto"/>
              </w:rPr>
            </w:pPr>
            <w:r>
              <w:rPr>
                <w:rFonts w:ascii="Courier New" w:cs="Courier New" w:eastAsia="Courier New" w:hAnsi="Courier New"/>
                <w:sz w:val="15"/>
                <w:szCs w:val="15"/>
                <w:color w:val="auto"/>
              </w:rPr>
              <w:t>Current portion of long-term</w:t>
            </w: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vMerge w:val="restart"/>
          </w:tcPr>
          <w:p>
            <w:pPr>
              <w:jc w:val="right"/>
              <w:ind w:right="144"/>
              <w:spacing w:after="0"/>
              <w:rPr>
                <w:sz w:val="20"/>
                <w:szCs w:val="20"/>
                <w:color w:val="auto"/>
              </w:rPr>
            </w:pPr>
            <w:r>
              <w:rPr>
                <w:rFonts w:ascii="Courier New" w:cs="Courier New" w:eastAsia="Courier New" w:hAnsi="Courier New"/>
                <w:sz w:val="15"/>
                <w:szCs w:val="15"/>
                <w:color w:val="auto"/>
                <w:w w:val="96"/>
              </w:rPr>
              <w:t>350</w:t>
            </w:r>
          </w:p>
        </w:tc>
        <w:tc>
          <w:tcPr>
            <w:tcW w:w="142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350</w:t>
            </w:r>
          </w:p>
        </w:tc>
        <w:tc>
          <w:tcPr>
            <w:tcW w:w="0" w:type="dxa"/>
            <w:vAlign w:val="bottom"/>
          </w:tcPr>
          <w:p>
            <w:pPr>
              <w:spacing w:after="0"/>
              <w:rPr>
                <w:sz w:val="1"/>
                <w:szCs w:val="1"/>
                <w:color w:val="auto"/>
              </w:rPr>
            </w:pPr>
          </w:p>
        </w:tc>
      </w:tr>
      <w:tr>
        <w:trPr>
          <w:trHeight w:val="176"/>
        </w:trPr>
        <w:tc>
          <w:tcPr>
            <w:tcW w:w="2920" w:type="dxa"/>
            <w:vAlign w:val="bottom"/>
          </w:tcPr>
          <w:p>
            <w:pPr>
              <w:ind w:left="460"/>
              <w:spacing w:after="0"/>
              <w:rPr>
                <w:sz w:val="20"/>
                <w:szCs w:val="20"/>
                <w:color w:val="auto"/>
              </w:rPr>
            </w:pPr>
            <w:r>
              <w:rPr>
                <w:rFonts w:ascii="Courier New" w:cs="Courier New" w:eastAsia="Courier New" w:hAnsi="Courier New"/>
                <w:sz w:val="15"/>
                <w:szCs w:val="15"/>
                <w:color w:val="auto"/>
              </w:rPr>
              <w:t>debt</w:t>
            </w: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12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119,667</w:t>
            </w:r>
          </w:p>
        </w:tc>
        <w:tc>
          <w:tcPr>
            <w:tcW w:w="52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w w:val="96"/>
              </w:rPr>
              <w:t>(2)</w:t>
            </w: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20" w:type="dxa"/>
            <w:vAlign w:val="bottom"/>
          </w:tcPr>
          <w:p>
            <w:pPr>
              <w:spacing w:after="0"/>
              <w:rPr>
                <w:sz w:val="20"/>
                <w:szCs w:val="20"/>
                <w:color w:val="auto"/>
              </w:rPr>
            </w:pPr>
            <w:r>
              <w:rPr>
                <w:rFonts w:ascii="Courier New" w:cs="Courier New" w:eastAsia="Courier New" w:hAnsi="Courier New"/>
                <w:sz w:val="15"/>
                <w:szCs w:val="15"/>
                <w:color w:val="auto"/>
              </w:rPr>
              <w:t>Short-term borrowing</w:t>
            </w:r>
          </w:p>
        </w:tc>
        <w:tc>
          <w:tcPr>
            <w:tcW w:w="380" w:type="dxa"/>
            <w:vAlign w:val="bottom"/>
          </w:tcPr>
          <w:p>
            <w:pPr>
              <w:spacing w:after="0"/>
              <w:rPr>
                <w:sz w:val="15"/>
                <w:szCs w:val="15"/>
                <w:color w:val="auto"/>
              </w:rPr>
            </w:pPr>
          </w:p>
        </w:tc>
        <w:tc>
          <w:tcPr>
            <w:tcW w:w="10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41,025</w:t>
            </w:r>
          </w:p>
        </w:tc>
        <w:tc>
          <w:tcPr>
            <w:tcW w:w="14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8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160,692</w:t>
            </w:r>
          </w:p>
        </w:tc>
        <w:tc>
          <w:tcPr>
            <w:tcW w:w="0" w:type="dxa"/>
            <w:vAlign w:val="bottom"/>
          </w:tcPr>
          <w:p>
            <w:pPr>
              <w:spacing w:after="0"/>
              <w:rPr>
                <w:sz w:val="1"/>
                <w:szCs w:val="1"/>
                <w:color w:val="auto"/>
              </w:rPr>
            </w:pPr>
          </w:p>
        </w:tc>
      </w:tr>
      <w:tr>
        <w:trPr>
          <w:trHeight w:val="176"/>
        </w:trPr>
        <w:tc>
          <w:tcPr>
            <w:tcW w:w="2920" w:type="dxa"/>
            <w:vAlign w:val="bottom"/>
          </w:tcPr>
          <w:p>
            <w:pPr>
              <w:spacing w:after="0"/>
              <w:rPr>
                <w:sz w:val="20"/>
                <w:szCs w:val="20"/>
                <w:color w:val="auto"/>
              </w:rPr>
            </w:pPr>
            <w:r>
              <w:rPr>
                <w:rFonts w:ascii="Courier New" w:cs="Courier New" w:eastAsia="Courier New" w:hAnsi="Courier New"/>
                <w:sz w:val="15"/>
                <w:szCs w:val="15"/>
                <w:color w:val="auto"/>
              </w:rPr>
              <w:t>Accounts payable and accrued</w:t>
            </w:r>
          </w:p>
        </w:tc>
        <w:tc>
          <w:tcPr>
            <w:tcW w:w="380" w:type="dxa"/>
            <w:vAlign w:val="bottom"/>
          </w:tcPr>
          <w:p>
            <w:pPr>
              <w:spacing w:after="0"/>
              <w:rPr>
                <w:sz w:val="15"/>
                <w:szCs w:val="15"/>
                <w:color w:val="auto"/>
              </w:rPr>
            </w:pPr>
          </w:p>
        </w:tc>
        <w:tc>
          <w:tcPr>
            <w:tcW w:w="1040" w:type="dxa"/>
            <w:vAlign w:val="bottom"/>
            <w:gridSpan w:val="2"/>
            <w:vMerge w:val="restart"/>
          </w:tcPr>
          <w:p>
            <w:pPr>
              <w:jc w:val="right"/>
              <w:ind w:right="144"/>
              <w:spacing w:after="0"/>
              <w:rPr>
                <w:sz w:val="20"/>
                <w:szCs w:val="20"/>
                <w:color w:val="auto"/>
              </w:rPr>
            </w:pPr>
            <w:r>
              <w:rPr>
                <w:rFonts w:ascii="Courier New" w:cs="Courier New" w:eastAsia="Courier New" w:hAnsi="Courier New"/>
                <w:sz w:val="15"/>
                <w:szCs w:val="15"/>
                <w:color w:val="auto"/>
              </w:rPr>
              <w:t>166,482</w:t>
            </w:r>
          </w:p>
        </w:tc>
        <w:tc>
          <w:tcPr>
            <w:tcW w:w="142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19,837</w:t>
            </w:r>
          </w:p>
        </w:tc>
        <w:tc>
          <w:tcPr>
            <w:tcW w:w="1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186,319</w:t>
            </w:r>
          </w:p>
        </w:tc>
        <w:tc>
          <w:tcPr>
            <w:tcW w:w="0" w:type="dxa"/>
            <w:vAlign w:val="bottom"/>
          </w:tcPr>
          <w:p>
            <w:pPr>
              <w:spacing w:after="0"/>
              <w:rPr>
                <w:sz w:val="1"/>
                <w:szCs w:val="1"/>
                <w:color w:val="auto"/>
              </w:rPr>
            </w:pPr>
          </w:p>
        </w:tc>
      </w:tr>
      <w:tr>
        <w:trPr>
          <w:trHeight w:val="176"/>
        </w:trPr>
        <w:tc>
          <w:tcPr>
            <w:tcW w:w="2920" w:type="dxa"/>
            <w:vAlign w:val="bottom"/>
          </w:tcPr>
          <w:p>
            <w:pPr>
              <w:ind w:left="460"/>
              <w:spacing w:after="0"/>
              <w:rPr>
                <w:sz w:val="20"/>
                <w:szCs w:val="20"/>
                <w:color w:val="auto"/>
              </w:rPr>
            </w:pPr>
            <w:r>
              <w:rPr>
                <w:rFonts w:ascii="Courier New" w:cs="Courier New" w:eastAsia="Courier New" w:hAnsi="Courier New"/>
                <w:sz w:val="15"/>
                <w:szCs w:val="15"/>
                <w:color w:val="auto"/>
              </w:rPr>
              <w:t>liabilites</w:t>
            </w:r>
          </w:p>
        </w:tc>
        <w:tc>
          <w:tcPr>
            <w:tcW w:w="3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12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(48,813)</w:t>
            </w:r>
          </w:p>
        </w:tc>
        <w:tc>
          <w:tcPr>
            <w:tcW w:w="52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w w:val="96"/>
              </w:rPr>
              <w:t>(1)</w:t>
            </w: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20" w:type="dxa"/>
            <w:vAlign w:val="bottom"/>
          </w:tcPr>
          <w:p>
            <w:pPr>
              <w:spacing w:after="0"/>
              <w:rPr>
                <w:sz w:val="20"/>
                <w:szCs w:val="20"/>
                <w:color w:val="auto"/>
              </w:rPr>
            </w:pPr>
            <w:r>
              <w:rPr>
                <w:rFonts w:ascii="Courier New" w:cs="Courier New" w:eastAsia="Courier New" w:hAnsi="Courier New"/>
                <w:sz w:val="15"/>
                <w:szCs w:val="15"/>
                <w:color w:val="auto"/>
              </w:rPr>
              <w:t>Payable to affiliates</w:t>
            </w: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48,813</w:t>
            </w:r>
          </w:p>
        </w:tc>
        <w:tc>
          <w:tcPr>
            <w:tcW w:w="128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13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2920" w:type="dxa"/>
            <w:vAlign w:val="bottom"/>
            <w:vMerge w:val="restart"/>
          </w:tcPr>
          <w:p>
            <w:pPr>
              <w:ind w:left="460"/>
              <w:spacing w:after="0"/>
              <w:rPr>
                <w:sz w:val="20"/>
                <w:szCs w:val="20"/>
                <w:color w:val="auto"/>
              </w:rPr>
            </w:pPr>
            <w:r>
              <w:rPr>
                <w:rFonts w:ascii="Courier New" w:cs="Courier New" w:eastAsia="Courier New" w:hAnsi="Courier New"/>
                <w:sz w:val="15"/>
                <w:szCs w:val="15"/>
                <w:color w:val="auto"/>
              </w:rPr>
              <w:t>Total current liabilities</w:t>
            </w:r>
          </w:p>
        </w:tc>
        <w:tc>
          <w:tcPr>
            <w:tcW w:w="380" w:type="dxa"/>
            <w:vAlign w:val="bottom"/>
          </w:tcPr>
          <w:p>
            <w:pPr>
              <w:ind w:left="280"/>
              <w:spacing w:after="0"/>
              <w:rPr>
                <w:sz w:val="20"/>
                <w:szCs w:val="20"/>
                <w:color w:val="auto"/>
              </w:rPr>
            </w:pPr>
            <w:r>
              <w:rPr>
                <w:rFonts w:ascii="Courier New" w:cs="Courier New" w:eastAsia="Courier New" w:hAnsi="Courier New"/>
                <w:sz w:val="1"/>
                <w:szCs w:val="1"/>
                <w:color w:val="auto"/>
              </w:rPr>
              <w:t>----------</w:t>
            </w:r>
          </w:p>
        </w:tc>
        <w:tc>
          <w:tcPr>
            <w:tcW w:w="1040" w:type="dxa"/>
            <w:vAlign w:val="bottom"/>
            <w:gridSpan w:val="2"/>
            <w:vMerge w:val="restart"/>
          </w:tcPr>
          <w:p>
            <w:pPr>
              <w:jc w:val="right"/>
              <w:ind w:right="144"/>
              <w:spacing w:after="0"/>
              <w:rPr>
                <w:sz w:val="20"/>
                <w:szCs w:val="20"/>
                <w:color w:val="auto"/>
              </w:rPr>
            </w:pPr>
            <w:r>
              <w:rPr>
                <w:rFonts w:ascii="Courier New" w:cs="Courier New" w:eastAsia="Courier New" w:hAnsi="Courier New"/>
                <w:sz w:val="15"/>
                <w:szCs w:val="15"/>
                <w:color w:val="auto"/>
              </w:rPr>
              <w:t>207,857</w:t>
            </w:r>
          </w:p>
        </w:tc>
        <w:tc>
          <w:tcPr>
            <w:tcW w:w="14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5"/>
                <w:szCs w:val="15"/>
                <w:color w:val="auto"/>
              </w:rPr>
            </w:pP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292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4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71,252</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70,854</w:t>
            </w:r>
          </w:p>
        </w:tc>
        <w:tc>
          <w:tcPr>
            <w:tcW w:w="520" w:type="dxa"/>
            <w:vAlign w:val="bottom"/>
          </w:tcPr>
          <w:p>
            <w:pPr>
              <w:spacing w:after="0"/>
              <w:rPr>
                <w:sz w:val="15"/>
                <w:szCs w:val="15"/>
                <w:color w:val="auto"/>
              </w:rPr>
            </w:pP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349,963</w:t>
            </w:r>
          </w:p>
        </w:tc>
        <w:tc>
          <w:tcPr>
            <w:tcW w:w="0" w:type="dxa"/>
            <w:vAlign w:val="bottom"/>
          </w:tcPr>
          <w:p>
            <w:pPr>
              <w:spacing w:after="0"/>
              <w:rPr>
                <w:sz w:val="1"/>
                <w:szCs w:val="1"/>
                <w:color w:val="auto"/>
              </w:rPr>
            </w:pPr>
          </w:p>
        </w:tc>
      </w:tr>
      <w:tr>
        <w:trPr>
          <w:trHeight w:val="257"/>
        </w:trPr>
        <w:tc>
          <w:tcPr>
            <w:tcW w:w="2920" w:type="dxa"/>
            <w:vAlign w:val="bottom"/>
          </w:tcPr>
          <w:p>
            <w:pPr>
              <w:spacing w:after="0"/>
              <w:rPr>
                <w:sz w:val="22"/>
                <w:szCs w:val="22"/>
                <w:color w:val="auto"/>
              </w:rPr>
            </w:pPr>
          </w:p>
        </w:tc>
        <w:tc>
          <w:tcPr>
            <w:tcW w:w="920" w:type="dxa"/>
            <w:vAlign w:val="bottom"/>
            <w:gridSpan w:val="2"/>
          </w:tcPr>
          <w:p>
            <w:pPr>
              <w:ind w:left="280"/>
              <w:spacing w:after="0"/>
              <w:rPr>
                <w:sz w:val="20"/>
                <w:szCs w:val="20"/>
                <w:color w:val="auto"/>
              </w:rPr>
            </w:pPr>
            <w:r>
              <w:rPr>
                <w:rFonts w:ascii="Courier New" w:cs="Courier New" w:eastAsia="Courier New" w:hAnsi="Courier New"/>
                <w:sz w:val="14"/>
                <w:szCs w:val="14"/>
                <w:color w:val="auto"/>
                <w:w w:val="73"/>
              </w:rPr>
              <w:t>----------</w:t>
            </w:r>
          </w:p>
        </w:tc>
        <w:tc>
          <w:tcPr>
            <w:tcW w:w="500" w:type="dxa"/>
            <w:vAlign w:val="bottom"/>
          </w:tcPr>
          <w:p>
            <w:pPr>
              <w:spacing w:after="0"/>
              <w:rPr>
                <w:sz w:val="22"/>
                <w:szCs w:val="22"/>
                <w:color w:val="auto"/>
              </w:rPr>
            </w:pPr>
          </w:p>
        </w:tc>
        <w:tc>
          <w:tcPr>
            <w:tcW w:w="14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22"/>
                <w:szCs w:val="22"/>
                <w:color w:val="auto"/>
              </w:rPr>
            </w:pP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Long-term debt, less current</w:t>
            </w:r>
          </w:p>
        </w:tc>
        <w:tc>
          <w:tcPr>
            <w:tcW w:w="380" w:type="dxa"/>
            <w:vAlign w:val="bottom"/>
          </w:tcPr>
          <w:p>
            <w:pPr>
              <w:spacing w:after="0"/>
              <w:rPr>
                <w:sz w:val="23"/>
                <w:szCs w:val="23"/>
                <w:color w:val="auto"/>
              </w:rPr>
            </w:pPr>
          </w:p>
        </w:tc>
        <w:tc>
          <w:tcPr>
            <w:tcW w:w="1040" w:type="dxa"/>
            <w:vAlign w:val="bottom"/>
            <w:gridSpan w:val="2"/>
            <w:vMerge w:val="restart"/>
          </w:tcPr>
          <w:p>
            <w:pPr>
              <w:jc w:val="right"/>
              <w:ind w:right="144"/>
              <w:spacing w:after="0"/>
              <w:rPr>
                <w:sz w:val="20"/>
                <w:szCs w:val="20"/>
                <w:color w:val="auto"/>
              </w:rPr>
            </w:pPr>
            <w:r>
              <w:rPr>
                <w:rFonts w:ascii="Courier New" w:cs="Courier New" w:eastAsia="Courier New" w:hAnsi="Courier New"/>
                <w:sz w:val="15"/>
                <w:szCs w:val="15"/>
                <w:color w:val="auto"/>
              </w:rPr>
              <w:t>53,015</w:t>
            </w:r>
          </w:p>
        </w:tc>
        <w:tc>
          <w:tcPr>
            <w:tcW w:w="1420" w:type="dxa"/>
            <w:vAlign w:val="bottom"/>
            <w:vMerge w:val="restart"/>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3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53,015</w:t>
            </w:r>
          </w:p>
        </w:tc>
        <w:tc>
          <w:tcPr>
            <w:tcW w:w="0" w:type="dxa"/>
            <w:vAlign w:val="bottom"/>
          </w:tcPr>
          <w:p>
            <w:pPr>
              <w:spacing w:after="0"/>
              <w:rPr>
                <w:sz w:val="1"/>
                <w:szCs w:val="1"/>
                <w:color w:val="auto"/>
              </w:rPr>
            </w:pPr>
          </w:p>
        </w:tc>
      </w:tr>
      <w:tr>
        <w:trPr>
          <w:trHeight w:val="257"/>
        </w:trPr>
        <w:tc>
          <w:tcPr>
            <w:tcW w:w="2920" w:type="dxa"/>
            <w:vAlign w:val="bottom"/>
          </w:tcPr>
          <w:p>
            <w:pPr>
              <w:ind w:left="460"/>
              <w:spacing w:after="0"/>
              <w:rPr>
                <w:sz w:val="20"/>
                <w:szCs w:val="20"/>
                <w:color w:val="auto"/>
              </w:rPr>
            </w:pPr>
            <w:r>
              <w:rPr>
                <w:rFonts w:ascii="Courier New" w:cs="Courier New" w:eastAsia="Courier New" w:hAnsi="Courier New"/>
                <w:sz w:val="15"/>
                <w:szCs w:val="15"/>
                <w:color w:val="auto"/>
              </w:rPr>
              <w:t>portion</w:t>
            </w:r>
          </w:p>
        </w:tc>
        <w:tc>
          <w:tcPr>
            <w:tcW w:w="380" w:type="dxa"/>
            <w:vAlign w:val="bottom"/>
          </w:tcPr>
          <w:p>
            <w:pPr>
              <w:spacing w:after="0"/>
              <w:rPr>
                <w:sz w:val="22"/>
                <w:szCs w:val="22"/>
                <w:color w:val="auto"/>
              </w:rPr>
            </w:pPr>
          </w:p>
        </w:tc>
        <w:tc>
          <w:tcPr>
            <w:tcW w:w="1040" w:type="dxa"/>
            <w:vAlign w:val="bottom"/>
            <w:gridSpan w:val="2"/>
            <w:vMerge w:val="continue"/>
          </w:tcPr>
          <w:p>
            <w:pPr>
              <w:spacing w:after="0"/>
              <w:rPr>
                <w:sz w:val="22"/>
                <w:szCs w:val="22"/>
                <w:color w:val="auto"/>
              </w:rPr>
            </w:pPr>
          </w:p>
        </w:tc>
        <w:tc>
          <w:tcPr>
            <w:tcW w:w="1420" w:type="dxa"/>
            <w:vAlign w:val="bottom"/>
            <w:vMerge w:val="continue"/>
          </w:tcPr>
          <w:p>
            <w:pPr>
              <w:spacing w:after="0"/>
              <w:rPr>
                <w:sz w:val="22"/>
                <w:szCs w:val="22"/>
                <w:color w:val="auto"/>
              </w:rPr>
            </w:pPr>
          </w:p>
        </w:tc>
        <w:tc>
          <w:tcPr>
            <w:tcW w:w="1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Other long term liabilities</w:t>
            </w:r>
          </w:p>
        </w:tc>
        <w:tc>
          <w:tcPr>
            <w:tcW w:w="380" w:type="dxa"/>
            <w:vAlign w:val="bottom"/>
          </w:tcPr>
          <w:p>
            <w:pPr>
              <w:spacing w:after="0"/>
              <w:rPr>
                <w:sz w:val="23"/>
                <w:szCs w:val="23"/>
                <w:color w:val="auto"/>
              </w:rPr>
            </w:pPr>
          </w:p>
        </w:tc>
        <w:tc>
          <w:tcPr>
            <w:tcW w:w="10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22,438</w:t>
            </w:r>
          </w:p>
        </w:tc>
        <w:tc>
          <w:tcPr>
            <w:tcW w:w="14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249</w:t>
            </w:r>
          </w:p>
        </w:tc>
        <w:tc>
          <w:tcPr>
            <w:tcW w:w="12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23"/>
                <w:szCs w:val="23"/>
                <w:color w:val="auto"/>
              </w:rPr>
            </w:pP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22,687</w:t>
            </w:r>
          </w:p>
        </w:tc>
        <w:tc>
          <w:tcPr>
            <w:tcW w:w="0" w:type="dxa"/>
            <w:vAlign w:val="bottom"/>
          </w:tcPr>
          <w:p>
            <w:pPr>
              <w:spacing w:after="0"/>
              <w:rPr>
                <w:sz w:val="1"/>
                <w:szCs w:val="1"/>
                <w:color w:val="auto"/>
              </w:rPr>
            </w:pPr>
          </w:p>
        </w:tc>
      </w:tr>
      <w:tr>
        <w:trPr>
          <w:trHeight w:val="176"/>
        </w:trPr>
        <w:tc>
          <w:tcPr>
            <w:tcW w:w="2920" w:type="dxa"/>
            <w:vAlign w:val="bottom"/>
            <w:vMerge w:val="restart"/>
          </w:tcPr>
          <w:p>
            <w:pPr>
              <w:ind w:left="460"/>
              <w:spacing w:after="0"/>
              <w:rPr>
                <w:sz w:val="20"/>
                <w:szCs w:val="20"/>
                <w:color w:val="auto"/>
              </w:rPr>
            </w:pPr>
            <w:r>
              <w:rPr>
                <w:rFonts w:ascii="Courier New" w:cs="Courier New" w:eastAsia="Courier New" w:hAnsi="Courier New"/>
                <w:sz w:val="15"/>
                <w:szCs w:val="15"/>
                <w:color w:val="auto"/>
              </w:rPr>
              <w:t>Total liabilities</w:t>
            </w:r>
          </w:p>
        </w:tc>
        <w:tc>
          <w:tcPr>
            <w:tcW w:w="380" w:type="dxa"/>
            <w:vAlign w:val="bottom"/>
          </w:tcPr>
          <w:p>
            <w:pPr>
              <w:ind w:left="280"/>
              <w:spacing w:after="0"/>
              <w:rPr>
                <w:sz w:val="20"/>
                <w:szCs w:val="20"/>
                <w:color w:val="auto"/>
              </w:rPr>
            </w:pPr>
            <w:r>
              <w:rPr>
                <w:rFonts w:ascii="Courier New" w:cs="Courier New" w:eastAsia="Courier New" w:hAnsi="Courier New"/>
                <w:sz w:val="1"/>
                <w:szCs w:val="1"/>
                <w:color w:val="auto"/>
              </w:rPr>
              <w:t>----------</w:t>
            </w:r>
          </w:p>
        </w:tc>
        <w:tc>
          <w:tcPr>
            <w:tcW w:w="1040" w:type="dxa"/>
            <w:vAlign w:val="bottom"/>
            <w:gridSpan w:val="2"/>
            <w:vMerge w:val="restart"/>
          </w:tcPr>
          <w:p>
            <w:pPr>
              <w:jc w:val="right"/>
              <w:ind w:right="144"/>
              <w:spacing w:after="0"/>
              <w:rPr>
                <w:sz w:val="20"/>
                <w:szCs w:val="20"/>
                <w:color w:val="auto"/>
              </w:rPr>
            </w:pPr>
            <w:r>
              <w:rPr>
                <w:rFonts w:ascii="Courier New" w:cs="Courier New" w:eastAsia="Courier New" w:hAnsi="Courier New"/>
                <w:sz w:val="15"/>
                <w:szCs w:val="15"/>
                <w:color w:val="auto"/>
              </w:rPr>
              <w:t>283,310</w:t>
            </w:r>
          </w:p>
        </w:tc>
        <w:tc>
          <w:tcPr>
            <w:tcW w:w="14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2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7"/>
        </w:trPr>
        <w:tc>
          <w:tcPr>
            <w:tcW w:w="2920" w:type="dxa"/>
            <w:vAlign w:val="bottom"/>
            <w:vMerge w:val="continue"/>
          </w:tcPr>
          <w:p>
            <w:pPr>
              <w:spacing w:after="0"/>
              <w:rPr>
                <w:sz w:val="22"/>
                <w:szCs w:val="22"/>
                <w:color w:val="auto"/>
              </w:rPr>
            </w:pPr>
          </w:p>
        </w:tc>
        <w:tc>
          <w:tcPr>
            <w:tcW w:w="380" w:type="dxa"/>
            <w:vAlign w:val="bottom"/>
          </w:tcPr>
          <w:p>
            <w:pPr>
              <w:spacing w:after="0"/>
              <w:rPr>
                <w:sz w:val="22"/>
                <w:szCs w:val="22"/>
                <w:color w:val="auto"/>
              </w:rPr>
            </w:pPr>
          </w:p>
        </w:tc>
        <w:tc>
          <w:tcPr>
            <w:tcW w:w="1040" w:type="dxa"/>
            <w:vAlign w:val="bottom"/>
            <w:gridSpan w:val="2"/>
            <w:vMerge w:val="continue"/>
          </w:tcPr>
          <w:p>
            <w:pPr>
              <w:spacing w:after="0"/>
              <w:rPr>
                <w:sz w:val="22"/>
                <w:szCs w:val="22"/>
                <w:color w:val="auto"/>
              </w:rPr>
            </w:pPr>
          </w:p>
        </w:tc>
        <w:tc>
          <w:tcPr>
            <w:tcW w:w="14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71,501</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70,854</w:t>
            </w:r>
          </w:p>
        </w:tc>
        <w:tc>
          <w:tcPr>
            <w:tcW w:w="520" w:type="dxa"/>
            <w:vAlign w:val="bottom"/>
          </w:tcPr>
          <w:p>
            <w:pPr>
              <w:spacing w:after="0"/>
              <w:rPr>
                <w:sz w:val="22"/>
                <w:szCs w:val="22"/>
                <w:color w:val="auto"/>
              </w:rPr>
            </w:pP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425,665</w:t>
            </w:r>
          </w:p>
        </w:tc>
        <w:tc>
          <w:tcPr>
            <w:tcW w:w="0" w:type="dxa"/>
            <w:vAlign w:val="bottom"/>
          </w:tcPr>
          <w:p>
            <w:pPr>
              <w:spacing w:after="0"/>
              <w:rPr>
                <w:sz w:val="1"/>
                <w:szCs w:val="1"/>
                <w:color w:val="auto"/>
              </w:rPr>
            </w:pPr>
          </w:p>
        </w:tc>
      </w:tr>
      <w:tr>
        <w:trPr>
          <w:trHeight w:val="2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Common shareholders' equity</w:t>
            </w:r>
          </w:p>
        </w:tc>
        <w:tc>
          <w:tcPr>
            <w:tcW w:w="380" w:type="dxa"/>
            <w:vAlign w:val="bottom"/>
          </w:tcPr>
          <w:p>
            <w:pPr>
              <w:spacing w:after="0"/>
              <w:rPr>
                <w:sz w:val="23"/>
                <w:szCs w:val="23"/>
                <w:color w:val="auto"/>
              </w:rPr>
            </w:pPr>
          </w:p>
        </w:tc>
        <w:tc>
          <w:tcPr>
            <w:tcW w:w="1040" w:type="dxa"/>
            <w:vAlign w:val="bottom"/>
            <w:gridSpan w:val="2"/>
          </w:tcPr>
          <w:p>
            <w:pPr>
              <w:jc w:val="right"/>
              <w:ind w:right="144"/>
              <w:spacing w:after="0"/>
              <w:rPr>
                <w:sz w:val="20"/>
                <w:szCs w:val="20"/>
                <w:color w:val="auto"/>
              </w:rPr>
            </w:pPr>
            <w:r>
              <w:rPr>
                <w:rFonts w:ascii="Courier New" w:cs="Courier New" w:eastAsia="Courier New" w:hAnsi="Courier New"/>
                <w:sz w:val="15"/>
                <w:szCs w:val="15"/>
                <w:color w:val="auto"/>
              </w:rPr>
              <w:t>213,567</w:t>
            </w:r>
          </w:p>
        </w:tc>
        <w:tc>
          <w:tcPr>
            <w:tcW w:w="14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27,229</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(27,229)</w:t>
            </w:r>
          </w:p>
        </w:tc>
        <w:tc>
          <w:tcPr>
            <w:tcW w:w="52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6"/>
              </w:rPr>
              <w:t>(1)</w:t>
            </w: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213,567</w:t>
            </w:r>
          </w:p>
        </w:tc>
        <w:tc>
          <w:tcPr>
            <w:tcW w:w="0" w:type="dxa"/>
            <w:vAlign w:val="bottom"/>
          </w:tcPr>
          <w:p>
            <w:pPr>
              <w:spacing w:after="0"/>
              <w:rPr>
                <w:sz w:val="1"/>
                <w:szCs w:val="1"/>
                <w:color w:val="auto"/>
              </w:rPr>
            </w:pPr>
          </w:p>
        </w:tc>
      </w:tr>
      <w:tr>
        <w:trPr>
          <w:trHeight w:val="257"/>
        </w:trPr>
        <w:tc>
          <w:tcPr>
            <w:tcW w:w="2920" w:type="dxa"/>
            <w:vAlign w:val="bottom"/>
          </w:tcPr>
          <w:p>
            <w:pPr>
              <w:spacing w:after="0"/>
              <w:rPr>
                <w:sz w:val="22"/>
                <w:szCs w:val="22"/>
                <w:color w:val="auto"/>
              </w:rPr>
            </w:pPr>
          </w:p>
        </w:tc>
        <w:tc>
          <w:tcPr>
            <w:tcW w:w="920" w:type="dxa"/>
            <w:vAlign w:val="bottom"/>
            <w:gridSpan w:val="2"/>
          </w:tcPr>
          <w:p>
            <w:pPr>
              <w:ind w:left="280"/>
              <w:spacing w:after="0"/>
              <w:rPr>
                <w:sz w:val="20"/>
                <w:szCs w:val="20"/>
                <w:color w:val="auto"/>
              </w:rPr>
            </w:pPr>
            <w:r>
              <w:rPr>
                <w:rFonts w:ascii="Courier New" w:cs="Courier New" w:eastAsia="Courier New" w:hAnsi="Courier New"/>
                <w:sz w:val="14"/>
                <w:szCs w:val="14"/>
                <w:color w:val="auto"/>
                <w:w w:val="73"/>
              </w:rPr>
              <w:t>----------</w:t>
            </w:r>
          </w:p>
        </w:tc>
        <w:tc>
          <w:tcPr>
            <w:tcW w:w="500" w:type="dxa"/>
            <w:vAlign w:val="bottom"/>
          </w:tcPr>
          <w:p>
            <w:pPr>
              <w:spacing w:after="0"/>
              <w:rPr>
                <w:sz w:val="22"/>
                <w:szCs w:val="22"/>
                <w:color w:val="auto"/>
              </w:rPr>
            </w:pPr>
          </w:p>
        </w:tc>
        <w:tc>
          <w:tcPr>
            <w:tcW w:w="14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22"/>
                <w:szCs w:val="22"/>
                <w:color w:val="auto"/>
              </w:rPr>
            </w:pP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2920" w:type="dxa"/>
            <w:vAlign w:val="bottom"/>
          </w:tcPr>
          <w:p>
            <w:pPr>
              <w:ind w:left="460"/>
              <w:spacing w:after="0"/>
              <w:rPr>
                <w:sz w:val="20"/>
                <w:szCs w:val="20"/>
                <w:color w:val="auto"/>
              </w:rPr>
            </w:pPr>
            <w:r>
              <w:rPr>
                <w:rFonts w:ascii="Courier New" w:cs="Courier New" w:eastAsia="Courier New" w:hAnsi="Courier New"/>
                <w:sz w:val="15"/>
                <w:szCs w:val="15"/>
                <w:color w:val="auto"/>
              </w:rPr>
              <w:t>Total liabilities and</w:t>
            </w:r>
          </w:p>
        </w:tc>
        <w:tc>
          <w:tcPr>
            <w:tcW w:w="3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2920" w:type="dxa"/>
            <w:vAlign w:val="bottom"/>
          </w:tcPr>
          <w:p>
            <w:pPr>
              <w:ind w:left="460"/>
              <w:spacing w:after="0"/>
              <w:rPr>
                <w:sz w:val="20"/>
                <w:szCs w:val="20"/>
                <w:color w:val="auto"/>
              </w:rPr>
            </w:pPr>
            <w:r>
              <w:rPr>
                <w:rFonts w:ascii="Courier New" w:cs="Courier New" w:eastAsia="Courier New" w:hAnsi="Courier New"/>
                <w:sz w:val="15"/>
                <w:szCs w:val="15"/>
                <w:color w:val="auto"/>
              </w:rPr>
              <w:t>common stockholders'</w:t>
            </w:r>
          </w:p>
        </w:tc>
        <w:tc>
          <w:tcPr>
            <w:tcW w:w="380" w:type="dxa"/>
            <w:vAlign w:val="bottom"/>
            <w:vMerge w:val="restart"/>
          </w:tcPr>
          <w:p>
            <w:pPr>
              <w:ind w:left="280"/>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gridSpan w:val="2"/>
            <w:vMerge w:val="restart"/>
          </w:tcPr>
          <w:p>
            <w:pPr>
              <w:jc w:val="right"/>
              <w:ind w:right="144"/>
              <w:spacing w:after="0"/>
              <w:rPr>
                <w:sz w:val="20"/>
                <w:szCs w:val="20"/>
                <w:color w:val="auto"/>
              </w:rPr>
            </w:pPr>
            <w:r>
              <w:rPr>
                <w:rFonts w:ascii="Courier New" w:cs="Courier New" w:eastAsia="Courier New" w:hAnsi="Courier New"/>
                <w:sz w:val="15"/>
                <w:szCs w:val="15"/>
                <w:color w:val="auto"/>
              </w:rPr>
              <w:t>496,877</w:t>
            </w:r>
          </w:p>
        </w:tc>
        <w:tc>
          <w:tcPr>
            <w:tcW w:w="1420" w:type="dxa"/>
            <w:vAlign w:val="bottom"/>
            <w:vMerge w:val="restart"/>
          </w:tcPr>
          <w:p>
            <w:pPr>
              <w:jc w:val="right"/>
              <w:ind w:right="184"/>
              <w:spacing w:after="0"/>
              <w:rPr>
                <w:sz w:val="20"/>
                <w:szCs w:val="20"/>
                <w:color w:val="auto"/>
              </w:rPr>
            </w:pPr>
            <w:r>
              <w:rPr>
                <w:rFonts w:ascii="Courier New" w:cs="Courier New" w:eastAsia="Courier New" w:hAnsi="Courier New"/>
                <w:sz w:val="15"/>
                <w:szCs w:val="15"/>
                <w:color w:val="auto"/>
              </w:rPr>
              <w:t>98,730</w:t>
            </w:r>
          </w:p>
        </w:tc>
        <w:tc>
          <w:tcPr>
            <w:tcW w:w="128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43,625</w:t>
            </w:r>
          </w:p>
        </w:tc>
        <w:tc>
          <w:tcPr>
            <w:tcW w:w="520" w:type="dxa"/>
            <w:vAlign w:val="bottom"/>
          </w:tcPr>
          <w:p>
            <w:pPr>
              <w:spacing w:after="0"/>
              <w:rPr>
                <w:sz w:val="15"/>
                <w:szCs w:val="15"/>
                <w:color w:val="auto"/>
              </w:rPr>
            </w:pPr>
          </w:p>
        </w:tc>
        <w:tc>
          <w:tcPr>
            <w:tcW w:w="132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639,232</w:t>
            </w:r>
          </w:p>
        </w:tc>
        <w:tc>
          <w:tcPr>
            <w:tcW w:w="0" w:type="dxa"/>
            <w:vAlign w:val="bottom"/>
          </w:tcPr>
          <w:p>
            <w:pPr>
              <w:spacing w:after="0"/>
              <w:rPr>
                <w:sz w:val="1"/>
                <w:szCs w:val="1"/>
                <w:color w:val="auto"/>
              </w:rPr>
            </w:pPr>
          </w:p>
        </w:tc>
      </w:tr>
      <w:tr>
        <w:trPr>
          <w:trHeight w:val="176"/>
        </w:trPr>
        <w:tc>
          <w:tcPr>
            <w:tcW w:w="2920" w:type="dxa"/>
            <w:vAlign w:val="bottom"/>
          </w:tcPr>
          <w:p>
            <w:pPr>
              <w:ind w:left="460"/>
              <w:spacing w:after="0"/>
              <w:rPr>
                <w:sz w:val="20"/>
                <w:szCs w:val="20"/>
                <w:color w:val="auto"/>
              </w:rPr>
            </w:pPr>
            <w:r>
              <w:rPr>
                <w:rFonts w:ascii="Courier New" w:cs="Courier New" w:eastAsia="Courier New" w:hAnsi="Courier New"/>
                <w:sz w:val="15"/>
                <w:szCs w:val="15"/>
                <w:color w:val="auto"/>
              </w:rPr>
              <w:t>equity</w:t>
            </w:r>
          </w:p>
        </w:tc>
        <w:tc>
          <w:tcPr>
            <w:tcW w:w="380" w:type="dxa"/>
            <w:vAlign w:val="bottom"/>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20" w:type="dxa"/>
            <w:vAlign w:val="bottom"/>
          </w:tcPr>
          <w:p>
            <w:pPr>
              <w:spacing w:after="0"/>
              <w:rPr>
                <w:sz w:val="15"/>
                <w:szCs w:val="15"/>
                <w:color w:val="auto"/>
              </w:rPr>
            </w:pPr>
          </w:p>
        </w:tc>
        <w:tc>
          <w:tcPr>
            <w:tcW w:w="920" w:type="dxa"/>
            <w:vAlign w:val="bottom"/>
            <w:gridSpan w:val="2"/>
          </w:tcPr>
          <w:p>
            <w:pPr>
              <w:ind w:left="280"/>
              <w:spacing w:after="0"/>
              <w:rPr>
                <w:sz w:val="20"/>
                <w:szCs w:val="20"/>
                <w:color w:val="auto"/>
              </w:rPr>
            </w:pPr>
            <w:r>
              <w:rPr>
                <w:rFonts w:ascii="Courier New" w:cs="Courier New" w:eastAsia="Courier New" w:hAnsi="Courier New"/>
                <w:sz w:val="14"/>
                <w:szCs w:val="14"/>
                <w:color w:val="auto"/>
                <w:w w:val="73"/>
              </w:rPr>
              <w:t>----------</w:t>
            </w:r>
          </w:p>
        </w:tc>
        <w:tc>
          <w:tcPr>
            <w:tcW w:w="500" w:type="dxa"/>
            <w:vAlign w:val="bottom"/>
          </w:tcPr>
          <w:p>
            <w:pPr>
              <w:spacing w:after="0"/>
              <w:rPr>
                <w:sz w:val="15"/>
                <w:szCs w:val="15"/>
                <w:color w:val="auto"/>
              </w:rPr>
            </w:pPr>
          </w:p>
        </w:tc>
        <w:tc>
          <w:tcPr>
            <w:tcW w:w="14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5"/>
                <w:szCs w:val="15"/>
                <w:color w:val="auto"/>
              </w:rPr>
            </w:pP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7"/>
        </w:trPr>
        <w:tc>
          <w:tcPr>
            <w:tcW w:w="2920" w:type="dxa"/>
            <w:vAlign w:val="bottom"/>
          </w:tcPr>
          <w:p>
            <w:pPr>
              <w:spacing w:after="0"/>
              <w:rPr>
                <w:sz w:val="22"/>
                <w:szCs w:val="22"/>
                <w:color w:val="auto"/>
              </w:rPr>
            </w:pPr>
          </w:p>
        </w:tc>
        <w:tc>
          <w:tcPr>
            <w:tcW w:w="920" w:type="dxa"/>
            <w:vAlign w:val="bottom"/>
            <w:gridSpan w:val="2"/>
          </w:tcPr>
          <w:p>
            <w:pPr>
              <w:ind w:left="280"/>
              <w:spacing w:after="0"/>
              <w:rPr>
                <w:sz w:val="20"/>
                <w:szCs w:val="20"/>
                <w:color w:val="auto"/>
              </w:rPr>
            </w:pPr>
            <w:r>
              <w:rPr>
                <w:rFonts w:ascii="Courier New" w:cs="Courier New" w:eastAsia="Courier New" w:hAnsi="Courier New"/>
                <w:sz w:val="14"/>
                <w:szCs w:val="14"/>
                <w:color w:val="auto"/>
                <w:w w:val="73"/>
              </w:rPr>
              <w:t>----------</w:t>
            </w:r>
          </w:p>
        </w:tc>
        <w:tc>
          <w:tcPr>
            <w:tcW w:w="500" w:type="dxa"/>
            <w:vAlign w:val="bottom"/>
          </w:tcPr>
          <w:p>
            <w:pPr>
              <w:spacing w:after="0"/>
              <w:rPr>
                <w:sz w:val="22"/>
                <w:szCs w:val="22"/>
                <w:color w:val="auto"/>
              </w:rPr>
            </w:pPr>
          </w:p>
        </w:tc>
        <w:tc>
          <w:tcPr>
            <w:tcW w:w="14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22"/>
                <w:szCs w:val="22"/>
                <w:color w:val="auto"/>
              </w:rPr>
            </w:pPr>
          </w:p>
        </w:tc>
        <w:tc>
          <w:tcPr>
            <w:tcW w:w="13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705"/>
        </w:trPr>
        <w:tc>
          <w:tcPr>
            <w:tcW w:w="2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B-2</w:t>
            </w:r>
          </w:p>
        </w:tc>
        <w:tc>
          <w:tcPr>
            <w:tcW w:w="14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19" w:right="1440" w:bottom="1440" w:gutter="0" w:footer="0" w:header="0"/>
        </w:sectPr>
      </w:pPr>
    </w:p>
    <w:bookmarkStart w:id="22" w:name="page23"/>
    <w:bookmarkEnd w:id="22"/>
    <w:p>
      <w:pPr>
        <w:jc w:val="center"/>
        <w:ind w:right="2359"/>
        <w:spacing w:after="0"/>
        <w:rPr>
          <w:sz w:val="20"/>
          <w:szCs w:val="20"/>
          <w:color w:val="auto"/>
        </w:rPr>
      </w:pPr>
      <w:r>
        <w:rPr>
          <w:rFonts w:ascii="Courier New" w:cs="Courier New" w:eastAsia="Courier New" w:hAnsi="Courier New"/>
          <w:sz w:val="15"/>
          <w:szCs w:val="15"/>
          <w:color w:val="auto"/>
        </w:rPr>
        <w:t>The Toro Company</w:t>
      </w:r>
    </w:p>
    <w:p>
      <w:pPr>
        <w:spacing w:after="0" w:line="34"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5"/>
          <w:szCs w:val="15"/>
          <w:color w:val="auto"/>
        </w:rPr>
        <w:t>Unaudited Pro Forma Condensed Combined Statement of Operations</w:t>
      </w:r>
    </w:p>
    <w:p>
      <w:pPr>
        <w:spacing w:after="0" w:line="6"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5"/>
          <w:szCs w:val="15"/>
          <w:color w:val="auto"/>
        </w:rPr>
        <w:t>Year ended October 31, 1996</w:t>
      </w:r>
    </w:p>
    <w:p>
      <w:pPr>
        <w:spacing w:after="0" w:line="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The Toro</w:t>
            </w: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rPr>
              <w:t>Hardie</w:t>
            </w:r>
          </w:p>
        </w:tc>
        <w:tc>
          <w:tcPr>
            <w:tcW w:w="1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vMerge w:val="restart"/>
          </w:tcPr>
          <w:p>
            <w:pPr>
              <w:jc w:val="right"/>
              <w:ind w:right="284"/>
              <w:spacing w:after="0"/>
              <w:rPr>
                <w:sz w:val="20"/>
                <w:szCs w:val="20"/>
                <w:color w:val="auto"/>
              </w:rPr>
            </w:pPr>
            <w:r>
              <w:rPr>
                <w:rFonts w:ascii="Courier New" w:cs="Courier New" w:eastAsia="Courier New" w:hAnsi="Courier New"/>
                <w:sz w:val="15"/>
                <w:szCs w:val="15"/>
                <w:color w:val="auto"/>
                <w:w w:val="99"/>
              </w:rPr>
              <w:t>The Toro</w:t>
            </w:r>
          </w:p>
        </w:tc>
        <w:tc>
          <w:tcPr>
            <w:tcW w:w="0" w:type="dxa"/>
            <w:vAlign w:val="bottom"/>
          </w:tcPr>
          <w:p>
            <w:pPr>
              <w:spacing w:after="0"/>
              <w:rPr>
                <w:sz w:val="1"/>
                <w:szCs w:val="1"/>
                <w:color w:val="auto"/>
              </w:rPr>
            </w:pPr>
          </w:p>
        </w:tc>
      </w:tr>
      <w:tr>
        <w:trPr>
          <w:trHeight w:val="176"/>
        </w:trPr>
        <w:tc>
          <w:tcPr>
            <w:tcW w:w="3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420" w:type="dxa"/>
            <w:vAlign w:val="bottom"/>
          </w:tcPr>
          <w:p>
            <w:pPr>
              <w:jc w:val="center"/>
              <w:spacing w:after="0"/>
              <w:rPr>
                <w:sz w:val="20"/>
                <w:szCs w:val="20"/>
                <w:color w:val="auto"/>
              </w:rPr>
            </w:pPr>
            <w:r>
              <w:rPr>
                <w:rFonts w:ascii="Courier New" w:cs="Courier New" w:eastAsia="Courier New" w:hAnsi="Courier New"/>
                <w:sz w:val="15"/>
                <w:szCs w:val="15"/>
                <w:color w:val="auto"/>
              </w:rPr>
              <w:t>Irrigation</w:t>
            </w:r>
          </w:p>
        </w:tc>
        <w:tc>
          <w:tcPr>
            <w:tcW w:w="142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Pro forma</w:t>
            </w:r>
          </w:p>
        </w:tc>
        <w:tc>
          <w:tcPr>
            <w:tcW w:w="10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Company</w:t>
            </w:r>
          </w:p>
        </w:tc>
        <w:tc>
          <w:tcPr>
            <w:tcW w:w="142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Group</w:t>
            </w:r>
          </w:p>
        </w:tc>
        <w:tc>
          <w:tcPr>
            <w:tcW w:w="142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Company</w:t>
            </w:r>
          </w:p>
        </w:tc>
        <w:tc>
          <w:tcPr>
            <w:tcW w:w="0" w:type="dxa"/>
            <w:vAlign w:val="bottom"/>
          </w:tcPr>
          <w:p>
            <w:pPr>
              <w:spacing w:after="0"/>
              <w:rPr>
                <w:sz w:val="1"/>
                <w:szCs w:val="1"/>
                <w:color w:val="auto"/>
              </w:rPr>
            </w:pPr>
          </w:p>
        </w:tc>
      </w:tr>
      <w:tr>
        <w:trPr>
          <w:trHeight w:val="176"/>
        </w:trPr>
        <w:tc>
          <w:tcPr>
            <w:tcW w:w="3300" w:type="dxa"/>
            <w:vAlign w:val="bottom"/>
          </w:tcPr>
          <w:p>
            <w:pPr>
              <w:spacing w:after="0"/>
              <w:rPr>
                <w:sz w:val="15"/>
                <w:szCs w:val="15"/>
                <w:color w:val="auto"/>
              </w:rPr>
            </w:pPr>
          </w:p>
        </w:tc>
        <w:tc>
          <w:tcPr>
            <w:tcW w:w="142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(Historical)</w:t>
            </w:r>
          </w:p>
        </w:tc>
        <w:tc>
          <w:tcPr>
            <w:tcW w:w="1420" w:type="dxa"/>
            <w:vAlign w:val="bottom"/>
          </w:tcPr>
          <w:p>
            <w:pPr>
              <w:jc w:val="center"/>
              <w:ind w:right="4"/>
              <w:spacing w:after="0"/>
              <w:rPr>
                <w:sz w:val="20"/>
                <w:szCs w:val="20"/>
                <w:color w:val="auto"/>
              </w:rPr>
            </w:pPr>
            <w:r>
              <w:rPr>
                <w:rFonts w:ascii="Courier New" w:cs="Courier New" w:eastAsia="Courier New" w:hAnsi="Courier New"/>
                <w:sz w:val="15"/>
                <w:szCs w:val="15"/>
                <w:color w:val="auto"/>
              </w:rPr>
              <w:t>(Historical)</w:t>
            </w:r>
          </w:p>
        </w:tc>
        <w:tc>
          <w:tcPr>
            <w:tcW w:w="1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adjustments</w:t>
            </w:r>
          </w:p>
        </w:tc>
        <w:tc>
          <w:tcPr>
            <w:tcW w:w="2140" w:type="dxa"/>
            <w:vAlign w:val="bottom"/>
            <w:gridSpan w:val="2"/>
          </w:tcPr>
          <w:p>
            <w:pPr>
              <w:ind w:left="960"/>
              <w:spacing w:after="0"/>
              <w:rPr>
                <w:sz w:val="20"/>
                <w:szCs w:val="20"/>
                <w:color w:val="auto"/>
              </w:rPr>
            </w:pPr>
            <w:r>
              <w:rPr>
                <w:rFonts w:ascii="Courier New" w:cs="Courier New" w:eastAsia="Courier New" w:hAnsi="Courier New"/>
                <w:sz w:val="15"/>
                <w:szCs w:val="15"/>
                <w:color w:val="auto"/>
              </w:rPr>
              <w:t>(Pro forma)</w:t>
            </w:r>
          </w:p>
        </w:tc>
        <w:tc>
          <w:tcPr>
            <w:tcW w:w="0" w:type="dxa"/>
            <w:vAlign w:val="bottom"/>
          </w:tcPr>
          <w:p>
            <w:pPr>
              <w:spacing w:after="0"/>
              <w:rPr>
                <w:sz w:val="1"/>
                <w:szCs w:val="1"/>
                <w:color w:val="auto"/>
              </w:rPr>
            </w:pPr>
          </w:p>
        </w:tc>
      </w:tr>
      <w:tr>
        <w:trPr>
          <w:trHeight w:val="257"/>
        </w:trPr>
        <w:tc>
          <w:tcPr>
            <w:tcW w:w="3300" w:type="dxa"/>
            <w:vAlign w:val="bottom"/>
          </w:tcPr>
          <w:p>
            <w:pPr>
              <w:spacing w:after="0"/>
              <w:rPr>
                <w:sz w:val="22"/>
                <w:szCs w:val="22"/>
                <w:color w:val="auto"/>
              </w:rPr>
            </w:pPr>
          </w:p>
        </w:tc>
        <w:tc>
          <w:tcPr>
            <w:tcW w:w="6400" w:type="dxa"/>
            <w:vAlign w:val="bottom"/>
            <w:gridSpan w:val="6"/>
          </w:tcPr>
          <w:p>
            <w:pPr>
              <w:ind w:left="18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33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930,909</w:t>
            </w:r>
          </w:p>
        </w:tc>
        <w:tc>
          <w:tcPr>
            <w:tcW w:w="14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143,874</w:t>
            </w:r>
          </w:p>
        </w:tc>
        <w:tc>
          <w:tcPr>
            <w:tcW w:w="1420" w:type="dxa"/>
            <w:vAlign w:val="bottom"/>
          </w:tcPr>
          <w:p>
            <w:pPr>
              <w:spacing w:after="0"/>
              <w:rPr>
                <w:sz w:val="23"/>
                <w:szCs w:val="23"/>
                <w:color w:val="auto"/>
              </w:rPr>
            </w:pPr>
          </w:p>
        </w:tc>
        <w:tc>
          <w:tcPr>
            <w:tcW w:w="21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$ 1,074,783</w:t>
            </w:r>
          </w:p>
        </w:tc>
        <w:tc>
          <w:tcPr>
            <w:tcW w:w="0" w:type="dxa"/>
            <w:vAlign w:val="bottom"/>
          </w:tcPr>
          <w:p>
            <w:pPr>
              <w:spacing w:after="0"/>
              <w:rPr>
                <w:sz w:val="1"/>
                <w:szCs w:val="1"/>
                <w:color w:val="auto"/>
              </w:rPr>
            </w:pP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260" w:type="dxa"/>
            <w:vAlign w:val="bottom"/>
          </w:tcPr>
          <w:p>
            <w:pPr>
              <w:spacing w:after="0"/>
              <w:rPr>
                <w:sz w:val="15"/>
                <w:szCs w:val="15"/>
                <w:color w:val="auto"/>
              </w:rPr>
            </w:pP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589,186</w:t>
            </w:r>
          </w:p>
        </w:tc>
        <w:tc>
          <w:tcPr>
            <w:tcW w:w="14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101,072</w:t>
            </w:r>
          </w:p>
        </w:tc>
        <w:tc>
          <w:tcPr>
            <w:tcW w:w="1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690,258</w:t>
            </w:r>
          </w:p>
        </w:tc>
        <w:tc>
          <w:tcPr>
            <w:tcW w:w="0" w:type="dxa"/>
            <w:vAlign w:val="bottom"/>
          </w:tcPr>
          <w:p>
            <w:pPr>
              <w:spacing w:after="0"/>
              <w:rPr>
                <w:sz w:val="1"/>
                <w:szCs w:val="1"/>
                <w:color w:val="auto"/>
              </w:rPr>
            </w:pPr>
          </w:p>
        </w:tc>
      </w:tr>
      <w:tr>
        <w:trPr>
          <w:trHeight w:val="176"/>
        </w:trPr>
        <w:tc>
          <w:tcPr>
            <w:tcW w:w="330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Gross profit</w:t>
            </w:r>
          </w:p>
        </w:tc>
        <w:tc>
          <w:tcPr>
            <w:tcW w:w="260" w:type="dxa"/>
            <w:vAlign w:val="bottom"/>
          </w:tcPr>
          <w:p>
            <w:pPr>
              <w:ind w:left="180"/>
              <w:spacing w:after="0"/>
              <w:rPr>
                <w:sz w:val="20"/>
                <w:szCs w:val="20"/>
                <w:color w:val="auto"/>
              </w:rPr>
            </w:pPr>
            <w:r>
              <w:rPr>
                <w:rFonts w:ascii="Courier New" w:cs="Courier New" w:eastAsia="Courier New" w:hAnsi="Courier New"/>
                <w:sz w:val="1"/>
                <w:szCs w:val="1"/>
                <w:color w:val="auto"/>
                <w:w w:val="90"/>
              </w:rPr>
              <w:t>-----------</w:t>
            </w:r>
          </w:p>
        </w:tc>
        <w:tc>
          <w:tcPr>
            <w:tcW w:w="116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341,723</w:t>
            </w:r>
          </w:p>
        </w:tc>
        <w:tc>
          <w:tcPr>
            <w:tcW w:w="14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spacing w:after="0"/>
              <w:rPr>
                <w:sz w:val="15"/>
                <w:szCs w:val="15"/>
                <w:color w:val="auto"/>
              </w:rPr>
            </w:pPr>
          </w:p>
        </w:tc>
        <w:tc>
          <w:tcPr>
            <w:tcW w:w="21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7"/>
        </w:trPr>
        <w:tc>
          <w:tcPr>
            <w:tcW w:w="3300" w:type="dxa"/>
            <w:vAlign w:val="bottom"/>
            <w:vMerge w:val="continue"/>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vMerge w:val="continue"/>
          </w:tcPr>
          <w:p>
            <w:pPr>
              <w:spacing w:after="0"/>
              <w:rPr>
                <w:sz w:val="22"/>
                <w:szCs w:val="22"/>
                <w:color w:val="auto"/>
              </w:rPr>
            </w:pPr>
          </w:p>
        </w:tc>
        <w:tc>
          <w:tcPr>
            <w:tcW w:w="14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42,802</w:t>
            </w:r>
          </w:p>
        </w:tc>
        <w:tc>
          <w:tcPr>
            <w:tcW w:w="14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384,525</w:t>
            </w:r>
          </w:p>
        </w:tc>
        <w:tc>
          <w:tcPr>
            <w:tcW w:w="0" w:type="dxa"/>
            <w:vAlign w:val="bottom"/>
          </w:tcPr>
          <w:p>
            <w:pPr>
              <w:spacing w:after="0"/>
              <w:rPr>
                <w:sz w:val="1"/>
                <w:szCs w:val="1"/>
                <w:color w:val="auto"/>
              </w:rPr>
            </w:pPr>
          </w:p>
        </w:tc>
      </w:tr>
      <w:tr>
        <w:trPr>
          <w:trHeight w:val="271"/>
        </w:trPr>
        <w:tc>
          <w:tcPr>
            <w:tcW w:w="3300" w:type="dxa"/>
            <w:vAlign w:val="bottom"/>
          </w:tcPr>
          <w:p>
            <w:pPr>
              <w:spacing w:after="0"/>
              <w:rPr>
                <w:sz w:val="20"/>
                <w:szCs w:val="20"/>
                <w:color w:val="auto"/>
              </w:rPr>
            </w:pPr>
            <w:r>
              <w:rPr>
                <w:rFonts w:ascii="Courier New" w:cs="Courier New" w:eastAsia="Courier New" w:hAnsi="Courier New"/>
                <w:sz w:val="15"/>
                <w:szCs w:val="15"/>
                <w:color w:val="auto"/>
              </w:rPr>
              <w:t>Selling, general and</w:t>
            </w:r>
          </w:p>
        </w:tc>
        <w:tc>
          <w:tcPr>
            <w:tcW w:w="260" w:type="dxa"/>
            <w:vAlign w:val="bottom"/>
          </w:tcPr>
          <w:p>
            <w:pPr>
              <w:spacing w:after="0"/>
              <w:rPr>
                <w:sz w:val="23"/>
                <w:szCs w:val="23"/>
                <w:color w:val="auto"/>
              </w:rPr>
            </w:pPr>
          </w:p>
        </w:tc>
        <w:tc>
          <w:tcPr>
            <w:tcW w:w="116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278,284</w:t>
            </w:r>
          </w:p>
        </w:tc>
        <w:tc>
          <w:tcPr>
            <w:tcW w:w="142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41,798</w:t>
            </w:r>
          </w:p>
        </w:tc>
        <w:tc>
          <w:tcPr>
            <w:tcW w:w="1420" w:type="dxa"/>
            <w:vAlign w:val="bottom"/>
            <w:vMerge w:val="restart"/>
          </w:tcPr>
          <w:p>
            <w:pPr>
              <w:jc w:val="right"/>
              <w:ind w:right="244"/>
              <w:spacing w:after="0"/>
              <w:rPr>
                <w:sz w:val="20"/>
                <w:szCs w:val="20"/>
                <w:color w:val="auto"/>
              </w:rPr>
            </w:pPr>
            <w:r>
              <w:rPr>
                <w:rFonts w:ascii="Courier New" w:cs="Courier New" w:eastAsia="Courier New" w:hAnsi="Courier New"/>
                <w:sz w:val="15"/>
                <w:szCs w:val="15"/>
                <w:color w:val="auto"/>
              </w:rPr>
              <w:t>2,181</w:t>
            </w:r>
          </w:p>
        </w:tc>
        <w:tc>
          <w:tcPr>
            <w:tcW w:w="1040" w:type="dxa"/>
            <w:vAlign w:val="bottom"/>
            <w:vMerge w:val="restart"/>
          </w:tcPr>
          <w:p>
            <w:pPr>
              <w:jc w:val="right"/>
              <w:ind w:right="564"/>
              <w:spacing w:after="0"/>
              <w:rPr>
                <w:sz w:val="20"/>
                <w:szCs w:val="20"/>
                <w:color w:val="auto"/>
              </w:rPr>
            </w:pPr>
            <w:r>
              <w:rPr>
                <w:rFonts w:ascii="Courier New" w:cs="Courier New" w:eastAsia="Courier New" w:hAnsi="Courier New"/>
                <w:sz w:val="15"/>
                <w:szCs w:val="15"/>
                <w:color w:val="auto"/>
              </w:rPr>
              <w:t>(3)</w:t>
            </w:r>
          </w:p>
        </w:tc>
        <w:tc>
          <w:tcPr>
            <w:tcW w:w="11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321,881</w:t>
            </w:r>
          </w:p>
        </w:tc>
        <w:tc>
          <w:tcPr>
            <w:tcW w:w="0" w:type="dxa"/>
            <w:vAlign w:val="bottom"/>
          </w:tcPr>
          <w:p>
            <w:pPr>
              <w:spacing w:after="0"/>
              <w:rPr>
                <w:sz w:val="1"/>
                <w:szCs w:val="1"/>
                <w:color w:val="auto"/>
              </w:rPr>
            </w:pPr>
          </w:p>
        </w:tc>
      </w:tr>
      <w:tr>
        <w:trPr>
          <w:trHeight w:val="176"/>
        </w:trPr>
        <w:tc>
          <w:tcPr>
            <w:tcW w:w="3300" w:type="dxa"/>
            <w:vAlign w:val="bottom"/>
          </w:tcPr>
          <w:p>
            <w:pPr>
              <w:ind w:left="460"/>
              <w:spacing w:after="0"/>
              <w:rPr>
                <w:sz w:val="20"/>
                <w:szCs w:val="20"/>
                <w:color w:val="auto"/>
              </w:rPr>
            </w:pPr>
            <w:r>
              <w:rPr>
                <w:rFonts w:ascii="Courier New" w:cs="Courier New" w:eastAsia="Courier New" w:hAnsi="Courier New"/>
                <w:sz w:val="15"/>
                <w:szCs w:val="15"/>
                <w:color w:val="auto"/>
              </w:rPr>
              <w:t>administrative expenses</w:t>
            </w:r>
          </w:p>
        </w:tc>
        <w:tc>
          <w:tcPr>
            <w:tcW w:w="2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(382)</w:t>
            </w:r>
          </w:p>
        </w:tc>
        <w:tc>
          <w:tcPr>
            <w:tcW w:w="10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(5)</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0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Earnings from operations</w:t>
            </w:r>
          </w:p>
        </w:tc>
        <w:tc>
          <w:tcPr>
            <w:tcW w:w="260" w:type="dxa"/>
            <w:vAlign w:val="bottom"/>
          </w:tcPr>
          <w:p>
            <w:pPr>
              <w:ind w:left="180"/>
              <w:spacing w:after="0"/>
              <w:rPr>
                <w:sz w:val="20"/>
                <w:szCs w:val="20"/>
                <w:color w:val="auto"/>
              </w:rPr>
            </w:pPr>
            <w:r>
              <w:rPr>
                <w:rFonts w:ascii="Courier New" w:cs="Courier New" w:eastAsia="Courier New" w:hAnsi="Courier New"/>
                <w:sz w:val="1"/>
                <w:szCs w:val="1"/>
                <w:color w:val="auto"/>
                <w:w w:val="90"/>
              </w:rPr>
              <w:t>-----------</w:t>
            </w:r>
          </w:p>
        </w:tc>
        <w:tc>
          <w:tcPr>
            <w:tcW w:w="116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63,439</w:t>
            </w:r>
          </w:p>
        </w:tc>
        <w:tc>
          <w:tcPr>
            <w:tcW w:w="1420" w:type="dxa"/>
            <w:vAlign w:val="bottom"/>
            <w:vMerge w:val="continue"/>
          </w:tcPr>
          <w:p>
            <w:pPr>
              <w:spacing w:after="0"/>
              <w:rPr>
                <w:sz w:val="15"/>
                <w:szCs w:val="15"/>
                <w:color w:val="auto"/>
              </w:rPr>
            </w:pP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21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7"/>
        </w:trPr>
        <w:tc>
          <w:tcPr>
            <w:tcW w:w="3300" w:type="dxa"/>
            <w:vAlign w:val="bottom"/>
            <w:vMerge w:val="continue"/>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vMerge w:val="continue"/>
          </w:tcPr>
          <w:p>
            <w:pPr>
              <w:spacing w:after="0"/>
              <w:rPr>
                <w:sz w:val="22"/>
                <w:szCs w:val="22"/>
                <w:color w:val="auto"/>
              </w:rPr>
            </w:pPr>
          </w:p>
        </w:tc>
        <w:tc>
          <w:tcPr>
            <w:tcW w:w="14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1,004</w:t>
            </w:r>
          </w:p>
        </w:tc>
        <w:tc>
          <w:tcPr>
            <w:tcW w:w="14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(1,799)</w:t>
            </w:r>
          </w:p>
        </w:tc>
        <w:tc>
          <w:tcPr>
            <w:tcW w:w="1040" w:type="dxa"/>
            <w:vAlign w:val="bottom"/>
          </w:tcPr>
          <w:p>
            <w:pPr>
              <w:spacing w:after="0"/>
              <w:rPr>
                <w:sz w:val="22"/>
                <w:szCs w:val="22"/>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62,644</w:t>
            </w:r>
          </w:p>
        </w:tc>
        <w:tc>
          <w:tcPr>
            <w:tcW w:w="0" w:type="dxa"/>
            <w:vAlign w:val="bottom"/>
          </w:tcPr>
          <w:p>
            <w:pPr>
              <w:spacing w:after="0"/>
              <w:rPr>
                <w:sz w:val="1"/>
                <w:szCs w:val="1"/>
                <w:color w:val="auto"/>
              </w:rPr>
            </w:pPr>
          </w:p>
        </w:tc>
      </w:tr>
      <w:tr>
        <w:trPr>
          <w:trHeight w:val="271"/>
        </w:trPr>
        <w:tc>
          <w:tcPr>
            <w:tcW w:w="3300" w:type="dxa"/>
            <w:vAlign w:val="bottom"/>
          </w:tcPr>
          <w:p>
            <w:pPr>
              <w:spacing w:after="0"/>
              <w:rPr>
                <w:sz w:val="20"/>
                <w:szCs w:val="20"/>
                <w:color w:val="auto"/>
              </w:rPr>
            </w:pPr>
            <w:r>
              <w:rPr>
                <w:rFonts w:ascii="Courier New" w:cs="Courier New" w:eastAsia="Courier New" w:hAnsi="Courier New"/>
                <w:sz w:val="15"/>
                <w:szCs w:val="15"/>
                <w:color w:val="auto"/>
              </w:rPr>
              <w:t>Interest expense to third parties</w:t>
            </w:r>
          </w:p>
        </w:tc>
        <w:tc>
          <w:tcPr>
            <w:tcW w:w="260" w:type="dxa"/>
            <w:vAlign w:val="bottom"/>
          </w:tcPr>
          <w:p>
            <w:pPr>
              <w:spacing w:after="0"/>
              <w:rPr>
                <w:sz w:val="23"/>
                <w:szCs w:val="23"/>
                <w:color w:val="auto"/>
              </w:rPr>
            </w:pP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13,590</w:t>
            </w:r>
          </w:p>
        </w:tc>
        <w:tc>
          <w:tcPr>
            <w:tcW w:w="14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82</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9,063</w:t>
            </w:r>
          </w:p>
        </w:tc>
        <w:tc>
          <w:tcPr>
            <w:tcW w:w="10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(4)</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22,735</w:t>
            </w:r>
          </w:p>
        </w:tc>
        <w:tc>
          <w:tcPr>
            <w:tcW w:w="0" w:type="dxa"/>
            <w:vAlign w:val="bottom"/>
          </w:tcPr>
          <w:p>
            <w:pPr>
              <w:spacing w:after="0"/>
              <w:rPr>
                <w:sz w:val="1"/>
                <w:szCs w:val="1"/>
                <w:color w:val="auto"/>
              </w:rPr>
            </w:pP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Management fees to affiliates</w:t>
            </w:r>
          </w:p>
        </w:tc>
        <w:tc>
          <w:tcPr>
            <w:tcW w:w="260" w:type="dxa"/>
            <w:vAlign w:val="bottom"/>
          </w:tcPr>
          <w:p>
            <w:pPr>
              <w:spacing w:after="0"/>
              <w:rPr>
                <w:sz w:val="15"/>
                <w:szCs w:val="15"/>
                <w:color w:val="auto"/>
              </w:rPr>
            </w:pP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791</w:t>
            </w:r>
          </w:p>
        </w:tc>
        <w:tc>
          <w:tcPr>
            <w:tcW w:w="14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(791)</w:t>
            </w:r>
          </w:p>
        </w:tc>
        <w:tc>
          <w:tcPr>
            <w:tcW w:w="10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(5)</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Interest expense to affiliates</w:t>
            </w:r>
          </w:p>
        </w:tc>
        <w:tc>
          <w:tcPr>
            <w:tcW w:w="260" w:type="dxa"/>
            <w:vAlign w:val="bottom"/>
          </w:tcPr>
          <w:p>
            <w:pPr>
              <w:spacing w:after="0"/>
              <w:rPr>
                <w:sz w:val="15"/>
                <w:szCs w:val="15"/>
                <w:color w:val="auto"/>
              </w:rPr>
            </w:pP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3,349</w:t>
            </w:r>
          </w:p>
        </w:tc>
        <w:tc>
          <w:tcPr>
            <w:tcW w:w="14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(3,349)</w:t>
            </w:r>
          </w:p>
        </w:tc>
        <w:tc>
          <w:tcPr>
            <w:tcW w:w="10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(5)</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Interest income from affiliates</w:t>
            </w:r>
          </w:p>
        </w:tc>
        <w:tc>
          <w:tcPr>
            <w:tcW w:w="260" w:type="dxa"/>
            <w:vAlign w:val="bottom"/>
          </w:tcPr>
          <w:p>
            <w:pPr>
              <w:spacing w:after="0"/>
              <w:rPr>
                <w:sz w:val="15"/>
                <w:szCs w:val="15"/>
                <w:color w:val="auto"/>
              </w:rPr>
            </w:pP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(1,364)</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1,364</w:t>
            </w:r>
          </w:p>
        </w:tc>
        <w:tc>
          <w:tcPr>
            <w:tcW w:w="10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(5)</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Other income, net</w:t>
            </w:r>
          </w:p>
        </w:tc>
        <w:tc>
          <w:tcPr>
            <w:tcW w:w="260" w:type="dxa"/>
            <w:vAlign w:val="bottom"/>
          </w:tcPr>
          <w:p>
            <w:pPr>
              <w:spacing w:after="0"/>
              <w:rPr>
                <w:sz w:val="15"/>
                <w:szCs w:val="15"/>
                <w:color w:val="auto"/>
              </w:rPr>
            </w:pPr>
          </w:p>
        </w:tc>
        <w:tc>
          <w:tcPr>
            <w:tcW w:w="11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(10,331)</w:t>
            </w:r>
          </w:p>
        </w:tc>
        <w:tc>
          <w:tcPr>
            <w:tcW w:w="14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(6,605)</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7,065</w:t>
            </w:r>
          </w:p>
        </w:tc>
        <w:tc>
          <w:tcPr>
            <w:tcW w:w="10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(6)</w:t>
            </w:r>
          </w:p>
        </w:tc>
        <w:tc>
          <w:tcPr>
            <w:tcW w:w="11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(10,377)</w:t>
            </w:r>
          </w:p>
        </w:tc>
        <w:tc>
          <w:tcPr>
            <w:tcW w:w="0" w:type="dxa"/>
            <w:vAlign w:val="bottom"/>
          </w:tcPr>
          <w:p>
            <w:pPr>
              <w:spacing w:after="0"/>
              <w:rPr>
                <w:sz w:val="1"/>
                <w:szCs w:val="1"/>
                <w:color w:val="auto"/>
              </w:rPr>
            </w:pPr>
          </w:p>
        </w:tc>
      </w:tr>
      <w:tr>
        <w:trPr>
          <w:trHeight w:val="176"/>
        </w:trPr>
        <w:tc>
          <w:tcPr>
            <w:tcW w:w="3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(506)</w:t>
            </w:r>
          </w:p>
        </w:tc>
        <w:tc>
          <w:tcPr>
            <w:tcW w:w="104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(5)</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330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Earnings before income</w:t>
            </w:r>
          </w:p>
        </w:tc>
        <w:tc>
          <w:tcPr>
            <w:tcW w:w="14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20" w:type="dxa"/>
            <w:vAlign w:val="bottom"/>
            <w:vMerge w:val="continue"/>
          </w:tcPr>
          <w:p>
            <w:pPr>
              <w:spacing w:after="0"/>
              <w:rPr>
                <w:sz w:val="22"/>
                <w:szCs w:val="22"/>
                <w:color w:val="auto"/>
              </w:rPr>
            </w:pP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21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5"/>
        </w:trPr>
        <w:tc>
          <w:tcPr>
            <w:tcW w:w="330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16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60,180</w:t>
            </w:r>
          </w:p>
        </w:tc>
        <w:tc>
          <w:tcPr>
            <w:tcW w:w="1420" w:type="dxa"/>
            <w:vAlign w:val="bottom"/>
            <w:vMerge w:val="restart"/>
          </w:tcPr>
          <w:p>
            <w:pPr>
              <w:jc w:val="right"/>
              <w:ind w:right="204"/>
              <w:spacing w:after="0"/>
              <w:rPr>
                <w:sz w:val="20"/>
                <w:szCs w:val="20"/>
                <w:color w:val="auto"/>
              </w:rPr>
            </w:pPr>
            <w:r>
              <w:rPr>
                <w:rFonts w:ascii="Courier New" w:cs="Courier New" w:eastAsia="Courier New" w:hAnsi="Courier New"/>
                <w:sz w:val="15"/>
                <w:szCs w:val="15"/>
                <w:color w:val="auto"/>
              </w:rPr>
              <w:t>4,751</w:t>
            </w:r>
          </w:p>
        </w:tc>
        <w:tc>
          <w:tcPr>
            <w:tcW w:w="142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(14,645)</w:t>
            </w:r>
          </w:p>
        </w:tc>
        <w:tc>
          <w:tcPr>
            <w:tcW w:w="1040" w:type="dxa"/>
            <w:vAlign w:val="bottom"/>
          </w:tcPr>
          <w:p>
            <w:pPr>
              <w:spacing w:after="0"/>
              <w:rPr>
                <w:sz w:val="8"/>
                <w:szCs w:val="8"/>
                <w:color w:val="auto"/>
              </w:rPr>
            </w:pPr>
          </w:p>
        </w:tc>
        <w:tc>
          <w:tcPr>
            <w:tcW w:w="11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50,286</w:t>
            </w:r>
          </w:p>
        </w:tc>
        <w:tc>
          <w:tcPr>
            <w:tcW w:w="0" w:type="dxa"/>
            <w:vAlign w:val="bottom"/>
          </w:tcPr>
          <w:p>
            <w:pPr>
              <w:spacing w:after="0"/>
              <w:rPr>
                <w:sz w:val="1"/>
                <w:szCs w:val="1"/>
                <w:color w:val="auto"/>
              </w:rPr>
            </w:pPr>
          </w:p>
        </w:tc>
      </w:tr>
      <w:tr>
        <w:trPr>
          <w:trHeight w:val="176"/>
        </w:trPr>
        <w:tc>
          <w:tcPr>
            <w:tcW w:w="3300" w:type="dxa"/>
            <w:vAlign w:val="bottom"/>
          </w:tcPr>
          <w:p>
            <w:pPr>
              <w:ind w:left="360"/>
              <w:spacing w:after="0"/>
              <w:rPr>
                <w:sz w:val="20"/>
                <w:szCs w:val="20"/>
                <w:color w:val="auto"/>
              </w:rPr>
            </w:pPr>
            <w:r>
              <w:rPr>
                <w:rFonts w:ascii="Courier New" w:cs="Courier New" w:eastAsia="Courier New" w:hAnsi="Courier New"/>
                <w:sz w:val="15"/>
                <w:szCs w:val="15"/>
                <w:color w:val="auto"/>
              </w:rPr>
              <w:t>taxes</w:t>
            </w:r>
          </w:p>
        </w:tc>
        <w:tc>
          <w:tcPr>
            <w:tcW w:w="2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1420" w:type="dxa"/>
            <w:vAlign w:val="bottom"/>
            <w:vMerge w:val="continue"/>
          </w:tcPr>
          <w:p>
            <w:pPr>
              <w:spacing w:after="0"/>
              <w:rPr>
                <w:sz w:val="15"/>
                <w:szCs w:val="15"/>
                <w:color w:val="auto"/>
              </w:rPr>
            </w:pPr>
          </w:p>
        </w:tc>
        <w:tc>
          <w:tcPr>
            <w:tcW w:w="1040" w:type="dxa"/>
            <w:vAlign w:val="bottom"/>
            <w:vMerge w:val="restart"/>
          </w:tcPr>
          <w:p>
            <w:pPr>
              <w:jc w:val="right"/>
              <w:ind w:right="564"/>
              <w:spacing w:after="0"/>
              <w:rPr>
                <w:sz w:val="20"/>
                <w:szCs w:val="20"/>
                <w:color w:val="auto"/>
              </w:rPr>
            </w:pPr>
            <w:r>
              <w:rPr>
                <w:rFonts w:ascii="Courier New" w:cs="Courier New" w:eastAsia="Courier New" w:hAnsi="Courier New"/>
                <w:sz w:val="15"/>
                <w:szCs w:val="15"/>
                <w:color w:val="auto"/>
              </w:rPr>
              <w:t>(7)</w:t>
            </w: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00" w:type="dxa"/>
            <w:vAlign w:val="bottom"/>
          </w:tcPr>
          <w:p>
            <w:pPr>
              <w:spacing w:after="0"/>
              <w:rPr>
                <w:sz w:val="20"/>
                <w:szCs w:val="20"/>
                <w:color w:val="auto"/>
              </w:rPr>
            </w:pPr>
            <w:r>
              <w:rPr>
                <w:rFonts w:ascii="Courier New" w:cs="Courier New" w:eastAsia="Courier New" w:hAnsi="Courier New"/>
                <w:sz w:val="15"/>
                <w:szCs w:val="15"/>
                <w:color w:val="auto"/>
              </w:rPr>
              <w:t>Income tax provision (benefit)</w:t>
            </w:r>
          </w:p>
        </w:tc>
        <w:tc>
          <w:tcPr>
            <w:tcW w:w="260" w:type="dxa"/>
            <w:vAlign w:val="bottom"/>
          </w:tcPr>
          <w:p>
            <w:pPr>
              <w:spacing w:after="0"/>
              <w:rPr>
                <w:sz w:val="15"/>
                <w:szCs w:val="15"/>
                <w:color w:val="auto"/>
              </w:rPr>
            </w:pPr>
          </w:p>
        </w:tc>
        <w:tc>
          <w:tcPr>
            <w:tcW w:w="116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23,771</w:t>
            </w:r>
          </w:p>
        </w:tc>
        <w:tc>
          <w:tcPr>
            <w:tcW w:w="14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(513)</w:t>
            </w:r>
          </w:p>
        </w:tc>
        <w:tc>
          <w:tcPr>
            <w:tcW w:w="14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(3,395)</w:t>
            </w:r>
          </w:p>
        </w:tc>
        <w:tc>
          <w:tcPr>
            <w:tcW w:w="1040" w:type="dxa"/>
            <w:vAlign w:val="bottom"/>
            <w:vMerge w:val="continue"/>
          </w:tcPr>
          <w:p>
            <w:pPr>
              <w:spacing w:after="0"/>
              <w:rPr>
                <w:sz w:val="15"/>
                <w:szCs w:val="15"/>
                <w:color w:val="auto"/>
              </w:rPr>
            </w:pP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19,863</w:t>
            </w:r>
          </w:p>
        </w:tc>
        <w:tc>
          <w:tcPr>
            <w:tcW w:w="0" w:type="dxa"/>
            <w:vAlign w:val="bottom"/>
          </w:tcPr>
          <w:p>
            <w:pPr>
              <w:spacing w:after="0"/>
              <w:rPr>
                <w:sz w:val="1"/>
                <w:szCs w:val="1"/>
                <w:color w:val="auto"/>
              </w:rPr>
            </w:pPr>
          </w:p>
        </w:tc>
      </w:tr>
      <w:tr>
        <w:trPr>
          <w:trHeight w:val="176"/>
        </w:trPr>
        <w:tc>
          <w:tcPr>
            <w:tcW w:w="3300" w:type="dxa"/>
            <w:vAlign w:val="bottom"/>
            <w:vMerge w:val="restart"/>
          </w:tcPr>
          <w:p>
            <w:pPr>
              <w:ind w:left="360"/>
              <w:spacing w:after="0"/>
              <w:rPr>
                <w:sz w:val="20"/>
                <w:szCs w:val="20"/>
                <w:color w:val="auto"/>
              </w:rPr>
            </w:pPr>
            <w:r>
              <w:rPr>
                <w:rFonts w:ascii="Courier New" w:cs="Courier New" w:eastAsia="Courier New" w:hAnsi="Courier New"/>
                <w:sz w:val="15"/>
                <w:szCs w:val="15"/>
                <w:color w:val="auto"/>
              </w:rPr>
              <w:t>Net earnings</w:t>
            </w:r>
          </w:p>
        </w:tc>
        <w:tc>
          <w:tcPr>
            <w:tcW w:w="260" w:type="dxa"/>
            <w:vAlign w:val="bottom"/>
            <w:vMerge w:val="restart"/>
          </w:tcPr>
          <w:p>
            <w:pPr>
              <w:ind w:left="180"/>
              <w:spacing w:after="0"/>
              <w:rPr>
                <w:sz w:val="20"/>
                <w:szCs w:val="20"/>
                <w:color w:val="auto"/>
              </w:rPr>
            </w:pPr>
            <w:r>
              <w:rPr>
                <w:rFonts w:ascii="Courier New" w:cs="Courier New" w:eastAsia="Courier New" w:hAnsi="Courier New"/>
                <w:sz w:val="2"/>
                <w:szCs w:val="2"/>
                <w:color w:val="auto"/>
                <w:w w:val="80"/>
                <w:vertAlign w:val="subscript"/>
              </w:rPr>
              <w:t>$</w:t>
            </w:r>
            <w:r>
              <w:rPr>
                <w:rFonts w:ascii="Courier New" w:cs="Courier New" w:eastAsia="Courier New" w:hAnsi="Courier New"/>
                <w:sz w:val="1"/>
                <w:szCs w:val="1"/>
                <w:color w:val="auto"/>
                <w:w w:val="80"/>
              </w:rPr>
              <w:t>-----------</w:t>
            </w:r>
          </w:p>
        </w:tc>
        <w:tc>
          <w:tcPr>
            <w:tcW w:w="116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36,409</w:t>
            </w:r>
          </w:p>
        </w:tc>
        <w:tc>
          <w:tcPr>
            <w:tcW w:w="14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21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330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14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5,264</w:t>
            </w:r>
          </w:p>
        </w:tc>
        <w:tc>
          <w:tcPr>
            <w:tcW w:w="14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(11,250)</w:t>
            </w:r>
          </w:p>
        </w:tc>
        <w:tc>
          <w:tcPr>
            <w:tcW w:w="1040" w:type="dxa"/>
            <w:vAlign w:val="bottom"/>
          </w:tcPr>
          <w:p>
            <w:pPr>
              <w:ind w:left="96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30,423</w:t>
            </w:r>
          </w:p>
        </w:tc>
        <w:tc>
          <w:tcPr>
            <w:tcW w:w="0" w:type="dxa"/>
            <w:vAlign w:val="bottom"/>
          </w:tcPr>
          <w:p>
            <w:pPr>
              <w:spacing w:after="0"/>
              <w:rPr>
                <w:sz w:val="1"/>
                <w:szCs w:val="1"/>
                <w:color w:val="auto"/>
              </w:rPr>
            </w:pPr>
          </w:p>
        </w:tc>
      </w:tr>
      <w:tr>
        <w:trPr>
          <w:trHeight w:val="176"/>
        </w:trPr>
        <w:tc>
          <w:tcPr>
            <w:tcW w:w="3300" w:type="dxa"/>
            <w:vAlign w:val="bottom"/>
          </w:tcPr>
          <w:p>
            <w:pPr>
              <w:spacing w:after="0"/>
              <w:rPr>
                <w:sz w:val="15"/>
                <w:szCs w:val="15"/>
                <w:color w:val="auto"/>
              </w:rPr>
            </w:pPr>
          </w:p>
        </w:tc>
        <w:tc>
          <w:tcPr>
            <w:tcW w:w="14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21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7"/>
        </w:trPr>
        <w:tc>
          <w:tcPr>
            <w:tcW w:w="3300" w:type="dxa"/>
            <w:vAlign w:val="bottom"/>
          </w:tcPr>
          <w:p>
            <w:pPr>
              <w:spacing w:after="0"/>
              <w:rPr>
                <w:sz w:val="22"/>
                <w:szCs w:val="22"/>
                <w:color w:val="auto"/>
              </w:rPr>
            </w:pPr>
          </w:p>
        </w:tc>
        <w:tc>
          <w:tcPr>
            <w:tcW w:w="14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21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3300" w:type="dxa"/>
            <w:vAlign w:val="bottom"/>
          </w:tcPr>
          <w:p>
            <w:pPr>
              <w:spacing w:after="0"/>
              <w:rPr>
                <w:sz w:val="20"/>
                <w:szCs w:val="20"/>
                <w:color w:val="auto"/>
              </w:rPr>
            </w:pPr>
            <w:r>
              <w:rPr>
                <w:rFonts w:ascii="Courier New" w:cs="Courier New" w:eastAsia="Courier New" w:hAnsi="Courier New"/>
                <w:sz w:val="15"/>
                <w:szCs w:val="15"/>
                <w:color w:val="auto"/>
              </w:rPr>
              <w:t>Net earnings per share of</w:t>
            </w: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3300" w:type="dxa"/>
            <w:vAlign w:val="bottom"/>
          </w:tcPr>
          <w:p>
            <w:pPr>
              <w:ind w:left="360"/>
              <w:spacing w:after="0"/>
              <w:rPr>
                <w:sz w:val="20"/>
                <w:szCs w:val="20"/>
                <w:color w:val="auto"/>
              </w:rPr>
            </w:pPr>
            <w:r>
              <w:rPr>
                <w:rFonts w:ascii="Courier New" w:cs="Courier New" w:eastAsia="Courier New" w:hAnsi="Courier New"/>
                <w:sz w:val="15"/>
                <w:szCs w:val="15"/>
                <w:color w:val="auto"/>
              </w:rPr>
              <w:t>common stock and</w:t>
            </w:r>
          </w:p>
        </w:tc>
        <w:tc>
          <w:tcPr>
            <w:tcW w:w="260" w:type="dxa"/>
            <w:vAlign w:val="bottom"/>
            <w:vMerge w:val="restart"/>
          </w:tcPr>
          <w:p>
            <w:pPr>
              <w:ind w:left="18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rPr>
              <w:t>2.90</w:t>
            </w:r>
          </w:p>
        </w:tc>
        <w:tc>
          <w:tcPr>
            <w:tcW w:w="1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rPr>
              <w:t>$  2.42</w:t>
            </w:r>
          </w:p>
        </w:tc>
        <w:tc>
          <w:tcPr>
            <w:tcW w:w="0" w:type="dxa"/>
            <w:vAlign w:val="bottom"/>
          </w:tcPr>
          <w:p>
            <w:pPr>
              <w:spacing w:after="0"/>
              <w:rPr>
                <w:sz w:val="1"/>
                <w:szCs w:val="1"/>
                <w:color w:val="auto"/>
              </w:rPr>
            </w:pPr>
          </w:p>
        </w:tc>
      </w:tr>
      <w:tr>
        <w:trPr>
          <w:trHeight w:val="176"/>
        </w:trPr>
        <w:tc>
          <w:tcPr>
            <w:tcW w:w="3300" w:type="dxa"/>
            <w:vAlign w:val="bottom"/>
          </w:tcPr>
          <w:p>
            <w:pPr>
              <w:ind w:left="360"/>
              <w:spacing w:after="0"/>
              <w:rPr>
                <w:sz w:val="20"/>
                <w:szCs w:val="20"/>
                <w:color w:val="auto"/>
              </w:rPr>
            </w:pPr>
            <w:r>
              <w:rPr>
                <w:rFonts w:ascii="Courier New" w:cs="Courier New" w:eastAsia="Courier New" w:hAnsi="Courier New"/>
                <w:sz w:val="15"/>
                <w:szCs w:val="15"/>
                <w:color w:val="auto"/>
              </w:rPr>
              <w:t>common stock equivalent</w:t>
            </w:r>
          </w:p>
        </w:tc>
        <w:tc>
          <w:tcPr>
            <w:tcW w:w="26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1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00" w:type="dxa"/>
            <w:vAlign w:val="bottom"/>
          </w:tcPr>
          <w:p>
            <w:pPr>
              <w:spacing w:after="0"/>
              <w:rPr>
                <w:sz w:val="15"/>
                <w:szCs w:val="15"/>
                <w:color w:val="auto"/>
              </w:rPr>
            </w:pPr>
          </w:p>
        </w:tc>
        <w:tc>
          <w:tcPr>
            <w:tcW w:w="14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1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7"/>
        </w:trPr>
        <w:tc>
          <w:tcPr>
            <w:tcW w:w="3300" w:type="dxa"/>
            <w:vAlign w:val="bottom"/>
          </w:tcPr>
          <w:p>
            <w:pPr>
              <w:spacing w:after="0"/>
              <w:rPr>
                <w:sz w:val="22"/>
                <w:szCs w:val="22"/>
                <w:color w:val="auto"/>
              </w:rPr>
            </w:pPr>
          </w:p>
        </w:tc>
        <w:tc>
          <w:tcPr>
            <w:tcW w:w="14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14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1"/>
        </w:trPr>
        <w:tc>
          <w:tcPr>
            <w:tcW w:w="3300" w:type="dxa"/>
            <w:vAlign w:val="bottom"/>
          </w:tcPr>
          <w:p>
            <w:pPr>
              <w:spacing w:after="0"/>
              <w:rPr>
                <w:sz w:val="20"/>
                <w:szCs w:val="20"/>
                <w:color w:val="auto"/>
              </w:rPr>
            </w:pPr>
            <w:r>
              <w:rPr>
                <w:rFonts w:ascii="Courier New" w:cs="Courier New" w:eastAsia="Courier New" w:hAnsi="Courier New"/>
                <w:sz w:val="15"/>
                <w:szCs w:val="15"/>
                <w:color w:val="auto"/>
              </w:rPr>
              <w:t>Weighted average shares of</w:t>
            </w:r>
          </w:p>
        </w:tc>
        <w:tc>
          <w:tcPr>
            <w:tcW w:w="2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3300" w:type="dxa"/>
            <w:vAlign w:val="bottom"/>
          </w:tcPr>
          <w:p>
            <w:pPr>
              <w:ind w:left="360"/>
              <w:spacing w:after="0"/>
              <w:rPr>
                <w:sz w:val="20"/>
                <w:szCs w:val="20"/>
                <w:color w:val="auto"/>
              </w:rPr>
            </w:pPr>
            <w:r>
              <w:rPr>
                <w:rFonts w:ascii="Courier New" w:cs="Courier New" w:eastAsia="Courier New" w:hAnsi="Courier New"/>
                <w:sz w:val="15"/>
                <w:szCs w:val="15"/>
                <w:color w:val="auto"/>
              </w:rPr>
              <w:t>common stock  and common</w:t>
            </w: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00" w:type="dxa"/>
            <w:vAlign w:val="bottom"/>
          </w:tcPr>
          <w:p>
            <w:pPr>
              <w:ind w:left="360"/>
              <w:spacing w:after="0"/>
              <w:rPr>
                <w:sz w:val="20"/>
                <w:szCs w:val="20"/>
                <w:color w:val="auto"/>
              </w:rPr>
            </w:pPr>
            <w:r>
              <w:rPr>
                <w:rFonts w:ascii="Courier New" w:cs="Courier New" w:eastAsia="Courier New" w:hAnsi="Courier New"/>
                <w:sz w:val="15"/>
                <w:szCs w:val="15"/>
                <w:color w:val="auto"/>
              </w:rPr>
              <w:t>stock equivalents outstanding</w:t>
            </w:r>
          </w:p>
        </w:tc>
        <w:tc>
          <w:tcPr>
            <w:tcW w:w="260" w:type="dxa"/>
            <w:vAlign w:val="bottom"/>
          </w:tcPr>
          <w:p>
            <w:pPr>
              <w:spacing w:after="0"/>
              <w:rPr>
                <w:sz w:val="15"/>
                <w:szCs w:val="15"/>
                <w:color w:val="auto"/>
              </w:rPr>
            </w:pPr>
          </w:p>
        </w:tc>
        <w:tc>
          <w:tcPr>
            <w:tcW w:w="1160" w:type="dxa"/>
            <w:vAlign w:val="bottom"/>
            <w:vMerge w:val="restart"/>
          </w:tcPr>
          <w:p>
            <w:pPr>
              <w:jc w:val="right"/>
              <w:ind w:right="164"/>
              <w:spacing w:after="0"/>
              <w:rPr>
                <w:sz w:val="20"/>
                <w:szCs w:val="20"/>
                <w:color w:val="auto"/>
              </w:rPr>
            </w:pPr>
            <w:r>
              <w:rPr>
                <w:rFonts w:ascii="Courier New" w:cs="Courier New" w:eastAsia="Courier New" w:hAnsi="Courier New"/>
                <w:sz w:val="15"/>
                <w:szCs w:val="15"/>
                <w:color w:val="auto"/>
                <w:w w:val="99"/>
              </w:rPr>
              <w:t>12,554,715</w:t>
            </w:r>
          </w:p>
        </w:tc>
        <w:tc>
          <w:tcPr>
            <w:tcW w:w="1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vMerge w:val="restart"/>
          </w:tcPr>
          <w:p>
            <w:pPr>
              <w:jc w:val="right"/>
              <w:ind w:right="104"/>
              <w:spacing w:after="0"/>
              <w:rPr>
                <w:sz w:val="20"/>
                <w:szCs w:val="20"/>
                <w:color w:val="auto"/>
              </w:rPr>
            </w:pPr>
            <w:r>
              <w:rPr>
                <w:rFonts w:ascii="Courier New" w:cs="Courier New" w:eastAsia="Courier New" w:hAnsi="Courier New"/>
                <w:sz w:val="15"/>
                <w:szCs w:val="15"/>
                <w:color w:val="auto"/>
                <w:w w:val="99"/>
              </w:rPr>
              <w:t>12,554,715</w:t>
            </w:r>
          </w:p>
        </w:tc>
        <w:tc>
          <w:tcPr>
            <w:tcW w:w="0" w:type="dxa"/>
            <w:vAlign w:val="bottom"/>
          </w:tcPr>
          <w:p>
            <w:pPr>
              <w:spacing w:after="0"/>
              <w:rPr>
                <w:sz w:val="1"/>
                <w:szCs w:val="1"/>
                <w:color w:val="auto"/>
              </w:rPr>
            </w:pPr>
          </w:p>
        </w:tc>
      </w:tr>
      <w:tr>
        <w:trPr>
          <w:trHeight w:val="176"/>
        </w:trPr>
        <w:tc>
          <w:tcPr>
            <w:tcW w:w="3300" w:type="dxa"/>
            <w:vAlign w:val="bottom"/>
          </w:tcPr>
          <w:p>
            <w:pPr>
              <w:ind w:left="360"/>
              <w:spacing w:after="0"/>
              <w:rPr>
                <w:sz w:val="20"/>
                <w:szCs w:val="20"/>
                <w:color w:val="auto"/>
              </w:rPr>
            </w:pPr>
            <w:r>
              <w:rPr>
                <w:rFonts w:ascii="Courier New" w:cs="Courier New" w:eastAsia="Courier New" w:hAnsi="Courier New"/>
                <w:sz w:val="15"/>
                <w:szCs w:val="15"/>
                <w:color w:val="auto"/>
              </w:rPr>
              <w:t>for the year (primary and fully</w:t>
            </w:r>
          </w:p>
        </w:tc>
        <w:tc>
          <w:tcPr>
            <w:tcW w:w="2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00" w:type="dxa"/>
            <w:vAlign w:val="bottom"/>
          </w:tcPr>
          <w:p>
            <w:pPr>
              <w:ind w:left="360"/>
              <w:spacing w:after="0"/>
              <w:rPr>
                <w:sz w:val="20"/>
                <w:szCs w:val="20"/>
                <w:color w:val="auto"/>
              </w:rPr>
            </w:pPr>
            <w:r>
              <w:rPr>
                <w:rFonts w:ascii="Courier New" w:cs="Courier New" w:eastAsia="Courier New" w:hAnsi="Courier New"/>
                <w:sz w:val="15"/>
                <w:szCs w:val="15"/>
                <w:color w:val="auto"/>
              </w:rPr>
              <w:t>diluted)</w:t>
            </w:r>
          </w:p>
        </w:tc>
        <w:tc>
          <w:tcPr>
            <w:tcW w:w="14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1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7"/>
        </w:trPr>
        <w:tc>
          <w:tcPr>
            <w:tcW w:w="3300" w:type="dxa"/>
            <w:vAlign w:val="bottom"/>
          </w:tcPr>
          <w:p>
            <w:pPr>
              <w:spacing w:after="0"/>
              <w:rPr>
                <w:sz w:val="22"/>
                <w:szCs w:val="22"/>
                <w:color w:val="auto"/>
              </w:rPr>
            </w:pPr>
          </w:p>
        </w:tc>
        <w:tc>
          <w:tcPr>
            <w:tcW w:w="1420" w:type="dxa"/>
            <w:vAlign w:val="bottom"/>
            <w:gridSpan w:val="2"/>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21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881"/>
        </w:trPr>
        <w:tc>
          <w:tcPr>
            <w:tcW w:w="3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jc w:val="right"/>
              <w:ind w:right="624"/>
              <w:spacing w:after="0"/>
              <w:rPr>
                <w:sz w:val="20"/>
                <w:szCs w:val="20"/>
                <w:color w:val="auto"/>
              </w:rPr>
            </w:pPr>
            <w:r>
              <w:rPr>
                <w:rFonts w:ascii="Courier New" w:cs="Courier New" w:eastAsia="Courier New" w:hAnsi="Courier New"/>
                <w:sz w:val="15"/>
                <w:szCs w:val="15"/>
                <w:color w:val="auto"/>
              </w:rPr>
              <w:t>B-3</w:t>
            </w: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619" w:right="1440" w:bottom="1440" w:gutter="0" w:footer="0" w:header="0"/>
        </w:sectPr>
      </w:pPr>
    </w:p>
    <w:bookmarkStart w:id="23" w:name="page24"/>
    <w:bookmarkEnd w:id="23"/>
    <w:p>
      <w:pPr>
        <w:jc w:val="center"/>
        <w:ind w:right="2353"/>
        <w:spacing w:after="0"/>
        <w:rPr>
          <w:sz w:val="20"/>
          <w:szCs w:val="20"/>
          <w:color w:val="auto"/>
        </w:rPr>
      </w:pPr>
      <w:r>
        <w:rPr>
          <w:rFonts w:ascii="Courier New" w:cs="Courier New" w:eastAsia="Courier New" w:hAnsi="Courier New"/>
          <w:sz w:val="15"/>
          <w:szCs w:val="15"/>
          <w:color w:val="auto"/>
        </w:rPr>
        <w:t>The Toro Company</w:t>
      </w:r>
    </w:p>
    <w:p>
      <w:pPr>
        <w:spacing w:after="0" w:line="34" w:lineRule="exact"/>
        <w:rPr>
          <w:sz w:val="20"/>
          <w:szCs w:val="20"/>
          <w:color w:val="auto"/>
        </w:rPr>
      </w:pPr>
    </w:p>
    <w:p>
      <w:pPr>
        <w:jc w:val="center"/>
        <w:ind w:right="2433"/>
        <w:spacing w:after="0"/>
        <w:rPr>
          <w:sz w:val="20"/>
          <w:szCs w:val="20"/>
          <w:color w:val="auto"/>
        </w:rPr>
      </w:pPr>
      <w:r>
        <w:rPr>
          <w:rFonts w:ascii="Courier New" w:cs="Courier New" w:eastAsia="Courier New" w:hAnsi="Courier New"/>
          <w:sz w:val="15"/>
          <w:szCs w:val="15"/>
          <w:color w:val="auto"/>
        </w:rPr>
        <w:t>Notes to Unaudited Pro Forma Condensed Consolidated Balance Sheet</w:t>
      </w:r>
    </w:p>
    <w:p>
      <w:pPr>
        <w:spacing w:after="0" w:line="6" w:lineRule="exact"/>
        <w:rPr>
          <w:sz w:val="20"/>
          <w:szCs w:val="20"/>
          <w:color w:val="auto"/>
        </w:rPr>
      </w:pPr>
    </w:p>
    <w:p>
      <w:pPr>
        <w:jc w:val="center"/>
        <w:ind w:right="2433"/>
        <w:spacing w:after="0"/>
        <w:rPr>
          <w:sz w:val="20"/>
          <w:szCs w:val="20"/>
          <w:color w:val="auto"/>
        </w:rPr>
      </w:pPr>
      <w:r>
        <w:rPr>
          <w:rFonts w:ascii="Courier New" w:cs="Courier New" w:eastAsia="Courier New" w:hAnsi="Courier New"/>
          <w:sz w:val="15"/>
          <w:szCs w:val="15"/>
          <w:color w:val="auto"/>
        </w:rPr>
        <w:t>and Statement of Operations</w:t>
      </w:r>
    </w:p>
    <w:p>
      <w:pPr>
        <w:spacing w:after="0" w:line="331" w:lineRule="exact"/>
        <w:rPr>
          <w:sz w:val="20"/>
          <w:szCs w:val="20"/>
          <w:color w:val="auto"/>
        </w:rPr>
      </w:pPr>
    </w:p>
    <w:p>
      <w:pPr>
        <w:ind w:left="366" w:right="3079" w:hanging="366"/>
        <w:spacing w:after="0" w:line="273" w:lineRule="auto"/>
        <w:tabs>
          <w:tab w:leader="none" w:pos="366"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to reflect the acquisition of James Hardie Irrigation Group and the allocation of the estimated purchase price and related capitalized acquisition costs on the basis of estimated fair values of assets acquired and liabilities assumed. The actual purchase price is based on the assets acquired and liabilities assumed as of December 1, 1996, and is subject to adjustment based on final audit results.</w:t>
      </w:r>
    </w:p>
    <w:p>
      <w:pPr>
        <w:spacing w:after="0" w:line="74" w:lineRule="exact"/>
        <w:rPr>
          <w:sz w:val="20"/>
          <w:szCs w:val="20"/>
          <w:color w:val="auto"/>
        </w:rPr>
      </w:pPr>
    </w:p>
    <w:tbl>
      <w:tblPr>
        <w:tblLayout w:type="fixed"/>
        <w:tblInd w:w="826" w:type="dxa"/>
        <w:tblCellMar>
          <w:top w:w="0" w:type="dxa"/>
          <w:left w:w="0" w:type="dxa"/>
          <w:bottom w:w="0" w:type="dxa"/>
          <w:right w:w="0" w:type="dxa"/>
        </w:tblCellMar>
      </w:tblPr>
      <w:tr>
        <w:trPr>
          <w:trHeight w:val="176"/>
        </w:trPr>
        <w:tc>
          <w:tcPr>
            <w:tcW w:w="4620" w:type="dxa"/>
            <w:vAlign w:val="bottom"/>
          </w:tcPr>
          <w:p>
            <w:pPr>
              <w:spacing w:after="0"/>
              <w:rPr>
                <w:sz w:val="20"/>
                <w:szCs w:val="20"/>
                <w:color w:val="auto"/>
              </w:rPr>
            </w:pPr>
            <w:r>
              <w:rPr>
                <w:rFonts w:ascii="Courier New" w:cs="Courier New" w:eastAsia="Courier New" w:hAnsi="Courier New"/>
                <w:sz w:val="15"/>
                <w:szCs w:val="15"/>
                <w:color w:val="auto"/>
              </w:rPr>
              <w:t>Hardie shareholder's equity at December 1, 1996</w:t>
            </w:r>
          </w:p>
        </w:tc>
        <w:tc>
          <w:tcPr>
            <w:tcW w:w="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27,229</w:t>
            </w:r>
          </w:p>
        </w:tc>
        <w:tc>
          <w:tcPr>
            <w:tcW w:w="0" w:type="dxa"/>
            <w:vAlign w:val="bottom"/>
          </w:tcPr>
          <w:p>
            <w:pPr>
              <w:spacing w:after="0"/>
              <w:rPr>
                <w:sz w:val="1"/>
                <w:szCs w:val="1"/>
                <w:color w:val="auto"/>
              </w:rPr>
            </w:pPr>
          </w:p>
        </w:tc>
      </w:tr>
      <w:tr>
        <w:trPr>
          <w:trHeight w:val="176"/>
        </w:trPr>
        <w:tc>
          <w:tcPr>
            <w:tcW w:w="4620" w:type="dxa"/>
            <w:vAlign w:val="bottom"/>
          </w:tcPr>
          <w:p>
            <w:pPr>
              <w:spacing w:after="0"/>
              <w:rPr>
                <w:sz w:val="20"/>
                <w:szCs w:val="20"/>
                <w:color w:val="auto"/>
              </w:rPr>
            </w:pPr>
            <w:r>
              <w:rPr>
                <w:rFonts w:ascii="Courier New" w:cs="Courier New" w:eastAsia="Courier New" w:hAnsi="Courier New"/>
                <w:sz w:val="15"/>
                <w:szCs w:val="15"/>
                <w:color w:val="auto"/>
              </w:rPr>
              <w:t>Plus liabilities not assumed</w:t>
            </w:r>
          </w:p>
        </w:tc>
        <w:tc>
          <w:tcPr>
            <w:tcW w:w="5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48,813</w:t>
            </w:r>
          </w:p>
        </w:tc>
        <w:tc>
          <w:tcPr>
            <w:tcW w:w="0" w:type="dxa"/>
            <w:vAlign w:val="bottom"/>
          </w:tcPr>
          <w:p>
            <w:pPr>
              <w:spacing w:after="0"/>
              <w:rPr>
                <w:sz w:val="1"/>
                <w:szCs w:val="1"/>
                <w:color w:val="auto"/>
              </w:rPr>
            </w:pPr>
          </w:p>
        </w:tc>
      </w:tr>
      <w:tr>
        <w:trPr>
          <w:trHeight w:val="176"/>
        </w:trPr>
        <w:tc>
          <w:tcPr>
            <w:tcW w:w="4620" w:type="dxa"/>
            <w:vAlign w:val="bottom"/>
          </w:tcPr>
          <w:p>
            <w:pPr>
              <w:spacing w:after="0"/>
              <w:rPr>
                <w:sz w:val="20"/>
                <w:szCs w:val="20"/>
                <w:color w:val="auto"/>
              </w:rPr>
            </w:pPr>
            <w:r>
              <w:rPr>
                <w:rFonts w:ascii="Courier New" w:cs="Courier New" w:eastAsia="Courier New" w:hAnsi="Courier New"/>
                <w:sz w:val="15"/>
                <w:szCs w:val="15"/>
                <w:color w:val="auto"/>
              </w:rPr>
              <w:t>Excess of purchase price over net book value of</w:t>
            </w:r>
          </w:p>
        </w:tc>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20" w:type="dxa"/>
            <w:vAlign w:val="bottom"/>
          </w:tcPr>
          <w:p>
            <w:pPr>
              <w:ind w:left="280"/>
              <w:spacing w:after="0"/>
              <w:rPr>
                <w:sz w:val="20"/>
                <w:szCs w:val="20"/>
                <w:color w:val="auto"/>
              </w:rPr>
            </w:pPr>
            <w:r>
              <w:rPr>
                <w:rFonts w:ascii="Courier New" w:cs="Courier New" w:eastAsia="Courier New" w:hAnsi="Courier New"/>
                <w:sz w:val="15"/>
                <w:szCs w:val="15"/>
                <w:color w:val="auto"/>
              </w:rPr>
              <w:t>assets acquired, including $16,725 of</w:t>
            </w:r>
          </w:p>
        </w:tc>
        <w:tc>
          <w:tcPr>
            <w:tcW w:w="5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43,625</w:t>
            </w:r>
          </w:p>
        </w:tc>
        <w:tc>
          <w:tcPr>
            <w:tcW w:w="0" w:type="dxa"/>
            <w:vAlign w:val="bottom"/>
          </w:tcPr>
          <w:p>
            <w:pPr>
              <w:spacing w:after="0"/>
              <w:rPr>
                <w:sz w:val="1"/>
                <w:szCs w:val="1"/>
                <w:color w:val="auto"/>
              </w:rPr>
            </w:pPr>
          </w:p>
        </w:tc>
      </w:tr>
      <w:tr>
        <w:trPr>
          <w:trHeight w:val="176"/>
        </w:trPr>
        <w:tc>
          <w:tcPr>
            <w:tcW w:w="4620" w:type="dxa"/>
            <w:vAlign w:val="bottom"/>
          </w:tcPr>
          <w:p>
            <w:pPr>
              <w:ind w:left="280"/>
              <w:spacing w:after="0"/>
              <w:rPr>
                <w:sz w:val="20"/>
                <w:szCs w:val="20"/>
                <w:color w:val="auto"/>
              </w:rPr>
            </w:pPr>
            <w:r>
              <w:rPr>
                <w:rFonts w:ascii="Courier New" w:cs="Courier New" w:eastAsia="Courier New" w:hAnsi="Courier New"/>
                <w:sz w:val="15"/>
                <w:szCs w:val="15"/>
                <w:color w:val="auto"/>
              </w:rPr>
              <w:t>estimated capitalized acquisition costs</w:t>
            </w:r>
          </w:p>
        </w:tc>
        <w:tc>
          <w:tcPr>
            <w:tcW w:w="5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20" w:type="dxa"/>
            <w:vAlign w:val="bottom"/>
          </w:tcPr>
          <w:p>
            <w:pPr>
              <w:spacing w:after="0"/>
              <w:rPr>
                <w:sz w:val="15"/>
                <w:szCs w:val="15"/>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6"/>
        </w:trPr>
        <w:tc>
          <w:tcPr>
            <w:tcW w:w="4620" w:type="dxa"/>
            <w:vAlign w:val="bottom"/>
          </w:tcPr>
          <w:p>
            <w:pPr>
              <w:spacing w:after="0"/>
              <w:rPr>
                <w:sz w:val="15"/>
                <w:szCs w:val="15"/>
                <w:color w:val="auto"/>
              </w:rPr>
            </w:pPr>
          </w:p>
        </w:tc>
        <w:tc>
          <w:tcPr>
            <w:tcW w:w="5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119,667</w:t>
            </w:r>
          </w:p>
        </w:tc>
        <w:tc>
          <w:tcPr>
            <w:tcW w:w="0" w:type="dxa"/>
            <w:vAlign w:val="bottom"/>
          </w:tcPr>
          <w:p>
            <w:pPr>
              <w:spacing w:after="0"/>
              <w:rPr>
                <w:sz w:val="1"/>
                <w:szCs w:val="1"/>
                <w:color w:val="auto"/>
              </w:rPr>
            </w:pPr>
          </w:p>
        </w:tc>
      </w:tr>
      <w:tr>
        <w:trPr>
          <w:trHeight w:val="176"/>
        </w:trPr>
        <w:tc>
          <w:tcPr>
            <w:tcW w:w="4620" w:type="dxa"/>
            <w:vAlign w:val="bottom"/>
          </w:tcPr>
          <w:p>
            <w:pPr>
              <w:spacing w:after="0"/>
              <w:rPr>
                <w:sz w:val="15"/>
                <w:szCs w:val="15"/>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57"/>
        </w:trPr>
        <w:tc>
          <w:tcPr>
            <w:tcW w:w="4620" w:type="dxa"/>
            <w:vAlign w:val="bottom"/>
          </w:tcPr>
          <w:p>
            <w:pPr>
              <w:spacing w:after="0"/>
              <w:rPr>
                <w:sz w:val="22"/>
                <w:szCs w:val="22"/>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71" w:lineRule="exact"/>
        <w:rPr>
          <w:sz w:val="20"/>
          <w:szCs w:val="20"/>
          <w:color w:val="auto"/>
        </w:rPr>
      </w:pPr>
    </w:p>
    <w:p>
      <w:pPr>
        <w:ind w:left="366" w:right="3079" w:hanging="366"/>
        <w:spacing w:after="0" w:line="289" w:lineRule="auto"/>
        <w:tabs>
          <w:tab w:leader="none" w:pos="366"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has initially been financed with temporary short-term bank debt; however, the Company has filed a shelf registration for issuance of public debt which would replace all or a portion of the short-term debt with long-term debt.</w:t>
      </w:r>
    </w:p>
    <w:p>
      <w:pPr>
        <w:spacing w:after="0" w:line="62" w:lineRule="exact"/>
        <w:rPr>
          <w:rFonts w:ascii="Courier New" w:cs="Courier New" w:eastAsia="Courier New" w:hAnsi="Courier New"/>
          <w:sz w:val="15"/>
          <w:szCs w:val="15"/>
          <w:color w:val="auto"/>
        </w:rPr>
      </w:pPr>
    </w:p>
    <w:p>
      <w:pPr>
        <w:ind w:left="366" w:right="3359" w:hanging="366"/>
        <w:spacing w:after="0" w:line="372" w:lineRule="auto"/>
        <w:tabs>
          <w:tab w:leader="none" w:pos="366"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amortization of the excess purchase price on a straight-line basis over 20 years.</w:t>
      </w:r>
    </w:p>
    <w:p>
      <w:pPr>
        <w:spacing w:after="0" w:line="1" w:lineRule="exact"/>
        <w:rPr>
          <w:rFonts w:ascii="Courier New" w:cs="Courier New" w:eastAsia="Courier New" w:hAnsi="Courier New"/>
          <w:sz w:val="15"/>
          <w:szCs w:val="15"/>
          <w:color w:val="auto"/>
        </w:rPr>
      </w:pPr>
    </w:p>
    <w:p>
      <w:pPr>
        <w:ind w:left="366" w:right="2979" w:hanging="366"/>
        <w:spacing w:after="0" w:line="279" w:lineRule="auto"/>
        <w:tabs>
          <w:tab w:leader="none" w:pos="366"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interest expense related to the acquisition, assuming average borrowings for acquisition debt and Hardie working capital of $125 million at an annual interest rate of 7.25% representing the approximate average of the long and short-term rates for the year. See Note 2 above regarding the acquisition debt.</w:t>
      </w:r>
    </w:p>
    <w:p>
      <w:pPr>
        <w:spacing w:after="0" w:line="69" w:lineRule="exact"/>
        <w:rPr>
          <w:rFonts w:ascii="Courier New" w:cs="Courier New" w:eastAsia="Courier New" w:hAnsi="Courier New"/>
          <w:sz w:val="15"/>
          <w:szCs w:val="15"/>
          <w:color w:val="auto"/>
        </w:rPr>
      </w:pPr>
    </w:p>
    <w:p>
      <w:pPr>
        <w:ind w:left="366" w:right="2899" w:hanging="366"/>
        <w:spacing w:after="0" w:line="310" w:lineRule="auto"/>
        <w:tabs>
          <w:tab w:leader="none" w:pos="366"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intercompany interest income, interest expense, management fees and other expenses to affiliates of Hardie which will not be recurring after the acquisition.</w:t>
      </w:r>
    </w:p>
    <w:p>
      <w:pPr>
        <w:spacing w:after="0" w:line="46" w:lineRule="exact"/>
        <w:rPr>
          <w:rFonts w:ascii="Courier New" w:cs="Courier New" w:eastAsia="Courier New" w:hAnsi="Courier New"/>
          <w:sz w:val="15"/>
          <w:szCs w:val="15"/>
          <w:color w:val="auto"/>
        </w:rPr>
      </w:pPr>
    </w:p>
    <w:p>
      <w:pPr>
        <w:ind w:left="366" w:hanging="366"/>
        <w:spacing w:after="0"/>
        <w:tabs>
          <w:tab w:leader="none" w:pos="366"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June 1996, Hardie sold a depositary receipt and realized a gain of</w:t>
      </w:r>
    </w:p>
    <w:p>
      <w:pPr>
        <w:spacing w:after="0" w:line="34" w:lineRule="exact"/>
        <w:rPr>
          <w:rFonts w:ascii="Courier New" w:cs="Courier New" w:eastAsia="Courier New" w:hAnsi="Courier New"/>
          <w:sz w:val="15"/>
          <w:szCs w:val="15"/>
          <w:color w:val="auto"/>
        </w:rPr>
      </w:pPr>
    </w:p>
    <w:p>
      <w:pPr>
        <w:ind w:left="366" w:right="2979"/>
        <w:spacing w:after="0" w:line="33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$7,065. This gain is not expected to be a recurring item subsequent to the acquisition.</w:t>
      </w:r>
    </w:p>
    <w:p>
      <w:pPr>
        <w:spacing w:after="0" w:line="30" w:lineRule="exact"/>
        <w:rPr>
          <w:rFonts w:ascii="Courier New" w:cs="Courier New" w:eastAsia="Courier New" w:hAnsi="Courier New"/>
          <w:sz w:val="15"/>
          <w:szCs w:val="15"/>
          <w:color w:val="auto"/>
        </w:rPr>
      </w:pPr>
    </w:p>
    <w:p>
      <w:pPr>
        <w:ind w:left="366" w:right="3439" w:hanging="366"/>
        <w:spacing w:after="0" w:line="310" w:lineRule="auto"/>
        <w:tabs>
          <w:tab w:leader="none" w:pos="366"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adjustment to tax expense required to arrive at a combined pro forma tax rate of 39.5%. The income tax rate is based on The Toro Company's tax structure.</w:t>
      </w:r>
    </w:p>
    <w:p>
      <w:pPr>
        <w:spacing w:after="0" w:line="222" w:lineRule="exact"/>
        <w:rPr>
          <w:sz w:val="20"/>
          <w:szCs w:val="20"/>
          <w:color w:val="auto"/>
        </w:rPr>
      </w:pPr>
    </w:p>
    <w:p>
      <w:pPr>
        <w:ind w:left="3766"/>
        <w:spacing w:after="0"/>
        <w:rPr>
          <w:sz w:val="20"/>
          <w:szCs w:val="20"/>
          <w:color w:val="auto"/>
        </w:rPr>
      </w:pPr>
      <w:r>
        <w:rPr>
          <w:rFonts w:ascii="Courier New" w:cs="Courier New" w:eastAsia="Courier New" w:hAnsi="Courier New"/>
          <w:sz w:val="15"/>
          <w:szCs w:val="15"/>
          <w:color w:val="auto"/>
        </w:rPr>
        <w:t>B-4</w:t>
      </w:r>
    </w:p>
    <w:p>
      <w:pPr>
        <w:sectPr>
          <w:pgSz w:w="11900" w:h="16838" w:orient="portrait"/>
          <w:cols w:equalWidth="0" w:num="1">
            <w:col w:w="10225"/>
          </w:cols>
          <w:pgMar w:left="234" w:top="619" w:right="1440" w:bottom="1440" w:gutter="0" w:footer="0" w:header="0"/>
        </w:sectPr>
      </w:pPr>
    </w:p>
    <w:bookmarkStart w:id="24" w:name="page25"/>
    <w:bookmarkEnd w:id="24"/>
    <w:p>
      <w:pPr>
        <w:jc w:val="right"/>
        <w:ind w:right="2899"/>
        <w:spacing w:after="0"/>
        <w:rPr>
          <w:sz w:val="20"/>
          <w:szCs w:val="20"/>
          <w:color w:val="auto"/>
        </w:rPr>
      </w:pPr>
      <w:r>
        <w:rPr>
          <w:rFonts w:ascii="Courier New" w:cs="Courier New" w:eastAsia="Courier New" w:hAnsi="Courier New"/>
          <w:sz w:val="15"/>
          <w:szCs w:val="15"/>
          <w:color w:val="auto"/>
        </w:rPr>
        <w:t>Exhibit 23.1</w:t>
      </w:r>
    </w:p>
    <w:p>
      <w:pPr>
        <w:spacing w:after="0" w:line="35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INDEPENDENT AUDITORS' CONSENT</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Toro Company:</w:t>
      </w:r>
    </w:p>
    <w:p>
      <w:pPr>
        <w:spacing w:after="0" w:line="331" w:lineRule="exact"/>
        <w:rPr>
          <w:sz w:val="20"/>
          <w:szCs w:val="20"/>
          <w:color w:val="auto"/>
        </w:rPr>
      </w:pPr>
    </w:p>
    <w:p>
      <w:pPr>
        <w:ind w:right="2899"/>
        <w:spacing w:after="0" w:line="269" w:lineRule="auto"/>
        <w:rPr>
          <w:sz w:val="20"/>
          <w:szCs w:val="20"/>
          <w:color w:val="auto"/>
        </w:rPr>
      </w:pPr>
      <w:r>
        <w:rPr>
          <w:rFonts w:ascii="Courier New" w:cs="Courier New" w:eastAsia="Courier New" w:hAnsi="Courier New"/>
          <w:sz w:val="15"/>
          <w:szCs w:val="15"/>
          <w:color w:val="auto"/>
        </w:rPr>
        <w:t>We consent to the incorporation by reference in the registration statements of The Toro Company on Forms S-3 and S-8 (File Nos. 33-26268, 33-31586, 33-38308, 33-44668, 33-51563, 33-55550, 33-59563, 333-4521, and 333-20901) of our report dated June 5 , 1997, relating to our audit of the combined balance sheet of the James Hardie Irrigation Group as of December 1, 1996, and the related combined statements of operations, divisional/shareholders' equity and cash flows for the year then ended, which report appears elsewhere in this Form 8-K/A.</w:t>
      </w:r>
    </w:p>
    <w:p>
      <w:pPr>
        <w:spacing w:after="0" w:line="252" w:lineRule="exact"/>
        <w:rPr>
          <w:sz w:val="20"/>
          <w:szCs w:val="20"/>
          <w:color w:val="auto"/>
        </w:rPr>
      </w:pPr>
    </w:p>
    <w:p>
      <w:pPr>
        <w:ind w:left="4580"/>
        <w:spacing w:after="0"/>
        <w:rPr>
          <w:sz w:val="20"/>
          <w:szCs w:val="20"/>
          <w:color w:val="auto"/>
        </w:rPr>
      </w:pPr>
      <w:r>
        <w:rPr>
          <w:rFonts w:ascii="Courier New" w:cs="Courier New" w:eastAsia="Courier New" w:hAnsi="Courier New"/>
          <w:sz w:val="15"/>
          <w:szCs w:val="15"/>
          <w:color w:val="auto"/>
        </w:rPr>
        <w:t>KPMG Peat Marwick LLP</w:t>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Minneapolis, Minnesota</w:t>
      </w:r>
    </w:p>
    <w:p>
      <w:pPr>
        <w:spacing w:after="0" w:line="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6, 1997</w:t>
      </w:r>
    </w:p>
    <w:sectPr>
      <w:pgSz w:w="11900" w:h="16838" w:orient="portrait"/>
      <w:cols w:equalWidth="0" w:num="1">
        <w:col w:w="10219"/>
      </w:cols>
      <w:pgMar w:left="240" w:top="6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1"/>
    </w:lvl>
  </w:abstractNum>
  <w:abstractNum w:abstractNumId="1">
    <w:nsid w:val="4DB127F8"/>
    <w:multiLevelType w:val="hybridMultilevel"/>
    <w:lvl w:ilvl="0">
      <w:lvlJc w:val="left"/>
      <w:lvlText w:val="%1."/>
      <w:numFmt w:val="decimal"/>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2"/>
    </w:lvl>
  </w:abstractNum>
  <w:abstractNum w:abstractNumId="5">
    <w:nsid w:val="66EF438D"/>
    <w:multiLevelType w:val="hybridMultilevel"/>
    <w:lvl w:ilvl="0">
      <w:lvlJc w:val="left"/>
      <w:lvlText w:val="%1."/>
      <w:numFmt w:val="decimal"/>
      <w:start w:val="3"/>
    </w:lvl>
  </w:abstractNum>
  <w:abstractNum w:abstractNumId="6">
    <w:nsid w:val="140E0F76"/>
    <w:multiLevelType w:val="hybridMultilevel"/>
    <w:lvl w:ilvl="0">
      <w:lvlJc w:val="left"/>
      <w:lvlText w:val="%1."/>
      <w:numFmt w:val="decimal"/>
      <w:start w:val="4"/>
    </w:lvl>
  </w:abstractNum>
  <w:abstractNum w:abstractNumId="7">
    <w:nsid w:val="3352255A"/>
    <w:multiLevelType w:val="hybridMultilevel"/>
    <w:lvl w:ilvl="0">
      <w:lvlJc w:val="left"/>
      <w:lvlText w:val="%1."/>
      <w:numFmt w:val="decimal"/>
      <w:start w:val="5"/>
    </w:lvl>
  </w:abstractNum>
  <w:abstractNum w:abstractNumId="8">
    <w:nsid w:val="109CF92E"/>
    <w:multiLevelType w:val="hybridMultilevel"/>
    <w:lvl w:ilvl="0">
      <w:lvlJc w:val="left"/>
      <w:lvlText w:val="%1."/>
      <w:numFmt w:val="decimal"/>
      <w:start w:val="6"/>
    </w:lvl>
  </w:abstractNum>
  <w:abstractNum w:abstractNumId="9">
    <w:nsid w:val="DED7263"/>
    <w:multiLevelType w:val="hybridMultilevel"/>
    <w:lvl w:ilvl="0">
      <w:lvlJc w:val="left"/>
      <w:lvlText w:val="%1."/>
      <w:numFmt w:val="decimal"/>
      <w:start w:val="6"/>
    </w:lvl>
  </w:abstractNum>
  <w:abstractNum w:abstractNumId="10">
    <w:nsid w:val="7FDCC233"/>
    <w:multiLevelType w:val="hybridMultilevel"/>
    <w:lvl w:ilvl="0">
      <w:lvlJc w:val="left"/>
      <w:lvlText w:val="%1."/>
      <w:numFmt w:val="decimal"/>
      <w:start w:val="7"/>
    </w:lvl>
  </w:abstractNum>
  <w:abstractNum w:abstractNumId="11">
    <w:nsid w:val="1BEFD79F"/>
    <w:multiLevelType w:val="hybridMultilevel"/>
    <w:lvl w:ilvl="0">
      <w:lvlJc w:val="left"/>
      <w:lvlText w:val="%1."/>
      <w:numFmt w:val="decimal"/>
      <w:start w:val="8"/>
    </w:lvl>
  </w:abstractNum>
  <w:abstractNum w:abstractNumId="12">
    <w:nsid w:val="41A7C4C9"/>
    <w:multiLevelType w:val="hybridMultilevel"/>
    <w:lvl w:ilvl="0">
      <w:lvlJc w:val="left"/>
      <w:lvlText w:val="%1."/>
      <w:numFmt w:val="decimal"/>
      <w:start w:val="8"/>
    </w:lvl>
  </w:abstractNum>
  <w:abstractNum w:abstractNumId="13">
    <w:nsid w:val="6B68079A"/>
    <w:multiLevelType w:val="hybridMultilevel"/>
    <w:lvl w:ilvl="0">
      <w:lvlJc w:val="left"/>
      <w:lvlText w:val="%1."/>
      <w:numFmt w:val="decimal"/>
      <w:start w:val="9"/>
    </w:lvl>
  </w:abstractNum>
  <w:abstractNum w:abstractNumId="14">
    <w:nsid w:val="4E6AFB66"/>
    <w:multiLevelType w:val="hybridMultilevel"/>
    <w:lvl w:ilvl="0">
      <w:lvlJc w:val="left"/>
      <w:lvlText w:val="%1."/>
      <w:numFmt w:val="decimal"/>
      <w:start w:val="10"/>
    </w:lvl>
  </w:abstractNum>
  <w:abstractNum w:abstractNumId="15">
    <w:nsid w:val="25E45D32"/>
    <w:multiLevelType w:val="hybridMultilevel"/>
    <w:lvl w:ilvl="0">
      <w:lvlJc w:val="left"/>
      <w:lvlText w:val="%1."/>
      <w:numFmt w:val="decimal"/>
      <w:start w:val="1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2019-12-13T13:42:48Z</dcterms:created>
  <dcterms:modified xsi:type="dcterms:W3CDTF">2019-12-13T13:42:48Z</dcterms:modified>
</cp:coreProperties>
</file>