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12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Redetzke Darren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VP, Commercial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12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12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74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12/04/2014</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4,248</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jc w:val="right"/>
              <w:ind w:right="156"/>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9,153.472</w:t>
            </w:r>
            <w:r>
              <w:rPr>
                <w:rFonts w:ascii="Arial" w:cs="Arial" w:eastAsia="Arial" w:hAnsi="Arial"/>
                <w:sz w:val="22"/>
                <w:szCs w:val="22"/>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9,978.613</w:t>
            </w:r>
            <w:r>
              <w:rPr>
                <w:rFonts w:ascii="Arial" w:cs="Arial" w:eastAsia="Arial" w:hAnsi="Arial"/>
                <w:sz w:val="22"/>
                <w:szCs w:val="22"/>
                <w:color w:val="008000"/>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ind w:left="180"/>
              <w:spacing w:after="0" w:line="217" w:lineRule="exact"/>
              <w:rPr>
                <w:sz w:val="20"/>
                <w:szCs w:val="20"/>
                <w:color w:val="auto"/>
              </w:rPr>
            </w:pPr>
            <w:r>
              <w:rPr>
                <w:rFonts w:ascii="Arial" w:cs="Arial" w:eastAsia="Arial" w:hAnsi="Arial"/>
                <w:sz w:val="18"/>
                <w:szCs w:val="18"/>
                <w:color w:val="0000FF"/>
              </w:rPr>
              <w:t>15,506.46</w:t>
            </w:r>
            <w:r>
              <w:rPr>
                <w:rFonts w:ascii="Arial" w:cs="Arial" w:eastAsia="Arial" w:hAnsi="Arial"/>
                <w:sz w:val="22"/>
                <w:szCs w:val="22"/>
                <w:color w:val="008000"/>
                <w:vertAlign w:val="superscript"/>
              </w:rPr>
              <w:t>(4)</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12/05/2014</w:t>
            </w:r>
          </w:p>
        </w:tc>
        <w:tc>
          <w:tcPr>
            <w:tcW w:w="114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4"/>
                <w:szCs w:val="14"/>
                <w:color w:val="0000FF"/>
              </w:rPr>
              <w:t>5,800</w:t>
            </w: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40"/>
              <w:spacing w:after="0"/>
              <w:rPr>
                <w:sz w:val="20"/>
                <w:szCs w:val="20"/>
                <w:color w:val="auto"/>
              </w:rPr>
            </w:pPr>
            <w:r>
              <w:rPr>
                <w:rFonts w:ascii="Arial" w:cs="Arial" w:eastAsia="Arial" w:hAnsi="Arial"/>
                <w:sz w:val="14"/>
                <w:szCs w:val="14"/>
                <w:color w:val="0000FF"/>
                <w:w w:val="99"/>
              </w:rPr>
              <w:t>12/05/2024</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5,800</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5,800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2012 to Fiscal 2014 Performance Period under The Toro Company 2010 Equity and Incentive Plan, as amended, as approved by the registrant's Compensation &amp; Human Resources Committee of its Board of Directors on December 2, 2014, and which was conditioned upon and subject to confirmation by the registrant's Fiscal 2014 financial results that were released on December 4, 2014.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63.472 performance share units acquired by the reporting person since the date of his last report under the dividend reinvestment feature of the Deferred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130.012 shares of common stock acquired by the reporting person under a dividend reinvestment feature of the account in which the shares are held since the date of his last report.</w:t>
      </w:r>
    </w:p>
    <w:p>
      <w:pPr>
        <w:spacing w:after="0" w:line="64" w:lineRule="exact"/>
        <w:rPr>
          <w:rFonts w:ascii="Arial" w:cs="Arial" w:eastAsia="Arial" w:hAnsi="Arial"/>
          <w:sz w:val="12"/>
          <w:szCs w:val="12"/>
          <w:color w:val="008000"/>
        </w:rPr>
      </w:pPr>
    </w:p>
    <w:p>
      <w:pPr>
        <w:ind w:left="40" w:right="3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199.246 net shares acquired under the dividend reinvestment feature of The Toro Company Investment, Savings &amp; ESOP (IS&amp;ESOP) less quarterly non-discretionary administrative fees; and 58.661 shares acquired through issuer annual investment fund contributions to the IS&amp;ESOP.</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12/08/2014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1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2019-12-17T03:06:48Z</dcterms:created>
  <dcterms:modified xsi:type="dcterms:W3CDTF">2019-12-17T03:06:48Z</dcterms:modified>
</cp:coreProperties>
</file>