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56680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668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Rodier Richard W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2"/>
          <w:szCs w:val="22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Times New Roman" w:cs="Times New Roman" w:eastAsia="Times New Roman" w:hAnsi="Times New Roman"/>
            <w:sz w:val="22"/>
            <w:szCs w:val="22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[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TTC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]</w:t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12/07/2006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5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tbl>
      <w:tblPr>
        <w:tblLayout w:type="fixed"/>
        <w:tblInd w:w="54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36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 xml:space="preserve">Section 16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/</w:t>
      </w: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 xml:space="preserve"> manages LCB-toro div.</w:t>
      </w:r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0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4. If Amendment, Date of Original Filed (Month/Day/Year)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60" w:type="dxa"/>
            <w:vAlign w:val="bottom"/>
            <w:gridSpan w:val="1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6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2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55420-1196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2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</w:tcPr>
          <w:p>
            <w:pPr>
              <w:ind w:left="34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9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12/07/2006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8"/>
              </w:rPr>
              <w:t>A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5,466</w:t>
            </w:r>
          </w:p>
        </w:tc>
        <w:tc>
          <w:tcPr>
            <w:tcW w:w="4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jc w:val="center"/>
              <w:ind w:lef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5,466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12/07/2006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1,787</w:t>
            </w:r>
          </w:p>
        </w:tc>
        <w:tc>
          <w:tcPr>
            <w:tcW w:w="4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49.68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jc w:val="center"/>
              <w:ind w:lef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3,679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The Toro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11,956.7354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Investment,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Savings &amp;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540" w:type="dxa"/>
            <w:vAlign w:val="bottom"/>
            <w:gridSpan w:val="12"/>
          </w:tcPr>
          <w:p>
            <w:pPr>
              <w:jc w:val="center"/>
              <w:ind w:left="5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N. Jeanne Ryan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40" w:type="dxa"/>
            <w:vAlign w:val="bottom"/>
            <w:gridSpan w:val="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12/08/2006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8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Reminder: Report on a separate line for each class of securities beneficially owned directly or indirectly.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10825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2019-12-16T03:50:31Z</dcterms:created>
  <dcterms:modified xsi:type="dcterms:W3CDTF">2019-12-16T03:50:31Z</dcterms:modified>
</cp:coreProperties>
</file>