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December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127635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December 18, 2024, The Toro Company announced its financial results for the three and twelve month periods ended October 31, 2024.</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88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0000FF"/>
              </w:rPr>
              <w:t>Press release dated December 18, 2024 (furnished herewith).</w:t>
            </w:r>
          </w:p>
        </w:tc>
      </w:tr>
      <w:tr>
        <w:trPr>
          <w:trHeight w:val="20"/>
        </w:trPr>
        <w:tc>
          <w:tcPr>
            <w:tcW w:w="238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23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December 18, 2024</w:t>
      </w:r>
      <w:r>
        <w:rPr>
          <w:sz w:val="20"/>
          <w:szCs w:val="20"/>
          <w:color w:val="auto"/>
        </w:rPr>
        <w:tab/>
      </w:r>
      <w:r>
        <w:rPr>
          <w:rFonts w:ascii="Times New Roman" w:cs="Times New Roman" w:eastAsia="Times New Roman" w:hAnsi="Times New Roman"/>
          <w:sz w:val="19"/>
          <w:szCs w:val="19"/>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Angela C. Drake</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Chief Financial Officer</w:t>
      </w:r>
    </w:p>
    <w:p>
      <w:pPr>
        <w:sectPr>
          <w:pgSz w:w="11900" w:h="16838" w:orient="portrait"/>
          <w:cols w:equalWidth="0" w:num="1">
            <w:col w:w="11080"/>
          </w:cols>
          <w:pgMar w:left="320" w:top="886" w:right="4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486025"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43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Jeremy Steffan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887-7962, </w:t>
      </w:r>
      <w:r>
        <w:rPr>
          <w:rFonts w:ascii="Arial" w:cs="Arial" w:eastAsia="Arial" w:hAnsi="Arial"/>
          <w:sz w:val="18"/>
          <w:szCs w:val="18"/>
          <w:u w:val="single" w:color="auto"/>
          <w:color w:val="0000FF"/>
        </w:rPr>
        <w:t>jeremy.steffan@toro.com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Reports Fourth-Quarter and Full-Year Fiscal 2024 Financial Results</w:t>
      </w:r>
    </w:p>
    <w:p>
      <w:pPr>
        <w:spacing w:after="0" w:line="15"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i w:val="1"/>
          <w:iCs w:val="1"/>
          <w:color w:val="auto"/>
        </w:rPr>
        <w:t>Record Full-Year Net Sales Driven by Strength in Residential Segment, Underground Construction, and Golf Significant Improvement in Cash Generation Supported Increased Share Repurchases</w:t>
      </w:r>
    </w:p>
    <w:p>
      <w:pPr>
        <w:spacing w:after="0" w:line="186"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Full-year net sales of $4.58 billion, up from $4.55 billion in fiscal 2023</w:t>
      </w:r>
    </w:p>
    <w:p>
      <w:pPr>
        <w:spacing w:after="0" w:line="17" w:lineRule="exact"/>
        <w:rPr>
          <w:rFonts w:ascii="Arial" w:cs="Arial" w:eastAsia="Arial" w:hAnsi="Arial"/>
          <w:sz w:val="20"/>
          <w:szCs w:val="20"/>
          <w:color w:val="auto"/>
        </w:rPr>
      </w:pPr>
    </w:p>
    <w:p>
      <w:pPr>
        <w:ind w:left="660" w:right="20" w:hanging="328"/>
        <w:spacing w:after="0" w:line="239"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Full-year reported diluted EPS of $4.01 and *adjusted diluted EPS of $4.17, compared to $3.13 reported and $4.21 *adjusted diluted EPS in fiscal 2023</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Fourth-quarter net sales of $1.08 billion, up from $0.98 billion in the same period of fiscal 2023</w:t>
      </w:r>
    </w:p>
    <w:p>
      <w:pPr>
        <w:ind w:left="660" w:hanging="328"/>
        <w:spacing w:after="0" w:line="239"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Fourth-quarter reported diluted EPS of $0.87 and *adjusted diluted EPS of $0.95, compared to $0.67 reported diluted EPS and $0.71 *adjusted diluted EPS in the same period of fiscal 2023</w:t>
      </w: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0"/>
          <w:szCs w:val="20"/>
          <w:color w:val="auto"/>
        </w:rPr>
        <w:t>Full-year fiscal 2025 guidance of *adjusted diluted EPS in the range of $4.25 to $4.40</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BLOOMINGTON, Minn.—(BUSINESS WIRE) — December 18, 2024—</w:t>
      </w:r>
      <w:r>
        <w:rPr>
          <w:rFonts w:ascii="Arial" w:cs="Arial" w:eastAsia="Arial" w:hAnsi="Arial"/>
          <w:sz w:val="20"/>
          <w:szCs w:val="20"/>
          <w:color w:val="auto"/>
        </w:rPr>
        <w:t>The Toro Company (NYSE: TTC), a leading global</w:t>
      </w:r>
      <w:r>
        <w:rPr>
          <w:rFonts w:ascii="Arial" w:cs="Arial" w:eastAsia="Arial" w:hAnsi="Arial"/>
          <w:sz w:val="20"/>
          <w:szCs w:val="20"/>
          <w:b w:val="1"/>
          <w:bCs w:val="1"/>
          <w:color w:val="auto"/>
        </w:rPr>
        <w:t xml:space="preserve"> </w:t>
      </w:r>
      <w:r>
        <w:rPr>
          <w:rFonts w:ascii="Arial" w:cs="Arial" w:eastAsia="Arial" w:hAnsi="Arial"/>
          <w:sz w:val="20"/>
          <w:szCs w:val="20"/>
          <w:color w:val="auto"/>
        </w:rPr>
        <w:t>provider of solutions for the outdoor environment, today reported results for its fiscal fourth-quarter and full-year ended October 31, 2024.</w:t>
      </w:r>
    </w:p>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delivered our 15th consecutive year of net sales growth in what remained an extremely dynamic environment,” said Richard M. Olson, chairman and chief executive officer. “This was a testament to the strength of our portfolio and the disciplined execution by our team of talented employees and channel partners.</w:t>
      </w:r>
    </w:p>
    <w:p>
      <w:pPr>
        <w:spacing w:after="0" w:line="19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“In our residential segment, we drove exceptional top-line growth due to the strength of our mass channel, including the inaugural year of our strategic partnership with Lowe’s, along with the success of new product introductions, such as the Havoc™ editions of our next generation lineup of Toro® TimeCutter® and TITAN® zero turn riding mowers. In our professional segment, our team drove significant production improvements for underground construction equipment and golf and grounds solutions, as we substantially increased output and capitalized on the sustained and strong end market demand for these products. Our ability to execute in these areas offset industry-wide dynamics affecting other parts of our portfolio, including softness in markets tied to snow and ice management, given the historic lack of snowfall last winter, as well as homeowner markets tied to lawn care in our dealer channel. Importantly, we made significant progress in reducing dealer field inventories of lawn care products, driven by lower shipments, coupled with retail sales growth. The momentum in sell-through year over year demonstrates the strength of our brands and market share.</w:t>
      </w:r>
    </w:p>
    <w:p>
      <w:pPr>
        <w:spacing w:after="0" w:line="219" w:lineRule="exact"/>
        <w:rPr>
          <w:sz w:val="20"/>
          <w:szCs w:val="20"/>
          <w:color w:val="auto"/>
        </w:rPr>
      </w:pPr>
    </w:p>
    <w:p>
      <w:pPr>
        <w:jc w:val="both"/>
        <w:spacing w:after="0"/>
        <w:rPr>
          <w:sz w:val="20"/>
          <w:szCs w:val="20"/>
          <w:color w:val="auto"/>
        </w:rPr>
      </w:pPr>
      <w:r>
        <w:rPr>
          <w:rFonts w:ascii="Arial" w:cs="Arial" w:eastAsia="Arial" w:hAnsi="Arial"/>
          <w:sz w:val="20"/>
          <w:szCs w:val="20"/>
          <w:color w:val="auto"/>
        </w:rPr>
        <w:t>“Moving to profitability, we successfully drove productivity and net price benefits during the year, offsetting inflation and the costs of adjusting production to meet quickly changing demand and better serve our customers. In the fourth quarter, we enhanced productivity and carefully controlled expenses. This helped offset the impact of a higher proportion of lower-margin products in our net sales than we anticipated, and enabled us to achieve adjusted diluted EPS in line with our expectations.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type w:val="continuous"/>
        </w:sectPr>
      </w:pPr>
    </w:p>
    <w:bookmarkStart w:id="5" w:name="page6"/>
    <w:bookmarkEnd w:id="5"/>
    <w:p>
      <w:pPr>
        <w:jc w:val="both"/>
        <w:spacing w:after="0" w:line="248" w:lineRule="auto"/>
        <w:rPr>
          <w:sz w:val="20"/>
          <w:szCs w:val="20"/>
          <w:color w:val="auto"/>
        </w:rPr>
      </w:pPr>
      <w:r>
        <w:rPr>
          <w:rFonts w:ascii="Arial" w:cs="Arial" w:eastAsia="Arial" w:hAnsi="Arial"/>
          <w:sz w:val="20"/>
          <w:szCs w:val="20"/>
          <w:color w:val="auto"/>
        </w:rPr>
        <w:t>”We were extremely pleased to deliver a significant increase in *free cash flow during fiscal 2024, to just over $470 million, which equated to a *conversion rate of 112.4%. This substantial improvement supported the return of nearly $400 million to shareholders, including an increase in our regular dividend payout and about $250 million in share repurchases.”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“As we enter the new fiscal year, we have confidence in our ability to deliver earnings growth, supported by the strength of our diverse portfolio and talented team, along with the momentum we have generated with our significant productivity initiative,” continued Olson. “Our market leadership positions across our portfolio remain strong, supported by our innovative product lineup and best-in-class distribution networks. For our underground construction, and golf and grounds businesses, we continue to have elevated order backlog, and expect demand will remain robust. Importantly, with our success in driving output, we expect order backlog will be at or near normal levels by the end of the year. For our lawn care and snow and ice management businesses, while field inventories remain higher than ideal, we expect to be positioned much better than last year as we head into the upcoming turf season, along with the snow pre-season in the second half of 2025.</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“While industry-wide macro and weather dynamics over the past few years have played out differently than anticipated, our business fundamentals remain strong. This is supported by our innovation leadership, with a robust new product pipeline aligned to market trends and designed to solve our customers’ most pressing needs. We are excited about the upcoming retail launches of autonomous products across our portfolio, including residential, commercial, and golf applications. This includes the early 2025 rollout of our Toro® Haven™ robotic mower, Exmark® Turf Tracer® with XiQ technology, and GeoLink® Solutions™ autonomous fairway mower.</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are well-positioned to capitalize on future growth opportunities in our attractive end markets, while simultaneously driving profitability improvement. Our significant productivity initiative, named AMP, is off to a great start, and we remain on track to deliver $100 million in run-rate cost savings by fiscal 2027. We intend to reinvest a portion of the savings from this initiative, to drive further innovation and growth. We look forward to the coming year with optimism, guided by our enterprise strategic priorities of accelerating profitable growth, driving productivity and operational excellence, and empowering people.”</w:t>
      </w:r>
    </w:p>
    <w:p>
      <w:pPr>
        <w:spacing w:after="0" w:line="200"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auto"/>
        </w:rPr>
        <w:t>For fiscal 2025, management expects total company net sales growth in the range of 0% to 1% and *adjusted diluted EPS in the range of $4.25 to $4.40. The company's guidance is based on current visibility and reflects:</w:t>
      </w:r>
    </w:p>
    <w:p>
      <w:pPr>
        <w:spacing w:after="0" w:line="169"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continued strong demand and stable supply for our underground construction and golf and grounds businesses,</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continuation of macro factors that have driven increased consumer and channel caution,</w:t>
      </w:r>
    </w:p>
    <w:p>
      <w:pPr>
        <w:ind w:left="660" w:right="580" w:hanging="328"/>
        <w:spacing w:after="0" w:line="232"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remaining adjustments needed to normalize field inventories of lawn care products and snow and ice management solutions, and</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weather patterns aligned with historical averages.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This guidance does not include any policy or regulatory changes that have not yet been enacted.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66"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FOURTH-QUARTER FISCAL 2024 FINANCIAL HIGHLIGHTS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1320" w:type="dxa"/>
            <w:vAlign w:val="bottom"/>
            <w:tcBorders>
              <w:bottom w:val="single" w:sz="8" w:color="auto"/>
            </w:tcBorders>
          </w:tcPr>
          <w:p>
            <w:pPr>
              <w:spacing w:after="0"/>
              <w:rPr>
                <w:sz w:val="19"/>
                <w:szCs w:val="19"/>
                <w:color w:val="auto"/>
              </w:rPr>
            </w:pPr>
          </w:p>
        </w:tc>
      </w:tr>
      <w:tr>
        <w:trPr>
          <w:trHeight w:val="211"/>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F24 Q4</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F23 Q4</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F24 Q4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F23 Q4</w:t>
            </w:r>
          </w:p>
        </w:tc>
        <w:tc>
          <w:tcPr>
            <w:tcW w:w="13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1,076.0</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983.2</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89.9</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0.87</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FISCAL 2024 FINANCIAL HIGHLIGHTS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1320" w:type="dxa"/>
            <w:vAlign w:val="bottom"/>
            <w:tcBorders>
              <w:bottom w:val="single" w:sz="8" w:color="auto"/>
            </w:tcBorders>
          </w:tcPr>
          <w:p>
            <w:pPr>
              <w:spacing w:after="0"/>
              <w:rPr>
                <w:sz w:val="19"/>
                <w:szCs w:val="19"/>
                <w:color w:val="auto"/>
              </w:rPr>
            </w:pPr>
          </w:p>
        </w:tc>
      </w:tr>
      <w:tr>
        <w:trPr>
          <w:trHeight w:val="212"/>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F24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F23</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F24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F23</w:t>
            </w:r>
          </w:p>
        </w:tc>
        <w:tc>
          <w:tcPr>
            <w:tcW w:w="13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4,583.8</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4,553.2</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3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4,583.8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4,553.2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418.9</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329.7</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3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435.2</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443.5</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3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764"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7" w:lineRule="exact"/>
        <w:rPr>
          <w:sz w:val="20"/>
          <w:szCs w:val="20"/>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net sales for the fourth quarter were $913.9 million, up 10.3% from $828.9 million in the same period last year. The increase was primarily driven by higher shipments of golf and grounds products and underground construction equipment, along with net price realization, partially offset by lower shipments of compact utility loaders and snow and ice management products.</w:t>
      </w:r>
    </w:p>
    <w:p>
      <w:pPr>
        <w:spacing w:after="0" w:line="135"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Full-year fiscal 2024 professional segment net sales were $3.56 billion, down 3.2% from $3.67 billion last year. The decrease was primarily due to lower shipments of lawn care equipment, snow and ice management products, and compact utility loaders, partially offset by higher shipments of golf and grounds products and underground construction equipment.</w:t>
      </w:r>
    </w:p>
    <w:p>
      <w:pPr>
        <w:spacing w:after="0" w:line="135" w:lineRule="exact"/>
        <w:rPr>
          <w:rFonts w:ascii="Arial" w:cs="Arial" w:eastAsia="Arial" w:hAnsi="Arial"/>
          <w:sz w:val="20"/>
          <w:szCs w:val="20"/>
          <w:color w:val="auto"/>
        </w:rPr>
      </w:pPr>
    </w:p>
    <w:p>
      <w:pPr>
        <w:jc w:val="both"/>
        <w:ind w:left="660" w:hanging="328"/>
        <w:spacing w:after="0" w:line="24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earnings for the fourth quarter were $169.7 million, up 36.3% from $124.5 million in the same period last year, and when expressed as a percentage of net sales, 18.6%, up from 15.0% in the prior-year period. The positive change was primarily due to productivity improvements, net sales leverage, net price realization, and product mix, partially offset by higher material and manufacturing costs.</w:t>
      </w:r>
    </w:p>
    <w:p>
      <w:pPr>
        <w:spacing w:after="0" w:line="154" w:lineRule="exact"/>
        <w:rPr>
          <w:rFonts w:ascii="Arial" w:cs="Arial" w:eastAsia="Arial" w:hAnsi="Arial"/>
          <w:sz w:val="20"/>
          <w:szCs w:val="20"/>
          <w:color w:val="auto"/>
        </w:rPr>
      </w:pPr>
    </w:p>
    <w:p>
      <w:pPr>
        <w:jc w:val="both"/>
        <w:ind w:left="660" w:hanging="328"/>
        <w:spacing w:after="0" w:line="24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Full-year fiscal 2024 professional segment earnings were $638.9 million, up 25.5% compared with $509.1 million in the prior fiscal year, and when expressed as a percentage of net sales, 18.0%, up from 13.9% last year. The change was primarily driven by non-cash impairment charges in the prior year, productivity improvements, and product mix, partially offset by higher material and manufacturing costs and lower net sales volume.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91" w:lineRule="exact"/>
        <w:rPr>
          <w:sz w:val="20"/>
          <w:szCs w:val="20"/>
          <w:color w:val="auto"/>
        </w:rPr>
      </w:pPr>
    </w:p>
    <w:p>
      <w:pPr>
        <w:jc w:val="both"/>
        <w:ind w:left="660" w:hanging="328"/>
        <w:spacing w:after="0" w:line="248"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net sales for the fourth quarter were $155.1 million, up 4.5% from $148.4 million in the same period last year. The increase was primarily driven by higher shipments of lawn care products to the company's mass channel, partially offset by lower shipments of snow products and higher sales promotions.</w:t>
      </w:r>
    </w:p>
    <w:p>
      <w:pPr>
        <w:spacing w:after="0" w:line="151" w:lineRule="exact"/>
        <w:rPr>
          <w:rFonts w:ascii="Arial" w:cs="Arial" w:eastAsia="Arial" w:hAnsi="Arial"/>
          <w:sz w:val="20"/>
          <w:szCs w:val="20"/>
          <w:color w:val="auto"/>
        </w:rPr>
      </w:pPr>
    </w:p>
    <w:p>
      <w:pPr>
        <w:jc w:val="both"/>
        <w:ind w:left="660" w:hanging="328"/>
        <w:spacing w:after="0" w:line="248"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Full-year fiscal 2024 residential segment net sales were $998.3 million, up 16.9% from $854.2 million last year. The increase was primarily due to higher shipments to the company's mass channel, partially offset by lower shipments of snow products.</w:t>
      </w:r>
    </w:p>
    <w:p>
      <w:pPr>
        <w:spacing w:after="0" w:line="137" w:lineRule="exact"/>
        <w:rPr>
          <w:rFonts w:ascii="Arial" w:cs="Arial" w:eastAsia="Arial" w:hAnsi="Arial"/>
          <w:sz w:val="20"/>
          <w:szCs w:val="20"/>
          <w:color w:val="auto"/>
        </w:rPr>
      </w:pPr>
    </w:p>
    <w:p>
      <w:pPr>
        <w:jc w:val="both"/>
        <w:ind w:left="660" w:hanging="328"/>
        <w:spacing w:after="0" w:line="25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loss for the fourth quarter was $13.8 million, or 8.9% of net sales, compared to earnings of $4.5 million, or 3.0% of net sales, in the same period last year. The change was primarily driven by higher material and freight costs, higher warranty and marketing expense, and product mix, partially offset by productivity improvements.</w:t>
      </w:r>
    </w:p>
    <w:p>
      <w:pPr>
        <w:spacing w:after="0" w:line="130"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Full-year fiscal 2024 residential segment earnings were $78.4 million, up 13.8% from $68.9 million in the prior fiscal year, and when expressed as a percentage of net sales, 7.9%, compared to 8.1% last year. The change was primarily driven by product mix and higher material and manufacturing costs, partially offset by productivity improvements and net sales 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64"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Gross margin for the fourth quarter was 32.4%, compared with 33.5% for the same prior-year period. *Adjusted gross margin for the fourth quarter was 32.3%, compared with 33.6% for the same prior-year period. The decreases in reported and *adjusted gross margin were primarily due to higher material, freight, and manufacturing costs, partially offset by productivity improvements.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For fiscal 2024, gross margin was 33.8%, compared to 34.6% for fiscal 2023. *Adjusted gross margin for fiscal 2024 was 33.9%, compared with 34.7% for fiscal 2023. The decreases in reported and *adjusted gross margin were primarily driven by higher material and manufacturing costs and product mix, partially offset by productivity improvements.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SG&amp;A expense as a percentage of net sales for the fourth quarter was 22.3%, compared with 23.9% in the prior-year period. The improvement was primarily driven by net sales leverage, lower incentive compensation, and lower marketing costs, partially offset by higher warranty expense.</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For fiscal 2024, SG&amp;A expense as a percentage of net sales was 22.2%, compared with 21.8% for fiscal 2023. The change was primarily due to higher corporate expenses, partially offset by lower marketing costs.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Operating earnings as a percentage of net sales for the fourth quarter were 10.1%, compared with 9.6% in the same prior-year period. *Adjusted operating earnings as a percentage of net sales for the fourth quarter were 10.9%, compared with 10.1% in the same prior-year period.</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For fiscal 2024, operating earnings as a percentage of net sales were 11.6%, compared with 9.5% in fiscal 2023. *Adjusted operating earnings as a percentage of net sales for fiscal 2024 were 12.2%, compared with 12.9% for fiscal 2023.</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Interest expense was down $0.4 million for the fourth quarter to $14.5 million, primarily driven by lower average outstanding borrowings and lower average interest rates. Interest expense was up $3.2 million for the full year to $61.9 million, primarily driven by higher average interest rates, partially offset by lower average outstanding borrowings.</w:t>
      </w:r>
    </w:p>
    <w:p>
      <w:pPr>
        <w:spacing w:after="0" w:line="151" w:lineRule="exact"/>
        <w:rPr>
          <w:sz w:val="20"/>
          <w:szCs w:val="20"/>
          <w:color w:val="auto"/>
        </w:rPr>
      </w:pPr>
    </w:p>
    <w:p>
      <w:pPr>
        <w:jc w:val="both"/>
        <w:ind w:right="20"/>
        <w:spacing w:after="0" w:line="298" w:lineRule="auto"/>
        <w:rPr>
          <w:sz w:val="20"/>
          <w:szCs w:val="20"/>
          <w:color w:val="auto"/>
        </w:rPr>
      </w:pPr>
      <w:r>
        <w:rPr>
          <w:rFonts w:ascii="Arial" w:cs="Arial" w:eastAsia="Arial" w:hAnsi="Arial"/>
          <w:sz w:val="19"/>
          <w:szCs w:val="19"/>
          <w:color w:val="auto"/>
        </w:rPr>
        <w:t>The reported and *adjusted effective tax rates for the fourth quarter were 17.7% and 16.9%, respectively, compared with 19.1% and 19.3% in the same prior-year period. The decreases were primarily due to a more favorable geographic mix of earnings.</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20"/>
          <w:szCs w:val="20"/>
          <w:color w:val="auto"/>
        </w:rPr>
        <w:t>For fiscal 2024, the reported effective tax rate was 18.3%, compared with 17.7% in fiscal 2023. The increase was primarily due to the impact of non-cash impairment charges in the prior year and lower tax benefits recorded as excess tax deductions for stock compensation in the current year, partially offset by a more favorable geographic mix of earnings in the current year. The *adjusted effective tax rate for fiscal 2024 was 18.8%, compared with 20.4% in fiscal 2023. The year-over-year improvement was primarily driven by a more favorable geographic mix of earnings.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64"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18, 2024 at 10:00 a.m. CST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will conduct its earnings call and webcast for investors beginning at 10:00 a.m. CST on December 18, 2024. The webcast will be available at www.thetorocompany.com/invest. Webcast participants will need to complete a brief registration form and should allocate extra time before the webcast begins to register and, if necessary, install audio software.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 Toro Company (NYSE: TTC) is a leading global provider of solutions for the outdoor environment including turf and landscape maintenance, snow and ice management, underground utility construction, rental and specialty construction, and irrigation and outdoor lighting solutions. With net sales of $4.6 billion in fiscal 2024, The Toro Company’s global presence extends to more than 125 countries through a family of brands that includes Toro, Ditch Witch, Exmark, Spartan, BOSS, Ventrac, American Augers, Trencor, Subsite, HammerHead, Radius,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0000FF"/>
        </w:rPr>
        <w:t>www.thetorocompany.com</w:t>
      </w:r>
      <w:r>
        <w:rPr>
          <w:rFonts w:ascii="Arial" w:cs="Arial" w:eastAsia="Arial" w:hAnsi="Arial"/>
          <w:sz w:val="19"/>
          <w:szCs w:val="19"/>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This press release and the related earnings call include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the related earnings call that are utilized as measures of operating performance consist of gross profit, gross margin, operating earnings, earnings before income taxes, net earnings, diluted EPS, and the effective tax rate, each as adjusted. The non-GAAP financial measures included within this press release and the related earnings call that are utilized as measures of liquidity consist of free cash flow and free cash flow conversion percentage.</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the company's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the company's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4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2025 to diluted EPS, which is the most directly comparable GAAP measure, in reliance on the unreasonable efforts exception provided under Item 10(e)(1)(i)(B) of Regulation S-K. The company’s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82" w:right="339" w:bottom="1440" w:gutter="0" w:footer="0" w:header="0"/>
        </w:sectPr>
      </w:pPr>
    </w:p>
    <w:bookmarkStart w:id="10" w:name="page11"/>
    <w:bookmarkEnd w:id="10"/>
    <w:p>
      <w:pPr>
        <w:jc w:val="both"/>
        <w:spacing w:after="0" w:line="241" w:lineRule="auto"/>
        <w:rPr>
          <w:sz w:val="20"/>
          <w:szCs w:val="20"/>
          <w:color w:val="auto"/>
        </w:rPr>
      </w:pPr>
      <w:r>
        <w:rPr>
          <w:rFonts w:ascii="Arial" w:cs="Arial" w:eastAsia="Arial" w:hAnsi="Arial"/>
          <w:sz w:val="20"/>
          <w:szCs w:val="20"/>
          <w:color w:val="auto"/>
        </w:rPr>
        <w:t>adjusted diluted EPS guidance for fiscal 2025 excludes certain items that are inherently uncertain and difficult to predict, including certain non-cash, large and/or unpredictable charges and benefits; acquisitions and 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2025 to diluted EPS reconciliation without unreasonable efforts. A quantitative reconciliation of adjusted diluted EPS for fiscal 2025 to diluted EPS would imply a degree of precision and certainty as to these future items that does not exist and could be confusing to investors. From a qualitative perspective, it is anticipated that the differences between adjusted diluted EPS for fiscal 2025 to diluted EPS will consist of items similar to those described in the financial tables later in this release, including, for example and without limitation, certain non-cash, large, and/or unpredictable charges and benefits, such as impairment and restructuring charges; acquisitions and dispositions; legal judgments, settlements, or other matters; and tax positions. The timing and amount of any of these excluded items could significantly impact the company’s diluted EPS for a particular period.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“encourage,” “anticipate,” “continue,” “plan,” “estimate,” “project,” “target,” “improve,” “believe,” “become,” “should,” “could,” “will,” “would,” “possible,” “promise,” “may,” “likely,” “intend,” “can,” “seek,” “pursue,” “potential,” “pro forma,”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2025 financial guidance, expectations regarding demand trends, including incremental growth from strategic partnership with Lowe’s and the success of new products, supply chain stabilization and AMP, and other statements made under the "Outlook" section of this release. Particular risks and uncertainties that may affect the company’s operating results or financial position or cause actual events and results to differ materially from those projected or implied include: adverse worldwide economic conditions, including inflationary pressures and higher interest rates; the effect of abnormal weather patterns; customer, government and municipal revenue, budget spending levels and cash conservation efforts; loss of any substantial customer; inventory adjustments or changes in purchasing patterns by customers; fluctuations in the cost and availability of commodities, components, parts, and accessories, including steel, engines, hydraulics, and resins; disruption at or in proximity to its facilities or in its manufacturing or other operations, or those in its distribution channel customers, mass retailers or home centers where its products are sold, or suppliers; risks associated with acquisitions and dispositions, including the company's acquisition of the Intimidator Group and possible additional future impairment of goodwill or other intangible assets; impacts AMP and any future restructuring activities or productivity or cost savings initiatives; COVID-19 related factors, risks and challenges; the effect of natural disasters, social unrest, war and global pandemics; the level of growth or contraction in its key markets;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management of strategic partnerships, key customer relationships,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76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Earnings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and shares in millions, except per-share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jc w:val="right"/>
              <w:ind w:right="87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777"/>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2"/>
        </w:trPr>
        <w:tc>
          <w:tcPr>
            <w:tcW w:w="4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October 31, 2024</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October 31, 2024</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1,076.0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983.2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4,583.8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4,553.2</w:t>
            </w:r>
          </w:p>
        </w:tc>
      </w:tr>
      <w:tr>
        <w:trPr>
          <w:trHeight w:val="216"/>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5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727.0</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653.6</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3,034.5</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2,975.6</w:t>
            </w:r>
          </w:p>
        </w:tc>
      </w:tr>
      <w:tr>
        <w:trPr>
          <w:trHeight w:val="20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349.0</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329.6</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1,549.3</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1,577.6</w:t>
            </w:r>
          </w:p>
        </w:tc>
      </w:tr>
      <w:tr>
        <w:trPr>
          <w:trHeight w:val="216"/>
        </w:trPr>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Gross margin</w:t>
            </w:r>
          </w:p>
        </w:tc>
        <w:tc>
          <w:tcPr>
            <w:tcW w:w="5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33.8 %</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34.6 %</w:t>
            </w: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240.0</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235.1</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1,016.0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995.6</w:t>
            </w:r>
          </w:p>
        </w:tc>
      </w:tr>
      <w:tr>
        <w:trPr>
          <w:trHeight w:val="216"/>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Non-cash impairment charges</w:t>
            </w:r>
          </w:p>
        </w:tc>
        <w:tc>
          <w:tcPr>
            <w:tcW w:w="5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151.3</w:t>
            </w:r>
          </w:p>
        </w:tc>
      </w:tr>
      <w:tr>
        <w:trPr>
          <w:trHeight w:val="20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earnings</w:t>
            </w: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109.0</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94.5</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533.3</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430.7</w:t>
            </w: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580" w:type="dxa"/>
            <w:vAlign w:val="bottom"/>
          </w:tcPr>
          <w:p>
            <w:pPr>
              <w:spacing w:after="0"/>
              <w:rPr>
                <w:sz w:val="18"/>
                <w:szCs w:val="18"/>
                <w:color w:val="auto"/>
              </w:rPr>
            </w:pPr>
          </w:p>
        </w:tc>
        <w:tc>
          <w:tcPr>
            <w:tcW w:w="15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(14.5)</w:t>
            </w:r>
          </w:p>
        </w:tc>
        <w:tc>
          <w:tcPr>
            <w:tcW w:w="200" w:type="dxa"/>
            <w:vAlign w:val="bottom"/>
          </w:tcPr>
          <w:p>
            <w:pPr>
              <w:spacing w:after="0"/>
              <w:rPr>
                <w:sz w:val="18"/>
                <w:szCs w:val="18"/>
                <w:color w:val="auto"/>
              </w:rPr>
            </w:pPr>
          </w:p>
        </w:tc>
        <w:tc>
          <w:tcPr>
            <w:tcW w:w="15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(14.9)</w:t>
            </w:r>
          </w:p>
        </w:tc>
        <w:tc>
          <w:tcPr>
            <w:tcW w:w="200" w:type="dxa"/>
            <w:vAlign w:val="bottom"/>
          </w:tcPr>
          <w:p>
            <w:pPr>
              <w:spacing w:after="0"/>
              <w:rPr>
                <w:sz w:val="18"/>
                <w:szCs w:val="18"/>
                <w:color w:val="auto"/>
              </w:rPr>
            </w:pP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(61.9)</w:t>
            </w:r>
          </w:p>
        </w:tc>
        <w:tc>
          <w:tcPr>
            <w:tcW w:w="220" w:type="dxa"/>
            <w:vAlign w:val="bottom"/>
          </w:tcPr>
          <w:p>
            <w:pPr>
              <w:spacing w:after="0"/>
              <w:rPr>
                <w:sz w:val="18"/>
                <w:szCs w:val="18"/>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(58.7)</w:t>
            </w:r>
          </w:p>
        </w:tc>
      </w:tr>
      <w:tr>
        <w:trPr>
          <w:trHeight w:val="216"/>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5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14.8</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7.3</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41.4</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28.5</w:t>
            </w:r>
          </w:p>
        </w:tc>
      </w:tr>
      <w:tr>
        <w:trPr>
          <w:trHeight w:val="210"/>
        </w:trPr>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580" w:type="dxa"/>
            <w:vAlign w:val="bottom"/>
          </w:tcPr>
          <w:p>
            <w:pPr>
              <w:spacing w:after="0"/>
              <w:rPr>
                <w:sz w:val="18"/>
                <w:szCs w:val="18"/>
                <w:color w:val="auto"/>
              </w:rPr>
            </w:pPr>
          </w:p>
        </w:tc>
        <w:tc>
          <w:tcPr>
            <w:tcW w:w="15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109.3</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86.9</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512.8</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400.5</w:t>
            </w:r>
          </w:p>
        </w:tc>
      </w:tr>
      <w:tr>
        <w:trPr>
          <w:trHeight w:val="216"/>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5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19.4</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16.6</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93.9</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70.8</w:t>
            </w:r>
          </w:p>
        </w:tc>
      </w:tr>
      <w:tr>
        <w:trPr>
          <w:trHeight w:val="209"/>
        </w:trPr>
        <w:tc>
          <w:tcPr>
            <w:tcW w:w="4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89.9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418.9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329.7</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5"/>
        </w:trPr>
        <w:tc>
          <w:tcPr>
            <w:tcW w:w="404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shd w:val="clear" w:color="auto" w:fill="CCEEFF"/>
          </w:tcPr>
          <w:p>
            <w:pPr>
              <w:spacing w:after="0"/>
              <w:rPr>
                <w:sz w:val="6"/>
                <w:szCs w:val="6"/>
                <w:color w:val="auto"/>
              </w:rPr>
            </w:pPr>
          </w:p>
        </w:tc>
      </w:tr>
      <w:tr>
        <w:trPr>
          <w:trHeight w:val="210"/>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0.88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0.67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3.16</w:t>
            </w:r>
          </w:p>
        </w:tc>
      </w:tr>
      <w:tr>
        <w:trPr>
          <w:trHeight w:val="88"/>
        </w:trPr>
        <w:tc>
          <w:tcPr>
            <w:tcW w:w="4040" w:type="dxa"/>
            <w:vAlign w:val="bottom"/>
            <w:tcBorders>
              <w:bottom w:val="single" w:sz="8" w:color="auto"/>
            </w:tcBorders>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spacing w:after="0"/>
              <w:rPr>
                <w:sz w:val="7"/>
                <w:szCs w:val="7"/>
                <w:color w:val="auto"/>
              </w:rPr>
            </w:pPr>
          </w:p>
        </w:tc>
        <w:tc>
          <w:tcPr>
            <w:tcW w:w="152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r>
      <w:tr>
        <w:trPr>
          <w:trHeight w:val="210"/>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Diluted net earnings per share of common stock</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0.87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0.67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4.01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3.13</w:t>
            </w:r>
          </w:p>
        </w:tc>
      </w:tr>
      <w:tr>
        <w:trPr>
          <w:trHeight w:val="88"/>
        </w:trPr>
        <w:tc>
          <w:tcPr>
            <w:tcW w:w="40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r>
      <w:tr>
        <w:trPr>
          <w:trHeight w:val="171"/>
        </w:trPr>
        <w:tc>
          <w:tcPr>
            <w:tcW w:w="404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Weighted-average number of shares of common stock</w:t>
            </w:r>
          </w:p>
        </w:tc>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 Basic</w:t>
            </w:r>
          </w:p>
        </w:tc>
        <w:tc>
          <w:tcPr>
            <w:tcW w:w="580" w:type="dxa"/>
            <w:vAlign w:val="bottom"/>
          </w:tcPr>
          <w:p>
            <w:pPr>
              <w:spacing w:after="0"/>
              <w:rPr>
                <w:sz w:val="18"/>
                <w:szCs w:val="18"/>
                <w:color w:val="auto"/>
              </w:rPr>
            </w:pPr>
          </w:p>
        </w:tc>
        <w:tc>
          <w:tcPr>
            <w:tcW w:w="15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102.7</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104.2</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103.8</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104.4</w:t>
            </w:r>
          </w:p>
        </w:tc>
      </w:tr>
      <w:tr>
        <w:trPr>
          <w:trHeight w:val="110"/>
        </w:trPr>
        <w:tc>
          <w:tcPr>
            <w:tcW w:w="40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r>
      <w:tr>
        <w:trPr>
          <w:trHeight w:val="171"/>
        </w:trPr>
        <w:tc>
          <w:tcPr>
            <w:tcW w:w="404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Weighted-average number of shares of common stock</w:t>
            </w:r>
          </w:p>
        </w:tc>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18"/>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outstanding — Diluted</w:t>
            </w:r>
          </w:p>
        </w:tc>
        <w:tc>
          <w:tcPr>
            <w:tcW w:w="5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103.2</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104.9</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104.4</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105.3</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Segment Data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3"/>
          </w:tcPr>
          <w:p>
            <w:pPr>
              <w:jc w:val="right"/>
              <w:ind w:right="77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1"/>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net sales</w:t>
            </w:r>
          </w:p>
        </w:tc>
        <w:tc>
          <w:tcPr>
            <w:tcW w:w="1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2024</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8"/>
              </w:rPr>
              <w:t>October 31, 2024</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913.9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828.9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3,674.6</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300" w:type="dxa"/>
            <w:vAlign w:val="bottom"/>
          </w:tcPr>
          <w:p>
            <w:pPr>
              <w:spacing w:after="0"/>
              <w:rPr>
                <w:sz w:val="18"/>
                <w:szCs w:val="18"/>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155.1</w:t>
            </w:r>
          </w:p>
        </w:tc>
        <w:tc>
          <w:tcPr>
            <w:tcW w:w="200" w:type="dxa"/>
            <w:vAlign w:val="bottom"/>
          </w:tcPr>
          <w:p>
            <w:pPr>
              <w:spacing w:after="0"/>
              <w:rPr>
                <w:sz w:val="18"/>
                <w:szCs w:val="18"/>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148.4</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998.3</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854.2</w:t>
            </w:r>
          </w:p>
        </w:tc>
      </w:tr>
      <w:tr>
        <w:trPr>
          <w:trHeight w:val="216"/>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7.0</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5.9</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r>
      <w:tr>
        <w:trPr>
          <w:trHeight w:val="210"/>
        </w:trPr>
        <w:tc>
          <w:tcPr>
            <w:tcW w:w="3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net sales*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1,076.0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983.2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4,583.8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4,553.2</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75"/>
        </w:trPr>
        <w:tc>
          <w:tcPr>
            <w:tcW w:w="35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209"/>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*Includes international net sales of:</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231.6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191.0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947.7</w:t>
            </w: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2"/>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earnings (loss) before income taxes</w:t>
            </w: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October 31, 2024</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2024</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169.7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124.5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638.9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w:t>
            </w: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920" w:type="dxa"/>
            <w:vAlign w:val="bottom"/>
          </w:tcPr>
          <w:p>
            <w:pPr>
              <w:spacing w:after="0"/>
              <w:rPr>
                <w:sz w:val="18"/>
                <w:szCs w:val="18"/>
                <w:color w:val="auto"/>
              </w:rPr>
            </w:pPr>
          </w:p>
        </w:tc>
        <w:tc>
          <w:tcPr>
            <w:tcW w:w="1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(13.8)</w:t>
            </w:r>
          </w:p>
        </w:tc>
        <w:tc>
          <w:tcPr>
            <w:tcW w:w="18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4.5</w:t>
            </w:r>
          </w:p>
        </w:tc>
        <w:tc>
          <w:tcPr>
            <w:tcW w:w="200" w:type="dxa"/>
            <w:vAlign w:val="bottom"/>
          </w:tcPr>
          <w:p>
            <w:pPr>
              <w:spacing w:after="0"/>
              <w:rPr>
                <w:sz w:val="18"/>
                <w:szCs w:val="18"/>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78.4</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w:t>
            </w:r>
          </w:p>
        </w:tc>
      </w:tr>
      <w:tr>
        <w:trPr>
          <w:trHeight w:val="216"/>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(46.6)</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w:t>
            </w:r>
          </w:p>
        </w:tc>
      </w:tr>
      <w:tr>
        <w:trPr>
          <w:trHeight w:val="210"/>
        </w:trPr>
        <w:tc>
          <w:tcPr>
            <w:tcW w:w="3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segment earnings before income taxes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109.3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86.9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512.8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400.5</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40" w:top="936"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8"/>
              </w:rPr>
              <w:t>October 31, 2024</w:t>
            </w: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r>
      <w:tr>
        <w:trPr>
          <w:trHeight w:val="169"/>
        </w:trPr>
        <w:tc>
          <w:tcPr>
            <w:tcW w:w="5720" w:type="dxa"/>
            <w:vAlign w:val="bottom"/>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ASSETS</w:t>
            </w:r>
          </w:p>
        </w:tc>
        <w:tc>
          <w:tcPr>
            <w:tcW w:w="24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199.5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193.1</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459.7</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Inventories, net</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1,038.9</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1,087.8</w:t>
            </w:r>
          </w:p>
        </w:tc>
      </w:tr>
      <w:tr>
        <w:trPr>
          <w:trHeight w:val="216"/>
        </w:trPr>
        <w:tc>
          <w:tcPr>
            <w:tcW w:w="572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66.8</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w:t>
            </w:r>
          </w:p>
        </w:tc>
      </w:tr>
      <w:tr>
        <w:trPr>
          <w:trHeight w:val="209"/>
        </w:trPr>
        <w:tc>
          <w:tcPr>
            <w:tcW w:w="2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Total current assets</w:t>
            </w:r>
          </w:p>
        </w:tc>
        <w:tc>
          <w:tcPr>
            <w:tcW w:w="2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1,764.9</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1,798.8</w:t>
            </w:r>
          </w:p>
        </w:tc>
      </w:tr>
      <w:tr>
        <w:trPr>
          <w:trHeight w:val="88"/>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820" w:type="dxa"/>
            <w:vAlign w:val="bottom"/>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c>
          <w:tcPr>
            <w:tcW w:w="24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644.8</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641.7</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450.3</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450.8</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498.7</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540.1</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114.5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Investment in finance affiliate</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49.2</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45.0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16"/>
        </w:trPr>
        <w:tc>
          <w:tcPr>
            <w:tcW w:w="5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15.4</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34"/>
        </w:trPr>
        <w:tc>
          <w:tcPr>
            <w:tcW w:w="572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3,582.8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3,644.3</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176"/>
        </w:trPr>
        <w:tc>
          <w:tcPr>
            <w:tcW w:w="572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24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auto"/>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452.7</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430.0</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493.0</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499.1</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70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2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20.3</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10"/>
        </w:trPr>
        <w:tc>
          <w:tcPr>
            <w:tcW w:w="2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976.0</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948.6</w:t>
            </w:r>
          </w:p>
        </w:tc>
      </w:tr>
      <w:tr>
        <w:trPr>
          <w:trHeight w:val="88"/>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820" w:type="dxa"/>
            <w:vAlign w:val="bottom"/>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c>
          <w:tcPr>
            <w:tcW w:w="24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911.8</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1,031.5</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99.1</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0.5</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43.5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Preferred stock</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5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101.5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w:t>
            </w:r>
          </w:p>
        </w:tc>
      </w:tr>
      <w:tr>
        <w:trPr>
          <w:trHeight w:val="216"/>
        </w:trPr>
        <w:tc>
          <w:tcPr>
            <w:tcW w:w="20" w:type="dxa"/>
            <w:vAlign w:val="bottom"/>
          </w:tcPr>
          <w:p>
            <w:pPr>
              <w:spacing w:after="0"/>
              <w:rPr>
                <w:sz w:val="18"/>
                <w:szCs w:val="18"/>
                <w:color w:val="auto"/>
              </w:rPr>
            </w:pPr>
          </w:p>
        </w:tc>
        <w:tc>
          <w:tcPr>
            <w:tcW w:w="57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1,496.4</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1,444.1</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70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r>
      <w:tr>
        <w:trPr>
          <w:trHeight w:val="210"/>
        </w:trPr>
        <w:tc>
          <w:tcPr>
            <w:tcW w:w="2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1,551.9</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1,510.9</w:t>
            </w:r>
          </w:p>
        </w:tc>
      </w:tr>
      <w:tr>
        <w:trPr>
          <w:trHeight w:val="234"/>
        </w:trPr>
        <w:tc>
          <w:tcPr>
            <w:tcW w:w="572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3,582.8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3,644.3</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40" w:top="1179"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195"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7"/>
          <w:szCs w:val="17"/>
          <w:b w:val="1"/>
          <w:bCs w:val="1"/>
          <w:color w:val="auto"/>
        </w:rPr>
        <w:t>Twelve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8"/>
              </w:rPr>
              <w:t>October 31, 2024</w:t>
            </w: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418.9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329.7</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to net cash provided by operating activities: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income from finance affiliate</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Distributions from finance affiliate, net</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22.2</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93.7</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other intangible assets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34.5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23.0</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impairment charges</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the effect of acquisitions:</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Receivables, net</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27.5</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19.9</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24.3</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w:t>
            </w:r>
          </w:p>
        </w:tc>
      </w:tr>
      <w:tr>
        <w:trPr>
          <w:trHeight w:val="216"/>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liabilities</w:t>
            </w:r>
          </w:p>
        </w:tc>
        <w:tc>
          <w:tcPr>
            <w:tcW w:w="1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10.6</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09"/>
        </w:trPr>
        <w:tc>
          <w:tcPr>
            <w:tcW w:w="6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569.9</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306.8</w:t>
            </w: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insurance claim</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4.3</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Business combination</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acquisition</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asset disposals</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0.3</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6"/>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divestitures</w:t>
            </w:r>
          </w:p>
        </w:tc>
        <w:tc>
          <w:tcPr>
            <w:tcW w:w="1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40.0</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9"/>
        </w:trPr>
        <w:tc>
          <w:tcPr>
            <w:tcW w:w="6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(157.7)</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(repayments) borrowings under the revolving credit facility</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Long-term debt repayments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9.1</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withholding taxes for stock awards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TTC common stock</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(245.5)</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Dividends paid on TTC common stock</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w:t>
            </w:r>
          </w:p>
        </w:tc>
      </w:tr>
      <w:tr>
        <w:trPr>
          <w:trHeight w:val="216"/>
        </w:trPr>
        <w:tc>
          <w:tcPr>
            <w:tcW w:w="6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0"/>
        </w:trPr>
        <w:tc>
          <w:tcPr>
            <w:tcW w:w="67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(505.1)</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w:t>
            </w:r>
          </w:p>
        </w:tc>
      </w:tr>
      <w:tr>
        <w:trPr>
          <w:trHeight w:val="88"/>
        </w:trPr>
        <w:tc>
          <w:tcPr>
            <w:tcW w:w="67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r>
        <w:trPr>
          <w:trHeight w:val="209"/>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88"/>
        </w:trPr>
        <w:tc>
          <w:tcPr>
            <w:tcW w:w="67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r>
        <w:trPr>
          <w:trHeight w:val="209"/>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1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6.4</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fiscal period</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193.1</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188.2</w:t>
            </w:r>
          </w:p>
        </w:tc>
      </w:tr>
      <w:tr>
        <w:trPr>
          <w:trHeight w:val="235"/>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end of the fiscal period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199.5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40" w:top="936" w:right="3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 (Unaudited)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(Dollars in millions, except per-share data)</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provides a reconciliation of the non-GAAP financial performance measures used in this press release and the related earnings call to the most directly comparable measures calculated and reported in accordance with U.S. GAAP for the three and twelve month periods ended October 31,</w:t>
      </w:r>
    </w:p>
    <w:p>
      <w:pPr>
        <w:spacing w:after="0"/>
        <w:rPr>
          <w:sz w:val="20"/>
          <w:szCs w:val="20"/>
          <w:color w:val="auto"/>
        </w:rPr>
      </w:pPr>
      <w:r>
        <w:rPr>
          <w:rFonts w:ascii="Times New Roman" w:cs="Times New Roman" w:eastAsia="Times New Roman" w:hAnsi="Times New Roman"/>
          <w:sz w:val="18"/>
          <w:szCs w:val="18"/>
          <w:color w:val="auto"/>
        </w:rPr>
        <w:t>2024 and October 31, 2023:</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7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2"/>
        </w:trPr>
        <w:tc>
          <w:tcPr>
            <w:tcW w:w="3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3"/>
          </w:tcPr>
          <w:p>
            <w:pPr>
              <w:jc w:val="right"/>
              <w:ind w:right="87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777"/>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2"/>
        </w:trPr>
        <w:tc>
          <w:tcPr>
            <w:tcW w:w="3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98"/>
              </w:rPr>
              <w:t>October 31, 2024</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October 31, 2024</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2023</w:t>
            </w:r>
          </w:p>
        </w:tc>
      </w:tr>
      <w:tr>
        <w:trPr>
          <w:trHeight w:val="20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349.0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329.6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1,549.3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1,577.6</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0.2</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1.2</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3</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5.7</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gross profit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347.8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330.8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1,555.0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1,579.0</w:t>
            </w:r>
          </w:p>
        </w:tc>
      </w:tr>
      <w:tr>
        <w:trPr>
          <w:trHeight w:val="75"/>
        </w:trPr>
        <w:tc>
          <w:tcPr>
            <w:tcW w:w="3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33.8 %</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34.6 %</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16"/>
        </w:trPr>
        <w:tc>
          <w:tcPr>
            <w:tcW w:w="370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3</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gross margin</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33.9 %</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34.7 %</w:t>
            </w:r>
          </w:p>
        </w:tc>
      </w:tr>
      <w:tr>
        <w:trPr>
          <w:trHeight w:val="74"/>
        </w:trPr>
        <w:tc>
          <w:tcPr>
            <w:tcW w:w="37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shd w:val="clear" w:color="auto" w:fill="CCEEFF"/>
          </w:tcPr>
          <w:p>
            <w:pPr>
              <w:spacing w:after="0"/>
              <w:rPr>
                <w:sz w:val="6"/>
                <w:szCs w:val="6"/>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earnings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109.0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94.5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533.3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430.7</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0.4</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5.0</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5.0</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3</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8.0</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27.2</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charges</w:t>
            </w:r>
            <w:r>
              <w:rPr>
                <w:rFonts w:ascii="Times New Roman" w:cs="Times New Roman" w:eastAsia="Times New Roman" w:hAnsi="Times New Roman"/>
                <w:sz w:val="21"/>
                <w:szCs w:val="21"/>
                <w:color w:val="auto"/>
                <w:vertAlign w:val="superscript"/>
              </w:rPr>
              <w:t>4</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151.3</w:t>
            </w:r>
          </w:p>
        </w:tc>
      </w:tr>
      <w:tr>
        <w:trPr>
          <w:trHeight w:val="21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operating earnings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560.5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587.4</w:t>
            </w:r>
          </w:p>
        </w:tc>
      </w:tr>
      <w:tr>
        <w:trPr>
          <w:trHeight w:val="74"/>
        </w:trPr>
        <w:tc>
          <w:tcPr>
            <w:tcW w:w="3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earnings margin</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11.6 %</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3</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charges</w:t>
            </w:r>
            <w:r>
              <w:rPr>
                <w:rFonts w:ascii="Times New Roman" w:cs="Times New Roman" w:eastAsia="Times New Roman" w:hAnsi="Times New Roman"/>
                <w:sz w:val="21"/>
                <w:szCs w:val="21"/>
                <w:color w:val="auto"/>
                <w:vertAlign w:val="superscript"/>
              </w:rPr>
              <w:t>4</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209"/>
        </w:trPr>
        <w:tc>
          <w:tcPr>
            <w:tcW w:w="37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Adjusted operating earnings margin</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10.9 %</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12.2 %</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12.9 %</w:t>
            </w:r>
          </w:p>
        </w:tc>
      </w:tr>
      <w:tr>
        <w:trPr>
          <w:trHeight w:val="75"/>
        </w:trPr>
        <w:tc>
          <w:tcPr>
            <w:tcW w:w="3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86.9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512.8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400.5</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0.4</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5.0</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5.0</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3</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8.2</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23.1</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charges</w:t>
            </w:r>
            <w:r>
              <w:rPr>
                <w:rFonts w:ascii="Times New Roman" w:cs="Times New Roman" w:eastAsia="Times New Roman" w:hAnsi="Times New Roman"/>
                <w:sz w:val="21"/>
                <w:szCs w:val="21"/>
                <w:color w:val="auto"/>
                <w:vertAlign w:val="superscript"/>
              </w:rPr>
              <w:t>4</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151.3</w:t>
            </w:r>
          </w:p>
        </w:tc>
      </w:tr>
      <w:tr>
        <w:trPr>
          <w:trHeight w:val="21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earnings before income taxes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117.5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91.9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535.9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557.2</w:t>
            </w:r>
          </w:p>
        </w:tc>
      </w:tr>
      <w:tr>
        <w:trPr>
          <w:trHeight w:val="74"/>
        </w:trPr>
        <w:tc>
          <w:tcPr>
            <w:tcW w:w="37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shd w:val="clear" w:color="auto" w:fill="CCEEFF"/>
          </w:tcPr>
          <w:p>
            <w:pPr>
              <w:spacing w:after="0"/>
              <w:rPr>
                <w:sz w:val="6"/>
                <w:szCs w:val="6"/>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19.4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16.6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93.9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70.8</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1.1</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3</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0.4</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3.3</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charges</w:t>
            </w:r>
            <w:r>
              <w:rPr>
                <w:rFonts w:ascii="Times New Roman" w:cs="Times New Roman" w:eastAsia="Times New Roman" w:hAnsi="Times New Roman"/>
                <w:sz w:val="21"/>
                <w:szCs w:val="21"/>
                <w:color w:val="auto"/>
                <w:vertAlign w:val="superscript"/>
              </w:rPr>
              <w:t>4</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36.7</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5</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3.5</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5.1</w:t>
            </w:r>
          </w:p>
        </w:tc>
      </w:tr>
      <w:tr>
        <w:trPr>
          <w:trHeight w:val="21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income tax provision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113.7</w:t>
            </w:r>
          </w:p>
        </w:tc>
      </w:tr>
      <w:tr>
        <w:trPr>
          <w:trHeight w:val="75"/>
        </w:trPr>
        <w:tc>
          <w:tcPr>
            <w:tcW w:w="3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89.9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418.9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329.7</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0.4</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3.9</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3.9</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3</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7.8</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19.8</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charges</w:t>
            </w:r>
            <w:r>
              <w:rPr>
                <w:rFonts w:ascii="Times New Roman" w:cs="Times New Roman" w:eastAsia="Times New Roman" w:hAnsi="Times New Roman"/>
                <w:sz w:val="21"/>
                <w:szCs w:val="21"/>
                <w:color w:val="auto"/>
                <w:vertAlign w:val="superscript"/>
              </w:rPr>
              <w:t>4</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114.6</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5</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(3.5)</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(5.1)</w:t>
            </w:r>
          </w:p>
        </w:tc>
      </w:tr>
      <w:tr>
        <w:trPr>
          <w:trHeight w:val="209"/>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earnings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435.2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443.5</w:t>
            </w:r>
          </w:p>
        </w:tc>
      </w:tr>
      <w:tr>
        <w:trPr>
          <w:trHeight w:val="75"/>
        </w:trPr>
        <w:tc>
          <w:tcPr>
            <w:tcW w:w="3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3.13</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0.04</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0.04</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3</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0.08</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0.19</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charges</w:t>
            </w:r>
            <w:r>
              <w:rPr>
                <w:rFonts w:ascii="Times New Roman" w:cs="Times New Roman" w:eastAsia="Times New Roman" w:hAnsi="Times New Roman"/>
                <w:sz w:val="21"/>
                <w:szCs w:val="21"/>
                <w:color w:val="auto"/>
                <w:vertAlign w:val="superscript"/>
              </w:rPr>
              <w:t>4</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1.09</w:t>
            </w:r>
          </w:p>
        </w:tc>
      </w:tr>
      <w:tr>
        <w:trPr>
          <w:trHeight w:val="216"/>
        </w:trPr>
        <w:tc>
          <w:tcPr>
            <w:tcW w:w="370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5</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(0.03)</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(0.05)</w:t>
            </w:r>
          </w:p>
        </w:tc>
      </w:tr>
      <w:tr>
        <w:trPr>
          <w:trHeight w:val="21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diluted EPS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0.95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0.71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4.17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4.21</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1"/>
        </w:trPr>
        <w:tc>
          <w:tcPr>
            <w:tcW w:w="370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440" w:type="dxa"/>
            <w:vAlign w:val="bottom"/>
            <w:tcBorders>
              <w:bottom w:val="single" w:sz="8" w:color="auto"/>
            </w:tcBorders>
            <w:shd w:val="clear" w:color="auto" w:fill="CCEEFF"/>
          </w:tcPr>
          <w:p>
            <w:pPr>
              <w:spacing w:after="0"/>
              <w:rPr>
                <w:sz w:val="5"/>
                <w:szCs w:val="5"/>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18.3 %</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17.7 %</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3</w:t>
            </w:r>
          </w:p>
        </w:tc>
        <w:tc>
          <w:tcPr>
            <w:tcW w:w="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charges</w:t>
            </w:r>
            <w:r>
              <w:rPr>
                <w:rFonts w:ascii="Times New Roman" w:cs="Times New Roman" w:eastAsia="Times New Roman" w:hAnsi="Times New Roman"/>
                <w:sz w:val="21"/>
                <w:szCs w:val="21"/>
                <w:color w:val="auto"/>
                <w:vertAlign w:val="superscript"/>
              </w:rPr>
              <w:t>4</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5</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34"/>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effective tax rate</w:t>
            </w:r>
          </w:p>
        </w:tc>
        <w:tc>
          <w:tcPr>
            <w:tcW w:w="9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16.9 %</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19.3 %</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18.8 %</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20.4 %</w:t>
            </w: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806" w:right="3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40" w:top="806" w:right="359" w:bottom="1440" w:gutter="0" w:footer="0" w:header="0"/>
          <w:type w:val="continuous"/>
        </w:sectPr>
      </w:pPr>
    </w:p>
    <w:bookmarkStart w:id="16" w:name="page17"/>
    <w:bookmarkEnd w:id="16"/>
    <w:p>
      <w:pPr>
        <w:ind w:left="260" w:right="60" w:hanging="171"/>
        <w:spacing w:after="0" w:line="221" w:lineRule="auto"/>
        <w:tabs>
          <w:tab w:leader="none" w:pos="238"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January 13, 2022, the company completed the acquisition of Intimidator Group. Acquisition-related costs for the fiscal year ended October 31, 2023 represent integration costs incurred in connection with the acquisition.</w:t>
      </w:r>
    </w:p>
    <w:p>
      <w:pPr>
        <w:spacing w:after="0" w:line="164" w:lineRule="exact"/>
        <w:rPr>
          <w:sz w:val="20"/>
          <w:szCs w:val="20"/>
          <w:color w:val="auto"/>
        </w:rPr>
      </w:pPr>
    </w:p>
    <w:p>
      <w:pPr>
        <w:ind w:left="260" w:hanging="171"/>
        <w:spacing w:after="0" w:line="221" w:lineRule="auto"/>
        <w:tabs>
          <w:tab w:leader="none" w:pos="339"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the fourth quarter of fiscal 2023, the company initiated a restructuring program which was completed in the first quarter of fiscal 2024. The restructuring charges associated with the program for three and twelve month periods ended October 31, 2023 represent accrued severance, termination benefits, and other exit-related expenses.</w:t>
      </w:r>
    </w:p>
    <w:p>
      <w:pPr>
        <w:spacing w:after="0" w:line="164" w:lineRule="exact"/>
        <w:rPr>
          <w:sz w:val="20"/>
          <w:szCs w:val="20"/>
          <w:color w:val="auto"/>
        </w:rPr>
      </w:pPr>
    </w:p>
    <w:p>
      <w:pPr>
        <w:ind w:left="260" w:right="20" w:hanging="171"/>
        <w:spacing w:after="0" w:line="221" w:lineRule="auto"/>
        <w:tabs>
          <w:tab w:leader="none" w:pos="353"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the first quarter of fiscal 2024, the company launched a significant productivity initiative named AMP. Productivity initiative charges for the three and twelve month periods ended October 31, 2024 represent asset write-offs, third-party consulting costs, product-line exit costs, and compensation for fully-dedicated AMP personal, partially offset by a gain on divestiture.</w:t>
      </w:r>
    </w:p>
    <w:p>
      <w:pPr>
        <w:spacing w:after="0" w:line="133" w:lineRule="exact"/>
        <w:rPr>
          <w:sz w:val="20"/>
          <w:szCs w:val="20"/>
          <w:color w:val="auto"/>
        </w:rPr>
      </w:pPr>
    </w:p>
    <w:p>
      <w:pPr>
        <w:ind w:left="280" w:hanging="191"/>
        <w:spacing w:after="0"/>
        <w:tabs>
          <w:tab w:leader="none" w:pos="2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At the end of the third quarter of fiscal 2023, the company recorded non-cash impairment charges within its Professional reportable segment.</w:t>
      </w:r>
    </w:p>
    <w:p>
      <w:pPr>
        <w:spacing w:after="0" w:line="149" w:lineRule="exact"/>
        <w:rPr>
          <w:sz w:val="20"/>
          <w:szCs w:val="20"/>
          <w:color w:val="auto"/>
        </w:rPr>
      </w:pPr>
    </w:p>
    <w:p>
      <w:pPr>
        <w:jc w:val="both"/>
        <w:ind w:left="260" w:hanging="171"/>
        <w:spacing w:after="0" w:line="235" w:lineRule="auto"/>
        <w:tabs>
          <w:tab w:leader="none" w:pos="238"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net earnings, net earnings per diluted share, and effective tax rate. These amounts represent the discrete tax benefits recorded as excess tax deductions for stock-based compensation during the three and twelve month periods ended October 31, 2024 and October 31,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Liquidity Measures</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defines free cash flow as net cash provided by operating activities less purchases of property, plant, and equipment, net of proceeds from insurance claim.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provides a reconciliation of non-GAAP free cash flow and free cash flow conversion percentage to net cash provided by operating activities, which is the most directly comparable financial measure calculated and reported in accordance with U.S. GAAP for the </w:t>
      </w:r>
      <w:r>
        <w:rPr>
          <w:rFonts w:ascii="Times New Roman" w:cs="Times New Roman" w:eastAsia="Times New Roman" w:hAnsi="Times New Roman"/>
          <w:sz w:val="16"/>
          <w:szCs w:val="16"/>
          <w:color w:val="auto"/>
        </w:rPr>
        <w:t>twelve</w:t>
      </w:r>
      <w:r>
        <w:rPr>
          <w:rFonts w:ascii="Times New Roman" w:cs="Times New Roman" w:eastAsia="Times New Roman" w:hAnsi="Times New Roman"/>
          <w:sz w:val="18"/>
          <w:szCs w:val="18"/>
          <w:color w:val="auto"/>
        </w:rPr>
        <w:t xml:space="preserve"> month periods ended October 31, 2024 and October 31, 2023:</w:t>
      </w:r>
    </w:p>
    <w:p>
      <w:pPr>
        <w:spacing w:after="0" w:line="166"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7"/>
          <w:szCs w:val="17"/>
          <w:b w:val="1"/>
          <w:bCs w:val="1"/>
          <w:color w:val="auto"/>
        </w:rPr>
        <w:t>Twelve Months Ended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0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October 31, 2024</w:t>
            </w: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October 31, 2023</w:t>
            </w:r>
          </w:p>
        </w:tc>
      </w:tr>
      <w:tr>
        <w:trPr>
          <w:trHeight w:val="21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569.9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306.8</w:t>
            </w:r>
          </w:p>
        </w:tc>
      </w:tr>
      <w:tr>
        <w:trPr>
          <w:trHeight w:val="216"/>
        </w:trPr>
        <w:tc>
          <w:tcPr>
            <w:tcW w:w="6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Less: Purchases of property, plant, and equipment, net of proceeds from insurance claim</w:t>
            </w:r>
          </w:p>
        </w:tc>
        <w:tc>
          <w:tcPr>
            <w:tcW w:w="10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99.2</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142.4</w:t>
            </w:r>
          </w:p>
        </w:tc>
      </w:tr>
      <w:tr>
        <w:trPr>
          <w:trHeight w:val="210"/>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470.7</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164.4</w:t>
            </w:r>
          </w:p>
        </w:tc>
      </w:tr>
      <w:tr>
        <w:trPr>
          <w:trHeight w:val="216"/>
        </w:trPr>
        <w:tc>
          <w:tcPr>
            <w:tcW w:w="6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418.9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329.7</w:t>
            </w:r>
          </w:p>
        </w:tc>
      </w:tr>
      <w:tr>
        <w:trPr>
          <w:trHeight w:val="234"/>
        </w:trPr>
        <w:tc>
          <w:tcPr>
            <w:tcW w:w="69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 conversion percentage</w:t>
            </w:r>
          </w:p>
        </w:tc>
        <w:tc>
          <w:tcPr>
            <w:tcW w:w="10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112.4 %</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49.9 %</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952"/>
    </w:lvl>
  </w:abstractNum>
  <w:abstractNum w:abstractNumId="2">
    <w:nsid w:val="79E2A9E3"/>
    <w:multiLevelType w:val="hybridMultilevel"/>
    <w:lvl w:ilvl="0">
      <w:lvlJc w:val="left"/>
      <w:lvlText w:val="(%1)"/>
      <w:numFmt w:val="decimal"/>
      <w:start w:val="95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bullet"/>
      <w:start w:val="1"/>
    </w:lvl>
  </w:abstractNum>
  <w:abstractNum w:abstractNumId="8">
    <w:nsid w:val="216231B"/>
    <w:multiLevelType w:val="hybridMultilevel"/>
    <w:lvl w:ilvl="0">
      <w:lvlJc w:val="left"/>
      <w:lvlText w:val="2"/>
      <w:numFmt w:val="bullet"/>
      <w:start w:val="1"/>
    </w:lvl>
  </w:abstractNum>
  <w:abstractNum w:abstractNumId="9">
    <w:nsid w:val="1F16E9E8"/>
    <w:multiLevelType w:val="hybridMultilevel"/>
    <w:lvl w:ilvl="0">
      <w:lvlJc w:val="left"/>
      <w:lvlText w:val="3"/>
      <w:numFmt w:val="bullet"/>
      <w:start w:val="1"/>
    </w:lvl>
  </w:abstractNum>
  <w:abstractNum w:abstractNumId="10">
    <w:nsid w:val="1190CDE7"/>
    <w:multiLevelType w:val="hybridMultilevel"/>
    <w:lvl w:ilvl="0">
      <w:lvlJc w:val="left"/>
      <w:lvlText w:val="4"/>
      <w:numFmt w:val="bullet"/>
      <w:start w:val="1"/>
    </w:lvl>
  </w:abstractNum>
  <w:abstractNum w:abstractNumId="11">
    <w:nsid w:val="66EF438D"/>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2024-12-18T07:42:50Z</dcterms:created>
  <dcterms:modified xsi:type="dcterms:W3CDTF">2024-12-18T07:42:50Z</dcterms:modified>
</cp:coreProperties>
</file>