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Registration No. 33-</w:t>
      </w:r>
    </w:p>
    <w:p>
      <w:pPr>
        <w:ind w:left="220"/>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 on September 18, 1995.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40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40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4000"/>
        <w:spacing w:after="0"/>
        <w:rPr>
          <w:sz w:val="20"/>
          <w:szCs w:val="20"/>
          <w:color w:val="auto"/>
        </w:rPr>
      </w:pPr>
      <w:r>
        <w:rPr>
          <w:rFonts w:ascii="Courier New" w:cs="Courier New" w:eastAsia="Courier New" w:hAnsi="Courier New"/>
          <w:sz w:val="18"/>
          <w:szCs w:val="18"/>
          <w:color w:val="auto"/>
        </w:rPr>
        <w:t>FORM S-3</w:t>
      </w:r>
    </w:p>
    <w:p>
      <w:pPr>
        <w:jc w:val="center"/>
        <w:ind w:right="4020"/>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4020"/>
        <w:spacing w:after="0"/>
        <w:rPr>
          <w:sz w:val="20"/>
          <w:szCs w:val="20"/>
          <w:color w:val="auto"/>
        </w:rPr>
      </w:pPr>
      <w:r>
        <w:rPr>
          <w:rFonts w:ascii="Courier New" w:cs="Courier New" w:eastAsia="Courier New" w:hAnsi="Courier New"/>
          <w:sz w:val="18"/>
          <w:szCs w:val="18"/>
          <w:color w:val="auto"/>
        </w:rPr>
        <w:t>UNDER THE SECURITIES ACT OF 1933</w:t>
      </w:r>
    </w:p>
    <w:p>
      <w:pPr>
        <w:ind w:left="2640"/>
        <w:spacing w:after="0" w:line="237" w:lineRule="auto"/>
        <w:rPr>
          <w:sz w:val="20"/>
          <w:szCs w:val="20"/>
          <w:color w:val="auto"/>
        </w:rPr>
      </w:pPr>
      <w:r>
        <w:rPr>
          <w:rFonts w:ascii="Courier New" w:cs="Courier New" w:eastAsia="Courier New" w:hAnsi="Courier New"/>
          <w:sz w:val="18"/>
          <w:szCs w:val="18"/>
          <w:color w:val="auto"/>
        </w:rPr>
        <w:t>-------------</w:t>
      </w:r>
    </w:p>
    <w:p>
      <w:pPr>
        <w:ind w:left="2540"/>
        <w:spacing w:after="0" w:line="238" w:lineRule="auto"/>
        <w:rPr>
          <w:sz w:val="20"/>
          <w:szCs w:val="20"/>
          <w:color w:val="auto"/>
        </w:rPr>
      </w:pPr>
      <w:r>
        <w:rPr>
          <w:rFonts w:ascii="Courier New" w:cs="Courier New" w:eastAsia="Courier New" w:hAnsi="Courier New"/>
          <w:sz w:val="18"/>
          <w:szCs w:val="18"/>
          <w:color w:val="auto"/>
        </w:rPr>
        <w:t>THE TORO COMPANY</w:t>
      </w:r>
    </w:p>
    <w:p>
      <w:pPr>
        <w:ind w:left="540"/>
        <w:spacing w:after="0"/>
        <w:rPr>
          <w:sz w:val="20"/>
          <w:szCs w:val="20"/>
          <w:color w:val="auto"/>
        </w:rPr>
      </w:pPr>
      <w:r>
        <w:rPr>
          <w:rFonts w:ascii="Courier New" w:cs="Courier New" w:eastAsia="Courier New" w:hAnsi="Courier New"/>
          <w:sz w:val="18"/>
          <w:szCs w:val="18"/>
          <w:color w:val="auto"/>
        </w:rPr>
        <w:t>(Exact name of registrant as specified on its charter)</w:t>
      </w:r>
    </w:p>
    <w:p>
      <w:pPr>
        <w:sectPr>
          <w:pgSz w:w="11900" w:h="16892" w:orient="portrait"/>
          <w:cols w:equalWidth="0" w:num="1">
            <w:col w:w="10760"/>
          </w:cols>
          <w:pgMar w:left="240" w:top="447" w:right="899" w:bottom="0" w:gutter="0" w:footer="0" w:header="0"/>
        </w:sectPr>
      </w:pP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DELAWARE</w:t>
      </w:r>
    </w:p>
    <w:p>
      <w:pPr>
        <w:ind w:left="1380"/>
        <w:spacing w:after="0" w:line="238" w:lineRule="auto"/>
        <w:rPr>
          <w:sz w:val="20"/>
          <w:szCs w:val="20"/>
          <w:color w:val="auto"/>
        </w:rPr>
      </w:pPr>
      <w:r>
        <w:rPr>
          <w:rFonts w:ascii="Courier New" w:cs="Courier New" w:eastAsia="Courier New" w:hAnsi="Courier New"/>
          <w:sz w:val="18"/>
          <w:szCs w:val="18"/>
          <w:color w:val="auto"/>
        </w:rPr>
        <w:t>(State or other jurisdiction</w:t>
      </w:r>
    </w:p>
    <w:p>
      <w:pPr>
        <w:ind w:left="1160"/>
        <w:spacing w:after="0"/>
        <w:rPr>
          <w:sz w:val="20"/>
          <w:szCs w:val="20"/>
          <w:color w:val="auto"/>
        </w:rPr>
      </w:pPr>
      <w:r>
        <w:rPr>
          <w:rFonts w:ascii="Courier New" w:cs="Courier New" w:eastAsia="Courier New" w:hAnsi="Courier New"/>
          <w:sz w:val="18"/>
          <w:szCs w:val="18"/>
          <w:color w:val="auto"/>
        </w:rPr>
        <w:t>of incorporation or organization)</w:t>
      </w:r>
    </w:p>
    <w:p>
      <w:pPr>
        <w:ind w:left="2640"/>
        <w:spacing w:after="0" w:line="237" w:lineRule="auto"/>
        <w:rPr>
          <w:sz w:val="20"/>
          <w:szCs w:val="20"/>
          <w:color w:val="auto"/>
        </w:rPr>
      </w:pPr>
      <w:r>
        <w:rPr>
          <w:rFonts w:ascii="Courier New" w:cs="Courier New" w:eastAsia="Courier New" w:hAnsi="Courier New"/>
          <w:sz w:val="18"/>
          <w:szCs w:val="18"/>
          <w:color w:val="auto"/>
        </w:rPr>
        <w:t>-------------</w:t>
      </w:r>
    </w:p>
    <w:p>
      <w:pPr>
        <w:ind w:left="2120"/>
        <w:spacing w:after="0" w:line="238" w:lineRule="auto"/>
        <w:rPr>
          <w:sz w:val="20"/>
          <w:szCs w:val="20"/>
          <w:color w:val="auto"/>
        </w:rPr>
      </w:pPr>
      <w:r>
        <w:rPr>
          <w:rFonts w:ascii="Courier New" w:cs="Courier New" w:eastAsia="Courier New" w:hAnsi="Courier New"/>
          <w:sz w:val="18"/>
          <w:szCs w:val="18"/>
          <w:color w:val="auto"/>
        </w:rPr>
        <w:t>8111 Lyndale Avenue South</w:t>
      </w:r>
    </w:p>
    <w:p>
      <w:pPr>
        <w:spacing w:after="0" w:line="5"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Bloomington, Minnesota 55420</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(612) 888-8801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41-0580470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027" w:lineRule="exact"/>
        <w:rPr>
          <w:sz w:val="24"/>
          <w:szCs w:val="24"/>
          <w:color w:val="auto"/>
        </w:rPr>
      </w:pPr>
    </w:p>
    <w:p>
      <w:pPr>
        <w:sectPr>
          <w:pgSz w:w="11900" w:h="16892" w:orient="portrait"/>
          <w:cols w:equalWidth="0" w:num="2">
            <w:col w:w="4980" w:space="720"/>
            <w:col w:w="5060"/>
          </w:cols>
          <w:pgMar w:left="240" w:top="447" w:right="899" w:bottom="0" w:gutter="0" w:footer="0" w:header="0"/>
          <w:type w:val="continuous"/>
        </w:sectPr>
      </w:pPr>
    </w:p>
    <w:p>
      <w:pPr>
        <w:spacing w:after="0" w:line="7" w:lineRule="exact"/>
        <w:rPr>
          <w:sz w:val="24"/>
          <w:szCs w:val="24"/>
          <w:color w:val="auto"/>
        </w:rPr>
      </w:pPr>
    </w:p>
    <w:p>
      <w:pPr>
        <w:ind w:right="3900" w:firstLine="632"/>
        <w:spacing w:after="0" w:line="268"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ind w:left="2640"/>
        <w:spacing w:after="0" w:line="233"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J. Lawrence McIntyre, Vice President,</w:t>
      </w:r>
    </w:p>
    <w:p>
      <w:pPr>
        <w:ind w:left="1900"/>
        <w:spacing w:after="0" w:line="237" w:lineRule="auto"/>
        <w:rPr>
          <w:sz w:val="20"/>
          <w:szCs w:val="20"/>
          <w:color w:val="auto"/>
        </w:rPr>
      </w:pPr>
      <w:r>
        <w:rPr>
          <w:rFonts w:ascii="Courier New" w:cs="Courier New" w:eastAsia="Courier New" w:hAnsi="Courier New"/>
          <w:sz w:val="18"/>
          <w:szCs w:val="18"/>
          <w:color w:val="auto"/>
        </w:rPr>
        <w:t>Secretary and General Counsel</w:t>
      </w:r>
    </w:p>
    <w:p>
      <w:pPr>
        <w:ind w:left="2540"/>
        <w:spacing w:after="0"/>
        <w:rPr>
          <w:sz w:val="20"/>
          <w:szCs w:val="20"/>
          <w:color w:val="auto"/>
        </w:rPr>
      </w:pPr>
      <w:r>
        <w:rPr>
          <w:rFonts w:ascii="Courier New" w:cs="Courier New" w:eastAsia="Courier New" w:hAnsi="Courier New"/>
          <w:sz w:val="18"/>
          <w:szCs w:val="18"/>
          <w:color w:val="auto"/>
        </w:rPr>
        <w:t>The Toro Company</w:t>
      </w:r>
    </w:p>
    <w:p>
      <w:pPr>
        <w:ind w:left="212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1900"/>
        <w:spacing w:after="0"/>
        <w:rPr>
          <w:sz w:val="20"/>
          <w:szCs w:val="20"/>
          <w:color w:val="auto"/>
        </w:rPr>
      </w:pPr>
      <w:r>
        <w:rPr>
          <w:rFonts w:ascii="Courier New" w:cs="Courier New" w:eastAsia="Courier New" w:hAnsi="Courier New"/>
          <w:sz w:val="18"/>
          <w:szCs w:val="18"/>
          <w:color w:val="auto"/>
        </w:rPr>
        <w:t>Bloomington, Minnesota 55420</w:t>
      </w:r>
    </w:p>
    <w:p>
      <w:pPr>
        <w:ind w:left="2640"/>
        <w:spacing w:after="0" w:line="237" w:lineRule="auto"/>
        <w:rPr>
          <w:sz w:val="20"/>
          <w:szCs w:val="20"/>
          <w:color w:val="auto"/>
        </w:rPr>
      </w:pPr>
      <w:r>
        <w:rPr>
          <w:rFonts w:ascii="Courier New" w:cs="Courier New" w:eastAsia="Courier New" w:hAnsi="Courier New"/>
          <w:sz w:val="18"/>
          <w:szCs w:val="18"/>
          <w:color w:val="auto"/>
        </w:rPr>
        <w:t>(612) 888-8801</w:t>
      </w:r>
    </w:p>
    <w:p>
      <w:pPr>
        <w:spacing w:after="0" w:line="207" w:lineRule="exact"/>
        <w:rPr>
          <w:sz w:val="24"/>
          <w:szCs w:val="24"/>
          <w:color w:val="auto"/>
        </w:rPr>
      </w:pPr>
    </w:p>
    <w:p>
      <w:pPr>
        <w:ind w:left="1160" w:right="4320" w:hanging="739"/>
        <w:spacing w:after="0" w:line="268" w:lineRule="auto"/>
        <w:tabs>
          <w:tab w:leader="none" w:pos="114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ind w:left="2640"/>
        <w:spacing w:after="0" w:line="233" w:lineRule="auto"/>
        <w:rPr>
          <w:sz w:val="20"/>
          <w:szCs w:val="20"/>
          <w:color w:val="auto"/>
        </w:rPr>
      </w:pPr>
      <w:r>
        <w:rPr>
          <w:rFonts w:ascii="Courier New" w:cs="Courier New" w:eastAsia="Courier New" w:hAnsi="Courier New"/>
          <w:sz w:val="18"/>
          <w:szCs w:val="18"/>
          <w:color w:val="auto"/>
        </w:rPr>
        <w:t>-------------</w:t>
      </w:r>
    </w:p>
    <w:p>
      <w:pPr>
        <w:jc w:val="center"/>
        <w:ind w:right="4000"/>
        <w:spacing w:after="0"/>
        <w:rPr>
          <w:sz w:val="20"/>
          <w:szCs w:val="20"/>
          <w:color w:val="auto"/>
        </w:rPr>
      </w:pPr>
      <w:r>
        <w:rPr>
          <w:rFonts w:ascii="Courier New" w:cs="Courier New" w:eastAsia="Courier New" w:hAnsi="Courier New"/>
          <w:sz w:val="18"/>
          <w:szCs w:val="18"/>
          <w:color w:val="auto"/>
        </w:rPr>
        <w:t>COPIES TO:</w:t>
      </w:r>
    </w:p>
    <w:p>
      <w:pPr>
        <w:ind w:left="2320"/>
        <w:spacing w:after="0" w:line="237" w:lineRule="auto"/>
        <w:rPr>
          <w:sz w:val="20"/>
          <w:szCs w:val="20"/>
          <w:color w:val="auto"/>
        </w:rPr>
      </w:pPr>
      <w:r>
        <w:rPr>
          <w:rFonts w:ascii="Courier New" w:cs="Courier New" w:eastAsia="Courier New" w:hAnsi="Courier New"/>
          <w:sz w:val="18"/>
          <w:szCs w:val="18"/>
          <w:color w:val="auto"/>
        </w:rPr>
        <w:t>Helen P. Starr, Esq.</w:t>
      </w:r>
    </w:p>
    <w:p>
      <w:pPr>
        <w:ind w:left="2640"/>
        <w:spacing w:after="0"/>
        <w:rPr>
          <w:sz w:val="20"/>
          <w:szCs w:val="20"/>
          <w:color w:val="auto"/>
        </w:rPr>
      </w:pPr>
      <w:r>
        <w:rPr>
          <w:rFonts w:ascii="Courier New" w:cs="Courier New" w:eastAsia="Courier New" w:hAnsi="Courier New"/>
          <w:sz w:val="18"/>
          <w:szCs w:val="18"/>
          <w:color w:val="auto"/>
        </w:rPr>
        <w:t>Attorney at Law</w:t>
      </w:r>
    </w:p>
    <w:p>
      <w:pPr>
        <w:ind w:left="2220"/>
        <w:spacing w:after="0" w:line="237" w:lineRule="auto"/>
        <w:rPr>
          <w:sz w:val="20"/>
          <w:szCs w:val="20"/>
          <w:color w:val="auto"/>
        </w:rPr>
      </w:pPr>
      <w:r>
        <w:rPr>
          <w:rFonts w:ascii="Courier New" w:cs="Courier New" w:eastAsia="Courier New" w:hAnsi="Courier New"/>
          <w:sz w:val="18"/>
          <w:szCs w:val="18"/>
          <w:color w:val="auto"/>
        </w:rPr>
        <w:t>6010 33rd Street, N.W.</w:t>
      </w:r>
    </w:p>
    <w:p>
      <w:pPr>
        <w:ind w:left="2000"/>
        <w:spacing w:after="0"/>
        <w:rPr>
          <w:sz w:val="20"/>
          <w:szCs w:val="20"/>
          <w:color w:val="auto"/>
        </w:rPr>
      </w:pPr>
      <w:r>
        <w:rPr>
          <w:rFonts w:ascii="Courier New" w:cs="Courier New" w:eastAsia="Courier New" w:hAnsi="Courier New"/>
          <w:sz w:val="18"/>
          <w:szCs w:val="18"/>
          <w:color w:val="auto"/>
        </w:rPr>
        <w:t>Washington, D.C. 20015-1606</w:t>
      </w:r>
    </w:p>
    <w:p>
      <w:pPr>
        <w:ind w:left="3280" w:hanging="638"/>
        <w:spacing w:after="0" w:line="237" w:lineRule="auto"/>
        <w:tabs>
          <w:tab w:leader="none" w:pos="3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237-7750</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APPROXIMATE DATE OF COMMENCEMENT OF PROPOSED SALE TO THE PUBLIC:</w:t>
      </w:r>
    </w:p>
    <w:p>
      <w:pPr>
        <w:spacing w:after="0" w:line="237" w:lineRule="auto"/>
        <w:rPr>
          <w:sz w:val="20"/>
          <w:szCs w:val="20"/>
          <w:color w:val="auto"/>
        </w:rPr>
      </w:pPr>
      <w:r>
        <w:rPr>
          <w:rFonts w:ascii="Courier New" w:cs="Courier New" w:eastAsia="Courier New" w:hAnsi="Courier New"/>
          <w:sz w:val="18"/>
          <w:szCs w:val="18"/>
          <w:color w:val="auto"/>
        </w:rPr>
        <w:t>AS SOON AS PRACTICABLE AFTER THE EFFECTIVE DATE OF THE REGISTRATION STATEMENT.</w:t>
      </w:r>
    </w:p>
    <w:p>
      <w:pPr>
        <w:spacing w:after="0" w:line="207" w:lineRule="exact"/>
        <w:rPr>
          <w:sz w:val="24"/>
          <w:szCs w:val="24"/>
          <w:color w:val="auto"/>
        </w:rPr>
      </w:pPr>
    </w:p>
    <w:p>
      <w:pPr>
        <w:ind w:right="4320"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If any of the securities being registered on this form are</w:t>
      </w:r>
    </w:p>
    <w:p>
      <w:pPr>
        <w:spacing w:after="0" w:line="238" w:lineRule="auto"/>
        <w:rPr>
          <w:sz w:val="20"/>
          <w:szCs w:val="20"/>
          <w:color w:val="auto"/>
        </w:rPr>
      </w:pPr>
      <w:r>
        <w:rPr>
          <w:rFonts w:ascii="Courier New" w:cs="Courier New" w:eastAsia="Courier New" w:hAnsi="Courier New"/>
          <w:sz w:val="18"/>
          <w:szCs w:val="18"/>
          <w:color w:val="auto"/>
        </w:rPr>
        <w:t>to be offered on a delayed or continuous basis pursuant to Rule</w:t>
      </w:r>
    </w:p>
    <w:p>
      <w:pPr>
        <w:spacing w:after="0"/>
        <w:rPr>
          <w:sz w:val="20"/>
          <w:szCs w:val="20"/>
          <w:color w:val="auto"/>
        </w:rPr>
      </w:pPr>
      <w:r>
        <w:rPr>
          <w:rFonts w:ascii="Courier New" w:cs="Courier New" w:eastAsia="Courier New" w:hAnsi="Courier New"/>
          <w:sz w:val="18"/>
          <w:szCs w:val="18"/>
          <w:color w:val="auto"/>
        </w:rPr>
        <w:t>415 under the Securities Act of 1933, other than securities</w:t>
      </w:r>
    </w:p>
    <w:p>
      <w:pPr>
        <w:spacing w:after="0" w:line="237" w:lineRule="auto"/>
        <w:rPr>
          <w:sz w:val="20"/>
          <w:szCs w:val="20"/>
          <w:color w:val="auto"/>
        </w:rPr>
      </w:pPr>
      <w:r>
        <w:rPr>
          <w:rFonts w:ascii="Courier New" w:cs="Courier New" w:eastAsia="Courier New" w:hAnsi="Courier New"/>
          <w:sz w:val="18"/>
          <w:szCs w:val="18"/>
          <w:color w:val="auto"/>
        </w:rPr>
        <w:t>offered only in connection with dividend or interest reinvestment</w:t>
      </w:r>
    </w:p>
    <w:p>
      <w:pPr>
        <w:spacing w:after="0" w:line="238" w:lineRule="auto"/>
        <w:rPr>
          <w:sz w:val="20"/>
          <w:szCs w:val="20"/>
          <w:color w:val="auto"/>
        </w:rPr>
      </w:pPr>
      <w:r>
        <w:rPr>
          <w:rFonts w:ascii="Courier New" w:cs="Courier New" w:eastAsia="Courier New" w:hAnsi="Courier New"/>
          <w:sz w:val="18"/>
          <w:szCs w:val="18"/>
          <w:color w:val="auto"/>
        </w:rPr>
        <w:t>plans, check the following</w:t>
      </w:r>
    </w:p>
    <w:p>
      <w:pPr>
        <w:spacing w:after="0"/>
        <w:rPr>
          <w:sz w:val="20"/>
          <w:szCs w:val="20"/>
          <w:color w:val="auto"/>
        </w:rPr>
      </w:pPr>
      <w:r>
        <w:rPr>
          <w:rFonts w:ascii="Courier New" w:cs="Courier New" w:eastAsia="Courier New" w:hAnsi="Courier New"/>
          <w:sz w:val="18"/>
          <w:szCs w:val="18"/>
          <w:color w:val="auto"/>
        </w:rPr>
        <w:t>box. _X_</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PROPOSED</w:t>
            </w:r>
          </w:p>
        </w:tc>
        <w:tc>
          <w:tcPr>
            <w:tcW w:w="19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PROPOSED</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MAXIMUM</w:t>
            </w:r>
          </w:p>
        </w:tc>
        <w:tc>
          <w:tcPr>
            <w:tcW w:w="19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AMOUNT</w:t>
            </w: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AGGREGATE</w:t>
            </w:r>
          </w:p>
        </w:tc>
        <w:tc>
          <w:tcPr>
            <w:tcW w:w="190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 CLASS OF</w:t>
            </w: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TO BE</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OFFERING PRICE</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TO BE REGISTERED</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REGISTERED</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UNIT (A)</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(A)</w:t>
            </w: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REGISTRATION FEE</w:t>
            </w: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Common Stock (b)</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100,000</w:t>
            </w:r>
          </w:p>
        </w:tc>
        <w:tc>
          <w:tcPr>
            <w:tcW w:w="2000" w:type="dxa"/>
            <w:vAlign w:val="bottom"/>
          </w:tcPr>
          <w:p>
            <w:pPr>
              <w:ind w:left="640"/>
              <w:spacing w:after="0"/>
              <w:rPr>
                <w:sz w:val="20"/>
                <w:szCs w:val="20"/>
                <w:color w:val="auto"/>
              </w:rPr>
            </w:pPr>
            <w:r>
              <w:rPr>
                <w:rFonts w:ascii="Courier New" w:cs="Courier New" w:eastAsia="Courier New" w:hAnsi="Courier New"/>
                <w:sz w:val="18"/>
                <w:szCs w:val="18"/>
                <w:color w:val="auto"/>
              </w:rPr>
              <w:t>$31.5625</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$3,156,250</w:t>
            </w:r>
          </w:p>
        </w:tc>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$1,089(c)</w:t>
            </w:r>
          </w:p>
        </w:tc>
      </w:tr>
      <w:tr>
        <w:trPr>
          <w:trHeight w:val="203"/>
        </w:trPr>
        <w:tc>
          <w:tcPr>
            <w:tcW w:w="31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shares</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540" w:right="390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to calculate the registration fee, pursuant to Rule 457(c) on the basis of the average of the high and low prices on the New York Stock Exchange on September 12, 1995 as reported in THE WALL STREET JOURNAL.</w:t>
      </w:r>
    </w:p>
    <w:p>
      <w:pPr>
        <w:spacing w:after="0" w:line="4" w:lineRule="exact"/>
        <w:rPr>
          <w:rFonts w:ascii="Courier New" w:cs="Courier New" w:eastAsia="Courier New" w:hAnsi="Courier New"/>
          <w:sz w:val="18"/>
          <w:szCs w:val="18"/>
          <w:color w:val="auto"/>
        </w:rPr>
      </w:pPr>
    </w:p>
    <w:p>
      <w:pPr>
        <w:ind w:left="540" w:right="4020" w:hanging="532"/>
        <w:spacing w:after="0" w:line="290"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Common Stock has attached thereto one Preferred Share Purchase Right. Value attributable to such</w:t>
      </w:r>
    </w:p>
    <w:p>
      <w:pPr>
        <w:sectPr>
          <w:pgSz w:w="11900" w:h="16892" w:orient="portrait"/>
          <w:cols w:equalWidth="0" w:num="1">
            <w:col w:w="10760"/>
          </w:cols>
          <w:pgMar w:left="240" w:top="447" w:right="899" w:bottom="0" w:gutter="0" w:footer="0" w:header="0"/>
          <w:type w:val="continuous"/>
        </w:sectPr>
      </w:pPr>
    </w:p>
    <w:bookmarkStart w:id="1" w:name="page2"/>
    <w:bookmarkEnd w:id="1"/>
    <w:p>
      <w:pPr>
        <w:ind w:left="540" w:right="3899"/>
        <w:spacing w:after="0" w:line="235" w:lineRule="auto"/>
        <w:rPr>
          <w:sz w:val="20"/>
          <w:szCs w:val="20"/>
          <w:color w:val="auto"/>
        </w:rPr>
      </w:pPr>
      <w:r>
        <w:rPr>
          <w:rFonts w:ascii="Courier New" w:cs="Courier New" w:eastAsia="Courier New" w:hAnsi="Courier New"/>
          <w:sz w:val="18"/>
          <w:szCs w:val="18"/>
          <w:color w:val="auto"/>
        </w:rPr>
        <w:t>Rights, if any, is reflected in the market price of the Common Stock.</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fee to be applied to account number 737758.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564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CROSS REFERENCE SHEET</w:t>
            </w:r>
          </w:p>
        </w:tc>
      </w:tr>
      <w:tr>
        <w:trPr>
          <w:trHeight w:val="810"/>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OF</w:t>
            </w:r>
          </w:p>
        </w:tc>
        <w:tc>
          <w:tcPr>
            <w:tcW w:w="20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S-3</w:t>
            </w:r>
          </w:p>
        </w:tc>
        <w:tc>
          <w:tcPr>
            <w:tcW w:w="56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LOCATION IN PROSPECTUS</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Front cover</w:t>
            </w:r>
          </w:p>
        </w:tc>
        <w:tc>
          <w:tcPr>
            <w:tcW w:w="358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6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Available Information; Incorporation of Certain</w:t>
            </w:r>
          </w:p>
        </w:tc>
      </w:tr>
      <w:tr>
        <w:trPr>
          <w:trHeight w:val="203"/>
        </w:trPr>
        <w:tc>
          <w:tcPr>
            <w:tcW w:w="1220" w:type="dxa"/>
            <w:vAlign w:val="bottom"/>
          </w:tcPr>
          <w:p>
            <w:pPr>
              <w:spacing w:after="0"/>
              <w:rPr>
                <w:sz w:val="17"/>
                <w:szCs w:val="17"/>
                <w:color w:val="auto"/>
              </w:rPr>
            </w:pPr>
          </w:p>
        </w:tc>
        <w:tc>
          <w:tcPr>
            <w:tcW w:w="56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Documents by Reference.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58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The Summit Club</w:t>
            </w:r>
          </w:p>
        </w:tc>
        <w:tc>
          <w:tcPr>
            <w:tcW w:w="3580" w:type="dxa"/>
            <w:vAlign w:val="bottom"/>
          </w:tcPr>
          <w:p>
            <w:pPr>
              <w:spacing w:after="0"/>
              <w:rPr>
                <w:sz w:val="20"/>
                <w:szCs w:val="20"/>
                <w:color w:val="auto"/>
              </w:rPr>
            </w:pPr>
            <w:r>
              <w:rPr>
                <w:rFonts w:ascii="Courier New" w:cs="Courier New" w:eastAsia="Courier New" w:hAnsi="Courier New"/>
                <w:sz w:val="18"/>
                <w:szCs w:val="18"/>
                <w:color w:val="auto"/>
                <w:w w:val="99"/>
              </w:rPr>
              <w:t>II Stock Incentive Program--Rules</w:t>
            </w:r>
          </w:p>
        </w:tc>
      </w:tr>
      <w:tr>
        <w:trPr>
          <w:trHeight w:val="203"/>
        </w:trPr>
        <w:tc>
          <w:tcPr>
            <w:tcW w:w="1220" w:type="dxa"/>
            <w:vAlign w:val="bottom"/>
          </w:tcPr>
          <w:p>
            <w:pPr>
              <w:spacing w:after="0"/>
              <w:rPr>
                <w:sz w:val="17"/>
                <w:szCs w:val="17"/>
                <w:color w:val="auto"/>
              </w:rPr>
            </w:pPr>
          </w:p>
        </w:tc>
        <w:tc>
          <w:tcPr>
            <w:tcW w:w="56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and Administration--Cost of Shares and Incentives;</w:t>
            </w:r>
          </w:p>
        </w:tc>
      </w:tr>
      <w:tr>
        <w:trPr>
          <w:trHeight w:val="203"/>
        </w:trPr>
        <w:tc>
          <w:tcPr>
            <w:tcW w:w="1220" w:type="dxa"/>
            <w:vAlign w:val="bottom"/>
          </w:tcPr>
          <w:p>
            <w:pPr>
              <w:spacing w:after="0"/>
              <w:rPr>
                <w:sz w:val="17"/>
                <w:szCs w:val="17"/>
                <w:color w:val="auto"/>
              </w:rPr>
            </w:pP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 by the</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The Summit Club</w:t>
            </w:r>
          </w:p>
        </w:tc>
        <w:tc>
          <w:tcPr>
            <w:tcW w:w="3580" w:type="dxa"/>
            <w:vAlign w:val="bottom"/>
          </w:tcPr>
          <w:p>
            <w:pPr>
              <w:spacing w:after="0"/>
              <w:rPr>
                <w:sz w:val="20"/>
                <w:szCs w:val="20"/>
                <w:color w:val="auto"/>
              </w:rPr>
            </w:pPr>
            <w:r>
              <w:rPr>
                <w:rFonts w:ascii="Courier New" w:cs="Courier New" w:eastAsia="Courier New" w:hAnsi="Courier New"/>
                <w:sz w:val="18"/>
                <w:szCs w:val="18"/>
                <w:color w:val="auto"/>
                <w:w w:val="99"/>
              </w:rPr>
              <w:t>II Stock Incentive Program--Award</w:t>
            </w:r>
          </w:p>
        </w:tc>
      </w:tr>
      <w:tr>
        <w:trPr>
          <w:trHeight w:val="203"/>
        </w:trPr>
        <w:tc>
          <w:tcPr>
            <w:tcW w:w="1220" w:type="dxa"/>
            <w:vAlign w:val="bottom"/>
          </w:tcPr>
          <w:p>
            <w:pPr>
              <w:spacing w:after="0"/>
              <w:rPr>
                <w:sz w:val="17"/>
                <w:szCs w:val="17"/>
                <w:color w:val="auto"/>
              </w:rPr>
            </w:pP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of Common Stock.</w:t>
            </w:r>
          </w:p>
        </w:tc>
        <w:tc>
          <w:tcPr>
            <w:tcW w:w="358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58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58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The Summit Club</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II Stock Incentive Program; The</w:t>
            </w:r>
          </w:p>
        </w:tc>
      </w:tr>
      <w:tr>
        <w:trPr>
          <w:trHeight w:val="203"/>
        </w:trPr>
        <w:tc>
          <w:tcPr>
            <w:tcW w:w="1220" w:type="dxa"/>
            <w:vAlign w:val="bottom"/>
          </w:tcPr>
          <w:p>
            <w:pPr>
              <w:spacing w:after="0"/>
              <w:rPr>
                <w:sz w:val="17"/>
                <w:szCs w:val="17"/>
                <w:color w:val="auto"/>
              </w:rPr>
            </w:pPr>
          </w:p>
        </w:tc>
        <w:tc>
          <w:tcPr>
            <w:tcW w:w="56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Summit Club II Stock Incentive Program--Rules and</w:t>
            </w:r>
          </w:p>
        </w:tc>
      </w:tr>
      <w:tr>
        <w:trPr>
          <w:trHeight w:val="203"/>
        </w:trPr>
        <w:tc>
          <w:tcPr>
            <w:tcW w:w="1220" w:type="dxa"/>
            <w:vAlign w:val="bottom"/>
          </w:tcPr>
          <w:p>
            <w:pPr>
              <w:spacing w:after="0"/>
              <w:rPr>
                <w:sz w:val="17"/>
                <w:szCs w:val="17"/>
                <w:color w:val="auto"/>
              </w:rPr>
            </w:pPr>
          </w:p>
        </w:tc>
        <w:tc>
          <w:tcPr>
            <w:tcW w:w="56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Administration--Cost of Shares and Incentives;</w:t>
            </w:r>
          </w:p>
        </w:tc>
      </w:tr>
      <w:tr>
        <w:trPr>
          <w:trHeight w:val="203"/>
        </w:trPr>
        <w:tc>
          <w:tcPr>
            <w:tcW w:w="1220" w:type="dxa"/>
            <w:vAlign w:val="bottom"/>
          </w:tcPr>
          <w:p>
            <w:pPr>
              <w:spacing w:after="0"/>
              <w:rPr>
                <w:sz w:val="17"/>
                <w:szCs w:val="17"/>
                <w:color w:val="auto"/>
              </w:rPr>
            </w:pP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 by the</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58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58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11</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58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56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Incorporation of Certain Documents by Reference.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13</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58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3" w:name="page4"/>
    <w:bookmarkEnd w:id="3"/>
    <w:p>
      <w:pPr>
        <w:jc w:val="center"/>
        <w:ind w:right="3459"/>
        <w:spacing w:after="0"/>
        <w:rPr>
          <w:sz w:val="20"/>
          <w:szCs w:val="20"/>
          <w:color w:val="auto"/>
        </w:rPr>
      </w:pPr>
      <w:r>
        <w:rPr>
          <w:rFonts w:ascii="Courier New" w:cs="Courier New" w:eastAsia="Courier New" w:hAnsi="Courier New"/>
          <w:sz w:val="18"/>
          <w:szCs w:val="18"/>
          <w:color w:val="auto"/>
        </w:rPr>
        <w:t>100,000 Shares</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TORO COMPANY</w:t>
      </w:r>
    </w:p>
    <w:p>
      <w:pPr>
        <w:jc w:val="center"/>
        <w:ind w:right="345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OFFERED PURSUANT TO</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SUMMIT CLUB II</w:t>
      </w:r>
    </w:p>
    <w:p>
      <w:pPr>
        <w:ind w:left="2220"/>
        <w:spacing w:after="0" w:line="238" w:lineRule="auto"/>
        <w:rPr>
          <w:sz w:val="20"/>
          <w:szCs w:val="20"/>
          <w:color w:val="auto"/>
        </w:rPr>
      </w:pPr>
      <w:r>
        <w:rPr>
          <w:rFonts w:ascii="Courier New" w:cs="Courier New" w:eastAsia="Courier New" w:hAnsi="Courier New"/>
          <w:sz w:val="18"/>
          <w:szCs w:val="18"/>
          <w:color w:val="auto"/>
        </w:rPr>
        <w:t>STOCK INCENTIVE PROGRAM</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Outstanding shares of Common Stock, par value $1.00 per share (the "Common Stock"), of The Toro Company (the "Company") are listed on the New York Stock Exchange. The last reported sale price of the Common Stock on the New York Stock Exchange on September 12, 1995 was $31 5/8 per share.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099" w:hanging="315"/>
        <w:spacing w:after="0" w:line="236"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SION PASSED UPON THE ACCURACY OR ADEQUACY OF THIS PROSPECTUS.</w:t>
      </w:r>
    </w:p>
    <w:p>
      <w:pPr>
        <w:ind w:left="960"/>
        <w:spacing w:after="0" w:line="238" w:lineRule="auto"/>
        <w:rPr>
          <w:sz w:val="20"/>
          <w:szCs w:val="20"/>
          <w:color w:val="auto"/>
        </w:rPr>
      </w:pPr>
      <w:r>
        <w:rPr>
          <w:rFonts w:ascii="Courier New" w:cs="Courier New" w:eastAsia="Courier New" w:hAnsi="Courier New"/>
          <w:sz w:val="18"/>
          <w:szCs w:val="18"/>
          <w:color w:val="auto"/>
        </w:rPr>
        <w:t>ANY REPRESENTATION TO THE CONTRARY IS A CRIMINAL OFFENSE.</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Shares of the Common Stock will be awarded to Toro and Lawn-Boy dealers who are eligible and elect to participate ("Participating Dealers") in The Summit Club II Stock Incentive Program (the "Program"), based on purchases of selected consumer and commercial lawn equipment during the period August 1, 1995 through July 31, 1996 (the "First Program Year") and August 1, 1996 through July 31, 1997 (the "Second Program Year") (together, the "Program Years"), in accordance with the rules of the Program. No payment is to be made to the Company by Participating Dealers for the shares of Common Stock offered hereby. See "The Summit Club II Stock Incentive Program".</w:t>
      </w:r>
    </w:p>
    <w:p>
      <w:pPr>
        <w:spacing w:after="0" w:line="200" w:lineRule="exact"/>
        <w:rPr>
          <w:sz w:val="20"/>
          <w:szCs w:val="20"/>
          <w:color w:val="auto"/>
        </w:rPr>
      </w:pPr>
    </w:p>
    <w:p>
      <w:pPr>
        <w:spacing w:after="0" w:line="213" w:lineRule="exact"/>
        <w:rPr>
          <w:sz w:val="20"/>
          <w:szCs w:val="20"/>
          <w:color w:val="auto"/>
        </w:rPr>
      </w:pP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The date of this Prospectus is September</w:t>
      </w:r>
      <w:r>
        <w:rPr>
          <w:sz w:val="20"/>
          <w:szCs w:val="20"/>
          <w:color w:val="auto"/>
        </w:rPr>
        <w:tab/>
      </w:r>
      <w:r>
        <w:rPr>
          <w:rFonts w:ascii="Courier New" w:cs="Courier New" w:eastAsia="Courier New" w:hAnsi="Courier New"/>
          <w:sz w:val="16"/>
          <w:szCs w:val="16"/>
          <w:color w:val="auto"/>
        </w:rPr>
        <w:t>, 1995.</w:t>
      </w:r>
    </w:p>
    <w:p>
      <w:pPr>
        <w:sectPr>
          <w:pgSz w:w="11900" w:h="16838" w:orient="portrait"/>
          <w:cols w:equalWidth="0" w:num="1">
            <w:col w:w="10219"/>
          </w:cols>
          <w:pgMar w:left="240" w:top="514" w:right="1440" w:bottom="1440" w:gutter="0" w:footer="0" w:header="0"/>
        </w:sectPr>
      </w:pPr>
    </w:p>
    <w:bookmarkStart w:id="4" w:name="page5"/>
    <w:bookmarkEnd w:id="4"/>
    <w:p>
      <w:pPr>
        <w:jc w:val="center"/>
        <w:ind w:right="335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3359" w:firstLine="316"/>
        <w:spacing w:after="0" w:line="238" w:lineRule="auto"/>
        <w:rPr>
          <w:sz w:val="20"/>
          <w:szCs w:val="20"/>
          <w:color w:val="auto"/>
        </w:rPr>
      </w:pPr>
      <w:r>
        <w:rPr>
          <w:rFonts w:ascii="Courier New" w:cs="Courier New" w:eastAsia="Courier New" w:hAnsi="Courier New"/>
          <w:sz w:val="18"/>
          <w:szCs w:val="18"/>
          <w:color w:val="auto"/>
        </w:rPr>
        <w:t>The Company is subject to the information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facilities maintained by the Commission at Room 1024, 450 Fifth Street, N.W., Washington, D.C. 20549 and at the Commission's Regional Offices at 75 Park Place, New York 10278 and Northwestern Atrium Center, 500 West Madison, Chicago, Illinois 60661. Copies of such material can be obtained from the Public Reference Section of the Commission at 450 Fifth Street, N.W., Washington, D.C. 20549 at prescribed rates. Such reports, proxy statements and other information may also be inspected at the offices of the New York Stock Exchange, Inc., 20 Broad Street, New York, New York 10005.</w:t>
      </w:r>
    </w:p>
    <w:p>
      <w:pPr>
        <w:spacing w:after="0" w:line="208" w:lineRule="exact"/>
        <w:rPr>
          <w:sz w:val="20"/>
          <w:szCs w:val="20"/>
          <w:color w:val="auto"/>
        </w:rPr>
      </w:pPr>
    </w:p>
    <w:p>
      <w:pPr>
        <w:ind w:right="3359" w:firstLine="316"/>
        <w:spacing w:after="0" w:line="238" w:lineRule="auto"/>
        <w:rPr>
          <w:sz w:val="20"/>
          <w:szCs w:val="20"/>
          <w:color w:val="auto"/>
        </w:rPr>
      </w:pPr>
      <w:r>
        <w:rPr>
          <w:rFonts w:ascii="Courier New" w:cs="Courier New" w:eastAsia="Courier New" w:hAnsi="Courier New"/>
          <w:sz w:val="18"/>
          <w:szCs w:val="18"/>
          <w:color w:val="auto"/>
        </w:rPr>
        <w:t>This Prospectus constitutes a part of a registration statement filed on Form S-3 (herein, together with all amendments and exhibits, referred to as the "Registration Statement") by the Company with the Commission under the Securities Act of 1933, as amended. This Prospectus omits certain of the information contained in the Registration Statement, and reference is hereby made to the Registration Statement and related exhibits for further information with respect to the Company. Any statements contained herein concerning the provisions of any document are not necessarily complete and, in each instance, reference is made to the copy of each document filed as an exhibit to the Registration Statement or otherwise filed with the Commission. Each such statement is qualified in its entirety by such reference.</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3259" w:firstLine="316"/>
        <w:spacing w:after="0" w:line="236" w:lineRule="auto"/>
        <w:rPr>
          <w:sz w:val="20"/>
          <w:szCs w:val="20"/>
          <w:color w:val="auto"/>
        </w:rPr>
      </w:pPr>
      <w:r>
        <w:rPr>
          <w:rFonts w:ascii="Courier New" w:cs="Courier New" w:eastAsia="Courier New" w:hAnsi="Courier New"/>
          <w:sz w:val="18"/>
          <w:szCs w:val="18"/>
          <w:color w:val="auto"/>
        </w:rPr>
        <w:t>The following documents filed with the Commission (File No.1-8649) pursuant to the Exchange Act are incorporated herein by reference:</w:t>
      </w:r>
    </w:p>
    <w:p>
      <w:pPr>
        <w:spacing w:after="0" w:line="209" w:lineRule="exact"/>
        <w:rPr>
          <w:sz w:val="20"/>
          <w:szCs w:val="20"/>
          <w:color w:val="auto"/>
        </w:rPr>
      </w:pPr>
    </w:p>
    <w:p>
      <w:pPr>
        <w:ind w:right="3479" w:firstLine="640"/>
        <w:spacing w:after="0" w:line="235"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July 31, 1994;</w:t>
      </w:r>
    </w:p>
    <w:p>
      <w:pPr>
        <w:spacing w:after="0" w:line="208" w:lineRule="exact"/>
        <w:rPr>
          <w:rFonts w:ascii="Courier New" w:cs="Courier New" w:eastAsia="Courier New" w:hAnsi="Courier New"/>
          <w:sz w:val="18"/>
          <w:szCs w:val="18"/>
          <w:color w:val="auto"/>
        </w:rPr>
      </w:pPr>
    </w:p>
    <w:p>
      <w:pPr>
        <w:ind w:right="3579" w:firstLine="640"/>
        <w:spacing w:after="0" w:line="236"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October 28, 1994, February 3, 1995 and April 28, 1995;</w:t>
      </w:r>
    </w:p>
    <w:p>
      <w:pPr>
        <w:spacing w:after="0" w:line="208" w:lineRule="exact"/>
        <w:rPr>
          <w:rFonts w:ascii="Courier New" w:cs="Courier New" w:eastAsia="Courier New" w:hAnsi="Courier New"/>
          <w:sz w:val="18"/>
          <w:szCs w:val="18"/>
          <w:color w:val="auto"/>
        </w:rPr>
      </w:pPr>
    </w:p>
    <w:p>
      <w:pPr>
        <w:ind w:right="3579" w:firstLine="640"/>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descriptions of the Company's Common Stock and Preferred Share Purchase Rights contained in the Company's registration statements filed under Section 12 of the Exchange Act, including any amendment or report filed for the purpose of updating such descriptions; and</w:t>
      </w:r>
    </w:p>
    <w:p>
      <w:pPr>
        <w:spacing w:after="0" w:line="208" w:lineRule="exact"/>
        <w:rPr>
          <w:rFonts w:ascii="Courier New" w:cs="Courier New" w:eastAsia="Courier New" w:hAnsi="Courier New"/>
          <w:sz w:val="18"/>
          <w:szCs w:val="18"/>
          <w:color w:val="auto"/>
        </w:rPr>
      </w:pPr>
    </w:p>
    <w:p>
      <w:pPr>
        <w:ind w:right="3359" w:firstLine="640"/>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and other documents filed by the Company pursuant to Section 13(a), 13(c), 14 or 15(d) of the Exchange Act subsequent to the date of this Prospectus and prior to the termination of the offering.</w:t>
      </w:r>
    </w:p>
    <w:p>
      <w:pPr>
        <w:spacing w:after="0" w:line="207" w:lineRule="exact"/>
        <w:rPr>
          <w:sz w:val="20"/>
          <w:szCs w:val="20"/>
          <w:color w:val="auto"/>
        </w:rPr>
      </w:pPr>
    </w:p>
    <w:p>
      <w:pPr>
        <w:ind w:right="3579" w:firstLine="316"/>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replaced for purposes of this Prospectus to the extent that a statement contained herein or in any other subsequently filed document which</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right="3579"/>
        <w:spacing w:after="0" w:line="275" w:lineRule="auto"/>
        <w:rPr>
          <w:sz w:val="20"/>
          <w:szCs w:val="20"/>
          <w:color w:val="auto"/>
        </w:rPr>
      </w:pPr>
      <w:r>
        <w:rPr>
          <w:rFonts w:ascii="Courier New" w:cs="Courier New" w:eastAsia="Courier New" w:hAnsi="Courier New"/>
          <w:sz w:val="16"/>
          <w:szCs w:val="16"/>
          <w:color w:val="auto"/>
        </w:rPr>
        <w:t>also is or is deemed to be incorporated by reference herein modifies or replaces such statement. Any such statement so modified or replaced shall not be deemed, except as so modified or replaced, to constitute a part of this Prospectus.</w:t>
      </w:r>
    </w:p>
    <w:p>
      <w:pPr>
        <w:spacing w:after="0" w:line="182"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a copy of this Prospectus is delivered, upon written or oral request of such person, a copy of any and all of the foregoing documents incorporated herein by reference (other than exhibits to such documents). Written or telephone requests should be directed to The Toro Company, 8111 Lyndale Avenue South, Bloomington, Minnesota 55420, telephone (612) 888-8801, Attention: N. Jeanne Ryan, Assistant Secretary.</w:t>
      </w:r>
    </w:p>
    <w:p>
      <w:pPr>
        <w:spacing w:after="0" w:line="212" w:lineRule="exact"/>
        <w:rPr>
          <w:sz w:val="20"/>
          <w:szCs w:val="20"/>
          <w:color w:val="auto"/>
        </w:rPr>
      </w:pPr>
    </w:p>
    <w:p>
      <w:pPr>
        <w:ind w:right="3359" w:firstLine="316"/>
        <w:spacing w:after="0" w:line="270" w:lineRule="auto"/>
        <w:rPr>
          <w:sz w:val="20"/>
          <w:szCs w:val="20"/>
          <w:color w:val="auto"/>
        </w:rPr>
      </w:pPr>
      <w:r>
        <w:rPr>
          <w:rFonts w:ascii="Courier New" w:cs="Courier New" w:eastAsia="Courier New" w:hAnsi="Courier New"/>
          <w:sz w:val="16"/>
          <w:szCs w:val="16"/>
          <w:color w:val="auto"/>
        </w:rPr>
        <w:t>No dealer, salesperson or other person has been authorized to give any information or to make any representation not contained in this Prospectus in connection with the offer contained herein, and, if given or made, such information or representation must not be relied upon as having been authorized by the Company. Neither the delivery of this Prospectus nor any sale made hereunder shall, under any circumstances, create any implication that there has been no change in the affairs of the Company since the date hereof or since the date as of which information is set forth herein. This Prospectus does not constitute an offer to sell or a solicitation of an offer to buy any of the securities offered hereby in any jurisdiction or to any person to whom it is unlawful to make such offer in such jurisdiction.</w:t>
      </w:r>
    </w:p>
    <w:p>
      <w:pPr>
        <w:spacing w:after="0" w:line="38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3359" w:firstLine="316"/>
        <w:spacing w:after="0" w:line="269" w:lineRule="auto"/>
        <w:rPr>
          <w:sz w:val="20"/>
          <w:szCs w:val="20"/>
          <w:color w:val="auto"/>
        </w:rPr>
      </w:pPr>
      <w:r>
        <w:rPr>
          <w:rFonts w:ascii="Courier New" w:cs="Courier New" w:eastAsia="Courier New" w:hAnsi="Courier New"/>
          <w:sz w:val="16"/>
          <w:szCs w:val="16"/>
          <w:color w:val="auto"/>
        </w:rPr>
        <w:t>The Company is a leading manufacturer of consumer lawn mowers, snowthrowers, trimmers, commercial mowing and turf maintenance equipment and underground automatic irrigation systems. These products are sold under the Toro, Toro/Wheel Horse and Lawn-Boy brand names to the consumer market and professional market,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The Company sells most of its Toro and Lawn-Boy products through approximately 43 domestic distributors. Its consumer products are generally resold to approximately 6,000 independent retail dealers in the United States. Toro riding mowers and lawn and garden tractors are sold primarily directly to approximately 2,500 retail service dealers throughout the United States, through distributors acting as sales agents. Toro electrical home improvement products are sold primarily to mass merchandisers.</w:t>
      </w:r>
    </w:p>
    <w:p>
      <w:pPr>
        <w:spacing w:after="0" w:line="393"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 Unless the context indicates otherwise, the term "Company" refers to The Toro Company and its subsidiaries. The Company finances a significant portion of its receivables through Toro Credit Company, its wholly owned consolidated finance subsidiary.</w:t>
      </w:r>
    </w:p>
    <w:p>
      <w:pPr>
        <w:spacing w:after="0" w:line="20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SUMMIT CLUB II STOCK INCENTIVE PROGRAM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3479" w:firstLine="316"/>
        <w:spacing w:after="0" w:line="237" w:lineRule="auto"/>
        <w:rPr>
          <w:sz w:val="20"/>
          <w:szCs w:val="20"/>
          <w:color w:val="auto"/>
        </w:rPr>
      </w:pPr>
      <w:r>
        <w:rPr>
          <w:rFonts w:ascii="Courier New" w:cs="Courier New" w:eastAsia="Courier New" w:hAnsi="Courier New"/>
          <w:sz w:val="18"/>
          <w:szCs w:val="18"/>
          <w:color w:val="auto"/>
        </w:rPr>
        <w:t>The Program is the successor to The Summit Club Stock Incentive Program (the "Predecessor Program") which was established by the Company to encourage sales to Participating Dealers of selected Toro and Lawn-Boy branded consumer and commercial lawn equipment products by offering Participating Dealers shares of the Common Stock of the Company for increasing the volume of product purchases during a Program Year by specified amounts over the preceding year's volume.</w:t>
      </w:r>
    </w:p>
    <w:p>
      <w:pPr>
        <w:spacing w:after="0" w:line="212"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The Program will continue through July 31, 1997 unless terminated earlier at the discretion of the Company. In order to receive an award under the Program, a Participating Dealer must remain a dealer of the Company on the last day of a Program Year (July 31) of its participation.</w:t>
      </w:r>
    </w:p>
    <w:p>
      <w:pPr>
        <w:spacing w:after="0" w:line="209" w:lineRule="exact"/>
        <w:rPr>
          <w:sz w:val="20"/>
          <w:szCs w:val="20"/>
          <w:color w:val="auto"/>
        </w:rPr>
      </w:pPr>
    </w:p>
    <w:p>
      <w:pPr>
        <w:ind w:right="3479" w:firstLine="316"/>
        <w:spacing w:after="0" w:line="237" w:lineRule="auto"/>
        <w:rPr>
          <w:sz w:val="20"/>
          <w:szCs w:val="20"/>
          <w:color w:val="auto"/>
        </w:rPr>
      </w:pPr>
      <w:r>
        <w:rPr>
          <w:rFonts w:ascii="Courier New" w:cs="Courier New" w:eastAsia="Courier New" w:hAnsi="Courier New"/>
          <w:sz w:val="18"/>
          <w:szCs w:val="18"/>
          <w:color w:val="auto"/>
        </w:rPr>
        <w:t>The Program supplements other sales incentive programs the Company and its distributors offer to dealers from time to time. Participation in the Program will not preclude a Participating Dealer from receiving awards under other programs offered by the Company or its distributors.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w:t>
      </w:r>
    </w:p>
    <w:p>
      <w:pPr>
        <w:spacing w:after="0" w:line="207" w:lineRule="exact"/>
        <w:rPr>
          <w:sz w:val="20"/>
          <w:szCs w:val="20"/>
          <w:color w:val="auto"/>
        </w:rPr>
      </w:pPr>
    </w:p>
    <w:p>
      <w:pPr>
        <w:ind w:right="3579" w:firstLine="316"/>
        <w:spacing w:after="0" w:line="235" w:lineRule="auto"/>
        <w:rPr>
          <w:sz w:val="20"/>
          <w:szCs w:val="20"/>
          <w:color w:val="auto"/>
        </w:rPr>
      </w:pPr>
      <w:r>
        <w:rPr>
          <w:rFonts w:ascii="Courier New" w:cs="Courier New" w:eastAsia="Courier New" w:hAnsi="Courier New"/>
          <w:sz w:val="18"/>
          <w:szCs w:val="18"/>
          <w:color w:val="auto"/>
        </w:rPr>
        <w:t>The Program is open to any Toro or Lawn-Boy dealer who meets the following eligibility criteria ("Eligible Dealer"):</w:t>
      </w:r>
    </w:p>
    <w:p>
      <w:pPr>
        <w:spacing w:after="0" w:line="208" w:lineRule="exact"/>
        <w:rPr>
          <w:sz w:val="20"/>
          <w:szCs w:val="20"/>
          <w:color w:val="auto"/>
        </w:rPr>
      </w:pPr>
    </w:p>
    <w:p>
      <w:pPr>
        <w:jc w:val="both"/>
        <w:ind w:right="3479" w:firstLine="640"/>
        <w:spacing w:after="0" w:line="279"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Eligible Dealer must do business with a distributor of the Company which operates in one of the Company's designated "core markets" (a "Participating Distributor"). For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7" w:name="page8"/>
    <w:bookmarkEnd w:id="7"/>
    <w:p>
      <w:pPr>
        <w:ind w:right="4419"/>
        <w:spacing w:after="0" w:line="290" w:lineRule="auto"/>
        <w:rPr>
          <w:sz w:val="20"/>
          <w:szCs w:val="20"/>
          <w:color w:val="auto"/>
        </w:rPr>
      </w:pPr>
      <w:r>
        <w:rPr>
          <w:rFonts w:ascii="Courier New" w:cs="Courier New" w:eastAsia="Courier New" w:hAnsi="Courier New"/>
          <w:sz w:val="16"/>
          <w:szCs w:val="16"/>
          <w:color w:val="auto"/>
        </w:rPr>
        <w:t>information on whether a distributor is a Participating Distributor, a dealer may consult its distributor.</w:t>
      </w:r>
    </w:p>
    <w:p>
      <w:pPr>
        <w:spacing w:after="0" w:line="170" w:lineRule="exact"/>
        <w:rPr>
          <w:sz w:val="20"/>
          <w:szCs w:val="20"/>
          <w:color w:val="auto"/>
        </w:rPr>
      </w:pPr>
    </w:p>
    <w:p>
      <w:pPr>
        <w:ind w:right="3359" w:firstLine="640"/>
        <w:spacing w:after="0" w:line="23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Eligible Dealer must purchase for resale products in certain specified product lines either from a Participating Distributor, or directly from the Company; and</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Eligible Dealer must have purchased a minimum of</w:t>
      </w:r>
    </w:p>
    <w:p>
      <w:pPr>
        <w:spacing w:after="0" w:line="4"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8"/>
          <w:szCs w:val="18"/>
          <w:color w:val="auto"/>
        </w:rPr>
        <w:t>$150,000 of Toro spring, snow, Wheel Horse and/or Lawn-Boy whole goods products (riding product and mower decks) from the Company or a Participating Distributor during the 12-month period ending July 31, 1995 to qualify to participate during the First Program Year, or during the First Program Year to qualify to participate during the Second Program Year.</w:t>
      </w:r>
    </w:p>
    <w:p>
      <w:pPr>
        <w:spacing w:after="0" w:line="210" w:lineRule="exact"/>
        <w:rPr>
          <w:sz w:val="20"/>
          <w:szCs w:val="20"/>
          <w:color w:val="auto"/>
        </w:rPr>
      </w:pPr>
    </w:p>
    <w:p>
      <w:pPr>
        <w:ind w:right="3479" w:firstLine="316"/>
        <w:spacing w:after="0" w:line="236" w:lineRule="auto"/>
        <w:rPr>
          <w:sz w:val="20"/>
          <w:szCs w:val="20"/>
          <w:color w:val="auto"/>
        </w:rPr>
      </w:pPr>
      <w:r>
        <w:rPr>
          <w:rFonts w:ascii="Courier New" w:cs="Courier New" w:eastAsia="Courier New" w:hAnsi="Courier New"/>
          <w:sz w:val="18"/>
          <w:szCs w:val="18"/>
          <w:color w:val="auto"/>
        </w:rPr>
        <w:t>A dealer who has not previously purchased the Company's products may be eligible to participate in the Program as a "New Dealer". See "New Dealers" below.</w:t>
      </w:r>
    </w:p>
    <w:p>
      <w:pPr>
        <w:spacing w:after="0" w:line="209" w:lineRule="exact"/>
        <w:rPr>
          <w:sz w:val="20"/>
          <w:szCs w:val="20"/>
          <w:color w:val="auto"/>
        </w:rPr>
      </w:pPr>
    </w:p>
    <w:p>
      <w:pPr>
        <w:ind w:right="3679" w:firstLine="316"/>
        <w:spacing w:after="0" w:line="237" w:lineRule="auto"/>
        <w:rPr>
          <w:sz w:val="20"/>
          <w:szCs w:val="20"/>
          <w:color w:val="auto"/>
        </w:rPr>
      </w:pPr>
      <w:r>
        <w:rPr>
          <w:rFonts w:ascii="Courier New" w:cs="Courier New" w:eastAsia="Courier New" w:hAnsi="Courier New"/>
          <w:sz w:val="18"/>
          <w:szCs w:val="18"/>
          <w:color w:val="auto"/>
        </w:rPr>
        <w:t>An Eligible Dealer may become a Participating Dealer by completing and returning to its Participating Distributor a Dealer Enrollment Form and purchasing Eligible Products during either or both of the Program Years. See the sections on "Earning Award Points for Purchases"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FOR AWARD POINTS</w:t>
      </w:r>
    </w:p>
    <w:p>
      <w:pPr>
        <w:spacing w:after="0" w:line="207" w:lineRule="exact"/>
        <w:rPr>
          <w:sz w:val="20"/>
          <w:szCs w:val="20"/>
          <w:color w:val="auto"/>
        </w:rPr>
      </w:pPr>
    </w:p>
    <w:p>
      <w:pPr>
        <w:ind w:right="3359" w:firstLine="316"/>
        <w:spacing w:after="0" w:line="268" w:lineRule="auto"/>
        <w:rPr>
          <w:sz w:val="20"/>
          <w:szCs w:val="20"/>
          <w:color w:val="auto"/>
        </w:rPr>
      </w:pPr>
      <w:r>
        <w:rPr>
          <w:rFonts w:ascii="Courier New" w:cs="Courier New" w:eastAsia="Courier New" w:hAnsi="Courier New"/>
          <w:sz w:val="16"/>
          <w:szCs w:val="16"/>
          <w:color w:val="auto"/>
        </w:rPr>
        <w:t>In order to earn Common Stock awards under the Program, a Participating Dealer must increase the volume of its unit purchases of "Eligible Products", which are the products specified in the tables below (except products in Category 6), in the applicable Program Year over a "Purchase Base" assigned by the Company, based on the volume of its previous purchases of those products, by minimum amounts set forth below. For a Dealer which participated in the Predecessor Program, the Purchase Base for the First Program Year will be the higher of the dealer's Purchase Base for year two of the Predecessor Program as assigned</w:t>
      </w:r>
    </w:p>
    <w:p>
      <w:pPr>
        <w:spacing w:after="0" w:line="2"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by the Company; or the dealer's year two purchases. Eligible dealers who did not participate in the Predecessor Program will be assigned a purchase base based on their previous 12 month purchases of eligible products. New Dealers will be assigned Purchase Bases in accordance with the table under "New Dealers". For products in Category 6 (which are selected electric and gas hand-held products set forth in Schedule A to this Prospectus), a Participating Dealer will earn Award Points only for purchases which exceed the minimum dollar purchase base set forth in the applicable Award Points Table shown below.</w:t>
      </w:r>
    </w:p>
    <w:p>
      <w:pPr>
        <w:spacing w:after="0" w:line="215" w:lineRule="exact"/>
        <w:rPr>
          <w:sz w:val="20"/>
          <w:szCs w:val="20"/>
          <w:color w:val="auto"/>
        </w:rPr>
      </w:pPr>
    </w:p>
    <w:p>
      <w:pPr>
        <w:ind w:right="3359" w:firstLine="316"/>
        <w:spacing w:after="0" w:line="271" w:lineRule="auto"/>
        <w:rPr>
          <w:sz w:val="20"/>
          <w:szCs w:val="20"/>
          <w:color w:val="auto"/>
        </w:rPr>
      </w:pPr>
      <w:r>
        <w:rPr>
          <w:rFonts w:ascii="Courier New" w:cs="Courier New" w:eastAsia="Courier New" w:hAnsi="Courier New"/>
          <w:sz w:val="16"/>
          <w:szCs w:val="16"/>
          <w:color w:val="auto"/>
        </w:rPr>
        <w:t>After the Company receives a Participating Dealer's Dealer Enrollment Form at the commencement of the Program, the Company will notify the Dealer of the Dealer's Purchase Base for each Eligible Product category for the First Program Year. This notification will be made as soon as practicable after receipt of the Dealer Enrollment Form. For the Second Program Year, each Participating Dealer will be notified as soon as practicable after July 31 of the First Program Year of the Purchase Base for each Eligible Product category for the Second Program Year.</w:t>
      </w:r>
    </w:p>
    <w:p>
      <w:pPr>
        <w:spacing w:after="0" w:line="184" w:lineRule="exact"/>
        <w:rPr>
          <w:sz w:val="20"/>
          <w:szCs w:val="20"/>
          <w:color w:val="auto"/>
        </w:rPr>
      </w:pPr>
    </w:p>
    <w:p>
      <w:pPr>
        <w:ind w:right="3579" w:firstLine="316"/>
        <w:spacing w:after="0" w:line="237" w:lineRule="auto"/>
        <w:rPr>
          <w:sz w:val="20"/>
          <w:szCs w:val="20"/>
          <w:color w:val="auto"/>
        </w:rPr>
      </w:pPr>
      <w:r>
        <w:rPr>
          <w:rFonts w:ascii="Courier New" w:cs="Courier New" w:eastAsia="Courier New" w:hAnsi="Courier New"/>
          <w:sz w:val="18"/>
          <w:szCs w:val="18"/>
          <w:color w:val="auto"/>
        </w:rPr>
        <w:t>A Participating Dealer's Purchase Base will be determined based on information provided by Participating Distributors and information on a Participating Dealer's purchases made directly from the Company.</w:t>
      </w:r>
    </w:p>
    <w:p>
      <w:pPr>
        <w:spacing w:after="0" w:line="207" w:lineRule="exact"/>
        <w:rPr>
          <w:sz w:val="20"/>
          <w:szCs w:val="20"/>
          <w:color w:val="auto"/>
        </w:rPr>
      </w:pPr>
    </w:p>
    <w:p>
      <w:pPr>
        <w:ind w:right="3479" w:firstLine="316"/>
        <w:spacing w:after="0" w:line="237" w:lineRule="auto"/>
        <w:rPr>
          <w:sz w:val="20"/>
          <w:szCs w:val="20"/>
          <w:color w:val="auto"/>
        </w:rPr>
      </w:pPr>
      <w:r>
        <w:rPr>
          <w:rFonts w:ascii="Courier New" w:cs="Courier New" w:eastAsia="Courier New" w:hAnsi="Courier New"/>
          <w:sz w:val="18"/>
          <w:szCs w:val="18"/>
          <w:color w:val="auto"/>
        </w:rPr>
        <w:t>For the Second Program Year, a Dealer's Purchase Base will be equal to the higher of the Participating Dealer's actual purchases of Eligible Products in the First Program Year or the Dealer's Purchase Base for the First Program Year in all product categories except Category 6, for which a Participating Dealer may earn Award Points based on dollar purchases, as set forth in the applicable Award Point Table.</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EARNING AWARD POINTS FOR PURCHASES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Company will credit Participating Dealers with Award</w:t>
      </w:r>
    </w:p>
    <w:p>
      <w:pPr>
        <w:spacing w:after="0" w:line="238" w:lineRule="auto"/>
        <w:rPr>
          <w:sz w:val="20"/>
          <w:szCs w:val="20"/>
          <w:color w:val="auto"/>
        </w:rPr>
      </w:pPr>
      <w:r>
        <w:rPr>
          <w:rFonts w:ascii="Courier New" w:cs="Courier New" w:eastAsia="Courier New" w:hAnsi="Courier New"/>
          <w:sz w:val="18"/>
          <w:szCs w:val="18"/>
          <w:color w:val="auto"/>
        </w:rPr>
        <w:t>Points based on the number of units (or in the case of Category 6,</w:t>
      </w:r>
    </w:p>
    <w:p>
      <w:pPr>
        <w:spacing w:after="0"/>
        <w:rPr>
          <w:sz w:val="20"/>
          <w:szCs w:val="20"/>
          <w:color w:val="auto"/>
        </w:rPr>
      </w:pPr>
      <w:r>
        <w:rPr>
          <w:rFonts w:ascii="Courier New" w:cs="Courier New" w:eastAsia="Courier New" w:hAnsi="Courier New"/>
          <w:sz w:val="18"/>
          <w:szCs w:val="18"/>
          <w:color w:val="auto"/>
        </w:rPr>
        <w:t>dollars) of Eligible Products in excess of the Purchase Base</w:t>
      </w:r>
    </w:p>
    <w:p>
      <w:pPr>
        <w:spacing w:after="0" w:line="237" w:lineRule="auto"/>
        <w:rPr>
          <w:sz w:val="20"/>
          <w:szCs w:val="20"/>
          <w:color w:val="auto"/>
        </w:rPr>
      </w:pPr>
      <w:r>
        <w:rPr>
          <w:rFonts w:ascii="Courier New" w:cs="Courier New" w:eastAsia="Courier New" w:hAnsi="Courier New"/>
          <w:sz w:val="18"/>
          <w:szCs w:val="18"/>
          <w:color w:val="auto"/>
        </w:rPr>
        <w:t>purchased by the Dealer from the Company or from the Company's</w:t>
      </w:r>
    </w:p>
    <w:p>
      <w:pPr>
        <w:spacing w:after="0" w:line="238" w:lineRule="auto"/>
        <w:rPr>
          <w:sz w:val="20"/>
          <w:szCs w:val="20"/>
          <w:color w:val="auto"/>
        </w:rPr>
      </w:pPr>
      <w:r>
        <w:rPr>
          <w:rFonts w:ascii="Courier New" w:cs="Courier New" w:eastAsia="Courier New" w:hAnsi="Courier New"/>
          <w:sz w:val="18"/>
          <w:szCs w:val="18"/>
          <w:color w:val="auto"/>
        </w:rPr>
        <w:t>Participating Distributors during the applicable Program Year.</w:t>
      </w:r>
    </w:p>
    <w:p>
      <w:pPr>
        <w:spacing w:after="0"/>
        <w:rPr>
          <w:sz w:val="20"/>
          <w:szCs w:val="20"/>
          <w:color w:val="auto"/>
        </w:rPr>
      </w:pPr>
      <w:r>
        <w:rPr>
          <w:rFonts w:ascii="Courier New" w:cs="Courier New" w:eastAsia="Courier New" w:hAnsi="Courier New"/>
          <w:sz w:val="18"/>
          <w:szCs w:val="18"/>
          <w:color w:val="auto"/>
        </w:rPr>
        <w:t>Award Points are earned in accordance with the table shown below.</w:t>
      </w:r>
    </w:p>
    <w:p>
      <w:pPr>
        <w:spacing w:after="0" w:line="237" w:lineRule="auto"/>
        <w:rPr>
          <w:sz w:val="20"/>
          <w:szCs w:val="20"/>
          <w:color w:val="auto"/>
        </w:rPr>
      </w:pPr>
      <w:r>
        <w:rPr>
          <w:rFonts w:ascii="Courier New" w:cs="Courier New" w:eastAsia="Courier New" w:hAnsi="Courier New"/>
          <w:sz w:val="18"/>
          <w:szCs w:val="18"/>
          <w:color w:val="auto"/>
        </w:rPr>
        <w:t>Each Award Point is valued at $1.00.</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No Award Points are earned until a Participating Dealer purchases units in each of the first five eligible product categories shown in the Award Point Table below (Toro walk power mowers, Lawn-Boy walk power mowers, Toro rear engine riders/lawn tractors, Toro garden tractors and Toro yard and garden tractors) in amounts equal to or exceeding the Participating Dealer's Purchase Base for each such Eligible Product Category, and purchases Category 6 products (electric and gas hand held products) having a dollar value equal to or greater than the $2,000 Purchase Base set forth in each table.</w:t>
      </w:r>
    </w:p>
    <w:p>
      <w:pPr>
        <w:spacing w:after="0" w:line="215"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A Participating Dealer is required to meet Category 1 through 5 Eligible Product Purchase Base quantities only for those categories for which it has an approved sales and service agreement. Each Participating Dealer is eligible to earn Award Points with respect to Category 6, but must purchase products having a value of not less than the $2,000 minimum purchase level in order to be eligible to earn Award Points in any other category. The dollar value of Category 6 products is based on dealer net value.</w:t>
      </w:r>
    </w:p>
    <w:p>
      <w:pPr>
        <w:spacing w:after="0" w:line="214" w:lineRule="exact"/>
        <w:rPr>
          <w:sz w:val="20"/>
          <w:szCs w:val="20"/>
          <w:color w:val="auto"/>
        </w:rPr>
      </w:pPr>
    </w:p>
    <w:p>
      <w:pPr>
        <w:ind w:right="3359" w:firstLine="316"/>
        <w:spacing w:after="0" w:line="236" w:lineRule="auto"/>
        <w:rPr>
          <w:sz w:val="20"/>
          <w:szCs w:val="20"/>
          <w:color w:val="auto"/>
        </w:rPr>
      </w:pPr>
      <w:r>
        <w:rPr>
          <w:rFonts w:ascii="Courier New" w:cs="Courier New" w:eastAsia="Courier New" w:hAnsi="Courier New"/>
          <w:sz w:val="18"/>
          <w:szCs w:val="18"/>
          <w:color w:val="auto"/>
        </w:rPr>
        <w:t>A Participating Dealer will earn more Award Points the greater the percentage increase of purchases over the Dealer's Purchase Base.</w:t>
      </w:r>
    </w:p>
    <w:p>
      <w:pPr>
        <w:spacing w:after="0" w:line="209" w:lineRule="exact"/>
        <w:rPr>
          <w:sz w:val="20"/>
          <w:szCs w:val="20"/>
          <w:color w:val="auto"/>
        </w:rPr>
      </w:pPr>
    </w:p>
    <w:p>
      <w:pPr>
        <w:ind w:right="3359" w:firstLine="316"/>
        <w:spacing w:after="0" w:line="268" w:lineRule="auto"/>
        <w:rPr>
          <w:sz w:val="20"/>
          <w:szCs w:val="20"/>
          <w:color w:val="auto"/>
        </w:rPr>
      </w:pPr>
      <w:r>
        <w:rPr>
          <w:rFonts w:ascii="Courier New" w:cs="Courier New" w:eastAsia="Courier New" w:hAnsi="Courier New"/>
          <w:sz w:val="16"/>
          <w:szCs w:val="16"/>
          <w:color w:val="auto"/>
        </w:rPr>
        <w:t>EXISTING AND NEW DEALERS. The following table shows the number of Award Points the Company will credit to a Participating</w:t>
      </w:r>
    </w:p>
    <w:tbl>
      <w:tblPr>
        <w:tblLayout w:type="fixed"/>
        <w:tblInd w:w="0" w:type="dxa"/>
        <w:tblCellMar>
          <w:top w:w="0" w:type="dxa"/>
          <w:left w:w="0" w:type="dxa"/>
          <w:bottom w:w="0" w:type="dxa"/>
          <w:right w:w="0" w:type="dxa"/>
        </w:tblCellMar>
      </w:tblPr>
      <w:tr>
        <w:trPr>
          <w:trHeight w:val="199"/>
        </w:trPr>
        <w:tc>
          <w:tcPr>
            <w:tcW w:w="502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8"/>
              </w:rPr>
              <w:t>Dealer (except Executive Club Dealers) per unit</w:t>
            </w:r>
          </w:p>
        </w:tc>
        <w:tc>
          <w:tcPr>
            <w:tcW w:w="246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or dollar of</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Eligible Products purchased, by category.</w:t>
            </w:r>
          </w:p>
        </w:tc>
        <w:tc>
          <w:tcPr>
            <w:tcW w:w="2460" w:type="dxa"/>
            <w:vAlign w:val="bottom"/>
          </w:tcPr>
          <w:p>
            <w:pPr>
              <w:spacing w:after="0"/>
              <w:rPr>
                <w:sz w:val="17"/>
                <w:szCs w:val="17"/>
                <w:color w:val="auto"/>
              </w:rPr>
            </w:pPr>
          </w:p>
        </w:tc>
      </w:tr>
      <w:tr>
        <w:trPr>
          <w:trHeight w:val="405"/>
        </w:trPr>
        <w:tc>
          <w:tcPr>
            <w:tcW w:w="5020" w:type="dxa"/>
            <w:vAlign w:val="bottom"/>
            <w:gridSpan w:val="2"/>
          </w:tcPr>
          <w:p>
            <w:pPr>
              <w:ind w:left="1060"/>
              <w:spacing w:after="0"/>
              <w:rPr>
                <w:sz w:val="20"/>
                <w:szCs w:val="20"/>
                <w:color w:val="auto"/>
              </w:rPr>
            </w:pPr>
            <w:r>
              <w:rPr>
                <w:rFonts w:ascii="Courier New" w:cs="Courier New" w:eastAsia="Courier New" w:hAnsi="Courier New"/>
                <w:sz w:val="18"/>
                <w:szCs w:val="18"/>
                <w:color w:val="auto"/>
                <w:w w:val="98"/>
              </w:rPr>
              <w:t>AWARD POINTS TABLE - EXISTING AND NEW</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DEALERS</w:t>
            </w:r>
          </w:p>
        </w:tc>
      </w:tr>
      <w:tr>
        <w:trPr>
          <w:trHeight w:val="810"/>
        </w:trPr>
        <w:tc>
          <w:tcPr>
            <w:tcW w:w="3220" w:type="dxa"/>
            <w:vAlign w:val="bottom"/>
          </w:tcPr>
          <w:p>
            <w:pPr>
              <w:spacing w:after="0"/>
              <w:rPr>
                <w:sz w:val="24"/>
                <w:szCs w:val="24"/>
                <w:color w:val="auto"/>
              </w:rPr>
            </w:pPr>
          </w:p>
        </w:tc>
        <w:tc>
          <w:tcPr>
            <w:tcW w:w="426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AWARD POINTS FOR</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NUMBER OF UNITS/$</w:t>
            </w:r>
          </w:p>
        </w:tc>
        <w:tc>
          <w:tcPr>
            <w:tcW w:w="42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EACH UNIT/$ OF ELIGIBLE</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ELIGIBLE PRODUCTS</w:t>
            </w:r>
          </w:p>
        </w:tc>
        <w:tc>
          <w:tcPr>
            <w:tcW w:w="42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PRODUCTS PURCHASED</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PURCHASED AS A PERCENTAGE</w:t>
            </w:r>
          </w:p>
        </w:tc>
        <w:tc>
          <w:tcPr>
            <w:tcW w:w="18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IN EXCESS</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PURCHASE BASE</w:t>
            </w:r>
          </w:p>
        </w:tc>
        <w:tc>
          <w:tcPr>
            <w:tcW w:w="42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PURCHASE BASE</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w:t>
            </w:r>
          </w:p>
        </w:tc>
        <w:tc>
          <w:tcPr>
            <w:tcW w:w="42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Category 1 *</w:t>
            </w:r>
          </w:p>
        </w:tc>
        <w:tc>
          <w:tcPr>
            <w:tcW w:w="1800" w:type="dxa"/>
            <w:vAlign w:val="bottom"/>
          </w:tcPr>
          <w:p>
            <w:pPr>
              <w:ind w:left="800"/>
              <w:spacing w:after="0"/>
              <w:rPr>
                <w:sz w:val="20"/>
                <w:szCs w:val="20"/>
                <w:color w:val="auto"/>
              </w:rPr>
            </w:pPr>
            <w:r>
              <w:rPr>
                <w:rFonts w:ascii="Courier New" w:cs="Courier New" w:eastAsia="Courier New" w:hAnsi="Courier New"/>
                <w:sz w:val="18"/>
                <w:szCs w:val="18"/>
                <w:color w:val="auto"/>
              </w:rPr>
              <w:t>TORO WALK</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w w:val="96"/>
              </w:rPr>
              <w:t>POWER MOWERS (INCLUDING</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HEAVY DUTY WPM'S)</w:t>
            </w:r>
          </w:p>
        </w:tc>
      </w:tr>
      <w:tr>
        <w:trPr>
          <w:trHeight w:val="203"/>
        </w:trPr>
        <w:tc>
          <w:tcPr>
            <w:tcW w:w="3220" w:type="dxa"/>
            <w:vAlign w:val="bottom"/>
          </w:tcPr>
          <w:p>
            <w:pPr>
              <w:spacing w:after="0"/>
              <w:rPr>
                <w:sz w:val="17"/>
                <w:szCs w:val="17"/>
                <w:color w:val="auto"/>
              </w:rPr>
            </w:pPr>
          </w:p>
        </w:tc>
        <w:tc>
          <w:tcPr>
            <w:tcW w:w="42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Up to 109.9%</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46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110% to 114.9%</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46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115% to 119.9%</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246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120% and over</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2460" w:type="dxa"/>
            <w:vAlign w:val="bottom"/>
          </w:tcPr>
          <w:p>
            <w:pPr>
              <w:spacing w:after="0"/>
              <w:rPr>
                <w:sz w:val="17"/>
                <w:szCs w:val="17"/>
                <w:color w:val="auto"/>
              </w:rPr>
            </w:pPr>
          </w:p>
        </w:tc>
      </w:tr>
      <w:tr>
        <w:trPr>
          <w:trHeight w:val="608"/>
        </w:trPr>
        <w:tc>
          <w:tcPr>
            <w:tcW w:w="3220" w:type="dxa"/>
            <w:vAlign w:val="bottom"/>
          </w:tcPr>
          <w:p>
            <w:pPr>
              <w:spacing w:after="0"/>
              <w:rPr>
                <w:sz w:val="24"/>
                <w:szCs w:val="24"/>
                <w:color w:val="auto"/>
              </w:rPr>
            </w:pP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24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Category 2 *</w:t>
            </w:r>
          </w:p>
        </w:tc>
        <w:tc>
          <w:tcPr>
            <w:tcW w:w="51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LAWN-BOY WALK POWER MOWERS</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51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114.9%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2880" w:type="dxa"/>
            <w:vAlign w:val="bottom"/>
          </w:tcPr>
          <w:p>
            <w:pPr>
              <w:spacing w:after="0"/>
              <w:rPr>
                <w:sz w:val="17"/>
                <w:szCs w:val="17"/>
                <w:color w:val="auto"/>
              </w:rPr>
            </w:pPr>
          </w:p>
        </w:tc>
      </w:tr>
      <w:tr>
        <w:trPr>
          <w:trHeight w:val="405"/>
        </w:trPr>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Category 3 *</w:t>
            </w:r>
          </w:p>
        </w:tc>
        <w:tc>
          <w:tcPr>
            <w:tcW w:w="2280" w:type="dxa"/>
            <w:vAlign w:val="bottom"/>
          </w:tcPr>
          <w:p>
            <w:pPr>
              <w:ind w:left="1280"/>
              <w:spacing w:after="0"/>
              <w:rPr>
                <w:sz w:val="20"/>
                <w:szCs w:val="20"/>
                <w:color w:val="auto"/>
              </w:rPr>
            </w:pPr>
            <w:r>
              <w:rPr>
                <w:rFonts w:ascii="Courier New" w:cs="Courier New" w:eastAsia="Courier New" w:hAnsi="Courier New"/>
                <w:sz w:val="18"/>
                <w:szCs w:val="18"/>
                <w:color w:val="auto"/>
              </w:rPr>
              <w:t>TORO REAR</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w w:val="96"/>
              </w:rPr>
              <w:t>ENGINE RIDERS/LAWN TRACTORS</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51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114.9%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2880" w:type="dxa"/>
            <w:vAlign w:val="bottom"/>
          </w:tcPr>
          <w:p>
            <w:pPr>
              <w:spacing w:after="0"/>
              <w:rPr>
                <w:sz w:val="17"/>
                <w:szCs w:val="17"/>
                <w:color w:val="auto"/>
              </w:rPr>
            </w:pPr>
          </w:p>
        </w:tc>
      </w:tr>
      <w:tr>
        <w:trPr>
          <w:trHeight w:val="405"/>
        </w:trPr>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Category 4 *</w:t>
            </w:r>
          </w:p>
        </w:tc>
        <w:tc>
          <w:tcPr>
            <w:tcW w:w="51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TORO GARDEN TRACTORS</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51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114.9%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2880" w:type="dxa"/>
            <w:vAlign w:val="bottom"/>
          </w:tcPr>
          <w:p>
            <w:pPr>
              <w:spacing w:after="0"/>
              <w:rPr>
                <w:sz w:val="17"/>
                <w:szCs w:val="17"/>
                <w:color w:val="auto"/>
              </w:rPr>
            </w:pPr>
          </w:p>
        </w:tc>
      </w:tr>
      <w:tr>
        <w:trPr>
          <w:trHeight w:val="405"/>
        </w:trPr>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Category 5 *</w:t>
            </w:r>
          </w:p>
        </w:tc>
        <w:tc>
          <w:tcPr>
            <w:tcW w:w="2280" w:type="dxa"/>
            <w:vAlign w:val="bottom"/>
          </w:tcPr>
          <w:p>
            <w:pPr>
              <w:ind w:left="1280"/>
              <w:spacing w:after="0"/>
              <w:rPr>
                <w:sz w:val="20"/>
                <w:szCs w:val="20"/>
                <w:color w:val="auto"/>
              </w:rPr>
            </w:pPr>
            <w:r>
              <w:rPr>
                <w:rFonts w:ascii="Courier New" w:cs="Courier New" w:eastAsia="Courier New" w:hAnsi="Courier New"/>
                <w:sz w:val="18"/>
                <w:szCs w:val="18"/>
                <w:color w:val="auto"/>
              </w:rPr>
              <w:t>TORO YARD</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AND GARDEN TRACTORS</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51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114.9%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2880" w:type="dxa"/>
            <w:vAlign w:val="bottom"/>
          </w:tcPr>
          <w:p>
            <w:pPr>
              <w:spacing w:after="0"/>
              <w:rPr>
                <w:sz w:val="17"/>
                <w:szCs w:val="17"/>
                <w:color w:val="auto"/>
              </w:rPr>
            </w:pPr>
          </w:p>
        </w:tc>
      </w:tr>
      <w:tr>
        <w:trPr>
          <w:trHeight w:val="405"/>
        </w:trPr>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Category 6*</w:t>
            </w:r>
          </w:p>
        </w:tc>
        <w:tc>
          <w:tcPr>
            <w:tcW w:w="51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TORO ELECTRIC AND GAS</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HAND HELD</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PRODUCTS</w:t>
            </w:r>
          </w:p>
        </w:tc>
      </w:tr>
      <w:tr>
        <w:trPr>
          <w:trHeight w:val="203"/>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1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$2,000</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880" w:type="dxa"/>
            <w:vAlign w:val="bottom"/>
          </w:tcPr>
          <w:p>
            <w:pPr>
              <w:spacing w:after="0"/>
              <w:rPr>
                <w:sz w:val="17"/>
                <w:szCs w:val="17"/>
                <w:color w:val="auto"/>
              </w:rPr>
            </w:pP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$2,000 to $4,999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2880" w:type="dxa"/>
            <w:vAlign w:val="bottom"/>
          </w:tcPr>
          <w:p>
            <w:pPr>
              <w:spacing w:after="0"/>
              <w:rPr>
                <w:sz w:val="17"/>
                <w:szCs w:val="17"/>
                <w:color w:val="auto"/>
              </w:rPr>
            </w:pP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$5,000 to $9,999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2880" w:type="dxa"/>
            <w:vAlign w:val="bottom"/>
          </w:tcPr>
          <w:p>
            <w:pPr>
              <w:spacing w:after="0"/>
              <w:rPr>
                <w:sz w:val="17"/>
                <w:szCs w:val="17"/>
                <w:color w:val="auto"/>
              </w:rPr>
            </w:pP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$10,000</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2880" w:type="dxa"/>
            <w:vAlign w:val="bottom"/>
          </w:tcPr>
          <w:p>
            <w:pPr>
              <w:spacing w:after="0"/>
              <w:rPr>
                <w:sz w:val="17"/>
                <w:szCs w:val="17"/>
                <w:color w:val="auto"/>
              </w:rPr>
            </w:pPr>
          </w:p>
        </w:tc>
      </w:tr>
      <w:tr>
        <w:trPr>
          <w:trHeight w:val="405"/>
        </w:trPr>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Category 7</w:t>
            </w:r>
          </w:p>
        </w:tc>
        <w:tc>
          <w:tcPr>
            <w:tcW w:w="51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PROLINE WALK BEHIND MOWERS</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51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114.9%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2880" w:type="dxa"/>
            <w:vAlign w:val="bottom"/>
          </w:tcPr>
          <w:p>
            <w:pPr>
              <w:spacing w:after="0"/>
              <w:rPr>
                <w:sz w:val="17"/>
                <w:szCs w:val="17"/>
                <w:color w:val="auto"/>
              </w:rPr>
            </w:pPr>
          </w:p>
        </w:tc>
      </w:tr>
      <w:tr>
        <w:trPr>
          <w:trHeight w:val="405"/>
        </w:trPr>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Category 8</w:t>
            </w:r>
          </w:p>
        </w:tc>
        <w:tc>
          <w:tcPr>
            <w:tcW w:w="51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GROUNDSMASTER 120, 220 MOWERS</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51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114.9%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119.9%</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288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2880" w:type="dxa"/>
            <w:vAlign w:val="bottom"/>
          </w:tcPr>
          <w:p>
            <w:pPr>
              <w:spacing w:after="0"/>
              <w:rPr>
                <w:sz w:val="17"/>
                <w:szCs w:val="17"/>
                <w:color w:val="auto"/>
              </w:rPr>
            </w:pPr>
          </w:p>
        </w:tc>
      </w:tr>
      <w:tr>
        <w:trPr>
          <w:trHeight w:val="608"/>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80" w:type="dxa"/>
            <w:vAlign w:val="bottom"/>
          </w:tcPr>
          <w:p>
            <w:pPr>
              <w:jc w:val="right"/>
              <w:ind w:right="1352"/>
              <w:spacing w:after="0"/>
              <w:rPr>
                <w:sz w:val="20"/>
                <w:szCs w:val="20"/>
                <w:color w:val="auto"/>
              </w:rPr>
            </w:pPr>
            <w:r>
              <w:rPr>
                <w:rFonts w:ascii="Courier New" w:cs="Courier New" w:eastAsia="Courier New" w:hAnsi="Courier New"/>
                <w:sz w:val="18"/>
                <w:szCs w:val="18"/>
                <w:color w:val="auto"/>
              </w:rPr>
              <w:t>-7-</w:t>
            </w:r>
          </w:p>
        </w:tc>
        <w:tc>
          <w:tcPr>
            <w:tcW w:w="2880" w:type="dxa"/>
            <w:vAlign w:val="bottom"/>
          </w:tcPr>
          <w:p>
            <w:pPr>
              <w:spacing w:after="0"/>
              <w:rPr>
                <w:sz w:val="24"/>
                <w:szCs w:val="24"/>
                <w:color w:val="auto"/>
              </w:rPr>
            </w:pPr>
          </w:p>
        </w:tc>
      </w:tr>
    </w:tbl>
    <w:p>
      <w:pPr>
        <w:sectPr>
          <w:pgSz w:w="11900" w:h="16838" w:orient="portrait"/>
          <w:cols w:equalWidth="0" w:num="1">
            <w:col w:w="9679"/>
          </w:cols>
          <w:pgMar w:left="780" w:top="1122" w:right="1440" w:bottom="1440" w:gutter="0" w:footer="0" w:header="0"/>
        </w:sectPr>
      </w:pPr>
    </w:p>
    <w:bookmarkStart w:id="10" w:name="page11"/>
    <w:bookmarkEnd w:id="10"/>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rPr>
              <w:t>Category 9</w:t>
            </w:r>
          </w:p>
        </w:tc>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rPr>
              <w:t>GROUNDSMASTER 200, 300 MOWERS</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404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404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2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119.9%</w:t>
            </w:r>
          </w:p>
        </w:tc>
        <w:tc>
          <w:tcPr>
            <w:tcW w:w="404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2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404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225</w:t>
            </w:r>
          </w:p>
        </w:tc>
      </w:tr>
    </w:tbl>
    <w:p>
      <w:pPr>
        <w:spacing w:after="0" w:line="200" w:lineRule="exact"/>
        <w:rPr>
          <w:sz w:val="20"/>
          <w:szCs w:val="20"/>
          <w:color w:val="auto"/>
        </w:rPr>
      </w:pPr>
    </w:p>
    <w:p>
      <w:pPr>
        <w:spacing w:after="0" w:line="209" w:lineRule="exact"/>
        <w:rPr>
          <w:sz w:val="20"/>
          <w:szCs w:val="20"/>
          <w:color w:val="auto"/>
        </w:rPr>
      </w:pPr>
    </w:p>
    <w:p>
      <w:pPr>
        <w:ind w:left="540" w:right="3359" w:hanging="5"/>
        <w:spacing w:after="0" w:line="271" w:lineRule="auto"/>
        <w:tabs>
          <w:tab w:leader="none" w:pos="75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Participating Dealer must purchase at least 100% of its Purchase Base in each Eligible Product category designated by an asterisk, for which the Dealer has an authorized sales and service agreement, in order to be eligible to earn any Award Points under the Program, except that all Participating Dealers are authorized to earn Award Points in Category 6. Other requirements must also be met.</w:t>
      </w:r>
    </w:p>
    <w:p>
      <w:pPr>
        <w:spacing w:after="0" w:line="385"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EXECUTIVE CLUB DEALERS.</w:t>
      </w:r>
      <w:r>
        <w:rPr>
          <w:sz w:val="20"/>
          <w:szCs w:val="20"/>
          <w:color w:val="auto"/>
        </w:rPr>
        <w:tab/>
      </w:r>
      <w:r>
        <w:rPr>
          <w:rFonts w:ascii="Courier New" w:cs="Courier New" w:eastAsia="Courier New" w:hAnsi="Courier New"/>
          <w:sz w:val="16"/>
          <w:szCs w:val="16"/>
          <w:color w:val="auto"/>
        </w:rPr>
        <w:t>A Participating Dealer which</w:t>
      </w:r>
    </w:p>
    <w:p>
      <w:pPr>
        <w:spacing w:after="0" w:line="238" w:lineRule="auto"/>
        <w:rPr>
          <w:sz w:val="20"/>
          <w:szCs w:val="20"/>
          <w:color w:val="auto"/>
        </w:rPr>
      </w:pPr>
      <w:r>
        <w:rPr>
          <w:rFonts w:ascii="Courier New" w:cs="Courier New" w:eastAsia="Courier New" w:hAnsi="Courier New"/>
          <w:sz w:val="18"/>
          <w:szCs w:val="18"/>
          <w:color w:val="auto"/>
        </w:rPr>
        <w:t>purchased not less than $450,000 of Toro, Toro/Wheel Horse or</w:t>
      </w:r>
    </w:p>
    <w:p>
      <w:pPr>
        <w:spacing w:after="0"/>
        <w:rPr>
          <w:sz w:val="20"/>
          <w:szCs w:val="20"/>
          <w:color w:val="auto"/>
        </w:rPr>
      </w:pPr>
      <w:r>
        <w:rPr>
          <w:rFonts w:ascii="Courier New" w:cs="Courier New" w:eastAsia="Courier New" w:hAnsi="Courier New"/>
          <w:sz w:val="18"/>
          <w:szCs w:val="18"/>
          <w:color w:val="auto"/>
        </w:rPr>
        <w:t>Lawn-Boy product in the period from August 1, 1994 through</w:t>
      </w:r>
    </w:p>
    <w:p>
      <w:pPr>
        <w:spacing w:after="0" w:line="237" w:lineRule="auto"/>
        <w:rPr>
          <w:sz w:val="20"/>
          <w:szCs w:val="20"/>
          <w:color w:val="auto"/>
        </w:rPr>
      </w:pPr>
      <w:r>
        <w:rPr>
          <w:rFonts w:ascii="Courier New" w:cs="Courier New" w:eastAsia="Courier New" w:hAnsi="Courier New"/>
          <w:sz w:val="18"/>
          <w:szCs w:val="18"/>
          <w:color w:val="auto"/>
        </w:rPr>
        <w:t>July 31, 1995 will be an Executive Club Participating Dealer and</w:t>
      </w:r>
    </w:p>
    <w:p>
      <w:pPr>
        <w:spacing w:after="0" w:line="238" w:lineRule="auto"/>
        <w:rPr>
          <w:sz w:val="20"/>
          <w:szCs w:val="20"/>
          <w:color w:val="auto"/>
        </w:rPr>
      </w:pPr>
      <w:r>
        <w:rPr>
          <w:rFonts w:ascii="Courier New" w:cs="Courier New" w:eastAsia="Courier New" w:hAnsi="Courier New"/>
          <w:sz w:val="18"/>
          <w:szCs w:val="18"/>
          <w:color w:val="auto"/>
        </w:rPr>
        <w:t>will earn Award Points based on the following table, rather than</w:t>
      </w:r>
    </w:p>
    <w:p>
      <w:pPr>
        <w:spacing w:after="0"/>
        <w:rPr>
          <w:sz w:val="20"/>
          <w:szCs w:val="20"/>
          <w:color w:val="auto"/>
        </w:rPr>
      </w:pPr>
      <w:r>
        <w:rPr>
          <w:rFonts w:ascii="Courier New" w:cs="Courier New" w:eastAsia="Courier New" w:hAnsi="Courier New"/>
          <w:sz w:val="18"/>
          <w:szCs w:val="18"/>
          <w:color w:val="auto"/>
        </w:rPr>
        <w:t>the previous table, once purchases of Eligible Products equal to</w:t>
      </w:r>
    </w:p>
    <w:p>
      <w:pPr>
        <w:spacing w:after="0" w:line="237" w:lineRule="auto"/>
        <w:rPr>
          <w:sz w:val="20"/>
          <w:szCs w:val="20"/>
          <w:color w:val="auto"/>
        </w:rPr>
      </w:pPr>
      <w:r>
        <w:rPr>
          <w:rFonts w:ascii="Courier New" w:cs="Courier New" w:eastAsia="Courier New" w:hAnsi="Courier New"/>
          <w:sz w:val="18"/>
          <w:szCs w:val="18"/>
          <w:color w:val="auto"/>
        </w:rPr>
        <w:t>the applicable Purchase Base for each of Eligible Product</w:t>
      </w:r>
    </w:p>
    <w:p>
      <w:pPr>
        <w:spacing w:after="0"/>
        <w:rPr>
          <w:sz w:val="20"/>
          <w:szCs w:val="20"/>
          <w:color w:val="auto"/>
        </w:rPr>
      </w:pPr>
      <w:r>
        <w:rPr>
          <w:rFonts w:ascii="Courier New" w:cs="Courier New" w:eastAsia="Courier New" w:hAnsi="Courier New"/>
          <w:sz w:val="18"/>
          <w:szCs w:val="18"/>
          <w:color w:val="auto"/>
        </w:rPr>
        <w:t>Categories 1 through 6 have been made.</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AWARD POINTS TABLE - EXECUTIVE CLUB DEALERS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80" w:type="dxa"/>
            <w:vAlign w:val="bottom"/>
          </w:tcPr>
          <w:p>
            <w:pPr>
              <w:ind w:left="800"/>
              <w:spacing w:after="0"/>
              <w:rPr>
                <w:sz w:val="20"/>
                <w:szCs w:val="20"/>
                <w:color w:val="auto"/>
              </w:rPr>
            </w:pPr>
            <w:r>
              <w:rPr>
                <w:rFonts w:ascii="Courier New" w:cs="Courier New" w:eastAsia="Courier New" w:hAnsi="Courier New"/>
                <w:sz w:val="18"/>
                <w:szCs w:val="18"/>
                <w:color w:val="auto"/>
              </w:rPr>
              <w:t>AWARD POINTS FOR</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UNITS/$</w:t>
            </w: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EACH UNIT/$ OF ELIGIBLE</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ELIGIBLE PRODUCTS</w:t>
            </w: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PRODUCTS PURCHASED</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PURCHASED AS A PERCENTAGE</w:t>
            </w: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IN EXCESS OF</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PURCHASE BASE</w:t>
            </w: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PURCHASE BASE</w:t>
            </w:r>
          </w:p>
        </w:tc>
      </w:tr>
      <w:tr>
        <w:trPr>
          <w:trHeight w:val="608"/>
        </w:trPr>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rPr>
              <w:t>Category 1 *</w:t>
            </w:r>
          </w:p>
        </w:tc>
        <w:tc>
          <w:tcPr>
            <w:tcW w:w="4680" w:type="dxa"/>
            <w:vAlign w:val="bottom"/>
          </w:tcPr>
          <w:p>
            <w:pPr>
              <w:ind w:left="800"/>
              <w:spacing w:after="0"/>
              <w:rPr>
                <w:sz w:val="20"/>
                <w:szCs w:val="20"/>
                <w:color w:val="auto"/>
              </w:rPr>
            </w:pPr>
            <w:r>
              <w:rPr>
                <w:rFonts w:ascii="Courier New" w:cs="Courier New" w:eastAsia="Courier New" w:hAnsi="Courier New"/>
                <w:sz w:val="18"/>
                <w:szCs w:val="18"/>
                <w:color w:val="auto"/>
              </w:rPr>
              <w:t>TORO WALK POWER MOWERS</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(INCLUDING HEAVY DUTY</w:t>
            </w:r>
          </w:p>
        </w:tc>
      </w:tr>
      <w:tr>
        <w:trPr>
          <w:trHeight w:val="203"/>
        </w:trPr>
        <w:tc>
          <w:tcPr>
            <w:tcW w:w="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WPM'S)</w:t>
            </w:r>
          </w:p>
        </w:tc>
      </w:tr>
      <w:tr>
        <w:trPr>
          <w:trHeight w:val="203"/>
        </w:trPr>
        <w:tc>
          <w:tcPr>
            <w:tcW w:w="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25</w:t>
            </w:r>
          </w:p>
        </w:tc>
      </w:tr>
      <w:tr>
        <w:trPr>
          <w:trHeight w:val="405"/>
        </w:trPr>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rPr>
              <w:t>Category 2 *</w:t>
            </w:r>
          </w:p>
        </w:tc>
        <w:tc>
          <w:tcPr>
            <w:tcW w:w="4680" w:type="dxa"/>
            <w:vAlign w:val="bottom"/>
          </w:tcPr>
          <w:p>
            <w:pPr>
              <w:ind w:left="800"/>
              <w:spacing w:after="0"/>
              <w:rPr>
                <w:sz w:val="20"/>
                <w:szCs w:val="20"/>
                <w:color w:val="auto"/>
              </w:rPr>
            </w:pPr>
            <w:r>
              <w:rPr>
                <w:rFonts w:ascii="Courier New" w:cs="Courier New" w:eastAsia="Courier New" w:hAnsi="Courier New"/>
                <w:sz w:val="18"/>
                <w:szCs w:val="18"/>
                <w:color w:val="auto"/>
              </w:rPr>
              <w:t>LAWN-BOY WALK POWER MOWERS</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25</w:t>
            </w:r>
          </w:p>
        </w:tc>
      </w:tr>
      <w:tr>
        <w:trPr>
          <w:trHeight w:val="405"/>
        </w:trPr>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rPr>
              <w:t>Category 3 *</w:t>
            </w:r>
          </w:p>
        </w:tc>
        <w:tc>
          <w:tcPr>
            <w:tcW w:w="4680" w:type="dxa"/>
            <w:vAlign w:val="bottom"/>
          </w:tcPr>
          <w:p>
            <w:pPr>
              <w:ind w:left="800"/>
              <w:spacing w:after="0"/>
              <w:rPr>
                <w:sz w:val="20"/>
                <w:szCs w:val="20"/>
                <w:color w:val="auto"/>
              </w:rPr>
            </w:pPr>
            <w:r>
              <w:rPr>
                <w:rFonts w:ascii="Courier New" w:cs="Courier New" w:eastAsia="Courier New" w:hAnsi="Courier New"/>
                <w:sz w:val="18"/>
                <w:szCs w:val="18"/>
                <w:color w:val="auto"/>
                <w:w w:val="96"/>
              </w:rPr>
              <w:t>TORO REAR ENGINE RIDERS/LAWN TRACTORS</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6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over</w:t>
            </w:r>
          </w:p>
        </w:tc>
        <w:tc>
          <w:tcPr>
            <w:tcW w:w="46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80</w:t>
            </w:r>
          </w:p>
        </w:tc>
      </w:tr>
      <w:tr>
        <w:trPr>
          <w:trHeight w:val="608"/>
        </w:trPr>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-8-</w:t>
            </w:r>
          </w:p>
        </w:tc>
      </w:tr>
    </w:tbl>
    <w:p>
      <w:pPr>
        <w:sectPr>
          <w:pgSz w:w="11900" w:h="16838" w:orient="portrait"/>
          <w:cols w:equalWidth="0" w:num="1">
            <w:col w:w="10219"/>
          </w:cols>
          <w:pgMar w:left="240" w:top="1122" w:right="1440" w:bottom="1440" w:gutter="0" w:footer="0" w:header="0"/>
        </w:sectPr>
      </w:pPr>
    </w:p>
    <w:bookmarkStart w:id="11" w:name="page12"/>
    <w:bookmarkEnd w:id="1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Category</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4 *</w:t>
            </w:r>
          </w:p>
        </w:tc>
        <w:tc>
          <w:tcPr>
            <w:tcW w:w="3940" w:type="dxa"/>
            <w:vAlign w:val="bottom"/>
          </w:tcPr>
          <w:p>
            <w:pPr>
              <w:ind w:left="900"/>
              <w:spacing w:after="0"/>
              <w:rPr>
                <w:sz w:val="20"/>
                <w:szCs w:val="20"/>
                <w:color w:val="auto"/>
              </w:rPr>
            </w:pPr>
            <w:r>
              <w:rPr>
                <w:rFonts w:ascii="Courier New" w:cs="Courier New" w:eastAsia="Courier New" w:hAnsi="Courier New"/>
                <w:sz w:val="18"/>
                <w:szCs w:val="18"/>
                <w:color w:val="auto"/>
              </w:rPr>
              <w:t>TORO GARDEN TRACTORS</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160</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Category</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5 *</w:t>
            </w:r>
          </w:p>
        </w:tc>
        <w:tc>
          <w:tcPr>
            <w:tcW w:w="3940" w:type="dxa"/>
            <w:vAlign w:val="bottom"/>
          </w:tcPr>
          <w:p>
            <w:pPr>
              <w:ind w:left="900"/>
              <w:spacing w:after="0"/>
              <w:rPr>
                <w:sz w:val="20"/>
                <w:szCs w:val="20"/>
                <w:color w:val="auto"/>
              </w:rPr>
            </w:pPr>
            <w:r>
              <w:rPr>
                <w:rFonts w:ascii="Courier New" w:cs="Courier New" w:eastAsia="Courier New" w:hAnsi="Courier New"/>
                <w:sz w:val="18"/>
                <w:szCs w:val="18"/>
                <w:color w:val="auto"/>
                <w:w w:val="96"/>
              </w:rPr>
              <w:t>TORO YARD AND GARDEN TRACTORS</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130</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Category</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6*</w:t>
            </w:r>
          </w:p>
        </w:tc>
        <w:tc>
          <w:tcPr>
            <w:tcW w:w="3940" w:type="dxa"/>
            <w:vAlign w:val="bottom"/>
          </w:tcPr>
          <w:p>
            <w:pPr>
              <w:ind w:left="900"/>
              <w:spacing w:after="0"/>
              <w:rPr>
                <w:sz w:val="20"/>
                <w:szCs w:val="20"/>
                <w:color w:val="auto"/>
              </w:rPr>
            </w:pPr>
            <w:r>
              <w:rPr>
                <w:rFonts w:ascii="Courier New" w:cs="Courier New" w:eastAsia="Courier New" w:hAnsi="Courier New"/>
                <w:sz w:val="18"/>
                <w:szCs w:val="18"/>
                <w:color w:val="auto"/>
              </w:rPr>
              <w:t>TORO ELECTRIC AND GAS</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HAND HELD PRODUCTS</w:t>
            </w:r>
          </w:p>
        </w:tc>
      </w:tr>
      <w:tr>
        <w:trPr>
          <w:trHeight w:val="203"/>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$2,000</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$2,000 to $4,999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$5,000 to $9,999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$10,000 and over</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150</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Category</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7</w:t>
            </w:r>
          </w:p>
        </w:tc>
        <w:tc>
          <w:tcPr>
            <w:tcW w:w="3940" w:type="dxa"/>
            <w:vAlign w:val="bottom"/>
          </w:tcPr>
          <w:p>
            <w:pPr>
              <w:ind w:left="900"/>
              <w:spacing w:after="0"/>
              <w:rPr>
                <w:sz w:val="20"/>
                <w:szCs w:val="20"/>
                <w:color w:val="auto"/>
              </w:rPr>
            </w:pPr>
            <w:r>
              <w:rPr>
                <w:rFonts w:ascii="Courier New" w:cs="Courier New" w:eastAsia="Courier New" w:hAnsi="Courier New"/>
                <w:sz w:val="18"/>
                <w:szCs w:val="18"/>
                <w:color w:val="auto"/>
              </w:rPr>
              <w:t>PROLINE WALK BEHIND MOWERS</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130</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Category</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8</w:t>
            </w:r>
          </w:p>
        </w:tc>
        <w:tc>
          <w:tcPr>
            <w:tcW w:w="3940" w:type="dxa"/>
            <w:vAlign w:val="bottom"/>
          </w:tcPr>
          <w:p>
            <w:pPr>
              <w:ind w:left="900"/>
              <w:spacing w:after="0"/>
              <w:rPr>
                <w:sz w:val="20"/>
                <w:szCs w:val="20"/>
                <w:color w:val="auto"/>
              </w:rPr>
            </w:pPr>
            <w:r>
              <w:rPr>
                <w:rFonts w:ascii="Courier New" w:cs="Courier New" w:eastAsia="Courier New" w:hAnsi="Courier New"/>
                <w:sz w:val="18"/>
                <w:szCs w:val="18"/>
                <w:color w:val="auto"/>
                <w:w w:val="96"/>
              </w:rPr>
              <w:t>GROUNDSMASTER 120, 220 MOWERS</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200</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Category</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9</w:t>
            </w:r>
          </w:p>
        </w:tc>
        <w:tc>
          <w:tcPr>
            <w:tcW w:w="3940" w:type="dxa"/>
            <w:vAlign w:val="bottom"/>
          </w:tcPr>
          <w:p>
            <w:pPr>
              <w:ind w:left="900"/>
              <w:spacing w:after="0"/>
              <w:rPr>
                <w:sz w:val="20"/>
                <w:szCs w:val="20"/>
                <w:color w:val="auto"/>
              </w:rPr>
            </w:pPr>
            <w:r>
              <w:rPr>
                <w:rFonts w:ascii="Courier New" w:cs="Courier New" w:eastAsia="Courier New" w:hAnsi="Courier New"/>
                <w:sz w:val="18"/>
                <w:szCs w:val="18"/>
                <w:color w:val="auto"/>
                <w:w w:val="96"/>
              </w:rPr>
              <w:t>GROUNDSMASTER 200, 300 MOWERS</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Up to 109.9%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114.9%</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115%</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w:t>
            </w:r>
          </w:p>
        </w:tc>
        <w:tc>
          <w:tcPr>
            <w:tcW w:w="3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250</w:t>
            </w:r>
          </w:p>
        </w:tc>
      </w:tr>
    </w:tbl>
    <w:p>
      <w:pPr>
        <w:spacing w:after="0" w:line="200" w:lineRule="exact"/>
        <w:rPr>
          <w:sz w:val="20"/>
          <w:szCs w:val="20"/>
          <w:color w:val="auto"/>
        </w:rPr>
      </w:pPr>
    </w:p>
    <w:p>
      <w:pPr>
        <w:spacing w:after="0" w:line="209" w:lineRule="exact"/>
        <w:rPr>
          <w:sz w:val="20"/>
          <w:szCs w:val="20"/>
          <w:color w:val="auto"/>
        </w:rPr>
      </w:pPr>
    </w:p>
    <w:p>
      <w:pPr>
        <w:ind w:left="540" w:right="3899" w:hanging="5"/>
        <w:spacing w:after="0" w:line="268" w:lineRule="auto"/>
        <w:tabs>
          <w:tab w:leader="none" w:pos="85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Executive Club Participating Dealer must purchase at least 100% of its Purchase Base in each Eligible Product category designated by an asterisk, for which the Dealer has an authorized sales and service agreement, in order to be eligible to earn any Award Points under the Program, except that all Participating Dealers are authorized to earn Award Points in Category</w:t>
      </w:r>
    </w:p>
    <w:p>
      <w:pPr>
        <w:ind w:left="960" w:hanging="425"/>
        <w:spacing w:after="0" w:line="234"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must also be met.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DEALERS</w:t>
      </w:r>
    </w:p>
    <w:p>
      <w:pPr>
        <w:spacing w:after="0" w:line="207"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A dealer which has not purchased products in any one or all of the categories of Eligible Products since August 1, 1993 will be deemed to be a New Dealer with respect to any Eligible Product category in which purchases were not so made. New Dealers will be assigned Purchase Bases in accordance with the following table.</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2" w:right="1440" w:bottom="1440" w:gutter="0" w:footer="0" w:header="0"/>
        </w:sectPr>
      </w:pPr>
    </w:p>
    <w:bookmarkStart w:id="12" w:name="page13"/>
    <w:bookmarkEnd w:id="12"/>
    <w:p>
      <w:pPr>
        <w:ind w:left="1800"/>
        <w:spacing w:after="0"/>
        <w:rPr>
          <w:sz w:val="20"/>
          <w:szCs w:val="20"/>
          <w:color w:val="auto"/>
        </w:rPr>
      </w:pPr>
      <w:r>
        <w:rPr>
          <w:rFonts w:ascii="Courier New" w:cs="Courier New" w:eastAsia="Courier New" w:hAnsi="Courier New"/>
          <w:sz w:val="18"/>
          <w:szCs w:val="18"/>
          <w:color w:val="auto"/>
        </w:rPr>
        <w:t>NEW DEALER PURCHASE BASE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ELIGIBLE</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PURCHASE BASE,</w:t>
      </w:r>
    </w:p>
    <w:p>
      <w:pPr>
        <w:spacing w:after="0" w:line="16" w:lineRule="exact"/>
        <w:rPr>
          <w:sz w:val="20"/>
          <w:szCs w:val="20"/>
          <w:color w:val="auto"/>
        </w:rPr>
      </w:pPr>
    </w:p>
    <w:p>
      <w:pPr>
        <w:ind w:left="120"/>
        <w:spacing w:after="0"/>
        <w:tabs>
          <w:tab w:leader="none" w:pos="6000" w:val="left"/>
        </w:tabs>
        <w:rPr>
          <w:sz w:val="20"/>
          <w:szCs w:val="20"/>
          <w:color w:val="auto"/>
        </w:rPr>
      </w:pPr>
      <w:r>
        <w:rPr>
          <w:rFonts w:ascii="Courier New" w:cs="Courier New" w:eastAsia="Courier New" w:hAnsi="Courier New"/>
          <w:sz w:val="18"/>
          <w:szCs w:val="18"/>
          <w:color w:val="auto"/>
        </w:rPr>
        <w:t>ELIGIBLE PRODUCT CATEGORY</w:t>
      </w:r>
      <w:r>
        <w:rPr>
          <w:sz w:val="20"/>
          <w:szCs w:val="20"/>
          <w:color w:val="auto"/>
        </w:rPr>
        <w:tab/>
      </w:r>
      <w:r>
        <w:rPr>
          <w:rFonts w:ascii="Courier New" w:cs="Courier New" w:eastAsia="Courier New" w:hAnsi="Courier New"/>
          <w:sz w:val="16"/>
          <w:szCs w:val="16"/>
          <w:color w:val="auto"/>
        </w:rPr>
        <w:t>BY CATEGORY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4"/>
          </w:tcPr>
          <w:p>
            <w:pPr>
              <w:spacing w:after="0"/>
              <w:rPr>
                <w:sz w:val="20"/>
                <w:szCs w:val="20"/>
                <w:color w:val="auto"/>
              </w:rPr>
            </w:pPr>
            <w:r>
              <w:rPr>
                <w:rFonts w:ascii="Courier New" w:cs="Courier New" w:eastAsia="Courier New" w:hAnsi="Courier New"/>
                <w:sz w:val="18"/>
                <w:szCs w:val="18"/>
                <w:color w:val="auto"/>
              </w:rPr>
              <w:t>Category 1 - Toro Walk Power Mower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Units</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Category 2</w:t>
            </w:r>
          </w:p>
        </w:tc>
        <w:tc>
          <w:tcPr>
            <w:tcW w:w="4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Lawn-Boy Walk Power Mowers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Units</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Category 3</w:t>
            </w:r>
          </w:p>
        </w:tc>
        <w:tc>
          <w:tcPr>
            <w:tcW w:w="4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Toro Rear Engine Riders/Lawn Tractors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Units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Toro</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Garden Tractors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Units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Toro</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Yard and Garden Tractors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Units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Category 6</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 Toro Electric</w:t>
            </w:r>
          </w:p>
        </w:tc>
        <w:tc>
          <w:tcPr>
            <w:tcW w:w="3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and Gas Hand Held Products</w:t>
            </w:r>
          </w:p>
        </w:tc>
        <w:tc>
          <w:tcPr>
            <w:tcW w:w="9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Category 7</w:t>
            </w:r>
          </w:p>
        </w:tc>
        <w:tc>
          <w:tcPr>
            <w:tcW w:w="4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 ProLine Walk Behind Mowers</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Units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 Groundsmaster 120,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Riding Mowers</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Units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 Groundsmaster 200,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Riding Mowers</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Unit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Award Points may be earned by New Dealers or those deemed to be New Dealers in accordance with the Award Points Table - Existing and New Dealers, above. A New Dealer or a dealer adding a new product line is required to meet the Purchase Base for each of the Eligible Product Categories 1 through 6 for which the New Dealer has an authorized sales and service agreement. A New Dealer must purchase a minimum of $150,000 of Toro spring, snow and/or Lawn-Boy whole goods products from the Company or a Participating Distributor during each Program Year to earn Award Points. A New Dealer must otherwise comply with Program requirements, and will be treated as a Participating Dealer for Program purposes.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AWARD OF COMMON STOCK</w:t>
      </w:r>
    </w:p>
    <w:p>
      <w:pPr>
        <w:spacing w:after="0" w:line="207"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A Participating Dealer will accrue Award Points throughout each Program Year. Award Points earned in connection with the Predecessor Program (which was offered with respect to the years ended July 31, 1994 and July 31, 1995), and not exchanged for shares of Common Stock, may be carried over as accrued Award Points in this Program.</w:t>
      </w:r>
    </w:p>
    <w:p>
      <w:pPr>
        <w:spacing w:after="0" w:line="210"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At the conclusion of the First Program Year, a Participating Dealer who has met the threshold requirements described below, and has accumulated sufficient Award Points, may elect to exchange Award Points for shares of Common Stock of the Company. Award Points are valued at $1.00 each, and may be exchanged for shares of Common Stock based on the closing price per share of Common Stock on the New York Stock Exchange on the last day of the Program Year (July 31), if a trading day, or first trading day thereafter. Shares of Common Stock will be issued only if at least one full lot of 100 shares has been earned and only in even lots of 100 shares.</w:t>
      </w:r>
    </w:p>
    <w:p>
      <w:pPr>
        <w:spacing w:after="0" w:line="216"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If insufficient Award Points are accumulated in the First Program Year, when added together with any points carried over from the Predecessor Program, to earn at least 100 shares of Common Stock, points may be carried over to the Second Program Year to be exchanged for shares of Common Stock at the end of the Second Program Year, if the minimum of 100 shares is earned. At the conclusion of the Second Program Year, a Participating Dealer who has met the threshold requirements, and has accumulated sufficient Award Points, may exchange Award Points for shares of the Common Stock. If a Participating Dealer elects not to exchange Award Points for Common Stock, the Award Points will be forfeited. If insufficient Award Points are accumulated to earn 100 shares by the end of the Second Program Year, or if Award Points insufficient to earn more than one even lot are accumulated, the Company may, at its sole</w:t>
      </w:r>
    </w:p>
    <w:p>
      <w:pPr>
        <w:spacing w:after="0" w:line="38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970" w:gutter="0" w:footer="0" w:header="0"/>
        </w:sectPr>
      </w:pPr>
    </w:p>
    <w:bookmarkStart w:id="13" w:name="page14"/>
    <w:bookmarkEnd w:id="13"/>
    <w:p>
      <w:pPr>
        <w:ind w:right="3679"/>
        <w:spacing w:after="0" w:line="235" w:lineRule="auto"/>
        <w:rPr>
          <w:sz w:val="20"/>
          <w:szCs w:val="20"/>
          <w:color w:val="auto"/>
        </w:rPr>
      </w:pPr>
      <w:r>
        <w:rPr>
          <w:rFonts w:ascii="Courier New" w:cs="Courier New" w:eastAsia="Courier New" w:hAnsi="Courier New"/>
          <w:sz w:val="18"/>
          <w:szCs w:val="18"/>
          <w:color w:val="auto"/>
        </w:rPr>
        <w:t>option, carry points over as a credit towards other incentives offered in a subsequent year by the Company.</w:t>
      </w:r>
    </w:p>
    <w:p>
      <w:pPr>
        <w:spacing w:after="0" w:line="208" w:lineRule="exact"/>
        <w:rPr>
          <w:sz w:val="20"/>
          <w:szCs w:val="20"/>
          <w:color w:val="auto"/>
        </w:rPr>
      </w:pPr>
    </w:p>
    <w:p>
      <w:pPr>
        <w:ind w:right="3359" w:firstLine="211"/>
        <w:spacing w:after="0" w:line="269" w:lineRule="auto"/>
        <w:rPr>
          <w:sz w:val="20"/>
          <w:szCs w:val="20"/>
          <w:color w:val="auto"/>
        </w:rPr>
      </w:pPr>
      <w:r>
        <w:rPr>
          <w:rFonts w:ascii="Courier New" w:cs="Courier New" w:eastAsia="Courier New" w:hAnsi="Courier New"/>
          <w:sz w:val="16"/>
          <w:szCs w:val="16"/>
          <w:color w:val="auto"/>
        </w:rPr>
        <w:t>Following each Program Year, the Company will send a form to be completed by each Participating Dealer indicating the number of Award Points credited and inquiring whether the Dealer wishes to exchange Award Points for shares of Common Stock (subject to the 100 share minimum). The form will be sent to each Participating Dealer in early September of each of 1996 and 1997. A Participating Dealer's election must be made by September 15 of each year (or such other date as may be announced by the Company). THE ELECTION IS IRREVOCABLE ONCE MADE. With respect to the First Program Year (September 1996), if no written election is received by the Company from a Participating Dealer by the deadline, the Dealer will be deemed to have elected to "bank" the Award Points received by such Dealer. If no election is made by a Participating Dealer on or before the deadline for the Second Program Year, the Dealer will be deemed to have elected to receive shares of Common Stock of the Company in exchange for Award Points (subject to the 100 share minimum). If a Dealer elects not to receive shares of Common Stock after the Second Program Year, accrued Award Points will be forfeited.</w:t>
      </w:r>
    </w:p>
    <w:p>
      <w:pPr>
        <w:spacing w:after="0" w:line="395"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Award Points "banked" after the end of the First Program Year and then exchanged for shares of Common Stock after the end of the Second Program Year will be exchanged for shares of Common Stock valued at the closing price applicable to the Second Program Year, and not the First Program Year.</w:t>
      </w:r>
    </w:p>
    <w:p>
      <w:pPr>
        <w:spacing w:after="0" w:line="209" w:lineRule="exact"/>
        <w:rPr>
          <w:sz w:val="20"/>
          <w:szCs w:val="20"/>
          <w:color w:val="auto"/>
        </w:rPr>
      </w:pPr>
    </w:p>
    <w:p>
      <w:pPr>
        <w:ind w:right="3359" w:firstLine="211"/>
        <w:spacing w:after="0" w:line="271" w:lineRule="auto"/>
        <w:rPr>
          <w:sz w:val="20"/>
          <w:szCs w:val="20"/>
          <w:color w:val="auto"/>
        </w:rPr>
      </w:pPr>
      <w:r>
        <w:rPr>
          <w:rFonts w:ascii="Courier New" w:cs="Courier New" w:eastAsia="Courier New" w:hAnsi="Courier New"/>
          <w:sz w:val="16"/>
          <w:szCs w:val="16"/>
          <w:color w:val="auto"/>
        </w:rPr>
        <w:t>The Company will deliver certificates representing shares of Common Stock to Participating Dealers as soon as practicable after the date by which Dealers must make the election to purchase shares but not before October 1. A Dealer may not pay cash in addition to the Dealer's Award Points in order to purchase additional shares of Common Stock. The shares will be issued to and registered in the name of the Participating Dealer.</w:t>
      </w:r>
    </w:p>
    <w:p>
      <w:pPr>
        <w:spacing w:after="0" w:line="188" w:lineRule="exact"/>
        <w:rPr>
          <w:sz w:val="20"/>
          <w:szCs w:val="20"/>
          <w:color w:val="auto"/>
        </w:rPr>
      </w:pPr>
    </w:p>
    <w:p>
      <w:pPr>
        <w:ind w:right="3679" w:firstLine="211"/>
        <w:spacing w:after="0" w:line="235" w:lineRule="auto"/>
        <w:rPr>
          <w:sz w:val="20"/>
          <w:szCs w:val="20"/>
          <w:color w:val="auto"/>
        </w:rPr>
      </w:pPr>
      <w:r>
        <w:rPr>
          <w:rFonts w:ascii="Courier New" w:cs="Courier New" w:eastAsia="Courier New" w:hAnsi="Courier New"/>
          <w:sz w:val="18"/>
          <w:szCs w:val="18"/>
          <w:color w:val="auto"/>
        </w:rPr>
        <w:t>The Company will issue a maximum of 100,000 shares of Common Stock to Participating Dealers as a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INFORMATION</w:t>
      </w:r>
    </w:p>
    <w:p>
      <w:pPr>
        <w:spacing w:after="0" w:line="207" w:lineRule="exact"/>
        <w:rPr>
          <w:sz w:val="20"/>
          <w:szCs w:val="20"/>
          <w:color w:val="auto"/>
        </w:rPr>
      </w:pPr>
    </w:p>
    <w:p>
      <w:pPr>
        <w:ind w:right="4199" w:firstLine="316"/>
        <w:spacing w:after="0" w:line="235" w:lineRule="auto"/>
        <w:rPr>
          <w:sz w:val="20"/>
          <w:szCs w:val="20"/>
          <w:color w:val="auto"/>
        </w:rPr>
      </w:pPr>
      <w:r>
        <w:rPr>
          <w:rFonts w:ascii="Courier New" w:cs="Courier New" w:eastAsia="Courier New" w:hAnsi="Courier New"/>
          <w:sz w:val="18"/>
          <w:szCs w:val="18"/>
          <w:color w:val="auto"/>
        </w:rPr>
        <w:t>The following is a brief summary of some potential tax consequences to Participating Dealers:</w:t>
      </w:r>
    </w:p>
    <w:p>
      <w:pPr>
        <w:spacing w:after="0" w:line="208" w:lineRule="exact"/>
        <w:rPr>
          <w:sz w:val="20"/>
          <w:szCs w:val="20"/>
          <w:color w:val="auto"/>
        </w:rPr>
      </w:pPr>
    </w:p>
    <w:p>
      <w:pPr>
        <w:ind w:right="3359" w:firstLine="316"/>
        <w:spacing w:after="0" w:line="271" w:lineRule="auto"/>
        <w:rPr>
          <w:sz w:val="20"/>
          <w:szCs w:val="20"/>
          <w:color w:val="auto"/>
        </w:rPr>
      </w:pPr>
      <w:r>
        <w:rPr>
          <w:rFonts w:ascii="Courier New" w:cs="Courier New" w:eastAsia="Courier New" w:hAnsi="Courier New"/>
          <w:sz w:val="16"/>
          <w:szCs w:val="16"/>
          <w:color w:val="auto"/>
        </w:rPr>
        <w:t>RECOGNITION OF INCOME. A Participating Dealer will be treated as having received taxable income equal to the number of Award Points exchanged for shares of Common Stock. A Dealer will be treated as having received such income on the date the Dealer makes the irrevocable election to receive shares of Common Stock or on the September 15 after the Second Program Year, if no election is made with respect to the Second Program Year.</w:t>
      </w:r>
    </w:p>
    <w:p>
      <w:pPr>
        <w:spacing w:after="0" w:line="188" w:lineRule="exact"/>
        <w:rPr>
          <w:sz w:val="20"/>
          <w:szCs w:val="20"/>
          <w:color w:val="auto"/>
        </w:rPr>
      </w:pPr>
    </w:p>
    <w:p>
      <w:pPr>
        <w:ind w:right="3479" w:firstLine="316"/>
        <w:spacing w:after="0" w:line="237" w:lineRule="auto"/>
        <w:rPr>
          <w:sz w:val="20"/>
          <w:szCs w:val="20"/>
          <w:color w:val="auto"/>
        </w:rPr>
      </w:pPr>
      <w:r>
        <w:rPr>
          <w:rFonts w:ascii="Courier New" w:cs="Courier New" w:eastAsia="Courier New" w:hAnsi="Courier New"/>
          <w:sz w:val="18"/>
          <w:szCs w:val="18"/>
          <w:color w:val="auto"/>
        </w:rPr>
        <w:t>SALE OF COMMON STOCK. If a Participating Dealer sells shares of Common Stock received under the Program, the Participating Dealer will recognize gain or loss equal to the difference between the selling price and the Participating Dealer's tax basis. The tax basis is the amount reported as income on the Participating Dealer's income tax return with respect to the shares received. The gain or loss generally will be treated as capital gain or loss.</w:t>
      </w:r>
    </w:p>
    <w:p>
      <w:pPr>
        <w:spacing w:after="0" w:line="212" w:lineRule="exact"/>
        <w:rPr>
          <w:sz w:val="20"/>
          <w:szCs w:val="20"/>
          <w:color w:val="auto"/>
        </w:rPr>
      </w:pPr>
    </w:p>
    <w:p>
      <w:pPr>
        <w:ind w:right="3479" w:firstLine="316"/>
        <w:spacing w:after="0" w:line="272" w:lineRule="auto"/>
        <w:rPr>
          <w:sz w:val="20"/>
          <w:szCs w:val="20"/>
          <w:color w:val="auto"/>
        </w:rPr>
      </w:pPr>
      <w:r>
        <w:rPr>
          <w:rFonts w:ascii="Courier New" w:cs="Courier New" w:eastAsia="Courier New" w:hAnsi="Courier New"/>
          <w:sz w:val="16"/>
          <w:szCs w:val="16"/>
          <w:color w:val="auto"/>
        </w:rPr>
        <w:t>Gain or loss on the sale of shares held for more than twelve months will be long-term capital gain or loss. If the shares of Common Stock are held for less than twelve months, the gain or loss will be treated as short-term capital gain or loss. The maximum rate for taxation of capital gains is currently 28%. Recent tax legislation increased the highest rate of tax on</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4" w:name="page15"/>
    <w:bookmarkEnd w:id="14"/>
    <w:p>
      <w:pPr>
        <w:ind w:right="3579"/>
        <w:spacing w:after="0" w:line="236" w:lineRule="auto"/>
        <w:rPr>
          <w:sz w:val="20"/>
          <w:szCs w:val="20"/>
          <w:color w:val="auto"/>
        </w:rPr>
      </w:pPr>
      <w:r>
        <w:rPr>
          <w:rFonts w:ascii="Courier New" w:cs="Courier New" w:eastAsia="Courier New" w:hAnsi="Courier New"/>
          <w:sz w:val="18"/>
          <w:szCs w:val="18"/>
          <w:color w:val="auto"/>
        </w:rPr>
        <w:t>ordinary income, so that capital gains may, depending on the Participating Dealer's tax bracket, be entitled to preferential treatment.</w:t>
      </w:r>
    </w:p>
    <w:p>
      <w:pPr>
        <w:spacing w:after="0" w:line="209" w:lineRule="exact"/>
        <w:rPr>
          <w:sz w:val="20"/>
          <w:szCs w:val="20"/>
          <w:color w:val="auto"/>
        </w:rPr>
      </w:pPr>
    </w:p>
    <w:p>
      <w:pPr>
        <w:ind w:right="3359" w:firstLine="316"/>
        <w:spacing w:after="0" w:line="271" w:lineRule="auto"/>
        <w:rPr>
          <w:sz w:val="20"/>
          <w:szCs w:val="20"/>
          <w:color w:val="auto"/>
        </w:rPr>
      </w:pPr>
      <w:r>
        <w:rPr>
          <w:rFonts w:ascii="Courier New" w:cs="Courier New" w:eastAsia="Courier New" w:hAnsi="Courier New"/>
          <w:sz w:val="16"/>
          <w:szCs w:val="16"/>
          <w:color w:val="auto"/>
        </w:rPr>
        <w:t>PREFERRED SHARE PURCHASE RIGHTS. Each share of Common Stock carries with it a right to purchase Series B Junior Participating Preferred Stock under certain circumstances set forth in a Rights Agreement dated June 14, 1988. Distribution of the rights will not be taxable to the recipient; however, a stockholder may, depending on individual circumstances, recognize taxable income when the Preferred Share Purchase Rights become exercisable.</w:t>
      </w:r>
    </w:p>
    <w:p>
      <w:pPr>
        <w:spacing w:after="0" w:line="188"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THE FOREGOING IS ONLY A GENERAL DISCUSSION OF SOME POTENTIAL TAX CONSEQUENCES. PARTICIPATING DEALERS ARE ADVISED TO CONSULT THEIR OWN TAX ADVISORS WITH RESPECT TO ISSUES DISCUSSED ABOVE AND ANY OTHER ISSUES, INCLUDING STATE TAX ISSUES.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 AND ADMINISTRATION</w:t>
      </w:r>
    </w:p>
    <w:p>
      <w:pPr>
        <w:spacing w:after="0" w:line="207"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AMENDMENTS TO PROGRAM. The Program may be amended by the Company at any time and may be terminated by the Company prior to its anticipated conclusion on July 31, 1997, in the sole discretion of the Company. Amendments to the Program announced from time to time by the Company will become effective at such times as are determined by the Company.</w:t>
      </w:r>
    </w:p>
    <w:p>
      <w:pPr>
        <w:spacing w:after="0" w:line="210" w:lineRule="exact"/>
        <w:rPr>
          <w:sz w:val="20"/>
          <w:szCs w:val="20"/>
          <w:color w:val="auto"/>
        </w:rPr>
      </w:pPr>
    </w:p>
    <w:p>
      <w:pPr>
        <w:ind w:right="3359" w:firstLine="316"/>
        <w:spacing w:after="0" w:line="275" w:lineRule="auto"/>
        <w:rPr>
          <w:sz w:val="20"/>
          <w:szCs w:val="20"/>
          <w:color w:val="auto"/>
        </w:rPr>
      </w:pPr>
      <w:r>
        <w:rPr>
          <w:rFonts w:ascii="Courier New" w:cs="Courier New" w:eastAsia="Courier New" w:hAnsi="Courier New"/>
          <w:sz w:val="16"/>
          <w:szCs w:val="16"/>
          <w:color w:val="auto"/>
        </w:rPr>
        <w:t>Amendments to the Program may be adopted which change the Program in any manner the Company determines, including amendments which change the number of Award Points awarded by the Company for Eligible Products or products which may be eligible.</w:t>
      </w:r>
    </w:p>
    <w:p>
      <w:pPr>
        <w:spacing w:after="0" w:line="182" w:lineRule="exact"/>
        <w:rPr>
          <w:sz w:val="20"/>
          <w:szCs w:val="20"/>
          <w:color w:val="auto"/>
        </w:rPr>
      </w:pPr>
    </w:p>
    <w:p>
      <w:pPr>
        <w:ind w:right="3479" w:firstLine="316"/>
        <w:spacing w:after="0" w:line="237" w:lineRule="auto"/>
        <w:rPr>
          <w:sz w:val="20"/>
          <w:szCs w:val="20"/>
          <w:color w:val="auto"/>
        </w:rPr>
      </w:pPr>
      <w:r>
        <w:rPr>
          <w:rFonts w:ascii="Courier New" w:cs="Courier New" w:eastAsia="Courier New" w:hAnsi="Courier New"/>
          <w:sz w:val="18"/>
          <w:szCs w:val="18"/>
          <w:color w:val="auto"/>
        </w:rPr>
        <w:t>ASSIGNMENT OF COMMON STOCK AWARD. A Participating Dealer may not assign its rights to receive Common Stock awards under the Program to any person other than to a person purchasing or otherwise succeeding to the dealership.</w:t>
      </w:r>
    </w:p>
    <w:p>
      <w:pPr>
        <w:spacing w:after="0" w:line="207" w:lineRule="exact"/>
        <w:rPr>
          <w:sz w:val="20"/>
          <w:szCs w:val="20"/>
          <w:color w:val="auto"/>
        </w:rPr>
      </w:pPr>
    </w:p>
    <w:p>
      <w:pPr>
        <w:ind w:right="3679" w:firstLine="316"/>
        <w:spacing w:after="0" w:line="237" w:lineRule="auto"/>
        <w:rPr>
          <w:sz w:val="20"/>
          <w:szCs w:val="20"/>
          <w:color w:val="auto"/>
        </w:rPr>
      </w:pPr>
      <w:r>
        <w:rPr>
          <w:rFonts w:ascii="Courier New" w:cs="Courier New" w:eastAsia="Courier New" w:hAnsi="Courier New"/>
          <w:sz w:val="18"/>
          <w:szCs w:val="18"/>
          <w:color w:val="auto"/>
        </w:rPr>
        <w:t>TRANSFER OF DEALERSHIP. If a Participating Dealer sells or otherwise transfers a dealership, the person succeeding to the dealership may continue to participate in the Program and purchases made by the transferring Dealer will be deemed to be made by the person succeeding to the dealership.</w:t>
      </w:r>
    </w:p>
    <w:p>
      <w:pPr>
        <w:spacing w:after="0" w:line="209" w:lineRule="exact"/>
        <w:rPr>
          <w:sz w:val="20"/>
          <w:szCs w:val="20"/>
          <w:color w:val="auto"/>
        </w:rPr>
      </w:pPr>
    </w:p>
    <w:p>
      <w:pPr>
        <w:jc w:val="both"/>
        <w:ind w:right="3479" w:firstLine="316"/>
        <w:spacing w:after="0" w:line="279" w:lineRule="auto"/>
        <w:rPr>
          <w:sz w:val="20"/>
          <w:szCs w:val="20"/>
          <w:color w:val="auto"/>
        </w:rPr>
      </w:pPr>
      <w:r>
        <w:rPr>
          <w:rFonts w:ascii="Courier New" w:cs="Courier New" w:eastAsia="Courier New" w:hAnsi="Courier New"/>
          <w:sz w:val="16"/>
          <w:szCs w:val="16"/>
          <w:color w:val="auto"/>
        </w:rPr>
        <w:t>TERMINATING DEALERS. A Participating Dealer must be a dealer of the Company on the last day of the applicable Program Year in order to receive shares of Common Stock under this Program.</w:t>
      </w:r>
    </w:p>
    <w:p>
      <w:pPr>
        <w:spacing w:after="0" w:line="178" w:lineRule="exact"/>
        <w:rPr>
          <w:sz w:val="20"/>
          <w:szCs w:val="20"/>
          <w:color w:val="auto"/>
        </w:rPr>
      </w:pPr>
    </w:p>
    <w:p>
      <w:pPr>
        <w:ind w:right="3359" w:firstLine="316"/>
        <w:spacing w:after="0" w:line="236" w:lineRule="auto"/>
        <w:rPr>
          <w:sz w:val="20"/>
          <w:szCs w:val="20"/>
          <w:color w:val="auto"/>
        </w:rPr>
      </w:pPr>
      <w:r>
        <w:rPr>
          <w:rFonts w:ascii="Courier New" w:cs="Courier New" w:eastAsia="Courier New" w:hAnsi="Courier New"/>
          <w:sz w:val="18"/>
          <w:szCs w:val="18"/>
          <w:color w:val="auto"/>
        </w:rPr>
        <w:t>TAXES. Payment of any taxes imposed on the receipt of shares of Common Stock is the responsibility of the Participating Dealer and not of the Company.</w:t>
      </w:r>
    </w:p>
    <w:p>
      <w:pPr>
        <w:spacing w:after="0" w:line="209" w:lineRule="exact"/>
        <w:rPr>
          <w:sz w:val="20"/>
          <w:szCs w:val="20"/>
          <w:color w:val="auto"/>
        </w:rPr>
      </w:pPr>
    </w:p>
    <w:p>
      <w:pPr>
        <w:ind w:right="3479" w:firstLine="316"/>
        <w:spacing w:after="0" w:line="237" w:lineRule="auto"/>
        <w:rPr>
          <w:sz w:val="20"/>
          <w:szCs w:val="20"/>
          <w:color w:val="auto"/>
        </w:rPr>
      </w:pPr>
      <w:r>
        <w:rPr>
          <w:rFonts w:ascii="Courier New" w:cs="Courier New" w:eastAsia="Courier New" w:hAnsi="Courier New"/>
          <w:sz w:val="18"/>
          <w:szCs w:val="18"/>
          <w:color w:val="auto"/>
        </w:rPr>
        <w:t>CURRENT ACCOUNTS. All accounts of a Participating Dealer with the distributor from which the Dealer makes purchases and with the Company must be current as of the last day of the applicable Program Year in order for the Participating Dealer to be entitled to receive any shares of Common Stock for that Program Year.</w:t>
      </w:r>
    </w:p>
    <w:p>
      <w:pPr>
        <w:spacing w:after="0" w:line="210" w:lineRule="exact"/>
        <w:rPr>
          <w:sz w:val="20"/>
          <w:szCs w:val="20"/>
          <w:color w:val="auto"/>
        </w:rPr>
      </w:pPr>
    </w:p>
    <w:p>
      <w:pPr>
        <w:ind w:right="3479" w:firstLine="316"/>
        <w:spacing w:after="0" w:line="237" w:lineRule="auto"/>
        <w:rPr>
          <w:sz w:val="20"/>
          <w:szCs w:val="20"/>
          <w:color w:val="auto"/>
        </w:rPr>
      </w:pPr>
      <w:r>
        <w:rPr>
          <w:rFonts w:ascii="Courier New" w:cs="Courier New" w:eastAsia="Courier New" w:hAnsi="Courier New"/>
          <w:sz w:val="18"/>
          <w:szCs w:val="18"/>
          <w:color w:val="auto"/>
        </w:rPr>
        <w:t>MULTIPLE DEALERSHIPS. If a Participating Dealer sells Toro and Lawn-Boy products at more than one retail outlet, all retail outlets operated by the Dealer will be deemed to be one dealership.</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5" w:name="page16"/>
    <w:bookmarkEnd w:id="15"/>
    <w:p>
      <w:pPr>
        <w:ind w:right="3359" w:firstLine="316"/>
        <w:spacing w:after="0" w:line="271" w:lineRule="auto"/>
        <w:rPr>
          <w:sz w:val="20"/>
          <w:szCs w:val="20"/>
          <w:color w:val="auto"/>
        </w:rPr>
      </w:pPr>
      <w:r>
        <w:rPr>
          <w:rFonts w:ascii="Courier New" w:cs="Courier New" w:eastAsia="Courier New" w:hAnsi="Courier New"/>
          <w:sz w:val="16"/>
          <w:szCs w:val="16"/>
          <w:color w:val="auto"/>
        </w:rPr>
        <w:t>COST OF SHARES AND INCENTIVES; OFFERING BY THE COMPANY. The Company will issue shares of Common Stock held in its treasury for use under the Program. The Company will pay any fees associated with the issuance of the shares of Common Stock to Participating Dealers and will pay the administrative costs of the Program. The cost to the Company of shares of Common Stock offered under the Program will be absorbed by the Company. There will be no proceeds to the Company from issuance of the shares.</w:t>
      </w:r>
    </w:p>
    <w:p>
      <w:pPr>
        <w:spacing w:after="0" w:line="186" w:lineRule="exact"/>
        <w:rPr>
          <w:sz w:val="20"/>
          <w:szCs w:val="20"/>
          <w:color w:val="auto"/>
        </w:rPr>
      </w:pPr>
    </w:p>
    <w:p>
      <w:pPr>
        <w:ind w:right="3899" w:firstLine="316"/>
        <w:spacing w:after="0" w:line="235" w:lineRule="auto"/>
        <w:rPr>
          <w:sz w:val="20"/>
          <w:szCs w:val="20"/>
          <w:color w:val="auto"/>
        </w:rPr>
      </w:pPr>
      <w:r>
        <w:rPr>
          <w:rFonts w:ascii="Courier New" w:cs="Courier New" w:eastAsia="Courier New" w:hAnsi="Courier New"/>
          <w:sz w:val="18"/>
          <w:szCs w:val="18"/>
          <w:color w:val="auto"/>
        </w:rPr>
        <w:t>Shares of Common Stock offered hereby are offered and are expected to be sold directly by the Company.</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3579" w:firstLine="316"/>
        <w:spacing w:after="0" w:line="236" w:lineRule="auto"/>
        <w:rPr>
          <w:sz w:val="20"/>
          <w:szCs w:val="20"/>
          <w:color w:val="auto"/>
        </w:rPr>
      </w:pPr>
      <w:r>
        <w:rPr>
          <w:rFonts w:ascii="Courier New" w:cs="Courier New" w:eastAsia="Courier New" w:hAnsi="Courier New"/>
          <w:sz w:val="18"/>
          <w:szCs w:val="18"/>
          <w:color w:val="auto"/>
        </w:rPr>
        <w:t>The validity of the shares of Common Stock offered hereby is being passed upon for the Company by Helen P. Starr, Esquire, Washington, D.C.</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3359" w:firstLine="316"/>
        <w:spacing w:after="0" w:line="238" w:lineRule="auto"/>
        <w:rPr>
          <w:sz w:val="20"/>
          <w:szCs w:val="20"/>
          <w:color w:val="auto"/>
        </w:rPr>
      </w:pPr>
      <w:r>
        <w:rPr>
          <w:rFonts w:ascii="Courier New" w:cs="Courier New" w:eastAsia="Courier New" w:hAnsi="Courier New"/>
          <w:sz w:val="18"/>
          <w:szCs w:val="18"/>
          <w:color w:val="auto"/>
        </w:rPr>
        <w:t>The financial statements and schedules incorporated herein and in the registration statement by reference to the Annual Report on Form 10-K of the Company have been audited by KPMG Peat Marwick LLP, independent certified public accountants, and have been so incorporated in reliance on the reports of KPMG Peat Marwick LLP and upon the authority of said firm as experts in accounting and auditing. To the extent that KPMG Peat Marwick LLP audits and reports on future financial statements and schedules of the Company and consents to the use of their reports thereon, such financial statements and schedules will also be incorporated by reference in the registration statement in reliance upon their reports and said authority.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4160" w:type="dxa"/>
            <w:vAlign w:val="bottom"/>
          </w:tcPr>
          <w:p>
            <w:pPr>
              <w:ind w:left="1860"/>
              <w:spacing w:after="0"/>
              <w:rPr>
                <w:sz w:val="20"/>
                <w:szCs w:val="20"/>
                <w:color w:val="auto"/>
              </w:rPr>
            </w:pPr>
            <w:r>
              <w:rPr>
                <w:rFonts w:ascii="Courier New" w:cs="Courier New" w:eastAsia="Courier New" w:hAnsi="Courier New"/>
                <w:sz w:val="18"/>
                <w:szCs w:val="18"/>
                <w:color w:val="auto"/>
              </w:rPr>
              <w:t>SCHEDULE A</w:t>
            </w:r>
          </w:p>
        </w:tc>
      </w:tr>
      <w:tr>
        <w:trPr>
          <w:trHeight w:val="810"/>
        </w:trPr>
        <w:tc>
          <w:tcPr>
            <w:tcW w:w="1000" w:type="dxa"/>
            <w:vAlign w:val="bottom"/>
          </w:tcPr>
          <w:p>
            <w:pPr>
              <w:spacing w:after="0"/>
              <w:rPr>
                <w:sz w:val="24"/>
                <w:szCs w:val="24"/>
                <w:color w:val="auto"/>
              </w:rPr>
            </w:pPr>
          </w:p>
        </w:tc>
        <w:tc>
          <w:tcPr>
            <w:tcW w:w="4160" w:type="dxa"/>
            <w:vAlign w:val="bottom"/>
          </w:tcPr>
          <w:p>
            <w:pPr>
              <w:ind w:left="700"/>
              <w:spacing w:after="0"/>
              <w:rPr>
                <w:sz w:val="20"/>
                <w:szCs w:val="20"/>
                <w:color w:val="auto"/>
              </w:rPr>
            </w:pPr>
            <w:r>
              <w:rPr>
                <w:rFonts w:ascii="Courier New" w:cs="Courier New" w:eastAsia="Courier New" w:hAnsi="Courier New"/>
                <w:sz w:val="18"/>
                <w:szCs w:val="18"/>
                <w:color w:val="auto"/>
                <w:w w:val="96"/>
              </w:rPr>
              <w:t>CATEGORY 6 QUALIFYING TORO MODELS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MODEL</w:t>
            </w:r>
          </w:p>
        </w:tc>
        <w:tc>
          <w:tcPr>
            <w:tcW w:w="4160" w:type="dxa"/>
            <w:vAlign w:val="bottom"/>
          </w:tcPr>
          <w:p>
            <w:pPr>
              <w:ind w:left="38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1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51903</w:t>
            </w:r>
          </w:p>
        </w:tc>
        <w:tc>
          <w:tcPr>
            <w:tcW w:w="4160" w:type="dxa"/>
            <w:vAlign w:val="bottom"/>
          </w:tcPr>
          <w:p>
            <w:pPr>
              <w:ind w:left="380"/>
              <w:spacing w:after="0"/>
              <w:rPr>
                <w:sz w:val="20"/>
                <w:szCs w:val="20"/>
                <w:color w:val="auto"/>
              </w:rPr>
            </w:pPr>
            <w:r>
              <w:rPr>
                <w:rFonts w:ascii="Courier New" w:cs="Courier New" w:eastAsia="Courier New" w:hAnsi="Courier New"/>
                <w:sz w:val="18"/>
                <w:szCs w:val="18"/>
                <w:color w:val="auto"/>
              </w:rPr>
              <w:t>31cc Curved Shaft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51906</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31cc Straight Shaft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51908</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31cc Brushcutter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51911</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28cc Curved Shaft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51916</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28cc Straight Shaft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51918</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28cc Brushcutter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51920</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OHV 4-cycle Curved Shaft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51926</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OHV 4-cycle Straight Shaft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51928</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OHV 4-cycle Brushcutter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58450</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31cc Gas Edger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58452</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28cc Gas Edger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62901</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Gas Blower/Vac</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58355</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Garden Cultivator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51559</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 Cordless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51803</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18" Hedge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51807</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22" Hedge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51815</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20" Dual Action Hedge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51819</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24" Dual Action Hedge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51231</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8" Cut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51256</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 Cut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51326</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12" Cut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51443</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14" Cut String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51556</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 Cut Cordless Trimmer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51580</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Clean Sweep Blower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51539</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Air Rake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51549</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Rake &amp; Vac Blower Vac</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51582</w:t>
            </w:r>
          </w:p>
        </w:tc>
        <w:tc>
          <w:tcPr>
            <w:tcW w:w="4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Super Blower Vac</w:t>
            </w:r>
          </w:p>
        </w:tc>
      </w:tr>
    </w:tbl>
    <w:p>
      <w:pPr>
        <w:sectPr>
          <w:pgSz w:w="11900" w:h="16838" w:orient="portrait"/>
          <w:cols w:equalWidth="0" w:num="1">
            <w:col w:w="10219"/>
          </w:cols>
          <w:pgMar w:left="240" w:top="717" w:right="1440" w:bottom="1440" w:gutter="0" w:footer="0" w:header="0"/>
        </w:sectPr>
      </w:pPr>
    </w:p>
    <w:bookmarkStart w:id="17" w:name="page18"/>
    <w:bookmarkEnd w:id="17"/>
    <w:p>
      <w:pPr>
        <w:jc w:val="center"/>
        <w:ind w:right="3359"/>
        <w:spacing w:after="0"/>
        <w:rPr>
          <w:sz w:val="20"/>
          <w:szCs w:val="20"/>
          <w:color w:val="auto"/>
        </w:rPr>
      </w:pPr>
      <w:r>
        <w:rPr>
          <w:rFonts w:ascii="Courier New" w:cs="Courier New" w:eastAsia="Courier New" w:hAnsi="Courier New"/>
          <w:sz w:val="18"/>
          <w:szCs w:val="18"/>
          <w:color w:val="auto"/>
        </w:rPr>
        <w:t>PART II</w:t>
      </w:r>
    </w:p>
    <w:p>
      <w:pPr>
        <w:jc w:val="center"/>
        <w:ind w:right="3479"/>
        <w:spacing w:after="0" w:line="238" w:lineRule="auto"/>
        <w:rPr>
          <w:sz w:val="20"/>
          <w:szCs w:val="20"/>
          <w:color w:val="auto"/>
        </w:rPr>
      </w:pPr>
      <w:r>
        <w:rPr>
          <w:rFonts w:ascii="Courier New" w:cs="Courier New" w:eastAsia="Courier New" w:hAnsi="Courier New"/>
          <w:sz w:val="18"/>
          <w:szCs w:val="18"/>
          <w:color w:val="auto"/>
        </w:rPr>
        <w:t>INFORMATION NOT REQUIRED IN PROSPECTUS</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The following is an itemized statement of expenses of the Registrant in connection with the issuance of and distribution of the shares of Common Stock, all except the first of which are estimates: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Registration Fee . . . . . . . . . . . . $ 1,089</w:t>
      </w:r>
    </w:p>
    <w:tbl>
      <w:tblPr>
        <w:tblLayout w:type="fixed"/>
        <w:tblInd w:w="640" w:type="dxa"/>
        <w:tblCellMar>
          <w:top w:w="0" w:type="dxa"/>
          <w:left w:w="0" w:type="dxa"/>
          <w:bottom w:w="0" w:type="dxa"/>
          <w:right w:w="0" w:type="dxa"/>
        </w:tblCellMar>
      </w:tblP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Transfer</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Agent and Registrar Fees  . . . . .</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4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Accountant's Fees and Expenses . . . . . . .</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4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Counsel Fees and Expenses. . . . . . . . . .</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Blue Sky</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Fees and Expenses . . . . . . . . .</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4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 . . . . . . . . . . . . . . .</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w:t>
            </w:r>
          </w:p>
        </w:tc>
      </w:tr>
      <w:tr>
        <w:trPr>
          <w:trHeight w:val="203"/>
        </w:trPr>
        <w:tc>
          <w:tcPr>
            <w:tcW w:w="9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 . . . . . . . . . . . . . . . $24,000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3359" w:firstLine="316"/>
        <w:spacing w:after="0" w:line="269" w:lineRule="auto"/>
        <w:rPr>
          <w:sz w:val="20"/>
          <w:szCs w:val="20"/>
          <w:color w:val="auto"/>
        </w:rPr>
      </w:pPr>
      <w:r>
        <w:rPr>
          <w:rFonts w:ascii="Courier New" w:cs="Courier New" w:eastAsia="Courier New" w:hAnsi="Courier New"/>
          <w:sz w:val="16"/>
          <w:szCs w:val="16"/>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200" w:lineRule="exact"/>
        <w:rPr>
          <w:sz w:val="20"/>
          <w:szCs w:val="20"/>
          <w:color w:val="auto"/>
        </w:rPr>
      </w:pPr>
    </w:p>
    <w:p>
      <w:pPr>
        <w:spacing w:after="0" w:line="393" w:lineRule="exact"/>
        <w:rPr>
          <w:sz w:val="20"/>
          <w:szCs w:val="20"/>
          <w:color w:val="auto"/>
        </w:rPr>
      </w:pPr>
    </w:p>
    <w:p>
      <w:pPr>
        <w:ind w:right="3359" w:firstLine="316"/>
        <w:spacing w:after="0" w:line="272" w:lineRule="auto"/>
        <w:rPr>
          <w:sz w:val="20"/>
          <w:szCs w:val="20"/>
          <w:color w:val="auto"/>
        </w:rPr>
      </w:pPr>
      <w:r>
        <w:rPr>
          <w:rFonts w:ascii="Courier New" w:cs="Courier New" w:eastAsia="Courier New" w:hAnsi="Courier New"/>
          <w:sz w:val="16"/>
          <w:szCs w:val="16"/>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86" w:lineRule="exact"/>
        <w:rPr>
          <w:sz w:val="20"/>
          <w:szCs w:val="20"/>
          <w:color w:val="auto"/>
        </w:rPr>
      </w:pPr>
    </w:p>
    <w:p>
      <w:pPr>
        <w:ind w:right="3359" w:firstLine="316"/>
        <w:spacing w:after="0" w:line="271" w:lineRule="auto"/>
        <w:rPr>
          <w:sz w:val="20"/>
          <w:szCs w:val="20"/>
          <w:color w:val="auto"/>
        </w:rPr>
      </w:pPr>
      <w:r>
        <w:rPr>
          <w:rFonts w:ascii="Courier New" w:cs="Courier New" w:eastAsia="Courier New" w:hAnsi="Courier New"/>
          <w:sz w:val="16"/>
          <w:szCs w:val="16"/>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8" w:name="page19"/>
    <w:bookmarkEnd w:id="18"/>
    <w:p>
      <w:pPr>
        <w:ind w:right="3579" w:firstLine="316"/>
        <w:spacing w:after="0" w:line="273" w:lineRule="auto"/>
        <w:rPr>
          <w:sz w:val="20"/>
          <w:szCs w:val="20"/>
          <w:color w:val="auto"/>
        </w:rPr>
      </w:pPr>
      <w:r>
        <w:rPr>
          <w:rFonts w:ascii="Courier New" w:cs="Courier New" w:eastAsia="Courier New" w:hAnsi="Courier New"/>
          <w:sz w:val="16"/>
          <w:szCs w:val="16"/>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17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160" w:right="3579" w:hanging="1152"/>
        <w:spacing w:after="0" w:line="235"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Instruments defining the rights of security holders, including indentures: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Specimen form of Common Stock certificate</w:t>
      </w:r>
    </w:p>
    <w:p>
      <w:pPr>
        <w:ind w:left="1160"/>
        <w:spacing w:after="0" w:line="238" w:lineRule="auto"/>
        <w:rPr>
          <w:sz w:val="20"/>
          <w:szCs w:val="20"/>
          <w:color w:val="auto"/>
        </w:rPr>
      </w:pPr>
      <w:r>
        <w:rPr>
          <w:rFonts w:ascii="Courier New" w:cs="Courier New" w:eastAsia="Courier New" w:hAnsi="Courier New"/>
          <w:sz w:val="18"/>
          <w:szCs w:val="18"/>
          <w:color w:val="auto"/>
        </w:rPr>
        <w:t>(incorporated by reference to Exhibit 4(c) to Registrant's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Registration Statement on Form S-8, Registration No. 2-94417).</w:t>
      </w:r>
    </w:p>
    <w:p>
      <w:pPr>
        <w:spacing w:after="0" w:line="224" w:lineRule="exact"/>
        <w:rPr>
          <w:sz w:val="20"/>
          <w:szCs w:val="20"/>
          <w:color w:val="auto"/>
        </w:rPr>
      </w:pPr>
    </w:p>
    <w:p>
      <w:pPr>
        <w:ind w:left="1160" w:right="2419" w:hanging="1159"/>
        <w:spacing w:after="0" w:line="236" w:lineRule="auto"/>
        <w:tabs>
          <w:tab w:leader="none" w:pos="11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Incorporation of the Registrant (incorporated by reference to Exhibit 4.2 to Registrant's Registration Statement on Form S-3, Registration No. 33-16125).</w:t>
      </w:r>
    </w:p>
    <w:p>
      <w:pPr>
        <w:spacing w:after="0" w:line="209" w:lineRule="exact"/>
        <w:rPr>
          <w:sz w:val="20"/>
          <w:szCs w:val="20"/>
          <w:color w:val="auto"/>
        </w:rPr>
      </w:pPr>
    </w:p>
    <w:p>
      <w:pPr>
        <w:ind w:left="1160" w:right="2519" w:hanging="1159"/>
        <w:spacing w:after="0" w:line="237" w:lineRule="auto"/>
        <w:tabs>
          <w:tab w:leader="none" w:pos="11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Certificate of Incorporation dated December 9, 1986 (incorporated by reference to Exhibit 3 to Registrant's Quarterly Report on Form 10-Q for the quarter ended January 30, 1987, Commission File No. 1-8649).</w:t>
      </w:r>
    </w:p>
    <w:p>
      <w:pPr>
        <w:spacing w:after="0" w:line="207" w:lineRule="exact"/>
        <w:rPr>
          <w:sz w:val="20"/>
          <w:szCs w:val="20"/>
          <w:color w:val="auto"/>
        </w:rPr>
      </w:pPr>
    </w:p>
    <w:p>
      <w:pPr>
        <w:ind w:left="1160" w:right="2519" w:hanging="1159"/>
        <w:spacing w:after="0" w:line="237" w:lineRule="auto"/>
        <w:tabs>
          <w:tab w:leader="none" w:pos="114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Amendment to Certificate of Incorporation dated December 8, 1987 (incorporated by reference to Exhibit 3 to Registrant's Quarterly Report on Form 10-Q for the quarter ended January 29, 1988, Commission File No. 1-8649).</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Bylaws of the Registrant (incorporated by reference to</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Exhibit 3.3 to Registrant's Annual Report on Form 10-K for the</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year ended July 31, 1991, Commission File No. 1-8649).</w:t>
      </w:r>
    </w:p>
    <w:p>
      <w:pPr>
        <w:spacing w:after="0" w:line="207" w:lineRule="exact"/>
        <w:rPr>
          <w:sz w:val="20"/>
          <w:szCs w:val="20"/>
          <w:color w:val="auto"/>
        </w:rPr>
      </w:pPr>
    </w:p>
    <w:p>
      <w:pPr>
        <w:ind w:left="1160" w:right="3479" w:hanging="1159"/>
        <w:spacing w:after="0" w:line="237" w:lineRule="auto"/>
        <w:tabs>
          <w:tab w:leader="none" w:pos="114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 1-8649, as amended from time to time).</w:t>
      </w:r>
    </w:p>
    <w:p>
      <w:pPr>
        <w:spacing w:after="0" w:line="212" w:lineRule="exact"/>
        <w:rPr>
          <w:sz w:val="20"/>
          <w:szCs w:val="20"/>
          <w:color w:val="auto"/>
        </w:rPr>
      </w:pPr>
    </w:p>
    <w:p>
      <w:pPr>
        <w:ind w:left="1160" w:right="3479" w:hanging="1152"/>
        <w:spacing w:after="0" w:line="235" w:lineRule="auto"/>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Helen P. Starr, Attorney at Law, regarding legality.</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23(a)</w:t>
      </w:r>
      <w:r>
        <w:rPr>
          <w:sz w:val="20"/>
          <w:szCs w:val="20"/>
          <w:color w:val="auto"/>
        </w:rPr>
        <w:tab/>
      </w:r>
      <w:r>
        <w:rPr>
          <w:rFonts w:ascii="Courier New" w:cs="Courier New" w:eastAsia="Courier New" w:hAnsi="Courier New"/>
          <w:sz w:val="18"/>
          <w:szCs w:val="18"/>
          <w:color w:val="auto"/>
        </w:rPr>
        <w:t>Consent of KPMG Peat Marwick LLP.</w:t>
      </w:r>
    </w:p>
    <w:p>
      <w:pPr>
        <w:spacing w:after="0" w:line="207" w:lineRule="exact"/>
        <w:rPr>
          <w:sz w:val="20"/>
          <w:szCs w:val="20"/>
          <w:color w:val="auto"/>
        </w:rPr>
      </w:pPr>
    </w:p>
    <w:p>
      <w:pPr>
        <w:ind w:left="1160" w:right="3159" w:hanging="1159"/>
        <w:spacing w:after="0" w:line="235" w:lineRule="auto"/>
        <w:tabs>
          <w:tab w:leader="none" w:pos="1140" w:val="left"/>
        </w:tabs>
        <w:rPr>
          <w:sz w:val="20"/>
          <w:szCs w:val="20"/>
          <w:color w:val="auto"/>
        </w:rPr>
      </w:pPr>
      <w:r>
        <w:rPr>
          <w:rFonts w:ascii="Courier New" w:cs="Courier New" w:eastAsia="Courier New" w:hAnsi="Courier New"/>
          <w:sz w:val="18"/>
          <w:szCs w:val="18"/>
          <w:color w:val="auto"/>
        </w:rPr>
        <w:t>23(b)</w:t>
      </w:r>
      <w:r>
        <w:rPr>
          <w:sz w:val="20"/>
          <w:szCs w:val="20"/>
          <w:color w:val="auto"/>
        </w:rPr>
        <w:tab/>
      </w:r>
      <w:r>
        <w:rPr>
          <w:rFonts w:ascii="Courier New" w:cs="Courier New" w:eastAsia="Courier New" w:hAnsi="Courier New"/>
          <w:sz w:val="18"/>
          <w:szCs w:val="18"/>
          <w:color w:val="auto"/>
        </w:rPr>
        <w:t>Consent of Helen P. Starr, Attorney at Law (contained in Exhibit 5).</w:t>
      </w:r>
    </w:p>
    <w:p>
      <w:pPr>
        <w:spacing w:after="0" w:line="203" w:lineRule="exact"/>
        <w:rPr>
          <w:sz w:val="20"/>
          <w:szCs w:val="20"/>
          <w:color w:val="auto"/>
        </w:rPr>
      </w:pPr>
    </w:p>
    <w:p>
      <w:pPr>
        <w:ind w:left="1160" w:hanging="1152"/>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(contained in signature pages).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19" w:name="page20"/>
    <w:bookmarkEnd w:id="19"/>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hanging="736"/>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3359" w:firstLine="745"/>
        <w:spacing w:after="0" w:line="236"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3" w:lineRule="exact"/>
        <w:rPr>
          <w:sz w:val="20"/>
          <w:szCs w:val="20"/>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w:t>
      </w:r>
    </w:p>
    <w:p>
      <w:pPr>
        <w:spacing w:after="0" w:line="4" w:lineRule="exact"/>
        <w:rPr>
          <w:sz w:val="20"/>
          <w:szCs w:val="20"/>
          <w:color w:val="auto"/>
        </w:rPr>
      </w:pPr>
    </w:p>
    <w:p>
      <w:pPr>
        <w:ind w:left="1060" w:right="3479"/>
        <w:spacing w:after="0" w:line="237" w:lineRule="auto"/>
        <w:rPr>
          <w:sz w:val="20"/>
          <w:szCs w:val="20"/>
          <w:color w:val="auto"/>
        </w:rPr>
      </w:pPr>
      <w:r>
        <w:rPr>
          <w:rFonts w:ascii="Courier New" w:cs="Courier New" w:eastAsia="Courier New" w:hAnsi="Courier New"/>
          <w:sz w:val="18"/>
          <w:szCs w:val="18"/>
          <w:color w:val="auto"/>
        </w:rPr>
        <w:t>section 10(a)(3) of the Securities Act of 1933 (unless the information required to be included in a post-effective amendment is contained in periodic reports filed by the Registrant pursuant to section 13 or section 15(d) of the Securities Exchange Act of 1934 that are incorporated by reference in the registration statement);</w:t>
      </w:r>
    </w:p>
    <w:p>
      <w:pPr>
        <w:spacing w:after="0" w:line="211" w:lineRule="exact"/>
        <w:rPr>
          <w:sz w:val="20"/>
          <w:szCs w:val="20"/>
          <w:color w:val="auto"/>
        </w:rPr>
      </w:pPr>
    </w:p>
    <w:p>
      <w:pPr>
        <w:ind w:left="1060" w:right="3479" w:firstLine="1"/>
        <w:spacing w:after="0" w:line="238" w:lineRule="auto"/>
        <w:tabs>
          <w:tab w:leader="none" w:pos="1692"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(unless the information required to be included in a post-effective amendment is contained in periodic reports filed by the Registrant pursuant to section 13 or section 15(d) of the Securities and Exchange Act of 1934 that are incorporated by reference in the registration statement);</w:t>
      </w:r>
    </w:p>
    <w:p>
      <w:pPr>
        <w:spacing w:after="0" w:line="207" w:lineRule="exact"/>
        <w:rPr>
          <w:rFonts w:ascii="Courier New" w:cs="Courier New" w:eastAsia="Courier New" w:hAnsi="Courier New"/>
          <w:sz w:val="18"/>
          <w:szCs w:val="18"/>
          <w:color w:val="auto"/>
        </w:rPr>
      </w:pPr>
    </w:p>
    <w:p>
      <w:pPr>
        <w:ind w:left="1060" w:right="3679" w:firstLine="1"/>
        <w:spacing w:after="0" w:line="237" w:lineRule="auto"/>
        <w:tabs>
          <w:tab w:leader="none" w:pos="1797"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8" w:lineRule="exact"/>
        <w:rPr>
          <w:rFonts w:ascii="Courier New" w:cs="Courier New" w:eastAsia="Courier New" w:hAnsi="Courier New"/>
          <w:sz w:val="18"/>
          <w:szCs w:val="18"/>
          <w:color w:val="auto"/>
        </w:rPr>
      </w:pPr>
    </w:p>
    <w:p>
      <w:pPr>
        <w:ind w:right="3479" w:firstLine="745"/>
        <w:spacing w:after="0" w:line="237" w:lineRule="auto"/>
        <w:tabs>
          <w:tab w:leader="none" w:pos="147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ind w:right="3479" w:firstLine="745"/>
        <w:spacing w:after="0" w:line="236" w:lineRule="auto"/>
        <w:tabs>
          <w:tab w:leader="none" w:pos="147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3679" w:firstLine="324"/>
        <w:spacing w:after="0" w:line="235" w:lineRule="auto"/>
        <w:tabs>
          <w:tab w:leader="none" w:pos="10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incorporating subsequent Securities Exchange Act of 1934 documents by reference.</w:t>
      </w:r>
    </w:p>
    <w:p>
      <w:pPr>
        <w:spacing w:after="0" w:line="208"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6" w:lineRule="exact"/>
        <w:rPr>
          <w:sz w:val="20"/>
          <w:szCs w:val="20"/>
          <w:color w:val="auto"/>
        </w:rPr>
      </w:pPr>
    </w:p>
    <w:p>
      <w:pPr>
        <w:ind w:right="3579" w:firstLine="324"/>
        <w:spacing w:after="0" w:line="237"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20" w:name="page21"/>
    <w:bookmarkEnd w:id="20"/>
    <w:p>
      <w:pPr>
        <w:ind w:right="3479"/>
        <w:spacing w:after="0" w:line="270" w:lineRule="auto"/>
        <w:rPr>
          <w:sz w:val="20"/>
          <w:szCs w:val="20"/>
          <w:color w:val="auto"/>
        </w:rPr>
      </w:pPr>
      <w:r>
        <w:rPr>
          <w:rFonts w:ascii="Courier New" w:cs="Courier New" w:eastAsia="Courier New" w:hAnsi="Courier New"/>
          <w:sz w:val="16"/>
          <w:szCs w:val="16"/>
          <w:color w:val="auto"/>
        </w:rPr>
        <w:t>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21" w:name="page22"/>
    <w:bookmarkEnd w:id="21"/>
    <w:p>
      <w:pPr>
        <w:jc w:val="center"/>
        <w:ind w:right="34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Toro Company certifies that it has reasonable grounds to believe that it meets all of the requirements for filing on Form S-3 and has duly caused this registration statement to be signed on its behalf by the undersigned, thereunto duly authorized, in the City of Bloomington and State of Minnesota on the 15th day of August, 1995.</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4"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8"/>
          <w:szCs w:val="18"/>
          <w:color w:val="auto"/>
        </w:rPr>
        <w:t>By:</w:t>
        <w:tab/>
        <w:t>KENDRICK B. MELROSE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Kendrick B. Melrose</w:t>
      </w:r>
    </w:p>
    <w:p>
      <w:pPr>
        <w:ind w:left="3800"/>
        <w:spacing w:after="0" w:line="237" w:lineRule="auto"/>
        <w:rPr>
          <w:sz w:val="20"/>
          <w:szCs w:val="20"/>
          <w:color w:val="auto"/>
        </w:rPr>
      </w:pPr>
      <w:r>
        <w:rPr>
          <w:rFonts w:ascii="Courier New" w:cs="Courier New" w:eastAsia="Courier New" w:hAnsi="Courier New"/>
          <w:sz w:val="18"/>
          <w:szCs w:val="18"/>
          <w:color w:val="auto"/>
        </w:rPr>
        <w:t>Chairman, Chief Executive</w:t>
      </w:r>
    </w:p>
    <w:p>
      <w:pPr>
        <w:ind w:left="3800"/>
        <w:spacing w:after="0" w:line="238" w:lineRule="auto"/>
        <w:rPr>
          <w:sz w:val="20"/>
          <w:szCs w:val="20"/>
          <w:color w:val="auto"/>
        </w:rPr>
      </w:pPr>
      <w:r>
        <w:rPr>
          <w:rFonts w:ascii="Courier New" w:cs="Courier New" w:eastAsia="Courier New" w:hAnsi="Courier New"/>
          <w:sz w:val="18"/>
          <w:szCs w:val="18"/>
          <w:color w:val="auto"/>
        </w:rPr>
        <w:t>Officer and Director</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359" w:firstLine="316"/>
        <w:spacing w:after="0" w:line="26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hereby constitutes and appoints Kendrick B. Melrose, Gerald T. Knight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396" w:lineRule="exact"/>
        <w:rPr>
          <w:sz w:val="20"/>
          <w:szCs w:val="20"/>
          <w:color w:val="auto"/>
        </w:rPr>
      </w:pPr>
    </w:p>
    <w:p>
      <w:pPr>
        <w:ind w:right="3679" w:firstLine="316"/>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3520" w:type="dxa"/>
            <w:vAlign w:val="bottom"/>
          </w:tcPr>
          <w:p>
            <w:pPr>
              <w:ind w:left="1160"/>
              <w:spacing w:after="0"/>
              <w:rPr>
                <w:sz w:val="20"/>
                <w:szCs w:val="20"/>
                <w:color w:val="auto"/>
              </w:rPr>
            </w:pPr>
            <w:r>
              <w:rPr>
                <w:rFonts w:ascii="Courier New" w:cs="Courier New" w:eastAsia="Courier New" w:hAnsi="Courier New"/>
                <w:sz w:val="18"/>
                <w:szCs w:val="18"/>
                <w:color w:val="auto"/>
              </w:rPr>
              <w:t>TITLE</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KENDRICK B. MELROSE</w:t>
            </w:r>
          </w:p>
        </w:tc>
        <w:tc>
          <w:tcPr>
            <w:tcW w:w="3520" w:type="dxa"/>
            <w:vAlign w:val="bottom"/>
          </w:tcPr>
          <w:p>
            <w:pPr>
              <w:ind w:left="100"/>
              <w:spacing w:after="0"/>
              <w:rPr>
                <w:sz w:val="20"/>
                <w:szCs w:val="20"/>
                <w:color w:val="auto"/>
              </w:rPr>
            </w:pPr>
            <w:r>
              <w:rPr>
                <w:rFonts w:ascii="Courier New" w:cs="Courier New" w:eastAsia="Courier New" w:hAnsi="Courier New"/>
                <w:sz w:val="18"/>
                <w:szCs w:val="18"/>
                <w:color w:val="auto"/>
              </w:rPr>
              <w:t>Chairman, Chief Executive</w:t>
            </w:r>
          </w:p>
        </w:tc>
        <w:tc>
          <w:tcPr>
            <w:tcW w:w="1960" w:type="dxa"/>
            <w:vAlign w:val="bottom"/>
          </w:tcPr>
          <w:p>
            <w:pPr>
              <w:ind w:left="38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9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96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DAVID H. MORRIS</w:t>
            </w:r>
          </w:p>
        </w:tc>
        <w:tc>
          <w:tcPr>
            <w:tcW w:w="3520" w:type="dxa"/>
            <w:vAlign w:val="bottom"/>
          </w:tcPr>
          <w:p>
            <w:pPr>
              <w:ind w:left="100"/>
              <w:spacing w:after="0"/>
              <w:rPr>
                <w:sz w:val="20"/>
                <w:szCs w:val="20"/>
                <w:color w:val="auto"/>
              </w:rPr>
            </w:pPr>
            <w:r>
              <w:rPr>
                <w:rFonts w:ascii="Courier New" w:cs="Courier New" w:eastAsia="Courier New" w:hAnsi="Courier New"/>
                <w:sz w:val="18"/>
                <w:szCs w:val="18"/>
                <w:color w:val="auto"/>
              </w:rPr>
              <w:t>President, Chief Operating</w:t>
            </w:r>
          </w:p>
        </w:tc>
        <w:tc>
          <w:tcPr>
            <w:tcW w:w="1960" w:type="dxa"/>
            <w:vAlign w:val="bottom"/>
          </w:tcPr>
          <w:p>
            <w:pPr>
              <w:ind w:left="38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9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H. Morris</w:t>
            </w:r>
          </w:p>
        </w:tc>
        <w:tc>
          <w:tcPr>
            <w:tcW w:w="35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GERALD T. KNIGHT</w:t>
            </w:r>
          </w:p>
        </w:tc>
        <w:tc>
          <w:tcPr>
            <w:tcW w:w="352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 Finance</w:t>
            </w:r>
          </w:p>
        </w:tc>
        <w:tc>
          <w:tcPr>
            <w:tcW w:w="1960" w:type="dxa"/>
            <w:vAlign w:val="bottom"/>
          </w:tcPr>
          <w:p>
            <w:pPr>
              <w:ind w:left="38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9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T. Knight</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1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514"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RANDY B. JAMES</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and</w:t>
            </w:r>
          </w:p>
        </w:tc>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Controller</w:t>
            </w:r>
          </w:p>
        </w:tc>
        <w:tc>
          <w:tcPr>
            <w:tcW w:w="2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JANET K. COOPER</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and</w:t>
            </w:r>
          </w:p>
        </w:tc>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Controller</w:t>
            </w:r>
          </w:p>
        </w:tc>
        <w:tc>
          <w:tcPr>
            <w:tcW w:w="2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Janet K. Cooper</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WILLIAM W. GEORGE</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W. George</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608"/>
        </w:trPr>
        <w:tc>
          <w:tcPr>
            <w:tcW w:w="2540" w:type="dxa"/>
            <w:vAlign w:val="bottom"/>
          </w:tcPr>
          <w:p>
            <w:pPr>
              <w:spacing w:after="0"/>
              <w:rPr>
                <w:sz w:val="20"/>
                <w:szCs w:val="20"/>
                <w:color w:val="auto"/>
              </w:rPr>
            </w:pPr>
            <w:r>
              <w:rPr>
                <w:rFonts w:ascii="Courier New" w:cs="Courier New" w:eastAsia="Courier New" w:hAnsi="Courier New"/>
                <w:sz w:val="18"/>
                <w:szCs w:val="18"/>
                <w:color w:val="auto"/>
              </w:rPr>
              <w:t>ALEX A. MEYER</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Alex A. Meyer</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ROBERT H. NASSAU</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H. Nassau</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DALE R. OLSETH</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Dale R. Olseth</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EDWIN H. WINGATE</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w w:val="96"/>
              </w:rPr>
              <w:t>August 15, 1995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H. Wingate</w:t>
            </w:r>
          </w:p>
        </w:tc>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1122" w:right="1440" w:bottom="1440" w:gutter="0" w:footer="0" w:header="0"/>
        </w:sectPr>
      </w:pPr>
    </w:p>
    <w:bookmarkStart w:id="23" w:name="page24"/>
    <w:bookmarkEnd w:id="23"/>
    <w:p>
      <w:pPr>
        <w:ind w:left="2740"/>
        <w:spacing w:after="0"/>
        <w:rPr>
          <w:sz w:val="20"/>
          <w:szCs w:val="20"/>
          <w:color w:val="auto"/>
        </w:rPr>
      </w:pPr>
      <w:r>
        <w:rPr>
          <w:rFonts w:ascii="Courier New" w:cs="Courier New" w:eastAsia="Courier New" w:hAnsi="Courier New"/>
          <w:sz w:val="16"/>
          <w:szCs w:val="16"/>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520"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ectPr>
          <w:pgSz w:w="11900" w:h="16838" w:orient="portrait"/>
          <w:cols w:equalWidth="0" w:num="3">
            <w:col w:w="640" w:space="520"/>
            <w:col w:w="6020" w:space="720"/>
            <w:col w:w="2319"/>
          </w:cols>
          <w:pgMar w:left="240" w:top="520" w:right="1440" w:bottom="1440" w:gutter="0" w:footer="0" w:header="0"/>
          <w:type w:val="continuous"/>
        </w:sectPr>
      </w:pPr>
    </w:p>
    <w:p>
      <w:pPr>
        <w:spacing w:after="0" w:line="210" w:lineRule="exact"/>
        <w:rPr>
          <w:sz w:val="20"/>
          <w:szCs w:val="20"/>
          <w:color w:val="auto"/>
        </w:rPr>
      </w:pPr>
    </w:p>
    <w:p>
      <w:pPr>
        <w:ind w:left="1160" w:right="2739" w:hanging="1152"/>
        <w:spacing w:after="0" w:line="290"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defining the rights of security holders, including indentures . . . . . . . . . . . . . . . . . . . .</w:t>
      </w:r>
    </w:p>
    <w:p>
      <w:pPr>
        <w:spacing w:after="0" w:line="170" w:lineRule="exact"/>
        <w:rPr>
          <w:sz w:val="20"/>
          <w:szCs w:val="20"/>
          <w:color w:val="auto"/>
        </w:rPr>
      </w:pPr>
    </w:p>
    <w:p>
      <w:pPr>
        <w:ind w:left="1160" w:right="2739" w:hanging="1159"/>
        <w:spacing w:after="0" w:line="279" w:lineRule="auto"/>
        <w:tabs>
          <w:tab w:leader="none" w:pos="114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Specimen form of Common Stock certificate (incorporated by reference to Exhibit 4(c) to Registrant's Registration Statement on Form S-8, Registration No. 2-94417) . . . . . .</w:t>
      </w:r>
    </w:p>
    <w:p>
      <w:pPr>
        <w:spacing w:after="0" w:line="178" w:lineRule="exact"/>
        <w:rPr>
          <w:sz w:val="20"/>
          <w:szCs w:val="20"/>
          <w:color w:val="auto"/>
        </w:rPr>
      </w:pPr>
    </w:p>
    <w:p>
      <w:pPr>
        <w:ind w:left="1160" w:right="2739" w:hanging="1159"/>
        <w:spacing w:after="0" w:line="279" w:lineRule="auto"/>
        <w:tabs>
          <w:tab w:leader="none" w:pos="114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Certificate of Incorporation of the Registrant (incorporated by reference to Exhibit 4.2 to Registrant's Registration Statement on Form S-3, Registration No. 33-16125) . . . . .</w:t>
      </w:r>
    </w:p>
    <w:p>
      <w:pPr>
        <w:spacing w:after="0" w:line="17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Certificate of Incorporation</w:t>
      </w:r>
    </w:p>
    <w:p>
      <w:pPr>
        <w:ind w:left="1160"/>
        <w:spacing w:after="0" w:line="238" w:lineRule="auto"/>
        <w:rPr>
          <w:sz w:val="20"/>
          <w:szCs w:val="20"/>
          <w:color w:val="auto"/>
        </w:rPr>
      </w:pPr>
      <w:r>
        <w:rPr>
          <w:rFonts w:ascii="Courier New" w:cs="Courier New" w:eastAsia="Courier New" w:hAnsi="Courier New"/>
          <w:sz w:val="18"/>
          <w:szCs w:val="18"/>
          <w:color w:val="auto"/>
        </w:rPr>
        <w:t>dated December 9, 1986 (incorporated by reference to</w:t>
      </w:r>
    </w:p>
    <w:p>
      <w:pPr>
        <w:ind w:left="1160"/>
        <w:spacing w:after="0"/>
        <w:rPr>
          <w:sz w:val="20"/>
          <w:szCs w:val="20"/>
          <w:color w:val="auto"/>
        </w:rPr>
      </w:pPr>
      <w:r>
        <w:rPr>
          <w:rFonts w:ascii="Courier New" w:cs="Courier New" w:eastAsia="Courier New" w:hAnsi="Courier New"/>
          <w:sz w:val="18"/>
          <w:szCs w:val="18"/>
          <w:color w:val="auto"/>
        </w:rPr>
        <w:t>Exhibit 3 to Registrant's Quarterly Report on Form 10-Q</w:t>
      </w:r>
    </w:p>
    <w:p>
      <w:pPr>
        <w:ind w:left="1160"/>
        <w:spacing w:after="0" w:line="237" w:lineRule="auto"/>
        <w:rPr>
          <w:sz w:val="20"/>
          <w:szCs w:val="20"/>
          <w:color w:val="auto"/>
        </w:rPr>
      </w:pPr>
      <w:r>
        <w:rPr>
          <w:rFonts w:ascii="Courier New" w:cs="Courier New" w:eastAsia="Courier New" w:hAnsi="Courier New"/>
          <w:sz w:val="18"/>
          <w:szCs w:val="18"/>
          <w:color w:val="auto"/>
        </w:rPr>
        <w:t>for the quarter ended January 30, 1987, Commission File</w:t>
      </w:r>
    </w:p>
    <w:p>
      <w:pPr>
        <w:ind w:left="1160"/>
        <w:spacing w:after="0"/>
        <w:tabs>
          <w:tab w:leader="none" w:pos="2520" w:val="left"/>
        </w:tabs>
        <w:rPr>
          <w:sz w:val="20"/>
          <w:szCs w:val="20"/>
          <w:color w:val="auto"/>
        </w:rPr>
      </w:pPr>
      <w:r>
        <w:rPr>
          <w:rFonts w:ascii="Courier New" w:cs="Courier New" w:eastAsia="Courier New" w:hAnsi="Courier New"/>
          <w:sz w:val="18"/>
          <w:szCs w:val="18"/>
          <w:color w:val="auto"/>
        </w:rPr>
        <w:t>No. 1-8649)</w:t>
      </w:r>
      <w:r>
        <w:rPr>
          <w:sz w:val="20"/>
          <w:szCs w:val="20"/>
          <w:color w:val="auto"/>
        </w:rPr>
        <w:tab/>
      </w:r>
      <w:r>
        <w:rPr>
          <w:rFonts w:ascii="Courier New" w:cs="Courier New" w:eastAsia="Courier New" w:hAnsi="Courier New"/>
          <w:sz w:val="16"/>
          <w:szCs w:val="16"/>
          <w:color w:val="auto"/>
        </w:rPr>
        <w:t>. . . . . . . . . . . . . . . . . . . . . . . .</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Amendment to Certificate of Incorporation</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dated December 8, 1987 (incorporated by reference to Exhibit 3</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to Registrant's Quarterly Report on Form 10-Q for the quarter</w:t>
      </w:r>
    </w:p>
    <w:p>
      <w:pPr>
        <w:spacing w:after="0" w:line="16" w:lineRule="exact"/>
        <w:rPr>
          <w:sz w:val="20"/>
          <w:szCs w:val="20"/>
          <w:color w:val="auto"/>
        </w:rPr>
      </w:pPr>
    </w:p>
    <w:p>
      <w:pPr>
        <w:ind w:left="1160"/>
        <w:spacing w:after="0"/>
        <w:tabs>
          <w:tab w:leader="none" w:pos="6720" w:val="left"/>
        </w:tabs>
        <w:rPr>
          <w:sz w:val="20"/>
          <w:szCs w:val="20"/>
          <w:color w:val="auto"/>
        </w:rPr>
      </w:pPr>
      <w:r>
        <w:rPr>
          <w:rFonts w:ascii="Courier New" w:cs="Courier New" w:eastAsia="Courier New" w:hAnsi="Courier New"/>
          <w:sz w:val="18"/>
          <w:szCs w:val="18"/>
          <w:color w:val="auto"/>
        </w:rPr>
        <w:t>ended January 29, 1988, Commission File No. 1-8649)</w:t>
      </w:r>
      <w:r>
        <w:rPr>
          <w:sz w:val="20"/>
          <w:szCs w:val="20"/>
          <w:color w:val="auto"/>
        </w:rPr>
        <w:tab/>
      </w:r>
      <w:r>
        <w:rPr>
          <w:rFonts w:ascii="Courier New" w:cs="Courier New" w:eastAsia="Courier New" w:hAnsi="Courier New"/>
          <w:sz w:val="16"/>
          <w:szCs w:val="16"/>
          <w:color w:val="auto"/>
        </w:rPr>
        <w:t>. . . .</w:t>
      </w:r>
    </w:p>
    <w:p>
      <w:pPr>
        <w:spacing w:after="0" w:line="207" w:lineRule="exact"/>
        <w:rPr>
          <w:sz w:val="20"/>
          <w:szCs w:val="20"/>
          <w:color w:val="auto"/>
        </w:rPr>
      </w:pPr>
    </w:p>
    <w:p>
      <w:pPr>
        <w:ind w:left="1160" w:right="2739" w:hanging="1159"/>
        <w:spacing w:after="0" w:line="279" w:lineRule="auto"/>
        <w:tabs>
          <w:tab w:leader="none" w:pos="1140" w:val="left"/>
        </w:tabs>
        <w:rPr>
          <w:sz w:val="20"/>
          <w:szCs w:val="20"/>
          <w:color w:val="auto"/>
        </w:rPr>
      </w:pPr>
      <w:r>
        <w:rPr>
          <w:rFonts w:ascii="Courier New" w:cs="Courier New" w:eastAsia="Courier New" w:hAnsi="Courier New"/>
          <w:sz w:val="16"/>
          <w:szCs w:val="16"/>
          <w:color w:val="auto"/>
        </w:rPr>
        <w:t>4(e)</w:t>
      </w:r>
      <w:r>
        <w:rPr>
          <w:sz w:val="20"/>
          <w:szCs w:val="20"/>
          <w:color w:val="auto"/>
        </w:rPr>
        <w:tab/>
      </w:r>
      <w:r>
        <w:rPr>
          <w:rFonts w:ascii="Courier New" w:cs="Courier New" w:eastAsia="Courier New" w:hAnsi="Courier New"/>
          <w:sz w:val="16"/>
          <w:szCs w:val="16"/>
          <w:color w:val="auto"/>
        </w:rPr>
        <w:t>Bylaws of the Registrant (incorporated by reference to Exhibit 3.3 to Registrant's Annual Report on Form 10-K for the year ended July 31, 1991, Commission File No. 1-8649) .</w:t>
      </w:r>
    </w:p>
    <w:p>
      <w:pPr>
        <w:spacing w:after="0" w:line="178" w:lineRule="exact"/>
        <w:rPr>
          <w:sz w:val="20"/>
          <w:szCs w:val="20"/>
          <w:color w:val="auto"/>
        </w:rPr>
      </w:pPr>
    </w:p>
    <w:p>
      <w:pPr>
        <w:ind w:left="1160" w:right="2519" w:hanging="1159"/>
        <w:spacing w:after="0" w:line="237" w:lineRule="auto"/>
        <w:tabs>
          <w:tab w:leader="none" w:pos="114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 1-8649, as amended from time to time) . . . . . . . . . . . . . . . . . . . . . . .</w:t>
      </w:r>
    </w:p>
    <w:p>
      <w:pPr>
        <w:spacing w:after="0" w:line="211" w:lineRule="exact"/>
        <w:rPr>
          <w:sz w:val="20"/>
          <w:szCs w:val="20"/>
          <w:color w:val="auto"/>
        </w:rPr>
      </w:pPr>
    </w:p>
    <w:p>
      <w:pPr>
        <w:ind w:left="1160" w:right="2739" w:hanging="1152"/>
        <w:spacing w:after="0" w:line="290"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Helen P. Starr, Attorney at Law, regarding legality . . . . . . . . . . . . . . . . . . . . . . . .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23(a)</w:t>
            </w:r>
          </w:p>
        </w:tc>
        <w:tc>
          <w:tcPr>
            <w:tcW w:w="1420" w:type="dxa"/>
            <w:vAlign w:val="bottom"/>
          </w:tcPr>
          <w:p>
            <w:pPr>
              <w:ind w:left="300"/>
              <w:spacing w:after="0"/>
              <w:rPr>
                <w:sz w:val="20"/>
                <w:szCs w:val="20"/>
                <w:color w:val="auto"/>
              </w:rPr>
            </w:pPr>
            <w:r>
              <w:rPr>
                <w:rFonts w:ascii="Courier New" w:cs="Courier New" w:eastAsia="Courier New" w:hAnsi="Courier New"/>
                <w:sz w:val="18"/>
                <w:szCs w:val="18"/>
                <w:color w:val="auto"/>
              </w:rPr>
              <w:t>Consent of</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w w:val="97"/>
              </w:rPr>
              <w:t>KPMG Peat Marwick LLP . . . . . . . . . . . . . .</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23(b)</w:t>
            </w:r>
          </w:p>
        </w:tc>
        <w:tc>
          <w:tcPr>
            <w:tcW w:w="1420" w:type="dxa"/>
            <w:vAlign w:val="bottom"/>
          </w:tcPr>
          <w:p>
            <w:pPr>
              <w:ind w:left="300"/>
              <w:spacing w:after="0"/>
              <w:rPr>
                <w:sz w:val="20"/>
                <w:szCs w:val="20"/>
                <w:color w:val="auto"/>
              </w:rPr>
            </w:pPr>
            <w:r>
              <w:rPr>
                <w:rFonts w:ascii="Courier New" w:cs="Courier New" w:eastAsia="Courier New" w:hAnsi="Courier New"/>
                <w:sz w:val="18"/>
                <w:szCs w:val="18"/>
                <w:color w:val="auto"/>
              </w:rPr>
              <w:t>Consent of</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Helen P. Starr, Attorney at Law (contained</w:t>
            </w:r>
          </w:p>
        </w:tc>
      </w:tr>
      <w:tr>
        <w:trPr>
          <w:trHeight w:val="203"/>
        </w:trPr>
        <w:tc>
          <w:tcPr>
            <w:tcW w:w="860" w:type="dxa"/>
            <w:vAlign w:val="bottom"/>
          </w:tcPr>
          <w:p>
            <w:pPr>
              <w:spacing w:after="0"/>
              <w:rPr>
                <w:sz w:val="17"/>
                <w:szCs w:val="17"/>
                <w:color w:val="auto"/>
              </w:rPr>
            </w:pPr>
          </w:p>
        </w:tc>
        <w:tc>
          <w:tcPr>
            <w:tcW w:w="1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 Exhibit</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5). . . . . . . . . . . . . . . . . . . . . . . .</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25</w:t>
            </w:r>
          </w:p>
        </w:tc>
        <w:tc>
          <w:tcPr>
            <w:tcW w:w="662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Powers of Attorney (included in signature pages)</w:t>
            </w:r>
          </w:p>
        </w:tc>
      </w:tr>
    </w:tbl>
    <w:p>
      <w:pPr>
        <w:sectPr>
          <w:pgSz w:w="11900" w:h="16838" w:orient="portrait"/>
          <w:cols w:equalWidth="0" w:num="1">
            <w:col w:w="10219"/>
          </w:cols>
          <w:pgMar w:left="240" w:top="520" w:right="1440" w:bottom="1440" w:gutter="0" w:footer="0" w:header="0"/>
          <w:type w:val="continuous"/>
        </w:sectPr>
      </w:pPr>
    </w:p>
    <w:bookmarkStart w:id="24" w:name="page25"/>
    <w:bookmarkEnd w:id="24"/>
    <w:p>
      <w:pPr>
        <w:jc w:val="right"/>
        <w:ind w:right="303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HELEN P. STARR</w:t>
      </w:r>
    </w:p>
    <w:p>
      <w:pPr>
        <w:ind w:left="2740"/>
        <w:spacing w:after="0" w:line="238" w:lineRule="auto"/>
        <w:rPr>
          <w:sz w:val="20"/>
          <w:szCs w:val="20"/>
          <w:color w:val="auto"/>
        </w:rPr>
      </w:pPr>
      <w:r>
        <w:rPr>
          <w:rFonts w:ascii="Courier New" w:cs="Courier New" w:eastAsia="Courier New" w:hAnsi="Courier New"/>
          <w:sz w:val="18"/>
          <w:szCs w:val="18"/>
          <w:color w:val="auto"/>
        </w:rPr>
        <w:t>ATTORNEY AT LAW</w:t>
      </w:r>
    </w:p>
    <w:p>
      <w:pPr>
        <w:ind w:left="1900"/>
        <w:spacing w:after="0"/>
        <w:rPr>
          <w:sz w:val="20"/>
          <w:szCs w:val="20"/>
          <w:color w:val="auto"/>
        </w:rPr>
      </w:pPr>
      <w:r>
        <w:rPr>
          <w:rFonts w:ascii="Courier New" w:cs="Courier New" w:eastAsia="Courier New" w:hAnsi="Courier New"/>
          <w:sz w:val="18"/>
          <w:szCs w:val="18"/>
          <w:color w:val="auto"/>
        </w:rPr>
        <w:t>6010 THIRTY-THIRD STREET, N.W.</w:t>
      </w:r>
    </w:p>
    <w:p>
      <w:pPr>
        <w:ind w:left="2000"/>
        <w:spacing w:after="0" w:line="237" w:lineRule="auto"/>
        <w:rPr>
          <w:sz w:val="20"/>
          <w:szCs w:val="20"/>
          <w:color w:val="auto"/>
        </w:rPr>
      </w:pPr>
      <w:r>
        <w:rPr>
          <w:rFonts w:ascii="Courier New" w:cs="Courier New" w:eastAsia="Courier New" w:hAnsi="Courier New"/>
          <w:sz w:val="18"/>
          <w:szCs w:val="18"/>
          <w:color w:val="auto"/>
        </w:rPr>
        <w:t>WASHINGTON, D.C. 20015-1606</w:t>
      </w:r>
    </w:p>
    <w:p>
      <w:pPr>
        <w:ind w:left="3280" w:hanging="638"/>
        <w:spacing w:after="0" w:line="238" w:lineRule="auto"/>
        <w:tabs>
          <w:tab w:leader="none" w:pos="32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237-7750</w:t>
      </w:r>
    </w:p>
    <w:p>
      <w:pPr>
        <w:ind w:left="2640" w:hanging="630"/>
        <w:spacing w:after="0" w:line="238" w:lineRule="auto"/>
        <w:tabs>
          <w:tab w:leader="none" w:pos="2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237-8055 (FACSIMILE)</w:t>
      </w:r>
    </w:p>
    <w:p>
      <w:pPr>
        <w:spacing w:after="0" w:line="202" w:lineRule="exact"/>
        <w:rPr>
          <w:sz w:val="20"/>
          <w:szCs w:val="20"/>
          <w:color w:val="auto"/>
        </w:rPr>
      </w:pPr>
    </w:p>
    <w:p>
      <w:pPr>
        <w:jc w:val="both"/>
        <w:ind w:left="5280"/>
        <w:spacing w:after="0"/>
        <w:tabs>
          <w:tab w:leader="none" w:pos="6520" w:val="left"/>
        </w:tabs>
        <w:rPr>
          <w:sz w:val="20"/>
          <w:szCs w:val="20"/>
          <w:color w:val="auto"/>
        </w:rPr>
      </w:pPr>
      <w:r>
        <w:rPr>
          <w:rFonts w:ascii="Courier New" w:cs="Courier New" w:eastAsia="Courier New" w:hAnsi="Courier New"/>
          <w:sz w:val="18"/>
          <w:szCs w:val="18"/>
          <w:color w:val="auto"/>
        </w:rPr>
        <w:t>September</w:t>
      </w:r>
      <w:r>
        <w:rPr>
          <w:sz w:val="20"/>
          <w:szCs w:val="20"/>
          <w:color w:val="auto"/>
        </w:rPr>
        <w:tab/>
      </w:r>
      <w:r>
        <w:rPr>
          <w:rFonts w:ascii="Courier New" w:cs="Courier New" w:eastAsia="Courier New" w:hAnsi="Courier New"/>
          <w:sz w:val="18"/>
          <w:szCs w:val="18"/>
          <w:color w:val="auto"/>
        </w:rPr>
        <w:t>,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8111 Lyndale Avenue South</w:t>
      </w:r>
    </w:p>
    <w:p>
      <w:pPr>
        <w:spacing w:after="0"/>
        <w:rPr>
          <w:sz w:val="20"/>
          <w:szCs w:val="20"/>
          <w:color w:val="auto"/>
        </w:rPr>
      </w:pPr>
      <w:r>
        <w:rPr>
          <w:rFonts w:ascii="Courier New" w:cs="Courier New" w:eastAsia="Courier New" w:hAnsi="Courier New"/>
          <w:sz w:val="18"/>
          <w:szCs w:val="18"/>
          <w:color w:val="auto"/>
        </w:rPr>
        <w:t>Minneapolis, Minnesota 55420</w:t>
      </w:r>
    </w:p>
    <w:p>
      <w:pPr>
        <w:spacing w:after="0" w:line="200" w:lineRule="exact"/>
        <w:rPr>
          <w:sz w:val="20"/>
          <w:szCs w:val="20"/>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Re:</w:t>
        <w:tab/>
        <w:t>Registration Statement on Form S-3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In connection with the Registration Statement on Form S-3 filed by The Toro Company (the "Company") with the Securities and Exchange Commission relating to an aggregate of up to 100,000 shares of Common Stock, $1.00 par value per share (the "Common Stock"), and up to 100,000 related Preferred Share Purchase Rights (the "Rights") of the Company, please be advised that as counsel to the Company, upon examination of such corporate documents and records as I have deemed necessary or advisable for the purpose of rendering this opinion, it is my opinion that:</w:t>
      </w:r>
    </w:p>
    <w:p>
      <w:pPr>
        <w:spacing w:after="0" w:line="184" w:lineRule="exact"/>
        <w:rPr>
          <w:sz w:val="20"/>
          <w:szCs w:val="20"/>
          <w:color w:val="auto"/>
        </w:rPr>
      </w:pPr>
    </w:p>
    <w:p>
      <w:pPr>
        <w:ind w:left="220" w:right="3479" w:firstLine="315"/>
        <w:spacing w:after="0" w:line="237" w:lineRule="auto"/>
        <w:tabs>
          <w:tab w:leader="none" w:pos="106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offered by the Company, when issued and paid for as contemplated by such Registration Statement, will be legally issued, fully paid and non-assessable; and</w:t>
      </w:r>
    </w:p>
    <w:p>
      <w:pPr>
        <w:spacing w:after="0" w:line="207" w:lineRule="exact"/>
        <w:rPr>
          <w:rFonts w:ascii="Courier New" w:cs="Courier New" w:eastAsia="Courier New" w:hAnsi="Courier New"/>
          <w:sz w:val="18"/>
          <w:szCs w:val="18"/>
          <w:color w:val="auto"/>
        </w:rPr>
      </w:pPr>
    </w:p>
    <w:p>
      <w:pPr>
        <w:ind w:left="220" w:right="3479" w:firstLine="315"/>
        <w:spacing w:after="0" w:line="275" w:lineRule="auto"/>
        <w:tabs>
          <w:tab w:leader="none" w:pos="106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if and when issued as contemplated by the Rights Agreement dated June 14, 1988 (the "Rights Agreement"), will have been legally issued and entitled to the benefits of the Rights Agreement pursuant to which they will be issued.</w:t>
      </w:r>
    </w:p>
    <w:p>
      <w:pPr>
        <w:spacing w:after="0" w:line="18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 hereby consent to the use of this opinion as an exhibit to the above-captioned Registration Statement, and to the references to my name under the heading "Legal Matters" in the Prospectus comprising a part of the Registration Statement.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HELEN P. STARR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Helen P. Starr</w:t>
      </w:r>
    </w:p>
    <w:p>
      <w:pPr>
        <w:sectPr>
          <w:pgSz w:w="11900" w:h="16838" w:orient="portrait"/>
          <w:cols w:equalWidth="0" w:num="1">
            <w:col w:w="10219"/>
          </w:cols>
          <w:pgMar w:left="240" w:top="339" w:right="1440" w:bottom="1440" w:gutter="0" w:footer="0" w:header="0"/>
        </w:sectPr>
      </w:pPr>
    </w:p>
    <w:bookmarkStart w:id="25" w:name="page26"/>
    <w:bookmarkEnd w:id="25"/>
    <w:p>
      <w:pPr>
        <w:jc w:val="right"/>
        <w:ind w:right="2739"/>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We consent to the use of our reports incorporated herein by reference and to the reference to our firm under the heading "Experts" in the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MN</w:t>
      </w:r>
    </w:p>
    <w:p>
      <w:pPr>
        <w:spacing w:after="0" w:line="238" w:lineRule="auto"/>
        <w:rPr>
          <w:sz w:val="20"/>
          <w:szCs w:val="20"/>
          <w:color w:val="auto"/>
        </w:rPr>
      </w:pPr>
      <w:r>
        <w:rPr>
          <w:rFonts w:ascii="Courier New" w:cs="Courier New" w:eastAsia="Courier New" w:hAnsi="Courier New"/>
          <w:sz w:val="18"/>
          <w:szCs w:val="18"/>
          <w:color w:val="auto"/>
        </w:rPr>
        <w:t>Sepember 19, 1995</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202"/>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3"/>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4"/>
      <w:numFmt w:val="bullet"/>
      <w:start w:val="1"/>
    </w:lvl>
  </w:abstractNum>
  <w:abstractNum w:abstractNumId="10">
    <w:nsid w:val="519B500D"/>
    <w:multiLevelType w:val="hybridMultilevel"/>
    <w:lvl w:ilvl="0">
      <w:lvlJc w:val="left"/>
      <w:lvlText w:val="5"/>
      <w:numFmt w:val="bullet"/>
      <w:start w:val="1"/>
    </w:lvl>
  </w:abstractNum>
  <w:abstractNum w:abstractNumId="11">
    <w:nsid w:val="431BD7B7"/>
    <w:multiLevelType w:val="hybridMultilevel"/>
    <w:lvl w:ilvl="0">
      <w:lvlJc w:val="left"/>
      <w:lvlText w:val="%1"/>
      <w:numFmt w:val="decimal"/>
      <w:start w:val="24"/>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6">
    <w:nsid w:val="436C612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7">
    <w:nsid w:val="628C895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8">
    <w:nsid w:val="333AB105"/>
    <w:multiLevelType w:val="hybridMultilevel"/>
    <w:lvl w:ilvl="0">
      <w:lvlJc w:val="left"/>
      <w:lvlText w:val="(%1)"/>
      <w:numFmt w:val="lowerLetter"/>
      <w:start w:val="8"/>
    </w:lvl>
  </w:abstractNum>
  <w:abstractNum w:abstractNumId="19">
    <w:nsid w:val="721DA317"/>
    <w:multiLevelType w:val="hybridMultilevel"/>
    <w:lvl w:ilvl="0">
      <w:lvlJc w:val="left"/>
      <w:lvlText w:val="4"/>
      <w:numFmt w:val="bullet"/>
      <w:start w:val="1"/>
    </w:lvl>
  </w:abstractNum>
  <w:abstractNum w:abstractNumId="20">
    <w:nsid w:val="2443A858"/>
    <w:multiLevelType w:val="hybridMultilevel"/>
    <w:lvl w:ilvl="0">
      <w:lvlJc w:val="left"/>
      <w:lvlText w:val="5"/>
      <w:numFmt w:val="bullet"/>
      <w:start w:val="1"/>
    </w:lvl>
  </w:abstractNum>
  <w:abstractNum w:abstractNumId="21">
    <w:nsid w:val="2D1D5AE9"/>
    <w:multiLevelType w:val="hybridMultilevel"/>
    <w:lvl w:ilvl="0">
      <w:lvlJc w:val="left"/>
      <w:lvlText w:val="%1"/>
      <w:numFmt w:val="decimal"/>
      <w:start w:val="1"/>
    </w:lvl>
    <w:lvl w:ilvl="1">
      <w:lvlJc w:val="left"/>
      <w:lvlText w:val="(%2)"/>
      <w:numFmt w:val="decimal"/>
      <w:start w:val="202"/>
    </w:lvl>
  </w:abstractNum>
  <w:abstractNum w:abstractNumId="22">
    <w:nsid w:val="6763845E"/>
    <w:multiLevelType w:val="hybridMultilevel"/>
    <w:lvl w:ilvl="0">
      <w:lvlJc w:val="left"/>
      <w:lvlText w:val="(%1)"/>
      <w:numFmt w:val="decimal"/>
      <w:start w:val="202"/>
    </w:lvl>
    <w:lvl w:ilvl="1">
      <w:lvlJc w:val="left"/>
      <w:lvlText w:val="%2"/>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2019-12-13T14:05:37Z</dcterms:created>
  <dcterms:modified xsi:type="dcterms:W3CDTF">2019-12-13T14:05:37Z</dcterms:modified>
</cp:coreProperties>
</file>