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252095</wp:posOffset>
            </wp:positionH>
            <wp:positionV relativeFrom="page">
              <wp:posOffset>534670</wp:posOffset>
            </wp:positionV>
            <wp:extent cx="70662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360"/>
        <w:spacing w:after="0"/>
        <w:rPr>
          <w:sz w:val="20"/>
          <w:szCs w:val="20"/>
          <w:color w:val="auto"/>
        </w:rPr>
      </w:pPr>
      <w:r>
        <w:rPr>
          <w:rFonts w:ascii="Arial" w:cs="Arial" w:eastAsia="Arial" w:hAnsi="Arial"/>
          <w:sz w:val="21"/>
          <w:szCs w:val="21"/>
          <w:b w:val="1"/>
          <w:bCs w:val="1"/>
          <w:color w:val="auto"/>
        </w:rPr>
        <w:t>o TRANSITION REPORT PURSUANT TO SECTION 15(d) OF THE SECURITIES EXCHANGE ACT OF 1934</w:t>
      </w:r>
    </w:p>
    <w:p>
      <w:pPr>
        <w:spacing w:after="0" w:line="227" w:lineRule="exact"/>
        <w:rPr>
          <w:sz w:val="24"/>
          <w:szCs w:val="24"/>
          <w:color w:val="auto"/>
        </w:rPr>
      </w:pPr>
    </w:p>
    <w:p>
      <w:pPr>
        <w:ind w:left="34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3239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0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A.Full title of the plan and address of the plan, if different from that of the issuer named below:</w:t>
      </w:r>
    </w:p>
    <w:p>
      <w:pPr>
        <w:spacing w:after="0" w:line="22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Attn: Managing Director, Total Rewards &amp; Employee Services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B.Name of issuer of the securities held pursuant to the plan and the address of its principal executive office:</w:t>
      </w:r>
    </w:p>
    <w:p>
      <w:pPr>
        <w:spacing w:after="0" w:line="21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1943735</wp:posOffset>
            </wp:positionV>
            <wp:extent cx="7066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ectPr>
          <w:pgSz w:w="11900" w:h="16838" w:orient="portrait"/>
          <w:cols w:equalWidth="0" w:num="1">
            <w:col w:w="10880"/>
          </w:cols>
          <w:pgMar w:left="240" w:top="1440" w:right="7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 PROFIT-SHARING PLAN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PLYMOUTH UNION EMPLOYEES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 and 2015</w:t>
      </w:r>
    </w:p>
    <w:p>
      <w:pPr>
        <w:sectPr>
          <w:pgSz w:w="11900" w:h="16838" w:orient="portrait"/>
          <w:cols w:equalWidth="0" w:num="1">
            <w:col w:w="9019"/>
          </w:cols>
          <w:pgMar w:left="1440" w:top="1440"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3440" w:type="dxa"/>
            <w:vAlign w:val="bottom"/>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Net Assets Available for Benefits</w:t>
              </w:r>
            </w:hyperlink>
          </w:p>
        </w:tc>
        <w:tc>
          <w:tcPr>
            <w:tcW w:w="6000" w:type="dxa"/>
            <w:vAlign w:val="bottom"/>
            <w:gridSpan w:val="2"/>
          </w:tcPr>
          <w:p>
            <w:pPr>
              <w:spacing w:after="0"/>
              <w:rPr>
                <w:sz w:val="17"/>
                <w:szCs w:val="17"/>
                <w:color w:val="auto"/>
              </w:rPr>
            </w:pPr>
          </w:p>
        </w:tc>
        <w:tc>
          <w:tcPr>
            <w:tcW w:w="1940" w:type="dxa"/>
            <w:vAlign w:val="bottom"/>
            <w:gridSpan w:val="3"/>
          </w:tcPr>
          <w:p>
            <w:pPr>
              <w:jc w:val="right"/>
              <w:ind w:right="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4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Available for Benefits</w:t>
              </w:r>
            </w:hyperlink>
          </w:p>
        </w:tc>
        <w:tc>
          <w:tcPr>
            <w:tcW w:w="1940" w:type="dxa"/>
            <w:vAlign w:val="bottom"/>
            <w:gridSpan w:val="3"/>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60" w:type="dxa"/>
            <w:vAlign w:val="bottom"/>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Financial Statements</w:t>
              </w:r>
            </w:hyperlink>
          </w:p>
        </w:tc>
        <w:tc>
          <w:tcPr>
            <w:tcW w:w="2120" w:type="dxa"/>
            <w:vAlign w:val="bottom"/>
            <w:gridSpan w:val="2"/>
          </w:tcPr>
          <w:p>
            <w:pPr>
              <w:spacing w:after="0"/>
              <w:rPr>
                <w:sz w:val="21"/>
                <w:szCs w:val="21"/>
                <w:color w:val="auto"/>
              </w:rPr>
            </w:pPr>
          </w:p>
        </w:tc>
        <w:tc>
          <w:tcPr>
            <w:tcW w:w="5160" w:type="dxa"/>
            <w:vAlign w:val="bottom"/>
          </w:tcPr>
          <w:p>
            <w:pPr>
              <w:spacing w:after="0"/>
              <w:rPr>
                <w:sz w:val="21"/>
                <w:szCs w:val="21"/>
                <w:color w:val="auto"/>
              </w:rPr>
            </w:pPr>
          </w:p>
        </w:tc>
        <w:tc>
          <w:tcPr>
            <w:tcW w:w="1940" w:type="dxa"/>
            <w:vAlign w:val="bottom"/>
            <w:gridSpan w:val="3"/>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60" w:type="dxa"/>
            <w:vAlign w:val="bottom"/>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Signatures</w:t>
              </w:r>
            </w:hyperlink>
          </w:p>
        </w:tc>
        <w:tc>
          <w:tcPr>
            <w:tcW w:w="7280" w:type="dxa"/>
            <w:vAlign w:val="bottom"/>
            <w:gridSpan w:val="3"/>
          </w:tcPr>
          <w:p>
            <w:pPr>
              <w:spacing w:after="0"/>
              <w:rPr>
                <w:sz w:val="21"/>
                <w:szCs w:val="21"/>
                <w:color w:val="auto"/>
              </w:rPr>
            </w:pPr>
          </w:p>
        </w:tc>
        <w:tc>
          <w:tcPr>
            <w:tcW w:w="1940" w:type="dxa"/>
            <w:vAlign w:val="bottom"/>
            <w:gridSpan w:val="3"/>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7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3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 the Toro Company Master Trust Fund</w:t>
            </w:r>
          </w:p>
        </w:tc>
        <w:tc>
          <w:tcPr>
            <w:tcW w:w="3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4,563,551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3,943,433</w:t>
            </w:r>
          </w:p>
        </w:tc>
      </w:tr>
      <w:tr>
        <w:trPr>
          <w:trHeight w:val="324"/>
        </w:trPr>
        <w:tc>
          <w:tcPr>
            <w:tcW w:w="4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 receivable</w:t>
            </w:r>
          </w:p>
        </w:tc>
        <w:tc>
          <w:tcPr>
            <w:tcW w:w="3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Employee contribution receivable</w:t>
            </w:r>
          </w:p>
        </w:tc>
        <w:tc>
          <w:tcPr>
            <w:tcW w:w="35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2,527</w:t>
            </w:r>
          </w:p>
        </w:tc>
      </w:tr>
      <w:tr>
        <w:trPr>
          <w:trHeight w:val="27"/>
        </w:trPr>
        <w:tc>
          <w:tcPr>
            <w:tcW w:w="47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receivables</w:t>
            </w:r>
          </w:p>
        </w:tc>
        <w:tc>
          <w:tcPr>
            <w:tcW w:w="3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5,047</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r>
      <w:tr>
        <w:trPr>
          <w:trHeight w:val="324"/>
        </w:trPr>
        <w:tc>
          <w:tcPr>
            <w:tcW w:w="47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9"/>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available for benefits</w:t>
            </w:r>
          </w:p>
        </w:tc>
        <w:tc>
          <w:tcPr>
            <w:tcW w:w="3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4,568,598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3,946,876</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720" w:type="dxa"/>
            <w:vAlign w:val="bottom"/>
          </w:tcPr>
          <w:p>
            <w:pPr>
              <w:spacing w:after="0"/>
              <w:rPr>
                <w:sz w:val="20"/>
                <w:szCs w:val="20"/>
                <w:color w:val="auto"/>
              </w:rPr>
            </w:pPr>
            <w:r>
              <w:rPr>
                <w:rFonts w:ascii="Arial" w:cs="Arial" w:eastAsia="Arial" w:hAnsi="Arial"/>
                <w:sz w:val="18"/>
                <w:szCs w:val="18"/>
                <w:color w:val="auto"/>
              </w:rPr>
              <w:t>See accompanying Notes to Financial Statements.</w:t>
            </w:r>
          </w:p>
        </w:tc>
        <w:tc>
          <w:tcPr>
            <w:tcW w:w="3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4720" w:type="dxa"/>
            <w:vAlign w:val="bottom"/>
          </w:tcPr>
          <w:p>
            <w:pPr>
              <w:spacing w:after="0"/>
              <w:rPr>
                <w:sz w:val="24"/>
                <w:szCs w:val="24"/>
                <w:color w:val="auto"/>
              </w:rPr>
            </w:pPr>
          </w:p>
        </w:tc>
        <w:tc>
          <w:tcPr>
            <w:tcW w:w="3580" w:type="dxa"/>
            <w:vAlign w:val="bottom"/>
          </w:tcPr>
          <w:p>
            <w:pPr>
              <w:jc w:val="right"/>
              <w:ind w:right="2450"/>
              <w:spacing w:after="0"/>
              <w:rPr>
                <w:sz w:val="20"/>
                <w:szCs w:val="20"/>
                <w:color w:val="auto"/>
              </w:rPr>
            </w:pPr>
            <w:r>
              <w:rPr>
                <w:rFonts w:ascii="Arial" w:cs="Arial" w:eastAsia="Arial" w:hAnsi="Arial"/>
                <w:sz w:val="18"/>
                <w:szCs w:val="18"/>
                <w:color w:val="auto"/>
              </w:rPr>
              <w:t>1</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net assets:</w:t>
            </w: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1,081,210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295,795</w:t>
            </w:r>
          </w:p>
        </w:tc>
      </w:tr>
      <w:tr>
        <w:trPr>
          <w:trHeight w:val="237"/>
        </w:trPr>
        <w:tc>
          <w:tcPr>
            <w:tcW w:w="6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investment income</w:t>
            </w: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1,081,210</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295,795</w:t>
            </w:r>
          </w:p>
        </w:tc>
      </w:tr>
      <w:tr>
        <w:trPr>
          <w:trHeight w:val="27"/>
        </w:trPr>
        <w:tc>
          <w:tcPr>
            <w:tcW w:w="6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69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Employer cash contributions</w:t>
            </w:r>
          </w:p>
        </w:tc>
        <w:tc>
          <w:tcPr>
            <w:tcW w:w="1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62,288</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54,007</w:t>
            </w:r>
          </w:p>
        </w:tc>
      </w:tr>
      <w:tr>
        <w:trPr>
          <w:trHeight w:val="27"/>
        </w:trPr>
        <w:tc>
          <w:tcPr>
            <w:tcW w:w="6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contributions</w:t>
            </w:r>
          </w:p>
        </w:tc>
        <w:tc>
          <w:tcPr>
            <w:tcW w:w="1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285,557</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154,701</w:t>
            </w:r>
          </w:p>
        </w:tc>
      </w:tr>
      <w:tr>
        <w:trPr>
          <w:trHeight w:val="237"/>
        </w:trPr>
        <w:tc>
          <w:tcPr>
            <w:tcW w:w="6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contributions</w:t>
            </w: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347,845</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208,708</w:t>
            </w:r>
          </w:p>
        </w:tc>
      </w:tr>
      <w:tr>
        <w:trPr>
          <w:trHeight w:val="27"/>
        </w:trPr>
        <w:tc>
          <w:tcPr>
            <w:tcW w:w="6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69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6960" w:type="dxa"/>
            <w:vAlign w:val="bottom"/>
          </w:tcPr>
          <w:p>
            <w:pPr>
              <w:ind w:left="380"/>
              <w:spacing w:after="0"/>
              <w:rPr>
                <w:sz w:val="20"/>
                <w:szCs w:val="20"/>
                <w:color w:val="auto"/>
              </w:rPr>
            </w:pPr>
            <w:r>
              <w:rPr>
                <w:rFonts w:ascii="Arial" w:cs="Arial" w:eastAsia="Arial" w:hAnsi="Arial"/>
                <w:sz w:val="18"/>
                <w:szCs w:val="18"/>
                <w:color w:val="auto"/>
              </w:rPr>
              <w:t>Total additions to net assets</w:t>
            </w:r>
          </w:p>
        </w:tc>
        <w:tc>
          <w:tcPr>
            <w:tcW w:w="13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1,429,055</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504,503</w:t>
            </w:r>
          </w:p>
        </w:tc>
      </w:tr>
      <w:tr>
        <w:trPr>
          <w:trHeight w:val="27"/>
        </w:trPr>
        <w:tc>
          <w:tcPr>
            <w:tcW w:w="6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9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Deductions from net assets:</w:t>
            </w: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1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(807,333)</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(545,948)</w:t>
            </w:r>
          </w:p>
        </w:tc>
      </w:tr>
      <w:tr>
        <w:trPr>
          <w:trHeight w:val="237"/>
        </w:trPr>
        <w:tc>
          <w:tcPr>
            <w:tcW w:w="6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deductions from net assets</w:t>
            </w: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(807,333)</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(545,948)</w:t>
            </w:r>
          </w:p>
        </w:tc>
      </w:tr>
      <w:tr>
        <w:trPr>
          <w:trHeight w:val="27"/>
        </w:trPr>
        <w:tc>
          <w:tcPr>
            <w:tcW w:w="6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9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6960" w:type="dxa"/>
            <w:vAlign w:val="bottom"/>
          </w:tcPr>
          <w:p>
            <w:pPr>
              <w:ind w:left="280"/>
              <w:spacing w:after="0"/>
              <w:rPr>
                <w:sz w:val="20"/>
                <w:szCs w:val="20"/>
                <w:color w:val="auto"/>
              </w:rPr>
            </w:pPr>
            <w:r>
              <w:rPr>
                <w:rFonts w:ascii="Arial" w:cs="Arial" w:eastAsia="Arial" w:hAnsi="Arial"/>
                <w:sz w:val="18"/>
                <w:szCs w:val="18"/>
                <w:color w:val="auto"/>
              </w:rPr>
              <w:t>Net increase/(decrease) in net assets available for benefits</w:t>
            </w:r>
          </w:p>
        </w:tc>
        <w:tc>
          <w:tcPr>
            <w:tcW w:w="13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621,722</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(41,445)</w:t>
            </w:r>
          </w:p>
        </w:tc>
      </w:tr>
      <w:tr>
        <w:trPr>
          <w:trHeight w:val="27"/>
        </w:trPr>
        <w:tc>
          <w:tcPr>
            <w:tcW w:w="6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9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Net assets available for benefits:</w:t>
            </w: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year</w:t>
            </w:r>
          </w:p>
        </w:tc>
        <w:tc>
          <w:tcPr>
            <w:tcW w:w="1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3,946,876</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3,988,321</w:t>
            </w:r>
          </w:p>
        </w:tc>
      </w:tr>
      <w:tr>
        <w:trPr>
          <w:trHeight w:val="237"/>
        </w:trPr>
        <w:tc>
          <w:tcPr>
            <w:tcW w:w="6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End of year</w:t>
            </w:r>
          </w:p>
        </w:tc>
        <w:tc>
          <w:tcPr>
            <w:tcW w:w="13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4,568,598</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3,946,876</w:t>
            </w:r>
          </w:p>
        </w:tc>
      </w:tr>
      <w:tr>
        <w:trPr>
          <w:trHeight w:val="27"/>
        </w:trPr>
        <w:tc>
          <w:tcPr>
            <w:tcW w:w="6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and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Description of Plan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Toro Company (the "Company" or the "Plan Administrator")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The Company sells its products worldwide through a network of distributors, dealers, hardware retailers, home centers, mass retailers, as well as online (direct to end-users).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to the Plan document amended and restated as of January 1, 2012 for more complete information as it relates to calendar years prior to 2016. The Plan document was amended and restated effective January 1, 2016 as part of the regular five-year cycle of amendments and restatements. The plan is subject to certain provisions of the Employee Retirement Security Act of 1974, as amended ("ERISA"). As of December 31, 2014, the Plan was closed to any new individual Plan participants.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Employees must be a member of a collective bargaining unit. Employee contributions to the Plan consist of salary reduction elections under a 401(k) feature, voluntary after tax contributions, and rollover funds from other qualified plans. Participants are fully vested in the entire balance of their individual accounts attributable to those contributions. The Company, at its discretion, may make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 accumulated annually thereafter until the participant is 100% vested. All contributions under the Plan are made to a trust that holds all of the assets of the Plan.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investments of employee and employer contributions are selected by the participants. Benefit payments and transfers of participants’ interests are made by the trustee, Fidelity Investments (the "Trustee").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Participants may receive distributions from their vested accounts under the Plan upon termination of service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par value $1.00 per share, of the Company ("Common Stock"), a withdrawal or distribution can be in the form of Common Stock or cash.</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Administrative costs of the Plan are shared by the Company and plan participants, depending upon the type of administrative cost. Investment management fees are netted against investment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Forfeited amounts from non-vested accounts totaled $6 and $165 during the Plan years ended December 31,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of the Plan are prepared in accordance with United States generally accepted accounting principles ("U.S. GAAP") and are presented on the accrual basis of accounting. The accompanying Financial Statements have not been audited, as an audit is not required under the applicable ERISA rules.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Plan’s investments are in a Master Trust held by the Trustee. The Company maintains one Master Trust for two profit sharing and retirement plans that are sponsored by the Company. The two plans are the Plan and the Toro Company Investment, Savings, and Employee Stock Ownership Plan. The purpose of the Master Trust is to pool investment transactions and achieve uniform rates of return on comparable funds under all plans. The Plan’s proportionate share of net investment income, or loss, from the Master Trust is based upon the percentage of the fair value of the Plan’s investment in the Master Trust’s net assets. The Plan’s percentage interest in the net assets of the Master Trust was approximately 1% as of each of December 31, 2016 and 2015.</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investment securities are stated at fair value; fair value is the price that would be received to sell an asset or paid to transfer a liability in an orderly transaction between market participants as of the measurement date. The fair value of equity securities is based on the last quoted bid price. Common collective trust funds have the characteristics of a structure similar to a mutual fund, therefore, as clarified by Accounting Standards Update (ASU) 2015-10, </w:t>
      </w:r>
      <w:r>
        <w:rPr>
          <w:rFonts w:ascii="Arial" w:cs="Arial" w:eastAsia="Arial" w:hAnsi="Arial"/>
          <w:sz w:val="18"/>
          <w:szCs w:val="18"/>
          <w:i w:val="1"/>
          <w:iCs w:val="1"/>
          <w:color w:val="auto"/>
        </w:rPr>
        <w:t>Technical Correction and Improvements</w:t>
      </w:r>
      <w:r>
        <w:rPr>
          <w:rFonts w:ascii="Arial" w:cs="Arial" w:eastAsia="Arial" w:hAnsi="Arial"/>
          <w:sz w:val="18"/>
          <w:szCs w:val="18"/>
          <w:color w:val="auto"/>
        </w:rPr>
        <w:t>, its value is considered readily determinable as each fund publishes a daily price at the end of each day.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redemption or liquidation restrictions on participants and the Plan has no further contractual obligations to further invest in the funds. An immaterial error correction was made to classify the fiscal 2015 common collective trust funds shown in the fair value hierarchy table included within Note 6 - Master Trust Fund from investments measured at net asset value to Level 2 investments. This correction was made as the investments meet the criteria for readily determinable fair value as clarified by ASU 2015-10, and conforms with the fiscal 2016 presentation of common collective trusts funds within the fair value hierarchy table.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Purchases and sales of all securities are recorded on a trade-date basis. Interest is recorded on an accrual basis. Dividends are recorded on the ex-dividend date. Net appreciation, or depreciation, includes the Plan’s gains, or losses, respectively, on investments bought and sold as well as held during the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the Plan's management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has investments in a variety of investment funds within the Master Trust.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assets held by the Master Trust include Common Stock. At December 31, 2016 and 2015, approximately 41% and 37% of the investments of the Master Trust were invested in Common Stock of the Company, respectively. The underlying value of the Common Stock of the Company is entirely dependent upon the performance of the Company and the market’s evaluation of such performance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 indirectly invests in guaranteed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Stable value collective trust funds, which include these investment contracts held by a defined contribution plan, are required to be reported at fair value. The yield earned by the Wells Fargo Stable Return Fund G at December 31, 2016 and 2015 was 1.93% and 1.83%,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Party-in-Interest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Trustee and the Company are parties-in-interest with respect to the Plan. The Plan’s investments are held by the Trustee, and some of the investment funds available to participants include mutual funds managed by the Trustee. Transactions between the Plan and the Trustee are exempt from being considered as “prohibited transactions” under the ERISA Section 408(b).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4 — Plan Termination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the manner described within Note 1, </w:t>
      </w:r>
      <w:r>
        <w:rPr>
          <w:rFonts w:ascii="Arial" w:cs="Arial" w:eastAsia="Arial" w:hAnsi="Arial"/>
          <w:sz w:val="16"/>
          <w:szCs w:val="16"/>
          <w:i w:val="1"/>
          <w:iCs w:val="1"/>
          <w:color w:val="auto"/>
        </w:rPr>
        <w:t>Summary Description of Plan</w:t>
      </w:r>
      <w:r>
        <w:rPr>
          <w:rFonts w:ascii="Arial" w:cs="Arial" w:eastAsia="Arial" w:hAnsi="Arial"/>
          <w:sz w:val="16"/>
          <w:szCs w:val="16"/>
          <w:color w:val="auto"/>
        </w:rPr>
        <w:t>. Upon termination of the Plan, interests of active participants in the Plan fully vest.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Master Trust Fund</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 Transactions involving Company Stock qualify as party-in-interest transactions, which are exempt from the prohibited transaction rules under ERISA.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Master Trust investments at December 31, 2016 and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281,018,256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274,921,858</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300,996,560</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262,001,860</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3,838,930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3,955,951</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13,869,935</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13,814,321</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419,003,720</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322,340,390</w:t>
            </w:r>
          </w:p>
        </w:tc>
      </w:tr>
      <w:tr>
        <w:trPr>
          <w:trHeight w:val="237"/>
        </w:trPr>
        <w:tc>
          <w:tcPr>
            <w:tcW w:w="7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Master Trust investments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1,018,727,401</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877,034,380</w:t>
            </w:r>
          </w:p>
        </w:tc>
      </w:tr>
      <w:tr>
        <w:trPr>
          <w:trHeight w:val="67"/>
        </w:trPr>
        <w:tc>
          <w:tcPr>
            <w:tcW w:w="7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305"/>
        </w:trPr>
        <w:tc>
          <w:tcPr>
            <w:tcW w:w="79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8"/>
                <w:szCs w:val="18"/>
                <w:color w:val="auto"/>
              </w:rPr>
              <w:t>Plan interest in Master Trust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4,563,551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3,943,433</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26"/>
        </w:trPr>
        <w:tc>
          <w:tcPr>
            <w:tcW w:w="7920" w:type="dxa"/>
            <w:vAlign w:val="bottom"/>
          </w:tcPr>
          <w:p>
            <w:pPr>
              <w:spacing w:after="0"/>
              <w:rPr>
                <w:sz w:val="20"/>
                <w:szCs w:val="20"/>
                <w:color w:val="auto"/>
              </w:rPr>
            </w:pPr>
            <w:r>
              <w:rPr>
                <w:rFonts w:ascii="Arial" w:cs="Arial" w:eastAsia="Arial" w:hAnsi="Arial"/>
                <w:sz w:val="18"/>
                <w:szCs w:val="18"/>
                <w:color w:val="auto"/>
                <w:w w:val="90"/>
              </w:rPr>
              <w:t>Net investment income for the Master Trust for the years ended December 31, 2016 and 2015 was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79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37"/>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appreciation/(depreciation) in fair value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19,263,338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(11,478,371)</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15,165,285</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(545,909)</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Self-directed brokerage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613,572</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The Toro Company Common Stock</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156,310,401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43,822,076</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and unrealized appreciation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191,352,596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31,797,933</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Dividends and interest</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14,314,243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17,147,887</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Master Trust net investment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205,666,839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48,945,820</w:t>
            </w: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and inputs used in valuing the asset or liability. Level 1 provides the most reliable measure of fair value, while Level 3 generally requires significant management judgment. The three levels are defined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660"/>
        <w:spacing w:after="0" w:line="347"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Observable inputs other than Level 1 prices, such as quoted prices for similar assets or liabilities; quoted prices in markets that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active; or other inputs that are observable or can be corroborated by observable market data for substantially the full term of the assets or liabilities.</w:t>
      </w:r>
    </w:p>
    <w:p>
      <w:pPr>
        <w:spacing w:after="0" w:line="116"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The Master Trust’s investments in mutual funds, money market funds, self-directed brokerage, including investments in small, mid and large cap equities, in the United States and internationally, as well as investments in Common Stock are classified as Level 1 assets in the fair value hierarchy. The Master Trust’s investments in common collective trust funds are considered to have readily determinable fair value as each fund publishes a daily price at the end of each day. While the underlying assets are actively traded on an exchange, the common collective trust funds are not and, therefore, are classified as Level 2 assets 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Master Trust assets measured at fair value as of December 31, 2016 and 2015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281,018,256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281,018,256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300,996,560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300,996,560</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3,838,930</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3,838,930</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13,869,935</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13,869,935</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1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419,003,720</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419,003,720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3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Investments at fair value</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1,018,727,401</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717,730,841</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300,996,560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3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274,921,858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274,921,858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1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262,001,860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262,001,860</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3,955,951</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3,955,951</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1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13,814,321</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13,814,321</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1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322,340,390</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322,340,390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3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877,034,380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615,032,520</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262,001,860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years ended December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Federal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Internal Revenue Service ("IRS") has determined and informed the Company by a letter dated November 7, 2012,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 The Company has filed an application for a new determination letter with respect to the January 1, 2016 amended and restated Plan document, but has not received a final determination letter from the IRS as of June 29,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the Plan’s management to evaluate tax positions taken by the Plan and recognize a tax liability, or asset, if the Plan has taken an uncertain position that more likely than not would not be sustained upon examination by the IRS. The Plan’s management has concluded that as of June 29, 2017,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evaluated all subsequent events through June 29, 2017 and concluded that no subsequent events have occurred that would require recognition in the Financial Statements or disclosure in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Toro Company Profit-Sharing Plan for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Plymouth Union Employees</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29, 2017</w:t>
      </w:r>
      <w:r>
        <w:rPr>
          <w:sz w:val="20"/>
          <w:szCs w:val="20"/>
          <w:color w:val="auto"/>
        </w:rPr>
        <w:tab/>
      </w:r>
      <w:r>
        <w:rPr>
          <w:rFonts w:ascii="Arial" w:cs="Arial" w:eastAsia="Arial" w:hAnsi="Arial"/>
          <w:sz w:val="15"/>
          <w:szCs w:val="15"/>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Vice President, Treasurer and Chief Financial Officer of The Toro Company</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 and 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2019-12-05T11:16:52Z</dcterms:created>
  <dcterms:modified xsi:type="dcterms:W3CDTF">2019-12-05T11:16:52Z</dcterms:modified>
</cp:coreProperties>
</file>