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UNITED STATES 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8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10-K</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For Fiscal Year Ended October 31, 2005.</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THE TORO COMPANY</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26" w:lineRule="exact"/>
        <w:rPr>
          <w:sz w:val="24"/>
          <w:szCs w:val="24"/>
          <w:color w:val="auto"/>
        </w:rPr>
      </w:pPr>
    </w:p>
    <w:p>
      <w:pPr>
        <w:ind w:left="2980"/>
        <w:spacing w:after="0"/>
        <w:tabs>
          <w:tab w:leader="none" w:pos="5460" w:val="left"/>
          <w:tab w:leader="none" w:pos="772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1-8649</w:t>
      </w:r>
      <w:r>
        <w:rPr>
          <w:sz w:val="20"/>
          <w:szCs w:val="20"/>
          <w:color w:val="auto"/>
        </w:rPr>
        <w:tab/>
      </w:r>
      <w:r>
        <w:rPr>
          <w:rFonts w:ascii="Arial" w:cs="Arial" w:eastAsia="Arial" w:hAnsi="Arial"/>
          <w:sz w:val="14"/>
          <w:szCs w:val="14"/>
          <w:b w:val="1"/>
          <w:bCs w:val="1"/>
          <w:color w:val="auto"/>
        </w:rPr>
        <w:t>41-0580470</w:t>
      </w:r>
    </w:p>
    <w:p>
      <w:pPr>
        <w:spacing w:after="0" w:line="46" w:lineRule="exact"/>
        <w:rPr>
          <w:sz w:val="24"/>
          <w:szCs w:val="24"/>
          <w:color w:val="auto"/>
        </w:rPr>
      </w:pPr>
    </w:p>
    <w:p>
      <w:pPr>
        <w:ind w:left="2560"/>
        <w:spacing w:after="0"/>
        <w:tabs>
          <w:tab w:leader="none" w:pos="4820" w:val="left"/>
          <w:tab w:leader="none" w:pos="7140" w:val="left"/>
        </w:tabs>
        <w:rPr>
          <w:sz w:val="20"/>
          <w:szCs w:val="20"/>
          <w:color w:val="auto"/>
        </w:rPr>
      </w:pPr>
      <w:r>
        <w:rPr>
          <w:rFonts w:ascii="Arial" w:cs="Arial" w:eastAsia="Arial" w:hAnsi="Arial"/>
          <w:sz w:val="14"/>
          <w:szCs w:val="14"/>
          <w:color w:val="auto"/>
        </w:rPr>
        <w:t>(State of incorporation)</w:t>
      </w:r>
      <w:r>
        <w:rPr>
          <w:sz w:val="20"/>
          <w:szCs w:val="20"/>
          <w:color w:val="auto"/>
        </w:rPr>
        <w:tab/>
      </w:r>
      <w:r>
        <w:rPr>
          <w:rFonts w:ascii="Arial" w:cs="Arial" w:eastAsia="Arial" w:hAnsi="Arial"/>
          <w:sz w:val="14"/>
          <w:szCs w:val="14"/>
          <w:color w:val="auto"/>
        </w:rPr>
        <w:t>(Commission File Number)</w:t>
      </w:r>
      <w:r>
        <w:rPr>
          <w:sz w:val="20"/>
          <w:szCs w:val="20"/>
          <w:color w:val="auto"/>
        </w:rPr>
        <w:tab/>
      </w:r>
      <w:r>
        <w:rPr>
          <w:rFonts w:ascii="Arial" w:cs="Arial" w:eastAsia="Arial" w:hAnsi="Arial"/>
          <w:sz w:val="14"/>
          <w:szCs w:val="14"/>
          <w:color w:val="auto"/>
        </w:rPr>
        <w:t>(I.R.S. Employer Identification</w:t>
      </w:r>
    </w:p>
    <w:p>
      <w:pPr>
        <w:spacing w:after="0" w:line="28" w:lineRule="exact"/>
        <w:rPr>
          <w:sz w:val="24"/>
          <w:szCs w:val="24"/>
          <w:color w:val="auto"/>
        </w:rPr>
      </w:pPr>
    </w:p>
    <w:p>
      <w:pPr>
        <w:ind w:left="7840"/>
        <w:spacing w:after="0"/>
        <w:rPr>
          <w:sz w:val="20"/>
          <w:szCs w:val="20"/>
          <w:color w:val="auto"/>
        </w:rPr>
      </w:pPr>
      <w:r>
        <w:rPr>
          <w:rFonts w:ascii="Arial" w:cs="Arial" w:eastAsia="Arial" w:hAnsi="Arial"/>
          <w:sz w:val="14"/>
          <w:szCs w:val="14"/>
          <w:color w:val="auto"/>
        </w:rPr>
        <w:t>Number)</w:t>
      </w:r>
    </w:p>
    <w:p>
      <w:pPr>
        <w:spacing w:after="0" w:line="1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8111 Lyndale Avenue South</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Bloomington, Minnesota 55420-1196</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Telephone number: (952) 888-8801</w:t>
      </w:r>
    </w:p>
    <w:p>
      <w:pPr>
        <w:spacing w:after="0" w:line="25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74930</wp:posOffset>
            </wp:positionV>
            <wp:extent cx="1389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4"/>
          <w:szCs w:val="24"/>
          <w:color w:val="auto"/>
        </w:rPr>
      </w:pPr>
    </w:p>
    <w:p>
      <w:pPr>
        <w:ind w:left="1660"/>
        <w:spacing w:after="0"/>
        <w:tabs>
          <w:tab w:leader="none" w:pos="5880" w:val="left"/>
        </w:tabs>
        <w:rPr>
          <w:sz w:val="20"/>
          <w:szCs w:val="20"/>
          <w:color w:val="auto"/>
        </w:rPr>
      </w:pPr>
      <w:r>
        <w:rPr>
          <w:rFonts w:ascii="Arial" w:cs="Arial" w:eastAsia="Arial" w:hAnsi="Arial"/>
          <w:sz w:val="18"/>
          <w:szCs w:val="18"/>
          <w:b w:val="1"/>
          <w:bCs w:val="1"/>
          <w:color w:val="auto"/>
        </w:rPr>
        <w:t>Title of Each</w:t>
      </w:r>
      <w:r>
        <w:rPr>
          <w:sz w:val="20"/>
          <w:szCs w:val="20"/>
          <w:color w:val="auto"/>
        </w:rPr>
        <w:tab/>
      </w:r>
      <w:r>
        <w:rPr>
          <w:rFonts w:ascii="Arial" w:cs="Arial" w:eastAsia="Arial" w:hAnsi="Arial"/>
          <w:sz w:val="18"/>
          <w:szCs w:val="18"/>
          <w:b w:val="1"/>
          <w:bCs w:val="1"/>
          <w:color w:val="auto"/>
        </w:rPr>
        <w:t>Name of Each Exchange on Which</w:t>
      </w:r>
    </w:p>
    <w:p>
      <w:pPr>
        <w:spacing w:after="0" w:line="1" w:lineRule="exact"/>
        <w:rPr>
          <w:sz w:val="24"/>
          <w:szCs w:val="24"/>
          <w:color w:val="auto"/>
        </w:rPr>
      </w:pPr>
    </w:p>
    <w:p>
      <w:pPr>
        <w:ind w:left="1660"/>
        <w:spacing w:after="0"/>
        <w:tabs>
          <w:tab w:leader="none" w:pos="5880" w:val="left"/>
        </w:tabs>
        <w:rPr>
          <w:sz w:val="20"/>
          <w:szCs w:val="20"/>
          <w:color w:val="auto"/>
        </w:rPr>
      </w:pPr>
      <w:r>
        <w:rPr>
          <w:rFonts w:ascii="Arial" w:cs="Arial" w:eastAsia="Arial" w:hAnsi="Arial"/>
          <w:sz w:val="18"/>
          <w:szCs w:val="18"/>
          <w:b w:val="1"/>
          <w:bCs w:val="1"/>
          <w:color w:val="auto"/>
        </w:rPr>
        <w:t>Class</w:t>
      </w:r>
      <w:r>
        <w:rPr>
          <w:sz w:val="20"/>
          <w:szCs w:val="20"/>
          <w:color w:val="auto"/>
        </w:rPr>
        <w:tab/>
      </w:r>
      <w:r>
        <w:rPr>
          <w:rFonts w:ascii="Arial" w:cs="Arial" w:eastAsia="Arial" w:hAnsi="Arial"/>
          <w:sz w:val="18"/>
          <w:szCs w:val="18"/>
          <w:b w:val="1"/>
          <w:bCs w:val="1"/>
          <w:color w:val="auto"/>
        </w:rPr>
        <w:t>Registered</w:t>
      </w:r>
    </w:p>
    <w:tbl>
      <w:tblPr>
        <w:tblLayout w:type="fixed"/>
        <w:tblInd w:w="1660" w:type="dxa"/>
        <w:tblCellMar>
          <w:top w:w="0" w:type="dxa"/>
          <w:left w:w="0" w:type="dxa"/>
          <w:bottom w:w="0" w:type="dxa"/>
          <w:right w:w="0" w:type="dxa"/>
        </w:tblCellMar>
      </w:tblPr>
      <w:tr>
        <w:trPr>
          <w:trHeight w:val="223"/>
        </w:trPr>
        <w:tc>
          <w:tcPr>
            <w:tcW w:w="39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Common Stock, par value $1.00 per share</w:t>
            </w:r>
          </w:p>
        </w:tc>
        <w:tc>
          <w:tcPr>
            <w:tcW w:w="300" w:type="dxa"/>
            <w:vAlign w:val="bottom"/>
            <w:tcBorders>
              <w:top w:val="single" w:sz="8" w:color="CCEEFF"/>
            </w:tcBorders>
            <w:shd w:val="clear" w:color="auto" w:fill="CCEEFF"/>
          </w:tcPr>
          <w:p>
            <w:pPr>
              <w:spacing w:after="0"/>
              <w:rPr>
                <w:sz w:val="19"/>
                <w:szCs w:val="19"/>
                <w:color w:val="auto"/>
              </w:rPr>
            </w:pPr>
          </w:p>
        </w:tc>
        <w:tc>
          <w:tcPr>
            <w:tcW w:w="388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New York Stock Exchange</w:t>
            </w:r>
          </w:p>
        </w:tc>
      </w:tr>
      <w:tr>
        <w:trPr>
          <w:trHeight w:val="237"/>
        </w:trPr>
        <w:tc>
          <w:tcPr>
            <w:tcW w:w="3940" w:type="dxa"/>
            <w:vAlign w:val="bottom"/>
          </w:tcPr>
          <w:p>
            <w:pPr>
              <w:spacing w:after="0"/>
              <w:rPr>
                <w:sz w:val="20"/>
                <w:szCs w:val="20"/>
                <w:color w:val="auto"/>
              </w:rPr>
            </w:pPr>
            <w:r>
              <w:rPr>
                <w:rFonts w:ascii="Arial" w:cs="Arial" w:eastAsia="Arial" w:hAnsi="Arial"/>
                <w:sz w:val="20"/>
                <w:szCs w:val="20"/>
                <w:color w:val="auto"/>
              </w:rPr>
              <w:t>Preferred Share Purchase Rights</w:t>
            </w:r>
          </w:p>
        </w:tc>
        <w:tc>
          <w:tcPr>
            <w:tcW w:w="4180" w:type="dxa"/>
            <w:vAlign w:val="bottom"/>
            <w:gridSpan w:val="2"/>
          </w:tcPr>
          <w:p>
            <w:pPr>
              <w:ind w:left="300"/>
              <w:spacing w:after="0"/>
              <w:rPr>
                <w:sz w:val="20"/>
                <w:szCs w:val="20"/>
                <w:color w:val="auto"/>
              </w:rPr>
            </w:pPr>
            <w:r>
              <w:rPr>
                <w:rFonts w:ascii="Arial" w:cs="Arial" w:eastAsia="Arial" w:hAnsi="Arial"/>
                <w:sz w:val="20"/>
                <w:szCs w:val="20"/>
                <w:color w:val="auto"/>
              </w:rPr>
              <w:t>New York Stock Exchange</w:t>
            </w:r>
          </w:p>
        </w:tc>
      </w:tr>
    </w:tbl>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None</w:t>
      </w:r>
    </w:p>
    <w:p>
      <w:pPr>
        <w:spacing w:after="0" w:line="239"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224" w:lineRule="exact"/>
        <w:rPr>
          <w:sz w:val="24"/>
          <w:szCs w:val="24"/>
          <w:color w:val="auto"/>
        </w:rPr>
      </w:pPr>
    </w:p>
    <w:p>
      <w:pPr>
        <w:ind w:right="600"/>
        <w:spacing w:after="0" w:line="271"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50" w:lineRule="exact"/>
        <w:rPr>
          <w:sz w:val="24"/>
          <w:szCs w:val="24"/>
          <w:color w:val="auto"/>
        </w:rPr>
      </w:pPr>
    </w:p>
    <w:p>
      <w:pPr>
        <w:spacing w:after="0"/>
        <w:tabs>
          <w:tab w:leader="none" w:pos="9560" w:val="left"/>
          <w:tab w:leader="none" w:pos="10440" w:val="left"/>
        </w:tabs>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r>
        <w:rPr>
          <w:sz w:val="20"/>
          <w:szCs w:val="20"/>
          <w:color w:val="auto"/>
        </w:rPr>
        <w:tab/>
      </w: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198" w:lineRule="exact"/>
        <w:rPr>
          <w:sz w:val="24"/>
          <w:szCs w:val="24"/>
          <w:color w:val="auto"/>
        </w:rPr>
      </w:pPr>
    </w:p>
    <w:p>
      <w:pPr>
        <w:spacing w:after="0"/>
        <w:tabs>
          <w:tab w:leader="none" w:pos="9480" w:val="left"/>
          <w:tab w:leader="none" w:pos="10260" w:val="left"/>
        </w:tabs>
        <w:rPr>
          <w:sz w:val="20"/>
          <w:szCs w:val="20"/>
          <w:color w:val="auto"/>
        </w:rPr>
      </w:pPr>
      <w:r>
        <w:rPr>
          <w:rFonts w:ascii="Arial" w:cs="Arial" w:eastAsia="Arial" w:hAnsi="Arial"/>
          <w:sz w:val="18"/>
          <w:szCs w:val="18"/>
          <w:color w:val="auto"/>
        </w:rPr>
        <w:t>Indicate by check mark whether the registrant is a shell company (as defined in Exchange Act Rule 12b-2).</w:t>
      </w:r>
      <w:r>
        <w:rPr>
          <w:sz w:val="20"/>
          <w:szCs w:val="20"/>
          <w:color w:val="auto"/>
        </w:rPr>
        <w:tab/>
      </w: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25" w:lineRule="exact"/>
        <w:rPr>
          <w:sz w:val="24"/>
          <w:szCs w:val="24"/>
          <w:color w:val="auto"/>
        </w:rPr>
      </w:pPr>
    </w:p>
    <w:p>
      <w:pPr>
        <w:jc w:val="both"/>
        <w:ind w:right="360"/>
        <w:spacing w:after="0" w:line="271"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of the Common Stock on April 29, 2005, the last business day of the registrant’s most recently completed second fiscal quarter, as reported by the New York Stock Exchange, was approximately $1.8 billion.</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December 16, 2005 was 43,320,888.</w:t>
      </w:r>
    </w:p>
    <w:p>
      <w:pPr>
        <w:spacing w:after="0" w:line="176"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4"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Portions of the registrant’s Proxy Statement for the Annual Meeting of Stockholders to be held March 14, 2006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tbl>
      <w:tblPr>
        <w:tblLayout w:type="fixed"/>
        <w:tblInd w:w="98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6040" w:type="dxa"/>
            <w:vAlign w:val="bottom"/>
          </w:tcPr>
          <w:p>
            <w:pPr>
              <w:jc w:val="center"/>
              <w:ind w:left="1210"/>
              <w:spacing w:after="0"/>
              <w:rPr>
                <w:sz w:val="20"/>
                <w:szCs w:val="20"/>
                <w:color w:val="auto"/>
              </w:rPr>
            </w:pPr>
            <w:r>
              <w:rPr>
                <w:rFonts w:ascii="Arial" w:cs="Arial" w:eastAsia="Arial" w:hAnsi="Arial"/>
                <w:sz w:val="22"/>
                <w:szCs w:val="22"/>
                <w:b w:val="1"/>
                <w:bCs w:val="1"/>
                <w:color w:val="auto"/>
                <w:w w:val="97"/>
              </w:rPr>
              <w:t>THE TORO COMPANY</w:t>
            </w:r>
          </w:p>
        </w:tc>
        <w:tc>
          <w:tcPr>
            <w:tcW w:w="2380" w:type="dxa"/>
            <w:vAlign w:val="bottom"/>
          </w:tcPr>
          <w:p>
            <w:pPr>
              <w:spacing w:after="0"/>
              <w:rPr>
                <w:sz w:val="21"/>
                <w:szCs w:val="21"/>
                <w:color w:val="auto"/>
              </w:rPr>
            </w:pPr>
          </w:p>
        </w:tc>
      </w:tr>
      <w:tr>
        <w:trPr>
          <w:trHeight w:val="243"/>
        </w:trPr>
        <w:tc>
          <w:tcPr>
            <w:tcW w:w="1060" w:type="dxa"/>
            <w:vAlign w:val="bottom"/>
          </w:tcPr>
          <w:p>
            <w:pPr>
              <w:spacing w:after="0"/>
              <w:rPr>
                <w:sz w:val="21"/>
                <w:szCs w:val="21"/>
                <w:color w:val="auto"/>
              </w:rPr>
            </w:pPr>
          </w:p>
        </w:tc>
        <w:tc>
          <w:tcPr>
            <w:tcW w:w="6040" w:type="dxa"/>
            <w:vAlign w:val="bottom"/>
          </w:tcPr>
          <w:p>
            <w:pPr>
              <w:jc w:val="center"/>
              <w:ind w:left="1210"/>
              <w:spacing w:after="0" w:line="243" w:lineRule="exact"/>
              <w:rPr>
                <w:sz w:val="20"/>
                <w:szCs w:val="20"/>
                <w:color w:val="auto"/>
              </w:rPr>
            </w:pPr>
            <w:r>
              <w:rPr>
                <w:rFonts w:ascii="Arial" w:cs="Arial" w:eastAsia="Arial" w:hAnsi="Arial"/>
                <w:sz w:val="22"/>
                <w:szCs w:val="22"/>
                <w:b w:val="1"/>
                <w:bCs w:val="1"/>
                <w:color w:val="auto"/>
                <w:w w:val="99"/>
              </w:rPr>
              <w:t>FORM 10-K</w:t>
            </w:r>
          </w:p>
        </w:tc>
        <w:tc>
          <w:tcPr>
            <w:tcW w:w="2380" w:type="dxa"/>
            <w:vAlign w:val="bottom"/>
          </w:tcPr>
          <w:p>
            <w:pPr>
              <w:spacing w:after="0"/>
              <w:rPr>
                <w:sz w:val="21"/>
                <w:szCs w:val="21"/>
                <w:color w:val="auto"/>
              </w:rPr>
            </w:pPr>
          </w:p>
        </w:tc>
      </w:tr>
      <w:tr>
        <w:trPr>
          <w:trHeight w:val="286"/>
        </w:trPr>
        <w:tc>
          <w:tcPr>
            <w:tcW w:w="1060" w:type="dxa"/>
            <w:vAlign w:val="bottom"/>
          </w:tcPr>
          <w:p>
            <w:pPr>
              <w:spacing w:after="0"/>
              <w:rPr>
                <w:sz w:val="24"/>
                <w:szCs w:val="24"/>
                <w:color w:val="auto"/>
              </w:rPr>
            </w:pPr>
          </w:p>
        </w:tc>
        <w:tc>
          <w:tcPr>
            <w:tcW w:w="6040" w:type="dxa"/>
            <w:vAlign w:val="bottom"/>
          </w:tcPr>
          <w:p>
            <w:pPr>
              <w:jc w:val="center"/>
              <w:ind w:left="1210"/>
              <w:spacing w:after="0"/>
              <w:rPr>
                <w:sz w:val="20"/>
                <w:szCs w:val="20"/>
                <w:color w:val="auto"/>
              </w:rPr>
            </w:pPr>
            <w:r>
              <w:rPr>
                <w:rFonts w:ascii="Arial" w:cs="Arial" w:eastAsia="Arial" w:hAnsi="Arial"/>
                <w:sz w:val="22"/>
                <w:szCs w:val="22"/>
                <w:b w:val="1"/>
                <w:bCs w:val="1"/>
                <w:color w:val="auto"/>
                <w:w w:val="96"/>
              </w:rPr>
              <w:t>TABLE OF CONTENTS</w:t>
            </w:r>
          </w:p>
        </w:tc>
        <w:tc>
          <w:tcPr>
            <w:tcW w:w="2380" w:type="dxa"/>
            <w:vAlign w:val="bottom"/>
          </w:tcPr>
          <w:p>
            <w:pPr>
              <w:spacing w:after="0"/>
              <w:rPr>
                <w:sz w:val="24"/>
                <w:szCs w:val="24"/>
                <w:color w:val="auto"/>
              </w:rPr>
            </w:pPr>
          </w:p>
        </w:tc>
      </w:tr>
      <w:tr>
        <w:trPr>
          <w:trHeight w:val="328"/>
        </w:trPr>
        <w:tc>
          <w:tcPr>
            <w:tcW w:w="10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Description</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 Number</w:t>
            </w:r>
          </w:p>
        </w:tc>
      </w:tr>
      <w:tr>
        <w:trPr>
          <w:trHeight w:val="291"/>
        </w:trPr>
        <w:tc>
          <w:tcPr>
            <w:tcW w:w="1060" w:type="dxa"/>
            <w:vAlign w:val="bottom"/>
          </w:tcPr>
          <w:p>
            <w:pPr>
              <w:spacing w:after="0"/>
              <w:rPr>
                <w:sz w:val="20"/>
                <w:szCs w:val="20"/>
                <w:color w:val="auto"/>
              </w:rPr>
            </w:pPr>
            <w:r>
              <w:rPr>
                <w:rFonts w:ascii="Arial" w:cs="Arial" w:eastAsia="Arial" w:hAnsi="Arial"/>
                <w:sz w:val="25"/>
                <w:szCs w:val="25"/>
                <w:b w:val="1"/>
                <w:bCs w:val="1"/>
                <w:color w:val="auto"/>
              </w:rPr>
              <w:t>PART I</w:t>
            </w:r>
          </w:p>
        </w:tc>
        <w:tc>
          <w:tcPr>
            <w:tcW w:w="60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1"/>
        </w:trPr>
        <w:tc>
          <w:tcPr>
            <w:tcW w:w="1060" w:type="dxa"/>
            <w:vAlign w:val="bottom"/>
            <w:shd w:val="clear" w:color="auto" w:fill="CCEEFF"/>
          </w:tcPr>
          <w:p>
            <w:pPr>
              <w:spacing w:after="0"/>
              <w:rPr>
                <w:sz w:val="20"/>
                <w:szCs w:val="20"/>
                <w:color w:val="auto"/>
              </w:rPr>
            </w:pPr>
            <w:r>
              <w:rPr>
                <w:rFonts w:ascii="Arial" w:cs="Arial" w:eastAsia="Arial" w:hAnsi="Arial"/>
                <w:sz w:val="22"/>
                <w:szCs w:val="22"/>
                <w:b w:val="1"/>
                <w:bCs w:val="1"/>
                <w:color w:val="auto"/>
              </w:rPr>
              <w:t>ITEM 1.</w:t>
            </w:r>
          </w:p>
        </w:tc>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84"/>
        </w:trPr>
        <w:tc>
          <w:tcPr>
            <w:tcW w:w="1060" w:type="dxa"/>
            <w:vAlign w:val="bottom"/>
          </w:tcPr>
          <w:p>
            <w:pPr>
              <w:spacing w:after="0"/>
              <w:rPr>
                <w:sz w:val="20"/>
                <w:szCs w:val="20"/>
                <w:color w:val="auto"/>
              </w:rPr>
            </w:pPr>
            <w:r>
              <w:rPr>
                <w:rFonts w:ascii="Arial" w:cs="Arial" w:eastAsia="Arial" w:hAnsi="Arial"/>
                <w:sz w:val="22"/>
                <w:szCs w:val="22"/>
                <w:b w:val="1"/>
                <w:bCs w:val="1"/>
                <w:color w:val="auto"/>
              </w:rPr>
              <w:t>ITEM 1A.</w:t>
            </w:r>
          </w:p>
        </w:tc>
        <w:tc>
          <w:tcPr>
            <w:tcW w:w="6040" w:type="dxa"/>
            <w:vAlign w:val="bottom"/>
          </w:tcPr>
          <w:p>
            <w:pPr>
              <w:ind w:left="140"/>
              <w:spacing w:after="0"/>
              <w:rPr>
                <w:sz w:val="20"/>
                <w:szCs w:val="20"/>
                <w:color w:val="auto"/>
              </w:rPr>
            </w:pPr>
            <w:r>
              <w:rPr>
                <w:rFonts w:ascii="Arial" w:cs="Arial" w:eastAsia="Arial" w:hAnsi="Arial"/>
                <w:sz w:val="16"/>
                <w:szCs w:val="16"/>
                <w:color w:val="auto"/>
              </w:rPr>
              <w:t>Risk Factors</w:t>
            </w:r>
          </w:p>
        </w:tc>
        <w:tc>
          <w:tcPr>
            <w:tcW w:w="23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84"/>
        </w:trPr>
        <w:tc>
          <w:tcPr>
            <w:tcW w:w="1060" w:type="dxa"/>
            <w:vAlign w:val="bottom"/>
            <w:shd w:val="clear" w:color="auto" w:fill="CCEEFF"/>
          </w:tcPr>
          <w:p>
            <w:pPr>
              <w:spacing w:after="0"/>
              <w:rPr>
                <w:sz w:val="20"/>
                <w:szCs w:val="20"/>
                <w:color w:val="auto"/>
              </w:rPr>
            </w:pPr>
            <w:r>
              <w:rPr>
                <w:rFonts w:ascii="Arial" w:cs="Arial" w:eastAsia="Arial" w:hAnsi="Arial"/>
                <w:sz w:val="22"/>
                <w:szCs w:val="22"/>
                <w:b w:val="1"/>
                <w:bCs w:val="1"/>
                <w:color w:val="auto"/>
              </w:rPr>
              <w:t>ITEM 2.</w:t>
            </w:r>
          </w:p>
        </w:tc>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Properties</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84"/>
        </w:trPr>
        <w:tc>
          <w:tcPr>
            <w:tcW w:w="1060" w:type="dxa"/>
            <w:vAlign w:val="bottom"/>
          </w:tcPr>
          <w:p>
            <w:pPr>
              <w:spacing w:after="0"/>
              <w:rPr>
                <w:sz w:val="20"/>
                <w:szCs w:val="20"/>
                <w:color w:val="auto"/>
              </w:rPr>
            </w:pPr>
            <w:r>
              <w:rPr>
                <w:rFonts w:ascii="Arial" w:cs="Arial" w:eastAsia="Arial" w:hAnsi="Arial"/>
                <w:sz w:val="22"/>
                <w:szCs w:val="22"/>
                <w:b w:val="1"/>
                <w:bCs w:val="1"/>
                <w:color w:val="auto"/>
              </w:rPr>
              <w:t>ITEM 3.</w:t>
            </w:r>
          </w:p>
        </w:tc>
        <w:tc>
          <w:tcPr>
            <w:tcW w:w="6040" w:type="dxa"/>
            <w:vAlign w:val="bottom"/>
          </w:tcPr>
          <w:p>
            <w:pPr>
              <w:ind w:left="140"/>
              <w:spacing w:after="0"/>
              <w:rPr>
                <w:sz w:val="20"/>
                <w:szCs w:val="20"/>
                <w:color w:val="auto"/>
              </w:rPr>
            </w:pPr>
            <w:r>
              <w:rPr>
                <w:rFonts w:ascii="Arial" w:cs="Arial" w:eastAsia="Arial" w:hAnsi="Arial"/>
                <w:sz w:val="16"/>
                <w:szCs w:val="16"/>
                <w:color w:val="auto"/>
              </w:rPr>
              <w:t>Legal Proceedings</w:t>
            </w:r>
          </w:p>
        </w:tc>
        <w:tc>
          <w:tcPr>
            <w:tcW w:w="23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84"/>
        </w:trPr>
        <w:tc>
          <w:tcPr>
            <w:tcW w:w="1060" w:type="dxa"/>
            <w:vAlign w:val="bottom"/>
            <w:shd w:val="clear" w:color="auto" w:fill="CCEEFF"/>
          </w:tcPr>
          <w:p>
            <w:pPr>
              <w:spacing w:after="0"/>
              <w:rPr>
                <w:sz w:val="20"/>
                <w:szCs w:val="20"/>
                <w:color w:val="auto"/>
              </w:rPr>
            </w:pPr>
            <w:r>
              <w:rPr>
                <w:rFonts w:ascii="Arial" w:cs="Arial" w:eastAsia="Arial" w:hAnsi="Arial"/>
                <w:sz w:val="22"/>
                <w:szCs w:val="22"/>
                <w:b w:val="1"/>
                <w:bCs w:val="1"/>
                <w:color w:val="auto"/>
              </w:rPr>
              <w:t>ITEM 4.</w:t>
            </w:r>
          </w:p>
        </w:tc>
        <w:tc>
          <w:tcPr>
            <w:tcW w:w="6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Submission of Matters to a Vote of Security Holders</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51"/>
        </w:trPr>
        <w:tc>
          <w:tcPr>
            <w:tcW w:w="1060" w:type="dxa"/>
            <w:vAlign w:val="bottom"/>
          </w:tcPr>
          <w:p>
            <w:pPr>
              <w:spacing w:after="0"/>
              <w:rPr>
                <w:sz w:val="21"/>
                <w:szCs w:val="21"/>
                <w:color w:val="auto"/>
              </w:rPr>
            </w:pPr>
          </w:p>
        </w:tc>
        <w:tc>
          <w:tcPr>
            <w:tcW w:w="6040" w:type="dxa"/>
            <w:vAlign w:val="bottom"/>
          </w:tcPr>
          <w:p>
            <w:pPr>
              <w:ind w:left="140"/>
              <w:spacing w:after="0"/>
              <w:rPr>
                <w:sz w:val="20"/>
                <w:szCs w:val="20"/>
                <w:color w:val="auto"/>
              </w:rPr>
            </w:pPr>
            <w:r>
              <w:rPr>
                <w:rFonts w:ascii="Arial" w:cs="Arial" w:eastAsia="Arial" w:hAnsi="Arial"/>
                <w:sz w:val="16"/>
                <w:szCs w:val="16"/>
                <w:color w:val="auto"/>
              </w:rPr>
              <w:t>Executive Officers of the Registrant</w:t>
            </w:r>
          </w:p>
        </w:tc>
        <w:tc>
          <w:tcPr>
            <w:tcW w:w="238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12700</wp:posOffset>
            </wp:positionV>
            <wp:extent cx="6020435"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20435" cy="283210"/>
                    </a:xfrm>
                    <a:prstGeom prst="rect">
                      <a:avLst/>
                    </a:prstGeom>
                    <a:noFill/>
                  </pic:spPr>
                </pic:pic>
              </a:graphicData>
            </a:graphic>
          </wp:anchor>
        </w:drawing>
      </w:r>
    </w:p>
    <w:p>
      <w:pPr>
        <w:sectPr>
          <w:pgSz w:w="11900" w:h="16838" w:orient="portrait"/>
          <w:cols w:equalWidth="0" w:num="1">
            <w:col w:w="11340"/>
          </w:cols>
          <w:pgMar w:left="240" w:top="183" w:right="319" w:bottom="0" w:gutter="0" w:footer="0" w:header="0"/>
        </w:sectPr>
      </w:pPr>
    </w:p>
    <w:p>
      <w:pPr>
        <w:spacing w:after="0" w:line="151" w:lineRule="exact"/>
        <w:rPr>
          <w:sz w:val="24"/>
          <w:szCs w:val="24"/>
          <w:color w:val="auto"/>
        </w:rPr>
      </w:pPr>
    </w:p>
    <w:p>
      <w:pPr>
        <w:ind w:left="980"/>
        <w:spacing w:after="0"/>
        <w:rPr>
          <w:sz w:val="20"/>
          <w:szCs w:val="20"/>
          <w:color w:val="auto"/>
        </w:rPr>
      </w:pPr>
      <w:r>
        <w:rPr>
          <w:rFonts w:ascii="Arial" w:cs="Arial" w:eastAsia="Arial" w:hAnsi="Arial"/>
          <w:sz w:val="24"/>
          <w:szCs w:val="24"/>
          <w:b w:val="1"/>
          <w:bCs w:val="1"/>
          <w:color w:val="auto"/>
        </w:rPr>
        <w:t>PART II</w:t>
      </w:r>
    </w:p>
    <w:p>
      <w:pPr>
        <w:sectPr>
          <w:pgSz w:w="11900" w:h="16838" w:orient="portrait"/>
          <w:cols w:equalWidth="0" w:num="1">
            <w:col w:w="11340"/>
          </w:cols>
          <w:pgMar w:left="240" w:top="183" w:right="319" w:bottom="0" w:gutter="0" w:footer="0" w:header="0"/>
          <w:type w:val="continuous"/>
        </w:sectPr>
      </w:pPr>
    </w:p>
    <w:bookmarkStart w:id="1" w:name="page2"/>
    <w:bookmarkEnd w:id="1"/>
    <w:tbl>
      <w:tblPr>
        <w:tblLayout w:type="fixed"/>
        <w:tblInd w:w="980" w:type="dxa"/>
        <w:tblCellMar>
          <w:top w:w="0" w:type="dxa"/>
          <w:left w:w="0" w:type="dxa"/>
          <w:bottom w:w="0" w:type="dxa"/>
          <w:right w:w="0" w:type="dxa"/>
        </w:tblCellMar>
      </w:tblPr>
      <w:tr>
        <w:trPr>
          <w:trHeight w:val="279"/>
        </w:trPr>
        <w:tc>
          <w:tcPr>
            <w:tcW w:w="106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7780" w:type="dxa"/>
            <w:vAlign w:val="bottom"/>
          </w:tcPr>
          <w:p>
            <w:pPr>
              <w:ind w:left="14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w:t>
            </w:r>
          </w:p>
        </w:tc>
      </w:tr>
      <w:tr>
        <w:trPr>
          <w:trHeight w:val="195"/>
        </w:trPr>
        <w:tc>
          <w:tcPr>
            <w:tcW w:w="1060" w:type="dxa"/>
            <w:vAlign w:val="bottom"/>
          </w:tcPr>
          <w:p>
            <w:pPr>
              <w:spacing w:after="0"/>
              <w:rPr>
                <w:sz w:val="16"/>
                <w:szCs w:val="16"/>
                <w:color w:val="auto"/>
              </w:rPr>
            </w:pPr>
          </w:p>
        </w:tc>
        <w:tc>
          <w:tcPr>
            <w:tcW w:w="7780" w:type="dxa"/>
            <w:vAlign w:val="bottom"/>
          </w:tcPr>
          <w:p>
            <w:pPr>
              <w:ind w:left="320"/>
              <w:spacing w:after="0"/>
              <w:rPr>
                <w:sz w:val="20"/>
                <w:szCs w:val="20"/>
                <w:color w:val="auto"/>
              </w:rPr>
            </w:pPr>
            <w:r>
              <w:rPr>
                <w:rFonts w:ascii="Arial" w:cs="Arial" w:eastAsia="Arial" w:hAnsi="Arial"/>
                <w:sz w:val="16"/>
                <w:szCs w:val="16"/>
                <w:color w:val="auto"/>
              </w:rPr>
              <w:t>Securities</w:t>
            </w:r>
          </w:p>
        </w:tc>
      </w:tr>
      <w:tr>
        <w:trPr>
          <w:trHeight w:val="311"/>
        </w:trPr>
        <w:tc>
          <w:tcPr>
            <w:tcW w:w="106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7780" w:type="dxa"/>
            <w:vAlign w:val="bottom"/>
          </w:tcPr>
          <w:p>
            <w:pPr>
              <w:ind w:left="140"/>
              <w:spacing w:after="0"/>
              <w:rPr>
                <w:sz w:val="20"/>
                <w:szCs w:val="20"/>
                <w:color w:val="auto"/>
              </w:rPr>
            </w:pPr>
            <w:r>
              <w:rPr>
                <w:rFonts w:ascii="Arial" w:cs="Arial" w:eastAsia="Arial" w:hAnsi="Arial"/>
                <w:sz w:val="16"/>
                <w:szCs w:val="16"/>
                <w:color w:val="auto"/>
              </w:rPr>
              <w:t>Selected Financial Data</w:t>
            </w:r>
          </w:p>
        </w:tc>
      </w:tr>
      <w:tr>
        <w:trPr>
          <w:trHeight w:val="284"/>
        </w:trPr>
        <w:tc>
          <w:tcPr>
            <w:tcW w:w="106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7780" w:type="dxa"/>
            <w:vAlign w:val="bottom"/>
          </w:tcPr>
          <w:p>
            <w:pPr>
              <w:ind w:left="14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r>
      <w:tr>
        <w:trPr>
          <w:trHeight w:val="284"/>
        </w:trPr>
        <w:tc>
          <w:tcPr>
            <w:tcW w:w="1060" w:type="dxa"/>
            <w:vAlign w:val="bottom"/>
          </w:tcPr>
          <w:p>
            <w:pPr>
              <w:spacing w:after="0"/>
              <w:rPr>
                <w:sz w:val="20"/>
                <w:szCs w:val="20"/>
                <w:color w:val="auto"/>
              </w:rPr>
            </w:pPr>
            <w:r>
              <w:rPr>
                <w:rFonts w:ascii="Arial" w:cs="Arial" w:eastAsia="Arial" w:hAnsi="Arial"/>
                <w:sz w:val="22"/>
                <w:szCs w:val="22"/>
                <w:b w:val="1"/>
                <w:bCs w:val="1"/>
                <w:color w:val="auto"/>
              </w:rPr>
              <w:t>ITEM 7A.</w:t>
            </w:r>
          </w:p>
        </w:tc>
        <w:tc>
          <w:tcPr>
            <w:tcW w:w="7780" w:type="dxa"/>
            <w:vAlign w:val="bottom"/>
          </w:tcPr>
          <w:p>
            <w:pPr>
              <w:ind w:left="140"/>
              <w:spacing w:after="0"/>
              <w:rPr>
                <w:sz w:val="20"/>
                <w:szCs w:val="20"/>
                <w:color w:val="auto"/>
              </w:rPr>
            </w:pPr>
            <w:r>
              <w:rPr>
                <w:rFonts w:ascii="Arial" w:cs="Arial" w:eastAsia="Arial" w:hAnsi="Arial"/>
                <w:sz w:val="16"/>
                <w:szCs w:val="16"/>
                <w:color w:val="auto"/>
              </w:rPr>
              <w:t>Quantitative and Qualitative Disclosures about Market Risk</w:t>
            </w:r>
          </w:p>
        </w:tc>
      </w:tr>
      <w:tr>
        <w:trPr>
          <w:trHeight w:val="286"/>
        </w:trPr>
        <w:tc>
          <w:tcPr>
            <w:tcW w:w="106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7780" w:type="dxa"/>
            <w:vAlign w:val="bottom"/>
          </w:tcPr>
          <w:p>
            <w:pPr>
              <w:ind w:left="140"/>
              <w:spacing w:after="0"/>
              <w:rPr>
                <w:sz w:val="20"/>
                <w:szCs w:val="20"/>
                <w:color w:val="auto"/>
              </w:rPr>
            </w:pPr>
            <w:r>
              <w:rPr>
                <w:rFonts w:ascii="Arial" w:cs="Arial" w:eastAsia="Arial" w:hAnsi="Arial"/>
                <w:sz w:val="16"/>
                <w:szCs w:val="16"/>
                <w:color w:val="auto"/>
              </w:rPr>
              <w:t>Financial Statements and Supplementary Data</w:t>
            </w:r>
          </w:p>
        </w:tc>
      </w:tr>
      <w:tr>
        <w:trPr>
          <w:trHeight w:val="241"/>
        </w:trPr>
        <w:tc>
          <w:tcPr>
            <w:tcW w:w="1060" w:type="dxa"/>
            <w:vAlign w:val="bottom"/>
          </w:tcPr>
          <w:p>
            <w:pPr>
              <w:spacing w:after="0"/>
              <w:rPr>
                <w:sz w:val="20"/>
                <w:szCs w:val="20"/>
                <w:color w:val="auto"/>
              </w:rPr>
            </w:pPr>
          </w:p>
        </w:tc>
        <w:tc>
          <w:tcPr>
            <w:tcW w:w="7780" w:type="dxa"/>
            <w:vAlign w:val="bottom"/>
          </w:tcPr>
          <w:p>
            <w:pPr>
              <w:ind w:left="320"/>
              <w:spacing w:after="0"/>
              <w:rPr>
                <w:sz w:val="20"/>
                <w:szCs w:val="20"/>
                <w:color w:val="auto"/>
              </w:rPr>
            </w:pPr>
            <w:r>
              <w:rPr>
                <w:rFonts w:ascii="Arial" w:cs="Arial" w:eastAsia="Arial" w:hAnsi="Arial"/>
                <w:sz w:val="16"/>
                <w:szCs w:val="16"/>
                <w:color w:val="auto"/>
              </w:rPr>
              <w:t>Management’s Report on Internal Control over Financial Reporting</w:t>
            </w:r>
          </w:p>
        </w:tc>
      </w:tr>
      <w:tr>
        <w:trPr>
          <w:trHeight w:val="270"/>
        </w:trPr>
        <w:tc>
          <w:tcPr>
            <w:tcW w:w="1060" w:type="dxa"/>
            <w:vAlign w:val="bottom"/>
          </w:tcPr>
          <w:p>
            <w:pPr>
              <w:spacing w:after="0"/>
              <w:rPr>
                <w:sz w:val="23"/>
                <w:szCs w:val="23"/>
                <w:color w:val="auto"/>
              </w:rPr>
            </w:pPr>
          </w:p>
        </w:tc>
        <w:tc>
          <w:tcPr>
            <w:tcW w:w="7780" w:type="dxa"/>
            <w:vAlign w:val="bottom"/>
          </w:tcPr>
          <w:p>
            <w:pPr>
              <w:ind w:left="320"/>
              <w:spacing w:after="0"/>
              <w:rPr>
                <w:sz w:val="20"/>
                <w:szCs w:val="20"/>
                <w:color w:val="auto"/>
              </w:rPr>
            </w:pPr>
            <w:r>
              <w:rPr>
                <w:rFonts w:ascii="Arial" w:cs="Arial" w:eastAsia="Arial" w:hAnsi="Arial"/>
                <w:sz w:val="16"/>
                <w:szCs w:val="16"/>
                <w:color w:val="auto"/>
              </w:rPr>
              <w:t>Report of Independent Registered Public Accounting Firm on Internal Control over Financial Reporting</w:t>
            </w:r>
          </w:p>
        </w:tc>
      </w:tr>
      <w:tr>
        <w:trPr>
          <w:trHeight w:val="270"/>
        </w:trPr>
        <w:tc>
          <w:tcPr>
            <w:tcW w:w="1060" w:type="dxa"/>
            <w:vAlign w:val="bottom"/>
          </w:tcPr>
          <w:p>
            <w:pPr>
              <w:spacing w:after="0"/>
              <w:rPr>
                <w:sz w:val="23"/>
                <w:szCs w:val="23"/>
                <w:color w:val="auto"/>
              </w:rPr>
            </w:pPr>
          </w:p>
        </w:tc>
        <w:tc>
          <w:tcPr>
            <w:tcW w:w="7780" w:type="dxa"/>
            <w:vAlign w:val="bottom"/>
          </w:tcPr>
          <w:p>
            <w:pPr>
              <w:ind w:left="320"/>
              <w:spacing w:after="0"/>
              <w:rPr>
                <w:sz w:val="20"/>
                <w:szCs w:val="20"/>
                <w:color w:val="auto"/>
              </w:rPr>
            </w:pPr>
            <w:r>
              <w:rPr>
                <w:rFonts w:ascii="Arial" w:cs="Arial" w:eastAsia="Arial" w:hAnsi="Arial"/>
                <w:sz w:val="16"/>
                <w:szCs w:val="16"/>
                <w:color w:val="auto"/>
              </w:rPr>
              <w:t>Report of Independent Registered Public Accounting Firm</w:t>
            </w:r>
          </w:p>
        </w:tc>
      </w:tr>
      <w:tr>
        <w:trPr>
          <w:trHeight w:val="270"/>
        </w:trPr>
        <w:tc>
          <w:tcPr>
            <w:tcW w:w="1060" w:type="dxa"/>
            <w:vAlign w:val="bottom"/>
          </w:tcPr>
          <w:p>
            <w:pPr>
              <w:spacing w:after="0"/>
              <w:rPr>
                <w:sz w:val="23"/>
                <w:szCs w:val="23"/>
                <w:color w:val="auto"/>
              </w:rPr>
            </w:pPr>
          </w:p>
        </w:tc>
        <w:tc>
          <w:tcPr>
            <w:tcW w:w="7780" w:type="dxa"/>
            <w:vAlign w:val="bottom"/>
          </w:tcPr>
          <w:p>
            <w:pPr>
              <w:ind w:left="320"/>
              <w:spacing w:after="0"/>
              <w:rPr>
                <w:sz w:val="20"/>
                <w:szCs w:val="20"/>
                <w:color w:val="auto"/>
              </w:rPr>
            </w:pPr>
            <w:r>
              <w:rPr>
                <w:rFonts w:ascii="Arial" w:cs="Arial" w:eastAsia="Arial" w:hAnsi="Arial"/>
                <w:sz w:val="16"/>
                <w:szCs w:val="16"/>
                <w:color w:val="auto"/>
              </w:rPr>
              <w:t>Consolidated Statements of Earnings for the fiscal years ended October 31, 2005, 2004, and 2003</w:t>
            </w:r>
          </w:p>
        </w:tc>
      </w:tr>
      <w:tr>
        <w:trPr>
          <w:trHeight w:val="270"/>
        </w:trPr>
        <w:tc>
          <w:tcPr>
            <w:tcW w:w="1060" w:type="dxa"/>
            <w:vAlign w:val="bottom"/>
          </w:tcPr>
          <w:p>
            <w:pPr>
              <w:spacing w:after="0"/>
              <w:rPr>
                <w:sz w:val="23"/>
                <w:szCs w:val="23"/>
                <w:color w:val="auto"/>
              </w:rPr>
            </w:pPr>
          </w:p>
        </w:tc>
        <w:tc>
          <w:tcPr>
            <w:tcW w:w="7780" w:type="dxa"/>
            <w:vAlign w:val="bottom"/>
          </w:tcPr>
          <w:p>
            <w:pPr>
              <w:ind w:left="320"/>
              <w:spacing w:after="0"/>
              <w:rPr>
                <w:sz w:val="20"/>
                <w:szCs w:val="20"/>
                <w:color w:val="auto"/>
              </w:rPr>
            </w:pPr>
            <w:r>
              <w:rPr>
                <w:rFonts w:ascii="Arial" w:cs="Arial" w:eastAsia="Arial" w:hAnsi="Arial"/>
                <w:sz w:val="16"/>
                <w:szCs w:val="16"/>
                <w:color w:val="auto"/>
              </w:rPr>
              <w:t>Consolidated Balance Sheets as of October 31, 2005 and 2004</w:t>
            </w:r>
          </w:p>
        </w:tc>
      </w:tr>
      <w:tr>
        <w:trPr>
          <w:trHeight w:val="270"/>
        </w:trPr>
        <w:tc>
          <w:tcPr>
            <w:tcW w:w="1060" w:type="dxa"/>
            <w:vAlign w:val="bottom"/>
          </w:tcPr>
          <w:p>
            <w:pPr>
              <w:spacing w:after="0"/>
              <w:rPr>
                <w:sz w:val="23"/>
                <w:szCs w:val="23"/>
                <w:color w:val="auto"/>
              </w:rPr>
            </w:pPr>
          </w:p>
        </w:tc>
        <w:tc>
          <w:tcPr>
            <w:tcW w:w="7780" w:type="dxa"/>
            <w:vAlign w:val="bottom"/>
          </w:tcPr>
          <w:p>
            <w:pPr>
              <w:ind w:left="320"/>
              <w:spacing w:after="0"/>
              <w:rPr>
                <w:sz w:val="20"/>
                <w:szCs w:val="20"/>
                <w:color w:val="auto"/>
              </w:rPr>
            </w:pPr>
            <w:r>
              <w:rPr>
                <w:rFonts w:ascii="Arial" w:cs="Arial" w:eastAsia="Arial" w:hAnsi="Arial"/>
                <w:sz w:val="16"/>
                <w:szCs w:val="16"/>
                <w:color w:val="auto"/>
              </w:rPr>
              <w:t>Consolidated Statements of Cash Flows for the fiscal years ended October 31, 2005, 2004, and 2003</w:t>
            </w:r>
          </w:p>
        </w:tc>
      </w:tr>
      <w:tr>
        <w:trPr>
          <w:trHeight w:val="270"/>
        </w:trPr>
        <w:tc>
          <w:tcPr>
            <w:tcW w:w="1060" w:type="dxa"/>
            <w:vAlign w:val="bottom"/>
          </w:tcPr>
          <w:p>
            <w:pPr>
              <w:spacing w:after="0"/>
              <w:rPr>
                <w:sz w:val="23"/>
                <w:szCs w:val="23"/>
                <w:color w:val="auto"/>
              </w:rPr>
            </w:pPr>
          </w:p>
        </w:tc>
        <w:tc>
          <w:tcPr>
            <w:tcW w:w="7780" w:type="dxa"/>
            <w:vAlign w:val="bottom"/>
          </w:tcPr>
          <w:p>
            <w:pPr>
              <w:ind w:left="320"/>
              <w:spacing w:after="0"/>
              <w:rPr>
                <w:sz w:val="20"/>
                <w:szCs w:val="20"/>
                <w:color w:val="auto"/>
              </w:rPr>
            </w:pPr>
            <w:r>
              <w:rPr>
                <w:rFonts w:ascii="Arial" w:cs="Arial" w:eastAsia="Arial" w:hAnsi="Arial"/>
                <w:sz w:val="16"/>
                <w:szCs w:val="16"/>
                <w:color w:val="auto"/>
              </w:rPr>
              <w:t>Consolidated Statements of Stockholders’ Equity for the fiscal years ended October 31, 2005, 2004, and</w:t>
            </w:r>
          </w:p>
        </w:tc>
      </w:tr>
      <w:tr>
        <w:trPr>
          <w:trHeight w:val="230"/>
        </w:trPr>
        <w:tc>
          <w:tcPr>
            <w:tcW w:w="1060" w:type="dxa"/>
            <w:vAlign w:val="bottom"/>
          </w:tcPr>
          <w:p>
            <w:pPr>
              <w:spacing w:after="0"/>
              <w:rPr>
                <w:sz w:val="19"/>
                <w:szCs w:val="19"/>
                <w:color w:val="auto"/>
              </w:rPr>
            </w:pPr>
          </w:p>
        </w:tc>
        <w:tc>
          <w:tcPr>
            <w:tcW w:w="7780" w:type="dxa"/>
            <w:vAlign w:val="bottom"/>
          </w:tcPr>
          <w:p>
            <w:pPr>
              <w:ind w:left="480"/>
              <w:spacing w:after="0"/>
              <w:rPr>
                <w:sz w:val="20"/>
                <w:szCs w:val="20"/>
                <w:color w:val="auto"/>
              </w:rPr>
            </w:pPr>
            <w:r>
              <w:rPr>
                <w:rFonts w:ascii="Arial" w:cs="Arial" w:eastAsia="Arial" w:hAnsi="Arial"/>
                <w:sz w:val="16"/>
                <w:szCs w:val="16"/>
                <w:color w:val="auto"/>
              </w:rPr>
              <w:t>2003</w:t>
            </w:r>
          </w:p>
        </w:tc>
      </w:tr>
      <w:tr>
        <w:trPr>
          <w:trHeight w:val="270"/>
        </w:trPr>
        <w:tc>
          <w:tcPr>
            <w:tcW w:w="1060" w:type="dxa"/>
            <w:vAlign w:val="bottom"/>
          </w:tcPr>
          <w:p>
            <w:pPr>
              <w:spacing w:after="0"/>
              <w:rPr>
                <w:sz w:val="23"/>
                <w:szCs w:val="23"/>
                <w:color w:val="auto"/>
              </w:rPr>
            </w:pPr>
          </w:p>
        </w:tc>
        <w:tc>
          <w:tcPr>
            <w:tcW w:w="7780" w:type="dxa"/>
            <w:vAlign w:val="bottom"/>
          </w:tcPr>
          <w:p>
            <w:pPr>
              <w:ind w:left="320"/>
              <w:spacing w:after="0"/>
              <w:rPr>
                <w:sz w:val="20"/>
                <w:szCs w:val="20"/>
                <w:color w:val="auto"/>
              </w:rPr>
            </w:pPr>
            <w:r>
              <w:rPr>
                <w:rFonts w:ascii="Arial" w:cs="Arial" w:eastAsia="Arial" w:hAnsi="Arial"/>
                <w:sz w:val="16"/>
                <w:szCs w:val="16"/>
                <w:color w:val="auto"/>
              </w:rPr>
              <w:t>Notes to Consolidated Financial Statements</w:t>
            </w:r>
          </w:p>
        </w:tc>
      </w:tr>
      <w:tr>
        <w:trPr>
          <w:trHeight w:val="311"/>
        </w:trPr>
        <w:tc>
          <w:tcPr>
            <w:tcW w:w="106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7780" w:type="dxa"/>
            <w:vAlign w:val="bottom"/>
          </w:tcPr>
          <w:p>
            <w:pPr>
              <w:ind w:left="14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r>
      <w:tr>
        <w:trPr>
          <w:trHeight w:val="284"/>
        </w:trPr>
        <w:tc>
          <w:tcPr>
            <w:tcW w:w="1060" w:type="dxa"/>
            <w:vAlign w:val="bottom"/>
          </w:tcPr>
          <w:p>
            <w:pPr>
              <w:spacing w:after="0"/>
              <w:rPr>
                <w:sz w:val="20"/>
                <w:szCs w:val="20"/>
                <w:color w:val="auto"/>
              </w:rPr>
            </w:pPr>
            <w:r>
              <w:rPr>
                <w:rFonts w:ascii="Arial" w:cs="Arial" w:eastAsia="Arial" w:hAnsi="Arial"/>
                <w:sz w:val="22"/>
                <w:szCs w:val="22"/>
                <w:b w:val="1"/>
                <w:bCs w:val="1"/>
                <w:color w:val="auto"/>
              </w:rPr>
              <w:t>ITEM 9A.</w:t>
            </w:r>
          </w:p>
        </w:tc>
        <w:tc>
          <w:tcPr>
            <w:tcW w:w="7780" w:type="dxa"/>
            <w:vAlign w:val="bottom"/>
          </w:tcPr>
          <w:p>
            <w:pPr>
              <w:ind w:left="140"/>
              <w:spacing w:after="0"/>
              <w:rPr>
                <w:sz w:val="20"/>
                <w:szCs w:val="20"/>
                <w:color w:val="auto"/>
              </w:rPr>
            </w:pPr>
            <w:r>
              <w:rPr>
                <w:rFonts w:ascii="Arial" w:cs="Arial" w:eastAsia="Arial" w:hAnsi="Arial"/>
                <w:sz w:val="16"/>
                <w:szCs w:val="16"/>
                <w:color w:val="auto"/>
              </w:rPr>
              <w:t>Controls and Procedures</w:t>
            </w:r>
          </w:p>
        </w:tc>
      </w:tr>
      <w:tr>
        <w:trPr>
          <w:trHeight w:val="286"/>
        </w:trPr>
        <w:tc>
          <w:tcPr>
            <w:tcW w:w="1060" w:type="dxa"/>
            <w:vAlign w:val="bottom"/>
          </w:tcPr>
          <w:p>
            <w:pPr>
              <w:spacing w:after="0"/>
              <w:rPr>
                <w:sz w:val="20"/>
                <w:szCs w:val="20"/>
                <w:color w:val="auto"/>
              </w:rPr>
            </w:pPr>
            <w:r>
              <w:rPr>
                <w:rFonts w:ascii="Arial" w:cs="Arial" w:eastAsia="Arial" w:hAnsi="Arial"/>
                <w:sz w:val="22"/>
                <w:szCs w:val="22"/>
                <w:b w:val="1"/>
                <w:bCs w:val="1"/>
                <w:color w:val="auto"/>
              </w:rPr>
              <w:t>ITEM 9B.</w:t>
            </w:r>
          </w:p>
        </w:tc>
        <w:tc>
          <w:tcPr>
            <w:tcW w:w="7780" w:type="dxa"/>
            <w:vAlign w:val="bottom"/>
          </w:tcPr>
          <w:p>
            <w:pPr>
              <w:ind w:left="140"/>
              <w:spacing w:after="0"/>
              <w:rPr>
                <w:sz w:val="20"/>
                <w:szCs w:val="20"/>
                <w:color w:val="auto"/>
              </w:rPr>
            </w:pPr>
            <w:r>
              <w:rPr>
                <w:rFonts w:ascii="Arial" w:cs="Arial" w:eastAsia="Arial" w:hAnsi="Arial"/>
                <w:sz w:val="16"/>
                <w:szCs w:val="16"/>
                <w:color w:val="auto"/>
              </w:rPr>
              <w:t>Other 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-2784475</wp:posOffset>
            </wp:positionV>
            <wp:extent cx="602043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20435" cy="18034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-2423795</wp:posOffset>
            </wp:positionV>
            <wp:extent cx="602043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0435" cy="18034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-2063750</wp:posOffset>
            </wp:positionV>
            <wp:extent cx="602043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0435" cy="17145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-1720850</wp:posOffset>
            </wp:positionV>
            <wp:extent cx="602043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20435" cy="17145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-1377950</wp:posOffset>
            </wp:positionV>
            <wp:extent cx="602043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20435" cy="17145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-1035050</wp:posOffset>
            </wp:positionV>
            <wp:extent cx="6020435"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20435" cy="31750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-546100</wp:posOffset>
            </wp:positionV>
            <wp:extent cx="602043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20435" cy="18034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-186055</wp:posOffset>
            </wp:positionV>
            <wp:extent cx="602043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20435" cy="180340"/>
                    </a:xfrm>
                    <a:prstGeom prst="rect">
                      <a:avLst/>
                    </a:prstGeom>
                    <a:noFill/>
                  </pic:spPr>
                </pic:pic>
              </a:graphicData>
            </a:graphic>
          </wp:anchor>
        </w:drawing>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17145</wp:posOffset>
            </wp:positionV>
            <wp:extent cx="6020435"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20435" cy="222885"/>
                    </a:xfrm>
                    <a:prstGeom prst="rect">
                      <a:avLst/>
                    </a:prstGeom>
                    <a:noFill/>
                  </pic:spPr>
                </pic:pic>
              </a:graphicData>
            </a:graphic>
          </wp:anchor>
        </w:drawing>
      </w:r>
    </w:p>
    <w:p>
      <w:pPr>
        <w:spacing w:after="0" w:line="82" w:lineRule="exact"/>
        <w:rPr>
          <w:sz w:val="20"/>
          <w:szCs w:val="20"/>
          <w:color w:val="auto"/>
        </w:rPr>
      </w:pPr>
    </w:p>
    <w:tbl>
      <w:tblPr>
        <w:tblLayout w:type="fixed"/>
        <w:tblInd w:w="980" w:type="dxa"/>
        <w:tblCellMar>
          <w:top w:w="0" w:type="dxa"/>
          <w:left w:w="0" w:type="dxa"/>
          <w:bottom w:w="0" w:type="dxa"/>
          <w:right w:w="0" w:type="dxa"/>
        </w:tblCellMar>
      </w:tblPr>
      <w:tr>
        <w:trPr>
          <w:trHeight w:val="284"/>
        </w:trPr>
        <w:tc>
          <w:tcPr>
            <w:tcW w:w="10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7380" w:type="dxa"/>
            <w:vAlign w:val="bottom"/>
          </w:tcPr>
          <w:p>
            <w:pPr>
              <w:ind w:left="160"/>
              <w:spacing w:after="0"/>
              <w:rPr>
                <w:sz w:val="20"/>
                <w:szCs w:val="20"/>
                <w:color w:val="auto"/>
              </w:rPr>
            </w:pPr>
            <w:r>
              <w:rPr>
                <w:rFonts w:ascii="Arial" w:cs="Arial" w:eastAsia="Arial" w:hAnsi="Arial"/>
                <w:sz w:val="16"/>
                <w:szCs w:val="16"/>
                <w:color w:val="auto"/>
              </w:rPr>
              <w:t>Directors and Executive Officers of the Registrant</w:t>
            </w:r>
          </w:p>
        </w:tc>
      </w:tr>
      <w:tr>
        <w:trPr>
          <w:trHeight w:val="284"/>
        </w:trPr>
        <w:tc>
          <w:tcPr>
            <w:tcW w:w="1040" w:type="dxa"/>
            <w:vAlign w:val="bottom"/>
          </w:tcPr>
          <w:p>
            <w:pPr>
              <w:spacing w:after="0"/>
              <w:rPr>
                <w:sz w:val="20"/>
                <w:szCs w:val="20"/>
                <w:color w:val="auto"/>
              </w:rPr>
            </w:pPr>
            <w:r>
              <w:rPr>
                <w:rFonts w:ascii="Arial" w:cs="Arial" w:eastAsia="Arial" w:hAnsi="Arial"/>
                <w:sz w:val="22"/>
                <w:szCs w:val="22"/>
                <w:b w:val="1"/>
                <w:bCs w:val="1"/>
                <w:color w:val="auto"/>
              </w:rPr>
              <w:t>ITEM 11.</w:t>
            </w:r>
          </w:p>
        </w:tc>
        <w:tc>
          <w:tcPr>
            <w:tcW w:w="7380" w:type="dxa"/>
            <w:vAlign w:val="bottom"/>
          </w:tcPr>
          <w:p>
            <w:pPr>
              <w:ind w:left="160"/>
              <w:spacing w:after="0"/>
              <w:rPr>
                <w:sz w:val="20"/>
                <w:szCs w:val="20"/>
                <w:color w:val="auto"/>
              </w:rPr>
            </w:pPr>
            <w:r>
              <w:rPr>
                <w:rFonts w:ascii="Arial" w:cs="Arial" w:eastAsia="Arial" w:hAnsi="Arial"/>
                <w:sz w:val="16"/>
                <w:szCs w:val="16"/>
                <w:color w:val="auto"/>
              </w:rPr>
              <w:t>Executive Compensation</w:t>
            </w:r>
          </w:p>
        </w:tc>
      </w:tr>
      <w:tr>
        <w:trPr>
          <w:trHeight w:val="284"/>
        </w:trPr>
        <w:tc>
          <w:tcPr>
            <w:tcW w:w="1040" w:type="dxa"/>
            <w:vAlign w:val="bottom"/>
          </w:tcPr>
          <w:p>
            <w:pPr>
              <w:spacing w:after="0"/>
              <w:rPr>
                <w:sz w:val="20"/>
                <w:szCs w:val="20"/>
                <w:color w:val="auto"/>
              </w:rPr>
            </w:pPr>
            <w:r>
              <w:rPr>
                <w:rFonts w:ascii="Arial" w:cs="Arial" w:eastAsia="Arial" w:hAnsi="Arial"/>
                <w:sz w:val="22"/>
                <w:szCs w:val="22"/>
                <w:b w:val="1"/>
                <w:bCs w:val="1"/>
                <w:color w:val="auto"/>
              </w:rPr>
              <w:t>ITEM 12.</w:t>
            </w:r>
          </w:p>
        </w:tc>
        <w:tc>
          <w:tcPr>
            <w:tcW w:w="7380" w:type="dxa"/>
            <w:vAlign w:val="bottom"/>
          </w:tcPr>
          <w:p>
            <w:pPr>
              <w:ind w:left="16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r>
      <w:tr>
        <w:trPr>
          <w:trHeight w:val="284"/>
        </w:trPr>
        <w:tc>
          <w:tcPr>
            <w:tcW w:w="1040" w:type="dxa"/>
            <w:vAlign w:val="bottom"/>
          </w:tcPr>
          <w:p>
            <w:pPr>
              <w:spacing w:after="0"/>
              <w:rPr>
                <w:sz w:val="20"/>
                <w:szCs w:val="20"/>
                <w:color w:val="auto"/>
              </w:rPr>
            </w:pPr>
            <w:r>
              <w:rPr>
                <w:rFonts w:ascii="Arial" w:cs="Arial" w:eastAsia="Arial" w:hAnsi="Arial"/>
                <w:sz w:val="22"/>
                <w:szCs w:val="22"/>
                <w:b w:val="1"/>
                <w:bCs w:val="1"/>
                <w:color w:val="auto"/>
              </w:rPr>
              <w:t>ITEM 13.</w:t>
            </w:r>
          </w:p>
        </w:tc>
        <w:tc>
          <w:tcPr>
            <w:tcW w:w="7380" w:type="dxa"/>
            <w:vAlign w:val="bottom"/>
          </w:tcPr>
          <w:p>
            <w:pPr>
              <w:ind w:left="160"/>
              <w:spacing w:after="0"/>
              <w:rPr>
                <w:sz w:val="20"/>
                <w:szCs w:val="20"/>
                <w:color w:val="auto"/>
              </w:rPr>
            </w:pPr>
            <w:r>
              <w:rPr>
                <w:rFonts w:ascii="Arial" w:cs="Arial" w:eastAsia="Arial" w:hAnsi="Arial"/>
                <w:sz w:val="16"/>
                <w:szCs w:val="16"/>
                <w:color w:val="auto"/>
              </w:rPr>
              <w:t>Certain Relationships and Related Transactions</w:t>
            </w:r>
          </w:p>
        </w:tc>
      </w:tr>
      <w:tr>
        <w:trPr>
          <w:trHeight w:val="286"/>
        </w:trPr>
        <w:tc>
          <w:tcPr>
            <w:tcW w:w="1040" w:type="dxa"/>
            <w:vAlign w:val="bottom"/>
          </w:tcPr>
          <w:p>
            <w:pPr>
              <w:spacing w:after="0"/>
              <w:rPr>
                <w:sz w:val="20"/>
                <w:szCs w:val="20"/>
                <w:color w:val="auto"/>
              </w:rPr>
            </w:pPr>
            <w:r>
              <w:rPr>
                <w:rFonts w:ascii="Arial" w:cs="Arial" w:eastAsia="Arial" w:hAnsi="Arial"/>
                <w:sz w:val="22"/>
                <w:szCs w:val="22"/>
                <w:b w:val="1"/>
                <w:bCs w:val="1"/>
                <w:color w:val="auto"/>
              </w:rPr>
              <w:t>ITEM 14.</w:t>
            </w:r>
          </w:p>
        </w:tc>
        <w:tc>
          <w:tcPr>
            <w:tcW w:w="7380" w:type="dxa"/>
            <w:vAlign w:val="bottom"/>
          </w:tcPr>
          <w:p>
            <w:pPr>
              <w:ind w:left="160"/>
              <w:spacing w:after="0"/>
              <w:rPr>
                <w:sz w:val="20"/>
                <w:szCs w:val="20"/>
                <w:color w:val="auto"/>
              </w:rPr>
            </w:pPr>
            <w:r>
              <w:rPr>
                <w:rFonts w:ascii="Arial" w:cs="Arial" w:eastAsia="Arial" w:hAnsi="Arial"/>
                <w:sz w:val="16"/>
                <w:szCs w:val="16"/>
                <w:color w:val="auto"/>
              </w:rPr>
              <w:t>Principal Accountant Fees and 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-546100</wp:posOffset>
            </wp:positionV>
            <wp:extent cx="602043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20435" cy="18034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-186055</wp:posOffset>
            </wp:positionV>
            <wp:extent cx="602043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20435" cy="180340"/>
                    </a:xfrm>
                    <a:prstGeom prst="rect">
                      <a:avLst/>
                    </a:prstGeom>
                    <a:noFill/>
                  </pic:spPr>
                </pic:pic>
              </a:graphicData>
            </a:graphic>
          </wp:anchor>
        </w:drawing>
      </w:r>
    </w:p>
    <w:p>
      <w:pPr>
        <w:spacing w:after="0" w:line="102"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17145</wp:posOffset>
            </wp:positionV>
            <wp:extent cx="6020435"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20435" cy="222885"/>
                    </a:xfrm>
                    <a:prstGeom prst="rect">
                      <a:avLst/>
                    </a:prstGeom>
                    <a:noFill/>
                  </pic:spPr>
                </pic:pic>
              </a:graphicData>
            </a:graphic>
          </wp:anchor>
        </w:drawing>
      </w:r>
    </w:p>
    <w:p>
      <w:pPr>
        <w:spacing w:after="0" w:line="82"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16"/>
          <w:szCs w:val="16"/>
          <w:color w:val="auto"/>
        </w:rPr>
        <w:t>Exhibits and Financial Statement Schedules</w:t>
      </w:r>
    </w:p>
    <w:p>
      <w:pPr>
        <w:spacing w:after="0" w:line="79"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Signatures</w:t>
      </w:r>
    </w:p>
    <w:p>
      <w:pPr>
        <w:spacing w:after="0" w:line="200" w:lineRule="exact"/>
        <w:rPr>
          <w:sz w:val="20"/>
          <w:szCs w:val="20"/>
          <w:color w:val="auto"/>
        </w:rPr>
      </w:pPr>
    </w:p>
    <w:p>
      <w:pPr>
        <w:spacing w:after="0" w:line="3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949" w:lineRule="exact"/>
        <w:rPr>
          <w:sz w:val="20"/>
          <w:szCs w:val="20"/>
          <w:color w:val="auto"/>
        </w:rPr>
      </w:pPr>
    </w:p>
    <w:p>
      <w:pPr>
        <w:sectPr>
          <w:pgSz w:w="11900" w:h="16838" w:orient="portrait"/>
          <w:cols w:equalWidth="0" w:num="2">
            <w:col w:w="9820" w:space="440"/>
            <w:col w:w="1120"/>
          </w:cols>
          <w:pgMar w:left="240" w:top="105" w:right="279"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4673B6"/>
        </w:rPr>
        <w:t>PART I</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Introduction</w:t>
      </w:r>
    </w:p>
    <w:p>
      <w:pPr>
        <w:spacing w:after="0" w:line="4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The Toro Company was incorporated in Minnesota in 1935 as a successor to a business founded in 1914 and reincorporated in Delaware in 1983. Unless the context indicates otherwise, the terms “company,” “Toro,” “we,” and “our” refer to The Toro Company and its subsidiaries. Our executive offices are located at 8111 Lyndale Avenue South, Bloomington, Minnesota 55420-1196, telephone number (952) 888-8801. Our Internet address for Toro branded product related information is </w:t>
      </w:r>
      <w:r>
        <w:rPr>
          <w:rFonts w:ascii="Arial" w:cs="Arial" w:eastAsia="Arial" w:hAnsi="Arial"/>
          <w:sz w:val="18"/>
          <w:szCs w:val="18"/>
          <w:u w:val="single" w:color="auto"/>
          <w:color w:val="auto"/>
        </w:rPr>
        <w:t>www.toro.com</w:t>
      </w:r>
      <w:r>
        <w:rPr>
          <w:rFonts w:ascii="Arial" w:cs="Arial" w:eastAsia="Arial" w:hAnsi="Arial"/>
          <w:sz w:val="18"/>
          <w:szCs w:val="18"/>
          <w:color w:val="auto"/>
        </w:rPr>
        <w:t xml:space="preserve"> and our web site for corporate and investor information is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The information contained on our web sites or connected to our web sites is not incorporated by reference into this Annual Report on Form 10-K and should not be considered part of this report.</w:t>
      </w:r>
    </w:p>
    <w:p>
      <w:pPr>
        <w:spacing w:after="0" w:line="1" w:lineRule="exact"/>
        <w:rPr>
          <w:sz w:val="20"/>
          <w:szCs w:val="20"/>
          <w:color w:val="auto"/>
        </w:rPr>
      </w:pPr>
    </w:p>
    <w:p>
      <w:pPr>
        <w:ind w:right="40" w:firstLine="180"/>
        <w:spacing w:after="0" w:line="266" w:lineRule="auto"/>
        <w:rPr>
          <w:sz w:val="20"/>
          <w:szCs w:val="20"/>
          <w:color w:val="auto"/>
        </w:rPr>
      </w:pPr>
      <w:r>
        <w:rPr>
          <w:rFonts w:ascii="Arial" w:cs="Arial" w:eastAsia="Arial" w:hAnsi="Arial"/>
          <w:sz w:val="18"/>
          <w:szCs w:val="18"/>
          <w:color w:val="auto"/>
        </w:rPr>
        <w:t>We design, manufacture, and market professional turf maintenance equipment and services, turf and micro irrigation systems, landscaping equipment, and residential yard products. We produced our first mower for golf course usage in 1921 and our first lawn mower for home use in 1939, and we have continued to enhance our product lines ever since. We classify our operations into two reportable segments: professional and residential. A third segment called “other” consists of domestic company-owned distributorships, corporate functions, and Toro Credit Company, a wholly owned financing subsidiary. Net sales of our segments accounted for the following approximate percentages of our consolidated net sales for fiscal 2005: Professional, 64 percent; Residential, 33 percent; and Other, 3 percent.</w:t>
      </w:r>
    </w:p>
    <w:p>
      <w:pPr>
        <w:spacing w:after="0" w:line="1" w:lineRule="exact"/>
        <w:rPr>
          <w:sz w:val="20"/>
          <w:szCs w:val="20"/>
          <w:color w:val="auto"/>
        </w:rPr>
      </w:pPr>
    </w:p>
    <w:p>
      <w:pPr>
        <w:ind w:right="480" w:firstLine="180"/>
        <w:spacing w:after="0" w:line="281" w:lineRule="auto"/>
        <w:rPr>
          <w:sz w:val="20"/>
          <w:szCs w:val="20"/>
          <w:color w:val="auto"/>
        </w:rPr>
      </w:pPr>
      <w:r>
        <w:rPr>
          <w:rFonts w:ascii="Arial" w:cs="Arial" w:eastAsia="Arial" w:hAnsi="Arial"/>
          <w:sz w:val="18"/>
          <w:szCs w:val="18"/>
          <w:color w:val="auto"/>
        </w:rPr>
        <w:t>Our products are advertised and sold at the retail level under the primary trademarks of Toro</w:t>
      </w:r>
      <w:r>
        <w:rPr>
          <w:rFonts w:ascii="Arial" w:cs="Arial" w:eastAsia="Arial" w:hAnsi="Arial"/>
          <w:sz w:val="8"/>
          <w:szCs w:val="8"/>
          <w:color w:val="auto"/>
        </w:rPr>
        <w:t>®</w:t>
      </w:r>
      <w:r>
        <w:rPr>
          <w:rFonts w:ascii="Arial" w:cs="Arial" w:eastAsia="Arial" w:hAnsi="Arial"/>
          <w:sz w:val="18"/>
          <w:szCs w:val="18"/>
          <w:color w:val="auto"/>
        </w:rPr>
        <w:t>, Toro</w:t>
      </w:r>
      <w:r>
        <w:rPr>
          <w:rFonts w:ascii="Arial" w:cs="Arial" w:eastAsia="Arial" w:hAnsi="Arial"/>
          <w:sz w:val="8"/>
          <w:szCs w:val="8"/>
          <w:color w:val="auto"/>
        </w:rPr>
        <w:t>®</w:t>
      </w:r>
      <w:r>
        <w:rPr>
          <w:rFonts w:ascii="Arial" w:cs="Arial" w:eastAsia="Arial" w:hAnsi="Arial"/>
          <w:sz w:val="18"/>
          <w:szCs w:val="18"/>
          <w:color w:val="auto"/>
        </w:rPr>
        <w:t xml:space="preserve"> Wheel Horse</w:t>
      </w:r>
      <w:r>
        <w:rPr>
          <w:rFonts w:ascii="Arial" w:cs="Arial" w:eastAsia="Arial" w:hAnsi="Arial"/>
          <w:sz w:val="8"/>
          <w:szCs w:val="8"/>
          <w:color w:val="auto"/>
        </w:rPr>
        <w:t>®</w:t>
      </w:r>
      <w:r>
        <w:rPr>
          <w:rFonts w:ascii="Arial" w:cs="Arial" w:eastAsia="Arial" w:hAnsi="Arial"/>
          <w:sz w:val="18"/>
          <w:szCs w:val="18"/>
          <w:color w:val="auto"/>
        </w:rPr>
        <w:t>, Lawn-Boy</w:t>
      </w:r>
      <w:r>
        <w:rPr>
          <w:rFonts w:ascii="Arial" w:cs="Arial" w:eastAsia="Arial" w:hAnsi="Arial"/>
          <w:sz w:val="8"/>
          <w:szCs w:val="8"/>
          <w:color w:val="auto"/>
        </w:rPr>
        <w:t>®</w:t>
      </w:r>
      <w:r>
        <w:rPr>
          <w:rFonts w:ascii="Arial" w:cs="Arial" w:eastAsia="Arial" w:hAnsi="Arial"/>
          <w:sz w:val="18"/>
          <w:szCs w:val="18"/>
          <w:color w:val="auto"/>
        </w:rPr>
        <w:t>, Irritrol</w:t>
      </w:r>
      <w:r>
        <w:rPr>
          <w:rFonts w:ascii="Arial" w:cs="Arial" w:eastAsia="Arial" w:hAnsi="Arial"/>
          <w:sz w:val="8"/>
          <w:szCs w:val="8"/>
          <w:color w:val="auto"/>
        </w:rPr>
        <w:t>®</w:t>
      </w:r>
      <w:r>
        <w:rPr>
          <w:rFonts w:ascii="Arial" w:cs="Arial" w:eastAsia="Arial" w:hAnsi="Arial"/>
          <w:sz w:val="18"/>
          <w:szCs w:val="18"/>
          <w:color w:val="auto"/>
        </w:rPr>
        <w:t>, Exmark</w:t>
      </w:r>
      <w:r>
        <w:rPr>
          <w:rFonts w:ascii="Arial" w:cs="Arial" w:eastAsia="Arial" w:hAnsi="Arial"/>
          <w:sz w:val="8"/>
          <w:szCs w:val="8"/>
          <w:color w:val="auto"/>
        </w:rPr>
        <w:t>®</w:t>
      </w:r>
      <w:r>
        <w:rPr>
          <w:rFonts w:ascii="Arial" w:cs="Arial" w:eastAsia="Arial" w:hAnsi="Arial"/>
          <w:sz w:val="18"/>
          <w:szCs w:val="18"/>
          <w:color w:val="auto"/>
        </w:rPr>
        <w:t>, Toro</w:t>
      </w:r>
      <w:r>
        <w:rPr>
          <w:rFonts w:ascii="Arial" w:cs="Arial" w:eastAsia="Arial" w:hAnsi="Arial"/>
          <w:sz w:val="8"/>
          <w:szCs w:val="8"/>
          <w:color w:val="auto"/>
        </w:rPr>
        <w:t>®</w:t>
      </w:r>
      <w:r>
        <w:rPr>
          <w:rFonts w:ascii="Arial" w:cs="Arial" w:eastAsia="Arial" w:hAnsi="Arial"/>
          <w:sz w:val="18"/>
          <w:szCs w:val="18"/>
          <w:color w:val="auto"/>
        </w:rPr>
        <w:t xml:space="preserve"> Dingo</w:t>
      </w:r>
      <w:r>
        <w:rPr>
          <w:rFonts w:ascii="Arial" w:cs="Arial" w:eastAsia="Arial" w:hAnsi="Arial"/>
          <w:sz w:val="8"/>
          <w:szCs w:val="8"/>
          <w:color w:val="auto"/>
        </w:rPr>
        <w:t>®</w:t>
      </w:r>
      <w:r>
        <w:rPr>
          <w:rFonts w:ascii="Arial" w:cs="Arial" w:eastAsia="Arial" w:hAnsi="Arial"/>
          <w:sz w:val="18"/>
          <w:szCs w:val="18"/>
          <w:color w:val="auto"/>
        </w:rPr>
        <w:t>, Aqua-TraXX</w:t>
      </w:r>
      <w:r>
        <w:rPr>
          <w:rFonts w:ascii="Arial" w:cs="Arial" w:eastAsia="Arial" w:hAnsi="Arial"/>
          <w:sz w:val="8"/>
          <w:szCs w:val="8"/>
          <w:color w:val="auto"/>
        </w:rPr>
        <w:t>®</w:t>
      </w:r>
      <w:r>
        <w:rPr>
          <w:rFonts w:ascii="Arial" w:cs="Arial" w:eastAsia="Arial" w:hAnsi="Arial"/>
          <w:sz w:val="18"/>
          <w:szCs w:val="18"/>
          <w:color w:val="auto"/>
        </w:rPr>
        <w:t>, Pope</w:t>
      </w:r>
      <w:r>
        <w:rPr>
          <w:rFonts w:ascii="Arial" w:cs="Arial" w:eastAsia="Arial" w:hAnsi="Arial"/>
          <w:sz w:val="8"/>
          <w:szCs w:val="8"/>
          <w:color w:val="auto"/>
        </w:rPr>
        <w:t>®</w:t>
      </w:r>
      <w:r>
        <w:rPr>
          <w:rFonts w:ascii="Arial" w:cs="Arial" w:eastAsia="Arial" w:hAnsi="Arial"/>
          <w:sz w:val="18"/>
          <w:szCs w:val="18"/>
          <w:color w:val="auto"/>
        </w:rPr>
        <w:t>, Hayter</w:t>
      </w:r>
      <w:r>
        <w:rPr>
          <w:rFonts w:ascii="Arial" w:cs="Arial" w:eastAsia="Arial" w:hAnsi="Arial"/>
          <w:sz w:val="8"/>
          <w:szCs w:val="8"/>
          <w:color w:val="auto"/>
        </w:rPr>
        <w:t>®</w:t>
      </w:r>
      <w:r>
        <w:rPr>
          <w:rFonts w:ascii="Arial" w:cs="Arial" w:eastAsia="Arial" w:hAnsi="Arial"/>
          <w:sz w:val="18"/>
          <w:szCs w:val="18"/>
          <w:color w:val="auto"/>
        </w:rPr>
        <w:t>, and Lawn Genie</w:t>
      </w:r>
      <w:r>
        <w:rPr>
          <w:rFonts w:ascii="Arial" w:cs="Arial" w:eastAsia="Arial" w:hAnsi="Arial"/>
          <w:sz w:val="8"/>
          <w:szCs w:val="8"/>
          <w:color w:val="auto"/>
        </w:rPr>
        <w:t>®</w:t>
      </w:r>
      <w:r>
        <w:rPr>
          <w:rFonts w:ascii="Arial" w:cs="Arial" w:eastAsia="Arial" w:hAnsi="Arial"/>
          <w:sz w:val="18"/>
          <w:szCs w:val="18"/>
          <w:color w:val="auto"/>
        </w:rPr>
        <w:t>, most of which are registered in the United States and/or in the principal foreign countries where we market our products. This report also contains trademarks, trade names, and service marks that are owned by other persons or entities, such as The Home Depot.</w:t>
      </w:r>
    </w:p>
    <w:p>
      <w:pPr>
        <w:spacing w:after="0" w:line="3" w:lineRule="exact"/>
        <w:rPr>
          <w:sz w:val="20"/>
          <w:szCs w:val="20"/>
          <w:color w:val="auto"/>
        </w:rPr>
      </w:pPr>
    </w:p>
    <w:p>
      <w:pPr>
        <w:ind w:firstLine="180"/>
        <w:spacing w:after="0" w:line="267" w:lineRule="auto"/>
        <w:rPr>
          <w:sz w:val="20"/>
          <w:szCs w:val="20"/>
          <w:color w:val="auto"/>
        </w:rPr>
      </w:pPr>
      <w:r>
        <w:rPr>
          <w:rFonts w:ascii="Arial" w:cs="Arial" w:eastAsia="Arial" w:hAnsi="Arial"/>
          <w:sz w:val="18"/>
          <w:szCs w:val="18"/>
          <w:color w:val="auto"/>
        </w:rPr>
        <w:t>We emphasize quality and innovation in our customer service, products, manufacturing, and marketing. We strive to provide well-built, dependable products supported by an extensive service network. We have committed funding for engineering and research in order to improve existing products and develop new products. Through these efforts, we seek to be responsive to trends that may affect our target markets now and in the future. A significant portion of our revenue has historically been attributable to new and enhanced products. Our mission is to be the leading worldwide provider of outdoor beautification products, support services, and integrated systems that help customers preserve and beautify their outdoor landscapes with environmentally responsible solutions of customer-valued quality and innovation. Additional information on our strategic initiative is included in Item 7, “Management’s Discussion and Analysis of Financial Condition and Results of Operation”, of this report.</w:t>
      </w:r>
    </w:p>
    <w:p>
      <w:pPr>
        <w:sectPr>
          <w:pgSz w:w="11900" w:h="16838" w:orient="portrait"/>
          <w:cols w:equalWidth="0" w:num="1">
            <w:col w:w="11380"/>
          </w:cols>
          <w:pgMar w:left="240" w:top="105" w:right="279" w:bottom="0" w:gutter="0" w:footer="0" w:header="0"/>
          <w:type w:val="continuous"/>
        </w:sectPr>
      </w:pPr>
    </w:p>
    <w:bookmarkStart w:id="2" w:name="page3"/>
    <w:bookmarkEnd w:id="2"/>
    <w:p>
      <w:pPr>
        <w:spacing w:after="0"/>
        <w:rPr>
          <w:sz w:val="20"/>
          <w:szCs w:val="20"/>
          <w:color w:val="auto"/>
        </w:rPr>
      </w:pPr>
      <w:r>
        <w:rPr>
          <w:rFonts w:ascii="Arial" w:cs="Arial" w:eastAsia="Arial" w:hAnsi="Arial"/>
          <w:sz w:val="20"/>
          <w:szCs w:val="20"/>
          <w:b w:val="1"/>
          <w:bCs w:val="1"/>
          <w:color w:val="4673B6"/>
        </w:rPr>
        <w:t>Products by Market</w:t>
      </w:r>
    </w:p>
    <w:p>
      <w:pPr>
        <w:spacing w:after="0" w:line="4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strive to be a leader in adapting advanced technologies to products and services that provide solutions for landscape, turf care maintenance, and residential demands. Following is a summary of our products by market for the professional and residential segments:</w:t>
      </w:r>
    </w:p>
    <w:p>
      <w:pPr>
        <w:spacing w:after="0" w:line="67"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color w:val="4673B6"/>
        </w:rPr>
        <w:t xml:space="preserve">Professional – </w:t>
      </w:r>
      <w:r>
        <w:rPr>
          <w:rFonts w:ascii="Arial" w:cs="Arial" w:eastAsia="Arial" w:hAnsi="Arial"/>
          <w:sz w:val="18"/>
          <w:szCs w:val="18"/>
          <w:color w:val="000000"/>
        </w:rPr>
        <w:t>We design professional turf products and market them worldwide through a network of distributors and dealers as well as</w:t>
      </w:r>
      <w:r>
        <w:rPr>
          <w:rFonts w:ascii="Arial" w:cs="Arial" w:eastAsia="Arial" w:hAnsi="Arial"/>
          <w:sz w:val="18"/>
          <w:szCs w:val="18"/>
          <w:b w:val="1"/>
          <w:bCs w:val="1"/>
          <w:color w:val="4673B6"/>
        </w:rPr>
        <w:t xml:space="preserve"> </w:t>
      </w:r>
      <w:r>
        <w:rPr>
          <w:rFonts w:ascii="Arial" w:cs="Arial" w:eastAsia="Arial" w:hAnsi="Arial"/>
          <w:sz w:val="18"/>
          <w:szCs w:val="18"/>
          <w:color w:val="000000"/>
        </w:rPr>
        <w:t>directly to government customers and rental centers. Products are sold by distributors and dealers to professional users engaged in maintaining and creating landscapes, such as golf courses, sports fields, municipal properties, and residential and commercial landscapes. Professional turf maintenance equipment marketed under the Toro brand name is our oldest product line that began in 1921 with tractor-towed mowers for golf courses. Over time, we have expanded our product lines to include products designed for large turf areas, such as golf courses, schools, parks, cemeteries, sports fields, industrial sites, apartments, and townhouse complexes.</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4673B6"/>
        </w:rPr>
        <w:t xml:space="preserve">Landscape Contractor Market. </w:t>
      </w:r>
      <w:r>
        <w:rPr>
          <w:rFonts w:ascii="Arial" w:cs="Arial" w:eastAsia="Arial" w:hAnsi="Arial"/>
          <w:sz w:val="18"/>
          <w:szCs w:val="18"/>
          <w:color w:val="000000"/>
        </w:rPr>
        <w:t>Products for the landscape contractor market include zero-turning radius riding mowers, 21-inch heavy-duty</w:t>
      </w:r>
      <w:r>
        <w:rPr>
          <w:rFonts w:ascii="Arial" w:cs="Arial" w:eastAsia="Arial" w:hAnsi="Arial"/>
          <w:sz w:val="18"/>
          <w:szCs w:val="18"/>
          <w:i w:val="1"/>
          <w:iCs w:val="1"/>
          <w:color w:val="4673B6"/>
        </w:rPr>
        <w:t xml:space="preserve"> </w:t>
      </w:r>
      <w:r>
        <w:rPr>
          <w:rFonts w:ascii="Arial" w:cs="Arial" w:eastAsia="Arial" w:hAnsi="Arial"/>
          <w:sz w:val="18"/>
          <w:szCs w:val="18"/>
          <w:color w:val="000000"/>
        </w:rPr>
        <w:t>walk behind mowers, mid-size walk behind mowers, and compact utility loaders. These products are sold through distributors and dealers, and are also available through rental centers to individuals and companies who maintain and create residential and commercial landscapes on behalf of property owners. We market products to landscape contractors under the Toro, Exmark, and Lawn-Boy brands. In late fiscal 2004, we introduced a new line of Toro 400 Series compact zero-turning radius riding mowers. In fiscal 2005, we introduced new diesel engine models to the Toro 500 Series full-size zero-turning radius riding mower product line and introduced the Exmark Navigator™, an out-front deck zero-turning radius riding mower with a dedicated bagger. In fiscal 2005, we also fitted the Exmark mid-mount zero-turning radius riding mowers with the Triton™ deck, a high capacity cutting platform.</w:t>
      </w:r>
    </w:p>
    <w:p>
      <w:pPr>
        <w:spacing w:after="0" w:line="6" w:lineRule="exact"/>
        <w:rPr>
          <w:sz w:val="20"/>
          <w:szCs w:val="20"/>
          <w:color w:val="auto"/>
        </w:rPr>
      </w:pPr>
    </w:p>
    <w:p>
      <w:pPr>
        <w:ind w:right="300" w:firstLine="180"/>
        <w:spacing w:after="0" w:line="271" w:lineRule="auto"/>
        <w:rPr>
          <w:sz w:val="20"/>
          <w:szCs w:val="20"/>
          <w:color w:val="auto"/>
        </w:rPr>
      </w:pPr>
      <w:r>
        <w:rPr>
          <w:rFonts w:ascii="Arial" w:cs="Arial" w:eastAsia="Arial" w:hAnsi="Arial"/>
          <w:sz w:val="18"/>
          <w:szCs w:val="18"/>
          <w:color w:val="auto"/>
        </w:rPr>
        <w:t>Our compact utility loaders are cornerstone products for the Toro Sitework Systems product line. These products are designed to improve efficiency in the creation of landscapes. We offer over 35 attachments for our compact utility loaders, including trenchers, augers, vibratory plows, and backhoes.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4673B6"/>
        </w:rPr>
        <w:t xml:space="preserve">Sports Fields and Grounds Market. </w:t>
      </w:r>
      <w:r>
        <w:rPr>
          <w:rFonts w:ascii="Arial" w:cs="Arial" w:eastAsia="Arial" w:hAnsi="Arial"/>
          <w:sz w:val="18"/>
          <w:szCs w:val="18"/>
          <w:color w:val="000000"/>
        </w:rPr>
        <w:t>Products for the sports fields and grounds market include riding rotary units with cutting widths ranging from</w:t>
      </w:r>
      <w:r>
        <w:rPr>
          <w:rFonts w:ascii="Arial" w:cs="Arial" w:eastAsia="Arial" w:hAnsi="Arial"/>
          <w:sz w:val="18"/>
          <w:szCs w:val="18"/>
          <w:i w:val="1"/>
          <w:iCs w:val="1"/>
          <w:color w:val="4673B6"/>
        </w:rPr>
        <w:t xml:space="preserve"> </w:t>
      </w:r>
      <w:r>
        <w:rPr>
          <w:rFonts w:ascii="Arial" w:cs="Arial" w:eastAsia="Arial" w:hAnsi="Arial"/>
          <w:sz w:val="18"/>
          <w:szCs w:val="18"/>
          <w:color w:val="000000"/>
        </w:rPr>
        <w:t>52 inches to 16 feet, aerators, attachments, and debris management products, which include versatile debris vacuums, blowers, and sweepers. Other products include multipurpose vehicles, such as the Workman</w:t>
      </w:r>
      <w:r>
        <w:rPr>
          <w:rFonts w:ascii="Arial" w:cs="Arial" w:eastAsia="Arial" w:hAnsi="Arial"/>
          <w:sz w:val="8"/>
          <w:szCs w:val="8"/>
          <w:color w:val="000000"/>
        </w:rPr>
        <w:t>®</w:t>
      </w:r>
      <w:r>
        <w:rPr>
          <w:rFonts w:ascii="Arial" w:cs="Arial" w:eastAsia="Arial" w:hAnsi="Arial"/>
          <w:sz w:val="18"/>
          <w:szCs w:val="18"/>
          <w:color w:val="000000"/>
        </w:rPr>
        <w:t>, that can be used for turf maintenance, towing, and industrial hauling.</w:t>
      </w:r>
    </w:p>
    <w:p>
      <w:pPr>
        <w:spacing w:after="0" w:line="4"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These products are sold through distributors, who then sell to owners and/or managers of sports fields, municipal and institutional properties, cemeteries, and facilities such as airports and corporate headquarters. In fiscal 2005, we introduced the Groundsmaster</w:t>
      </w:r>
      <w:r>
        <w:rPr>
          <w:rFonts w:ascii="Arial" w:cs="Arial" w:eastAsia="Arial" w:hAnsi="Arial"/>
          <w:sz w:val="8"/>
          <w:szCs w:val="8"/>
          <w:color w:val="auto"/>
        </w:rPr>
        <w:t>®</w:t>
      </w:r>
      <w:r>
        <w:rPr>
          <w:rFonts w:ascii="Arial" w:cs="Arial" w:eastAsia="Arial" w:hAnsi="Arial"/>
          <w:sz w:val="18"/>
          <w:szCs w:val="18"/>
          <w:color w:val="auto"/>
        </w:rPr>
        <w:t xml:space="preserve"> 3280-D and 3320, rotary mowers with an innovative adjustable baffle design that allows the operator to fine tune after-cut appearance in changing turf conditions. In fiscal 2005, our strategic acquisition of Hayter Limited (Hayter) provided us a new line of grounds products for the United Kingdom sports fields and municipal markets.</w:t>
      </w:r>
    </w:p>
    <w:p>
      <w:pPr>
        <w:spacing w:after="0" w:line="75" w:lineRule="exact"/>
        <w:rPr>
          <w:sz w:val="20"/>
          <w:szCs w:val="20"/>
          <w:color w:val="auto"/>
        </w:rPr>
      </w:pPr>
    </w:p>
    <w:p>
      <w:pPr>
        <w:spacing w:after="0" w:line="272" w:lineRule="auto"/>
        <w:rPr>
          <w:sz w:val="20"/>
          <w:szCs w:val="20"/>
          <w:color w:val="auto"/>
        </w:rPr>
      </w:pPr>
      <w:r>
        <w:rPr>
          <w:rFonts w:ascii="Arial" w:cs="Arial" w:eastAsia="Arial" w:hAnsi="Arial"/>
          <w:sz w:val="18"/>
          <w:szCs w:val="18"/>
          <w:i w:val="1"/>
          <w:iCs w:val="1"/>
          <w:color w:val="4673B6"/>
        </w:rPr>
        <w:t xml:space="preserve">Residential/Commercial Irrigation Market. </w:t>
      </w:r>
      <w:r>
        <w:rPr>
          <w:rFonts w:ascii="Arial" w:cs="Arial" w:eastAsia="Arial" w:hAnsi="Arial"/>
          <w:sz w:val="18"/>
          <w:szCs w:val="18"/>
          <w:color w:val="000000"/>
        </w:rPr>
        <w:t>Turf irrigation products marketed under the Toro and Irritrol brand names include sprinkler heads,</w:t>
      </w:r>
      <w:r>
        <w:rPr>
          <w:rFonts w:ascii="Arial" w:cs="Arial" w:eastAsia="Arial" w:hAnsi="Arial"/>
          <w:sz w:val="18"/>
          <w:szCs w:val="18"/>
          <w:i w:val="1"/>
          <w:iCs w:val="1"/>
          <w:color w:val="4673B6"/>
        </w:rPr>
        <w:t xml:space="preserve"> </w:t>
      </w:r>
      <w:r>
        <w:rPr>
          <w:rFonts w:ascii="Arial" w:cs="Arial" w:eastAsia="Arial" w:hAnsi="Arial"/>
          <w:sz w:val="18"/>
          <w:szCs w:val="18"/>
          <w:color w:val="000000"/>
        </w:rPr>
        <w:t>brass and plastic valves, and electric and hydraulic control devices designed to be used in residential and commercial turf irrigation systems. These products are professionally installed in new systems and can also be used to replace or retrofit existing systems. Most of the product line is designed for underground irrigation systems. Electric and hydraulic controllers activate valves and sprinkler heads in a typical irrigation system. We also offer wireless rain and freeze switches on some products in an effort to conserve water usage. In fiscal 2005, we introduced the IntelliSense and SmartDial controllers that self adjust their watering schedules based on current environment conditions.</w:t>
      </w:r>
    </w:p>
    <w:p>
      <w:pPr>
        <w:spacing w:after="0" w:line="7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i w:val="1"/>
          <w:iCs w:val="1"/>
          <w:color w:val="4673B6"/>
        </w:rPr>
        <w:t xml:space="preserve">Golf Course Market. </w:t>
      </w:r>
      <w:r>
        <w:rPr>
          <w:rFonts w:ascii="Arial" w:cs="Arial" w:eastAsia="Arial" w:hAnsi="Arial"/>
          <w:sz w:val="18"/>
          <w:szCs w:val="18"/>
          <w:color w:val="000000"/>
        </w:rPr>
        <w:t>Products for the golf course market include large reel and rotary riding products for fairway, rough and trim cutting; riding</w:t>
      </w:r>
      <w:r>
        <w:rPr>
          <w:rFonts w:ascii="Arial" w:cs="Arial" w:eastAsia="Arial" w:hAnsi="Arial"/>
          <w:sz w:val="18"/>
          <w:szCs w:val="18"/>
          <w:i w:val="1"/>
          <w:iCs w:val="1"/>
          <w:color w:val="4673B6"/>
        </w:rPr>
        <w:t xml:space="preserve"> </w:t>
      </w:r>
      <w:r>
        <w:rPr>
          <w:rFonts w:ascii="Arial" w:cs="Arial" w:eastAsia="Arial" w:hAnsi="Arial"/>
          <w:sz w:val="18"/>
          <w:szCs w:val="18"/>
          <w:color w:val="000000"/>
        </w:rPr>
        <w:t>and walking mowers for putting greens and specialty areas; turf sprayer equipment; utility vehicles; turf aerators, including the ProCore</w:t>
      </w:r>
      <w:r>
        <w:rPr>
          <w:rFonts w:ascii="Arial" w:cs="Arial" w:eastAsia="Arial" w:hAnsi="Arial"/>
          <w:sz w:val="8"/>
          <w:szCs w:val="8"/>
          <w:color w:val="000000"/>
        </w:rPr>
        <w:t>®</w:t>
      </w:r>
      <w:r>
        <w:rPr>
          <w:rFonts w:ascii="Arial" w:cs="Arial" w:eastAsia="Arial" w:hAnsi="Arial"/>
          <w:sz w:val="18"/>
          <w:szCs w:val="18"/>
          <w:color w:val="000000"/>
        </w:rPr>
        <w:t xml:space="preserve"> 648 walk-behind aerator; and bunker maintenance equipment. We also manufacture and market underground irrigation systems, including sprinkler heads and controllers that activate electric, battery-operated, or hydraulic valves. Our professional irrigation systems are designed to use computerized management systems and a variety of technologies to help customers manage their use of water. In late fiscal 2004, we introduced the 835S/855S Series golf sprinklers with a unique TruJectory™ feature that provides enhanced water distribution control as well as uniformity, nozzle flexibility, and system efficiency. In fiscal 2005, we introduced the Network VP™ Satellite, which provides an upgrade path to customers with existing controllers.</w:t>
      </w:r>
    </w:p>
    <w:p>
      <w:pPr>
        <w:spacing w:after="0" w:line="74"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4673B6"/>
        </w:rPr>
        <w:t xml:space="preserve">Agricultural Irrigation Market. </w:t>
      </w:r>
      <w:r>
        <w:rPr>
          <w:rFonts w:ascii="Arial" w:cs="Arial" w:eastAsia="Arial" w:hAnsi="Arial"/>
          <w:sz w:val="18"/>
          <w:szCs w:val="18"/>
          <w:color w:val="000000"/>
        </w:rPr>
        <w:t>Products for the agricultural irrigation market include irrigation emission devices that regulate the flow of drip</w:t>
      </w:r>
      <w:r>
        <w:rPr>
          <w:rFonts w:ascii="Arial" w:cs="Arial" w:eastAsia="Arial" w:hAnsi="Arial"/>
          <w:sz w:val="18"/>
          <w:szCs w:val="18"/>
          <w:i w:val="1"/>
          <w:iCs w:val="1"/>
          <w:color w:val="4673B6"/>
        </w:rPr>
        <w:t xml:space="preserve"> </w:t>
      </w:r>
      <w:r>
        <w:rPr>
          <w:rFonts w:ascii="Arial" w:cs="Arial" w:eastAsia="Arial" w:hAnsi="Arial"/>
          <w:sz w:val="18"/>
          <w:szCs w:val="18"/>
          <w:color w:val="000000"/>
        </w:rPr>
        <w:t>irrigation, including Blue Stripe</w:t>
      </w:r>
      <w:r>
        <w:rPr>
          <w:rFonts w:ascii="Arial" w:cs="Arial" w:eastAsia="Arial" w:hAnsi="Arial"/>
          <w:sz w:val="8"/>
          <w:szCs w:val="8"/>
          <w:color w:val="000000"/>
        </w:rPr>
        <w:t>®</w:t>
      </w:r>
      <w:r>
        <w:rPr>
          <w:rFonts w:ascii="Arial" w:cs="Arial" w:eastAsia="Arial" w:hAnsi="Arial"/>
          <w:sz w:val="18"/>
          <w:szCs w:val="18"/>
          <w:color w:val="000000"/>
        </w:rPr>
        <w:t xml:space="preserve"> polyethylene tubing, Aqua-TraXX</w:t>
      </w:r>
      <w:r>
        <w:rPr>
          <w:rFonts w:ascii="Arial" w:cs="Arial" w:eastAsia="Arial" w:hAnsi="Arial"/>
          <w:sz w:val="8"/>
          <w:szCs w:val="8"/>
          <w:color w:val="000000"/>
        </w:rPr>
        <w:t>®</w:t>
      </w:r>
      <w:r>
        <w:rPr>
          <w:rFonts w:ascii="Arial" w:cs="Arial" w:eastAsia="Arial" w:hAnsi="Arial"/>
          <w:sz w:val="18"/>
          <w:szCs w:val="18"/>
          <w:color w:val="000000"/>
        </w:rPr>
        <w:t xml:space="preserve"> irrigation tape, and Drip In</w:t>
      </w:r>
      <w:r>
        <w:rPr>
          <w:rFonts w:ascii="Arial" w:cs="Arial" w:eastAsia="Arial" w:hAnsi="Arial"/>
          <w:sz w:val="8"/>
          <w:szCs w:val="8"/>
          <w:color w:val="000000"/>
        </w:rPr>
        <w:t>®</w:t>
      </w:r>
      <w:r>
        <w:rPr>
          <w:rFonts w:ascii="Arial" w:cs="Arial" w:eastAsia="Arial" w:hAnsi="Arial"/>
          <w:sz w:val="18"/>
          <w:szCs w:val="18"/>
          <w:color w:val="000000"/>
        </w:rPr>
        <w:t xml:space="preserve"> drip line, all used in low water volume agriculture, mining, and landscape applications. These products are sold primarily through dealers who then sell to growers for use primarily in vegetable fields, fruit and nut orchards, and vineyards. In early fiscal 2006, we introduced Blue Line™, a dripline product with uniform flow rates that provide plugging resistance.</w:t>
      </w:r>
    </w:p>
    <w:p>
      <w:pPr>
        <w:spacing w:after="0" w:line="63"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b w:val="1"/>
          <w:bCs w:val="1"/>
          <w:color w:val="4673B6"/>
        </w:rPr>
        <w:t xml:space="preserve">Residential – </w:t>
      </w:r>
      <w:r>
        <w:rPr>
          <w:rFonts w:ascii="Arial" w:cs="Arial" w:eastAsia="Arial" w:hAnsi="Arial"/>
          <w:sz w:val="18"/>
          <w:szCs w:val="18"/>
          <w:color w:val="000000"/>
        </w:rPr>
        <w:t>We market our residential products to homeowners through a variety of distribution channels, including dealers, hardware</w:t>
      </w:r>
      <w:r>
        <w:rPr>
          <w:rFonts w:ascii="Arial" w:cs="Arial" w:eastAsia="Arial" w:hAnsi="Arial"/>
          <w:sz w:val="18"/>
          <w:szCs w:val="18"/>
          <w:b w:val="1"/>
          <w:bCs w:val="1"/>
          <w:color w:val="4673B6"/>
        </w:rPr>
        <w:t xml:space="preserve"> </w:t>
      </w:r>
      <w:r>
        <w:rPr>
          <w:rFonts w:ascii="Arial" w:cs="Arial" w:eastAsia="Arial" w:hAnsi="Arial"/>
          <w:sz w:val="18"/>
          <w:szCs w:val="18"/>
          <w:color w:val="000000"/>
        </w:rPr>
        <w:t>retailers, home centers, mass retailers, and over the Internet. These products are sold mainly in North America, Europe, and Australia, with the exception of snow removal products, which are sold primarily in North America and Europe.</w:t>
      </w:r>
    </w:p>
    <w:p>
      <w:pPr>
        <w:spacing w:after="0" w:line="6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i w:val="1"/>
          <w:iCs w:val="1"/>
          <w:color w:val="4673B6"/>
        </w:rPr>
        <w:t xml:space="preserve">Walk Power Mower Products. </w:t>
      </w:r>
      <w:r>
        <w:rPr>
          <w:rFonts w:ascii="Arial" w:cs="Arial" w:eastAsia="Arial" w:hAnsi="Arial"/>
          <w:sz w:val="18"/>
          <w:szCs w:val="18"/>
          <w:color w:val="000000"/>
        </w:rPr>
        <w:t>We manufacture and market numerous walk power mower models under our Toro and Lawn-Boy brand names</w:t>
      </w:r>
      <w:r>
        <w:rPr>
          <w:rFonts w:ascii="Arial" w:cs="Arial" w:eastAsia="Arial" w:hAnsi="Arial"/>
          <w:sz w:val="18"/>
          <w:szCs w:val="18"/>
          <w:i w:val="1"/>
          <w:iCs w:val="1"/>
          <w:color w:val="4673B6"/>
        </w:rPr>
        <w:t xml:space="preserve"> </w:t>
      </w:r>
      <w:r>
        <w:rPr>
          <w:rFonts w:ascii="Arial" w:cs="Arial" w:eastAsia="Arial" w:hAnsi="Arial"/>
          <w:sz w:val="18"/>
          <w:szCs w:val="18"/>
          <w:color w:val="000000"/>
        </w:rPr>
        <w:t>as well as the Pope brand name in Australia. Models differ as to cutting width, type of starter mechanism, ability to mulch, bag or side discharge grass clippings, cast aluminum or steel decks, controls, and power sources, and are either self-propelled or push mowers. Toro brand lawn mowers are backed by our “Guaranteed To Start” program. In fiscal 2005, we introduced the Toro SR4 Super Recycler</w:t>
      </w:r>
      <w:r>
        <w:rPr>
          <w:rFonts w:ascii="Arial" w:cs="Arial" w:eastAsia="Arial" w:hAnsi="Arial"/>
          <w:sz w:val="8"/>
          <w:szCs w:val="8"/>
          <w:color w:val="000000"/>
        </w:rPr>
        <w:t>®</w:t>
      </w:r>
      <w:r>
        <w:rPr>
          <w:rFonts w:ascii="Arial" w:cs="Arial" w:eastAsia="Arial" w:hAnsi="Arial"/>
          <w:sz w:val="18"/>
          <w:szCs w:val="18"/>
          <w:color w:val="000000"/>
        </w:rPr>
        <w:t xml:space="preserve"> walk power mower with a 3-in-1 cast-aluminum cutting deck that converts from mulching, side discharging, or rear bagging without tools. In fiscal 2005, we also introduced a new line of Insight™ and Insight Gold™ Series Lawn-Boy walk power mowers. Our fiscal 2005 acquisition of Hayter increased our product offering with a line of rear roller walk power mowers, a design that enhances traction, maneuverability, and a striped finish for the United Kingdom market</w:t>
      </w:r>
    </w:p>
    <w:p>
      <w:pPr>
        <w:spacing w:after="0" w:line="7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4673B6"/>
        </w:rPr>
        <w:t xml:space="preserve">Riding Products. </w:t>
      </w:r>
      <w:r>
        <w:rPr>
          <w:rFonts w:ascii="Arial" w:cs="Arial" w:eastAsia="Arial" w:hAnsi="Arial"/>
          <w:sz w:val="18"/>
          <w:szCs w:val="18"/>
          <w:color w:val="000000"/>
        </w:rPr>
        <w:t>We manufacture and market riding products under the Toro and Lawn-Boy brand names. Riding mowers and tractors include</w:t>
      </w:r>
      <w:r>
        <w:rPr>
          <w:rFonts w:ascii="Arial" w:cs="Arial" w:eastAsia="Arial" w:hAnsi="Arial"/>
          <w:sz w:val="18"/>
          <w:szCs w:val="18"/>
          <w:i w:val="1"/>
          <w:iCs w:val="1"/>
          <w:color w:val="4673B6"/>
        </w:rPr>
        <w:t xml:space="preserve"> </w:t>
      </w:r>
      <w:r>
        <w:rPr>
          <w:rFonts w:ascii="Arial" w:cs="Arial" w:eastAsia="Arial" w:hAnsi="Arial"/>
          <w:sz w:val="18"/>
          <w:szCs w:val="18"/>
          <w:color w:val="000000"/>
        </w:rPr>
        <w:t>a rear engine riding mower manufactured and sold in the European market; lawn tractor models; and garden tractor models, some equipped with a diesel engine. Many models are available with a variety of decks and accessories. Recycler cutting decks are available on some models.</w:t>
      </w:r>
    </w:p>
    <w:p>
      <w:pPr>
        <w:sectPr>
          <w:pgSz w:w="11900" w:h="16838" w:orient="portrait"/>
          <w:cols w:equalWidth="0" w:num="1">
            <w:col w:w="11420"/>
          </w:cols>
          <w:pgMar w:left="240" w:top="111" w:right="239" w:bottom="0" w:gutter="0" w:footer="0" w:header="0"/>
        </w:sectPr>
      </w:pPr>
    </w:p>
    <w:bookmarkStart w:id="3" w:name="page4"/>
    <w:bookmarkEnd w:id="3"/>
    <w:p>
      <w:pPr>
        <w:ind w:right="200"/>
        <w:spacing w:after="0" w:line="287" w:lineRule="auto"/>
        <w:rPr>
          <w:sz w:val="20"/>
          <w:szCs w:val="20"/>
          <w:color w:val="auto"/>
        </w:rPr>
      </w:pPr>
      <w:r>
        <w:rPr>
          <w:rFonts w:ascii="Arial" w:cs="Arial" w:eastAsia="Arial" w:hAnsi="Arial"/>
          <w:sz w:val="18"/>
          <w:szCs w:val="18"/>
          <w:color w:val="auto"/>
        </w:rPr>
        <w:t>Models can be equipped with manual or hydrostatic transmissions. In recent years, we introduced a new line of riding products, the TimeCutter</w:t>
      </w:r>
      <w:r>
        <w:rPr>
          <w:rFonts w:ascii="Arial" w:cs="Arial" w:eastAsia="Arial" w:hAnsi="Arial"/>
          <w:sz w:val="8"/>
          <w:szCs w:val="8"/>
          <w:color w:val="auto"/>
        </w:rPr>
        <w:t>®</w:t>
      </w:r>
      <w:r>
        <w:rPr>
          <w:rFonts w:ascii="Arial" w:cs="Arial" w:eastAsia="Arial" w:hAnsi="Arial"/>
          <w:sz w:val="18"/>
          <w:szCs w:val="18"/>
          <w:color w:val="auto"/>
        </w:rPr>
        <w:t xml:space="preserve"> zero-turning radius riding mowers. We also manufacture riding mower products plus attachments for a third party under a private label agreement. In fiscal 2005, we introduced the Lawn-Boy Precision™ Z Series riding mowers.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4673B6"/>
        </w:rPr>
        <w:t xml:space="preserve">Home Solutions Products. </w:t>
      </w:r>
      <w:r>
        <w:rPr>
          <w:rFonts w:ascii="Arial" w:cs="Arial" w:eastAsia="Arial" w:hAnsi="Arial"/>
          <w:sz w:val="18"/>
          <w:szCs w:val="18"/>
          <w:color w:val="000000"/>
        </w:rPr>
        <w:t>We design and market electrical products under the Toro brand name. These products include electric and battery</w:t>
      </w:r>
      <w:r>
        <w:rPr>
          <w:rFonts w:ascii="Arial" w:cs="Arial" w:eastAsia="Arial" w:hAnsi="Arial"/>
          <w:sz w:val="18"/>
          <w:szCs w:val="18"/>
          <w:i w:val="1"/>
          <w:iCs w:val="1"/>
          <w:color w:val="4673B6"/>
        </w:rPr>
        <w:t xml:space="preserve"> </w:t>
      </w:r>
      <w:r>
        <w:rPr>
          <w:rFonts w:ascii="Arial" w:cs="Arial" w:eastAsia="Arial" w:hAnsi="Arial"/>
          <w:sz w:val="18"/>
          <w:szCs w:val="18"/>
          <w:color w:val="000000"/>
        </w:rPr>
        <w:t>operated flexible line grass trimmers, electric blowers, electric blower-vacuums, and electric snow throwers. In late fiscal 2004, we introduced the electric Power Shovel Plus, an innovative machine for every season that can clear snow up to six inches deep and sweep away dirt, leaves, and other debris from hard surfaces.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4673B6"/>
        </w:rPr>
        <w:t xml:space="preserve">Retail Irrigation Products. </w:t>
      </w:r>
      <w:r>
        <w:rPr>
          <w:rFonts w:ascii="Arial" w:cs="Arial" w:eastAsia="Arial" w:hAnsi="Arial"/>
          <w:sz w:val="18"/>
          <w:szCs w:val="18"/>
          <w:color w:val="000000"/>
        </w:rPr>
        <w:t>We design and market underground retail irrigation products under the Toro and Lawn Genie brand names. In</w:t>
      </w:r>
      <w:r>
        <w:rPr>
          <w:rFonts w:ascii="Arial" w:cs="Arial" w:eastAsia="Arial" w:hAnsi="Arial"/>
          <w:sz w:val="18"/>
          <w:szCs w:val="18"/>
          <w:i w:val="1"/>
          <w:iCs w:val="1"/>
          <w:color w:val="4673B6"/>
        </w:rPr>
        <w:t xml:space="preserve"> </w:t>
      </w:r>
      <w:r>
        <w:rPr>
          <w:rFonts w:ascii="Arial" w:cs="Arial" w:eastAsia="Arial" w:hAnsi="Arial"/>
          <w:sz w:val="18"/>
          <w:szCs w:val="18"/>
          <w:color w:val="000000"/>
        </w:rPr>
        <w:t>Australia, we also design and market underground and hose-end retail irrigation products under the Pope brand name. These products are designed for homeowner installation and include sprinkler heads, valves, and electronic and mechanical timers. We also design and market drip irrigation systems for residential landscapes and gardens.</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i w:val="1"/>
          <w:iCs w:val="1"/>
          <w:color w:val="4673B6"/>
        </w:rPr>
        <w:t xml:space="preserve">Snow Removal Products. </w:t>
      </w:r>
      <w:r>
        <w:rPr>
          <w:rFonts w:ascii="Arial" w:cs="Arial" w:eastAsia="Arial" w:hAnsi="Arial"/>
          <w:sz w:val="18"/>
          <w:szCs w:val="18"/>
          <w:color w:val="000000"/>
        </w:rPr>
        <w:t>We manufacture and market a range of gas single-stage and two-stage snow thrower models under the Toro and</w:t>
      </w:r>
      <w:r>
        <w:rPr>
          <w:rFonts w:ascii="Arial" w:cs="Arial" w:eastAsia="Arial" w:hAnsi="Arial"/>
          <w:sz w:val="18"/>
          <w:szCs w:val="18"/>
          <w:i w:val="1"/>
          <w:iCs w:val="1"/>
          <w:color w:val="4673B6"/>
        </w:rPr>
        <w:t xml:space="preserve"> </w:t>
      </w:r>
      <w:r>
        <w:rPr>
          <w:rFonts w:ascii="Arial" w:cs="Arial" w:eastAsia="Arial" w:hAnsi="Arial"/>
          <w:sz w:val="18"/>
          <w:szCs w:val="18"/>
          <w:color w:val="000000"/>
        </w:rPr>
        <w:t>Lawn-Boy brand names. Single-stage snow throwers are walk behind units with lightweight two-cycle gasoline engines. Most single-stage snow thrower models include Power Curve</w:t>
      </w:r>
      <w:r>
        <w:rPr>
          <w:rFonts w:ascii="Arial" w:cs="Arial" w:eastAsia="Arial" w:hAnsi="Arial"/>
          <w:sz w:val="8"/>
          <w:szCs w:val="8"/>
          <w:color w:val="000000"/>
        </w:rPr>
        <w:t>®</w:t>
      </w:r>
      <w:r>
        <w:rPr>
          <w:rFonts w:ascii="Arial" w:cs="Arial" w:eastAsia="Arial" w:hAnsi="Arial"/>
          <w:sz w:val="18"/>
          <w:szCs w:val="18"/>
          <w:color w:val="000000"/>
        </w:rPr>
        <w:t xml:space="preserve"> snow thrower technology. Two-stage snow throwers are designed for relatively large areas of deep, heavy snowfalls and use two- and four-cycle engines, and include a line of innovative snow thrower models featuring the Power Max</w:t>
      </w:r>
      <w:r>
        <w:rPr>
          <w:rFonts w:ascii="Arial" w:cs="Arial" w:eastAsia="Arial" w:hAnsi="Arial"/>
          <w:sz w:val="8"/>
          <w:szCs w:val="8"/>
          <w:color w:val="000000"/>
        </w:rPr>
        <w:t>®</w:t>
      </w:r>
      <w:r>
        <w:rPr>
          <w:rFonts w:ascii="Arial" w:cs="Arial" w:eastAsia="Arial" w:hAnsi="Arial"/>
          <w:sz w:val="18"/>
          <w:szCs w:val="18"/>
          <w:color w:val="000000"/>
        </w:rPr>
        <w:t xml:space="preserve"> auger system for enhanced performance and safer operation, and the Quick Stick</w:t>
      </w:r>
      <w:r>
        <w:rPr>
          <w:rFonts w:ascii="Arial" w:cs="Arial" w:eastAsia="Arial" w:hAnsi="Arial"/>
          <w:sz w:val="8"/>
          <w:szCs w:val="8"/>
          <w:color w:val="000000"/>
        </w:rPr>
        <w:t>®</w:t>
      </w:r>
      <w:r>
        <w:rPr>
          <w:rFonts w:ascii="Arial" w:cs="Arial" w:eastAsia="Arial" w:hAnsi="Arial"/>
          <w:sz w:val="18"/>
          <w:szCs w:val="18"/>
          <w:color w:val="000000"/>
        </w:rPr>
        <w:t xml:space="preserve"> chute control technology. We also manufacture and market hybrid models with single-stage snow thrower technology that is self-propelling, providing the operational ease of a single-stage snow thrower with the power of a two-stage unit. In fiscal 2005, we introduced two Lawn-Boy Insight single-stage models.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Financial Information About Foreign Operations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and Business Segments</w:t>
      </w:r>
    </w:p>
    <w:p>
      <w:pPr>
        <w:spacing w:after="0" w:line="1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We manufacture our products in the United States, Mexico, Australia, Italy, and the United Kingdom for sale throughout the world and maintain sales offices in the United States, Canada, Belgium, the United Kingdom, France, Australia, Singapore, Japan, China, and Italy. New product development is pursued primarily in the United States. Our net sales outside the United States were 24.8 percent, 20.7 percent, and 19.3 percent of total consolidated net sales for fiscal 2005, 2004, and 2003, respectively.</w:t>
      </w:r>
    </w:p>
    <w:p>
      <w:pPr>
        <w:spacing w:after="0" w:line="1" w:lineRule="exact"/>
        <w:rPr>
          <w:sz w:val="20"/>
          <w:szCs w:val="20"/>
          <w:color w:val="auto"/>
        </w:rPr>
      </w:pPr>
    </w:p>
    <w:p>
      <w:pPr>
        <w:ind w:right="60" w:firstLine="180"/>
        <w:spacing w:after="0" w:line="269" w:lineRule="auto"/>
        <w:rPr>
          <w:sz w:val="20"/>
          <w:szCs w:val="20"/>
          <w:color w:val="auto"/>
        </w:rPr>
      </w:pPr>
      <w:r>
        <w:rPr>
          <w:rFonts w:ascii="Arial" w:cs="Arial" w:eastAsia="Arial" w:hAnsi="Arial"/>
          <w:sz w:val="18"/>
          <w:szCs w:val="18"/>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For additional information regarding our foreign currency exchange contracts, see Item 7A entitled “Quantitative and Qualitative Disclosures about Market Risk.” For additional financial information regarding our foreign operations and each of our segments, see Note 12 of Notes to Consolidated Financial Statements entitled “Segment Data,” included in Item 8 of Part II of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Manufacturing and Production</w:t>
      </w:r>
    </w:p>
    <w:p>
      <w:pPr>
        <w:spacing w:after="0" w:line="4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some areas of our business, we are primarily an assembler, while in others we serve as a fully integrated manufacturer. We have strategically identified specific core manufacturing competencies for vertical integration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to the design and production of component parts. Manufacturing operations include robotic and computer-automated equipment to speed production, reduce costs, and improve the quality, fit, and finish of every product. Operations are also designed to be flexible enough to accommodate product design changes required to respond to market demand.</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In order to utilize our manufacturing facilities and technology more effectively, we pursue continuous improvements in our manufacturing processes. We have some flexible assembly lines that can handle a wide product mix and deliver products when customers require them. Additionally, we spend considerable effort to reduce manufacturing costs through “Lean” methods and process improvement, product and platform design, application of advanced technology, enhanced environmental management systems, SKU consolidation, safety improvements, and better supply-chain management. We also manufacture products sold under a private label agreement to a third party on a competitive basis, and we have agreements with other third party manufacturers to manufacture products on our behalf.</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Our professional products are manufactured throughout the year. Our residential spring and summer products are also generally manufactured throughout the year. However, our residential fall and winter products are generally manufactured in the summer and fall months. Our products are tested in conditions and locations similar to those in which they are used. We use computer-aided design and manufacturing systems to shorten the time between initial concept and final production.</w:t>
      </w:r>
    </w:p>
    <w:p>
      <w:pPr>
        <w:spacing w:after="0" w:line="1" w:lineRule="exact"/>
        <w:rPr>
          <w:sz w:val="20"/>
          <w:szCs w:val="20"/>
          <w:color w:val="auto"/>
        </w:rPr>
      </w:pPr>
    </w:p>
    <w:p>
      <w:pPr>
        <w:ind w:right="200" w:firstLine="180"/>
        <w:spacing w:after="0" w:line="269" w:lineRule="auto"/>
        <w:rPr>
          <w:sz w:val="20"/>
          <w:szCs w:val="20"/>
          <w:color w:val="auto"/>
        </w:rPr>
      </w:pPr>
      <w:r>
        <w:rPr>
          <w:rFonts w:ascii="Arial" w:cs="Arial" w:eastAsia="Arial" w:hAnsi="Arial"/>
          <w:sz w:val="18"/>
          <w:szCs w:val="18"/>
          <w:color w:val="auto"/>
        </w:rPr>
        <w:t>Our production levels and inventory management goals are based on estimates of demand for our products, taking into account production capacity, timing of shipments, and field inventory levels. We also periodically shut down production to allow for maintenance, rearrangement, and capital equipment installation at the manufacturing facilities. Capital expenditures for fiscal 2006 are expected to be approximately $40 to $45 million, which is $3 to $8 million higher than fiscal 2005 capital expenditures as we expect to continue to invest in information service technology, manufacturing equipment, and tooling for new products.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Engineering and Research</w:t>
      </w:r>
    </w:p>
    <w:p>
      <w:pPr>
        <w:spacing w:after="0" w:line="40"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We are committed to an ongoing engineering program dedicated to developing innovative new products and improvements in the quality and performance of existing products. However, a focus on innovation also carries certain risks that new technology will be slow to be accepted by the marketplace. Management mitigates this risk through focus on and commitment to understanding our customers’</w:t>
      </w:r>
    </w:p>
    <w:p>
      <w:pPr>
        <w:sectPr>
          <w:pgSz w:w="11900" w:h="16838" w:orient="portrait"/>
          <w:cols w:equalWidth="0" w:num="1">
            <w:col w:w="11420"/>
          </w:cols>
          <w:pgMar w:left="240" w:top="152" w:right="239" w:bottom="26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52" w:right="239" w:bottom="260" w:gutter="0" w:footer="0" w:header="0"/>
          <w:type w:val="continuous"/>
        </w:sectPr>
      </w:pPr>
    </w:p>
    <w:bookmarkStart w:id="4" w:name="page5"/>
    <w:bookmarkEnd w:id="4"/>
    <w:p>
      <w:pPr>
        <w:spacing w:after="0" w:line="62"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needs and requirements. Our engineering expenses are primarily incurred in connection with the development of new products that may have additional applications or represent extensions of existing product lines, improvements to existing products, and cost reduction efforts. Our expenditures for engineering and research were approximately $52.6 million (3.0 percent of net sales) in fiscal 2005, $48.0 million (2.9 percent of net sales) in fiscal 2004, and $41.5 million (2.8 percent of net sales) in fiscal 2003. In fiscal 2006, we anticipate engineering and research costs to increase compared to fiscal 2005 as we expect to continue to invest in new product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Raw Materials</w:t>
      </w:r>
    </w:p>
    <w:p>
      <w:pPr>
        <w:spacing w:after="0" w:line="4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Most of the components of our products are commercially available from a number of sources and are in adequate supply. Therefore, we are generally not dependent on any one supplier, except for engines from Japanese suppliers used in some of our professional segment products.</w:t>
      </w:r>
    </w:p>
    <w:p>
      <w:pPr>
        <w:ind w:firstLine="180"/>
        <w:spacing w:after="0" w:line="266" w:lineRule="auto"/>
        <w:rPr>
          <w:sz w:val="20"/>
          <w:szCs w:val="20"/>
          <w:color w:val="auto"/>
        </w:rPr>
      </w:pPr>
      <w:r>
        <w:rPr>
          <w:rFonts w:ascii="Arial" w:cs="Arial" w:eastAsia="Arial" w:hAnsi="Arial"/>
          <w:sz w:val="18"/>
          <w:szCs w:val="18"/>
          <w:color w:val="auto"/>
        </w:rPr>
        <w:t>In fiscal 2005, we experienced no significant work stoppages as a result of shortages of raw materials or commodities, despite the hurricanes in the Gulf of Mexico, as we are dual sourced for a majority of our raw material requirements. The highest value component costs are generally engines, steel, transmissions, transaxles, hydraulics, electric motors, and plastic resin purchased from several suppliers around the world. We have some long-term commitments for the purchase of various component parts and raw materials that management believes are unlikely to be terminated prematurely.</w:t>
      </w:r>
    </w:p>
    <w:p>
      <w:pPr>
        <w:spacing w:after="0" w:line="1" w:lineRule="exact"/>
        <w:rPr>
          <w:sz w:val="20"/>
          <w:szCs w:val="20"/>
          <w:color w:val="auto"/>
        </w:rPr>
      </w:pPr>
    </w:p>
    <w:p>
      <w:pPr>
        <w:ind w:right="100" w:firstLine="180"/>
        <w:spacing w:after="0" w:line="270" w:lineRule="auto"/>
        <w:rPr>
          <w:sz w:val="20"/>
          <w:szCs w:val="20"/>
          <w:color w:val="auto"/>
        </w:rPr>
      </w:pPr>
      <w:r>
        <w:rPr>
          <w:rFonts w:ascii="Arial" w:cs="Arial" w:eastAsia="Arial" w:hAnsi="Arial"/>
          <w:sz w:val="18"/>
          <w:szCs w:val="18"/>
          <w:color w:val="auto"/>
        </w:rPr>
        <w:t>During the past two years, we have experienced an increase in costs of certain raw materials, such as steel and other commodities that has resulted in a negative impact on our gross margins and net earnings for fiscal 2005 and 2004. We have somewhat offset and expect to continue to mitigate the impact of these increased costs through internal cost reduction efforts, selective price increases, and vendor negotiations.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Service and Warranty</w:t>
      </w:r>
    </w:p>
    <w:p>
      <w:pPr>
        <w:spacing w:after="0" w:line="4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products are warranted to ensure customer confidence in design, workmanship, and overall quality. Warranty length varies depending on whether product usage is for “residential” or “professional” applications within individual product lines. Some products have an over-the-counter exchange option and some have a 30-day satisfaction guarantee. Warranty coverage ranges from a period of six months to seven years, and generally covers parts, labor, and other expenses for non-maintenance repairs, provided operator abuse, improper use, or negligence did not necessitate the repair. An authorized Toro, Lawn-Boy and/or Exmark distributor or dealer must perform warranty work. Distributors, dealers, and contractors submit claims for warranty reimbursement and are credited for the cost of repairs, labor, and other expenses as long as the repairs meet our prescribed standards. Warranty expense is accrued at the time of sale based on, among other factors, historical claims experience by individual product lines. Warranty reserves are also accrued for major rework campaigns. Service support outside of the warranty period is provided by independent Toro, Lawn-Boy and/or Exmark distributors and dealers at the customer’s expense. We also sell extended warranty coverage on select products for when the factory warranty period expires.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Product Liability</w:t>
      </w:r>
    </w:p>
    <w:p>
      <w:pPr>
        <w:spacing w:after="0" w:line="4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have rigorous product safety standards and work continually to improve the safety and reliability of our products. We monitor accidents and possible claims and establish liability estimates with respect to claims based on internal evaluations of the merits of individual claims. We purchase excess insurance coverage for catastrophic product liability claims for incidents that exceed our self-insured retention levels.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Patents</w:t>
      </w:r>
    </w:p>
    <w:p>
      <w:pPr>
        <w:spacing w:after="0" w:line="4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We hold patents in the United States and foreign countries and apply for patents as applicable. Although management believes our patents have value to us, our patent protection does not deter competitors from attempting to develop similar products. Patent protection is considered to be very beneficial. However, we are not materially dependent on any one or more of our patents.</w:t>
      </w:r>
    </w:p>
    <w:p>
      <w:pPr>
        <w:spacing w:after="0" w:line="1" w:lineRule="exact"/>
        <w:rPr>
          <w:sz w:val="20"/>
          <w:szCs w:val="20"/>
          <w:color w:val="auto"/>
        </w:rPr>
      </w:pPr>
    </w:p>
    <w:p>
      <w:pPr>
        <w:ind w:right="120" w:firstLine="180"/>
        <w:spacing w:after="0" w:line="269" w:lineRule="auto"/>
        <w:rPr>
          <w:sz w:val="20"/>
          <w:szCs w:val="20"/>
          <w:color w:val="auto"/>
        </w:rPr>
      </w:pPr>
      <w:r>
        <w:rPr>
          <w:rFonts w:ascii="Arial" w:cs="Arial" w:eastAsia="Arial" w:hAnsi="Arial"/>
          <w:sz w:val="18"/>
          <w:szCs w:val="18"/>
          <w:color w:val="auto"/>
        </w:rPr>
        <w:t>To prevent possible infringement of our patents by others, we periodically review competitors’ products. To avoid potential liability with respect to others’ patents, we regularly review patents issued by the U.S. Patent and Trademark Office and foreign patent offices as needed. These activities help us minimize risk of patent infringement litigation. We are currently involved in patent litigation cases, both where we are asserting patents and where we are defending against charges of infringement. While the ultimate results of the current cases are unknown at this time, we believe that the outcome of these cases is unlikely to have a material effect on our consolidated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Seasonality</w:t>
      </w:r>
    </w:p>
    <w:p>
      <w:pPr>
        <w:spacing w:after="0" w:line="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Sales of our residential products, which accounted for approximately 33 percent of total consolidated net sales in fiscal 2005, are seasonal, with sales of lawn and garden products occurring primarily between February and May, and sales of snow removal equipment occurring primarily between July and January. Opposite seasons in some global markets somewhat moderate this seasonality of residential product sales. Seasonality of professional product sales also exists, but is tempered because the selling season in the West Coast, Southern states, and our markets in the Southern hemisphere such as Australia, Latin America, and Asia continues for a longer portion of the year than in northern regions of the world.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Overall, worldwide sales levels are historically highest in our fiscal second quarter and retail demand is generally highest in our fiscal third quarter. Historically, accounts receivable balances increase between January and April as a result of higher sales volumes and extended payment terms made available to our customers. Accounts receivable balances decrease between May and December when payments are received. Our financing requirements are subject to variations due to seasonal changes in working capital levels, which typically increase in the first half of our fiscal year and then decrease in the second half of our fiscal year. Seasonal cash requirements of our business are financed from operations and with our bank credit lines. Peak borrowing generally occurs between February and May.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shows total consolidated net sales and net earnings for each quarter as a percentage of the total year.</w:t>
      </w:r>
    </w:p>
    <w:p>
      <w:pPr>
        <w:spacing w:after="0" w:line="206" w:lineRule="exact"/>
        <w:rPr>
          <w:sz w:val="20"/>
          <w:szCs w:val="20"/>
          <w:color w:val="auto"/>
        </w:rPr>
      </w:pPr>
    </w:p>
    <w:tbl>
      <w:tblPr>
        <w:tblLayout w:type="fixed"/>
        <w:tblInd w:w="3260" w:type="dxa"/>
        <w:tblCellMar>
          <w:top w:w="0" w:type="dxa"/>
          <w:left w:w="0" w:type="dxa"/>
          <w:bottom w:w="0" w:type="dxa"/>
          <w:right w:w="0" w:type="dxa"/>
        </w:tblCellMar>
      </w:tblPr>
      <w:tr>
        <w:trPr>
          <w:trHeight w:val="203"/>
        </w:trPr>
        <w:tc>
          <w:tcPr>
            <w:tcW w:w="9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Fiscal 2005</w:t>
            </w: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Fiscal 2004</w:t>
            </w:r>
          </w:p>
        </w:tc>
        <w:tc>
          <w:tcPr>
            <w:tcW w:w="200" w:type="dxa"/>
            <w:vAlign w:val="bottom"/>
          </w:tcPr>
          <w:p>
            <w:pPr>
              <w:spacing w:after="0"/>
              <w:rPr>
                <w:sz w:val="17"/>
                <w:szCs w:val="17"/>
                <w:color w:val="auto"/>
              </w:rPr>
            </w:pPr>
          </w:p>
        </w:tc>
      </w:tr>
      <w:tr>
        <w:trPr>
          <w:trHeight w:val="183"/>
        </w:trPr>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Net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5"/>
                <w:szCs w:val="15"/>
                <w:color w:val="auto"/>
              </w:rPr>
            </w:pP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Net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Net</w:t>
            </w:r>
          </w:p>
        </w:tc>
      </w:tr>
      <w:tr>
        <w:trPr>
          <w:trHeight w:val="189"/>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Quarter</w:t>
            </w:r>
          </w:p>
        </w:tc>
        <w:tc>
          <w:tcPr>
            <w:tcW w:w="11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Sales</w:t>
            </w: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Earnings</w:t>
            </w:r>
          </w:p>
        </w:tc>
        <w:tc>
          <w:tcPr>
            <w:tcW w:w="8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Sales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Earnings</w:t>
            </w:r>
          </w:p>
        </w:tc>
        <w:tc>
          <w:tcPr>
            <w:tcW w:w="200" w:type="dxa"/>
            <w:vAlign w:val="bottom"/>
            <w:tcBorders>
              <w:bottom w:val="single" w:sz="8" w:color="CCEEFF"/>
            </w:tcBorders>
          </w:tcPr>
          <w:p>
            <w:pPr>
              <w:spacing w:after="0"/>
              <w:rPr>
                <w:sz w:val="16"/>
                <w:szCs w:val="16"/>
                <w:color w:val="auto"/>
              </w:rPr>
            </w:pPr>
          </w:p>
        </w:tc>
      </w:tr>
      <w:tr>
        <w:trPr>
          <w:trHeight w:val="183"/>
        </w:trPr>
        <w:tc>
          <w:tcPr>
            <w:tcW w:w="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4"/>
                <w:szCs w:val="14"/>
                <w:b w:val="1"/>
                <w:bCs w:val="1"/>
                <w:color w:val="auto"/>
              </w:rPr>
              <w:t>20%</w:t>
            </w: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4"/>
                <w:szCs w:val="14"/>
                <w:b w:val="1"/>
                <w:bCs w:val="1"/>
                <w:color w:val="auto"/>
              </w:rPr>
              <w:t>10%</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19%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w:t>
            </w:r>
          </w:p>
        </w:tc>
      </w:tr>
      <w:tr>
        <w:trPr>
          <w:trHeight w:val="189"/>
        </w:trPr>
        <w:tc>
          <w:tcPr>
            <w:tcW w:w="9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Second</w:t>
            </w:r>
          </w:p>
        </w:tc>
        <w:tc>
          <w:tcPr>
            <w:tcW w:w="1100" w:type="dxa"/>
            <w:vAlign w:val="bottom"/>
            <w:tcBorders>
              <w:bottom w:val="single" w:sz="8" w:color="CCEEFF"/>
            </w:tcBorders>
            <w:gridSpan w:val="2"/>
          </w:tcPr>
          <w:p>
            <w:pPr>
              <w:ind w:left="660"/>
              <w:spacing w:after="0"/>
              <w:rPr>
                <w:sz w:val="20"/>
                <w:szCs w:val="20"/>
                <w:color w:val="auto"/>
              </w:rPr>
            </w:pPr>
            <w:r>
              <w:rPr>
                <w:rFonts w:ascii="Arial" w:cs="Arial" w:eastAsia="Arial" w:hAnsi="Arial"/>
                <w:sz w:val="14"/>
                <w:szCs w:val="14"/>
                <w:b w:val="1"/>
                <w:bCs w:val="1"/>
                <w:color w:val="auto"/>
              </w:rPr>
              <w:t>35</w:t>
            </w:r>
          </w:p>
        </w:tc>
        <w:tc>
          <w:tcPr>
            <w:tcW w:w="800" w:type="dxa"/>
            <w:vAlign w:val="bottom"/>
            <w:tcBorders>
              <w:bottom w:val="single" w:sz="8" w:color="CCEEFF"/>
            </w:tcBorders>
          </w:tcPr>
          <w:p>
            <w:pPr>
              <w:ind w:left="620"/>
              <w:spacing w:after="0"/>
              <w:rPr>
                <w:sz w:val="20"/>
                <w:szCs w:val="20"/>
                <w:color w:val="auto"/>
              </w:rPr>
            </w:pPr>
            <w:r>
              <w:rPr>
                <w:rFonts w:ascii="Arial" w:cs="Arial" w:eastAsia="Arial" w:hAnsi="Arial"/>
                <w:sz w:val="14"/>
                <w:szCs w:val="14"/>
                <w:b w:val="1"/>
                <w:bCs w:val="1"/>
                <w:color w:val="auto"/>
              </w:rPr>
              <w:t>54</w:t>
            </w:r>
          </w:p>
        </w:tc>
        <w:tc>
          <w:tcPr>
            <w:tcW w:w="2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33</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51</w:t>
            </w:r>
          </w:p>
        </w:tc>
        <w:tc>
          <w:tcPr>
            <w:tcW w:w="200" w:type="dxa"/>
            <w:vAlign w:val="bottom"/>
            <w:tcBorders>
              <w:bottom w:val="single" w:sz="8" w:color="CCEEFF"/>
            </w:tcBorders>
          </w:tcPr>
          <w:p>
            <w:pPr>
              <w:spacing w:after="0"/>
              <w:rPr>
                <w:sz w:val="16"/>
                <w:szCs w:val="16"/>
                <w:color w:val="auto"/>
              </w:rPr>
            </w:pPr>
          </w:p>
        </w:tc>
      </w:tr>
    </w:tbl>
    <w:p>
      <w:pPr>
        <w:sectPr>
          <w:pgSz w:w="11900" w:h="16900" w:orient="portrait"/>
          <w:cols w:equalWidth="0" w:num="1">
            <w:col w:w="11400"/>
          </w:cols>
          <w:pgMar w:left="240" w:top="395" w:right="259" w:bottom="0" w:gutter="0" w:footer="0" w:header="0"/>
        </w:sectPr>
      </w:pPr>
    </w:p>
    <w:bookmarkStart w:id="5" w:name="page6"/>
    <w:bookmarkEnd w:id="5"/>
    <w:p>
      <w:pPr>
        <w:spacing w:after="0" w:line="58" w:lineRule="exact"/>
        <w:rPr>
          <w:sz w:val="20"/>
          <w:szCs w:val="20"/>
          <w:color w:val="auto"/>
        </w:rPr>
      </w:pPr>
    </w:p>
    <w:tbl>
      <w:tblPr>
        <w:tblLayout w:type="fixed"/>
        <w:tblInd w:w="3260" w:type="dxa"/>
        <w:tblCellMar>
          <w:top w:w="0" w:type="dxa"/>
          <w:left w:w="0" w:type="dxa"/>
          <w:bottom w:w="0" w:type="dxa"/>
          <w:right w:w="0" w:type="dxa"/>
        </w:tblCellMar>
      </w:tblPr>
      <w:tr>
        <w:trPr>
          <w:trHeight w:val="189"/>
        </w:trPr>
        <w:tc>
          <w:tcPr>
            <w:tcW w:w="1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Third</w:t>
            </w:r>
          </w:p>
        </w:tc>
        <w:tc>
          <w:tcPr>
            <w:tcW w:w="118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26</w:t>
            </w:r>
          </w:p>
        </w:tc>
        <w:tc>
          <w:tcPr>
            <w:tcW w:w="96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30</w:t>
            </w:r>
          </w:p>
        </w:tc>
        <w:tc>
          <w:tcPr>
            <w:tcW w:w="9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28</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16"/>
                <w:szCs w:val="16"/>
                <w:color w:val="auto"/>
              </w:rPr>
            </w:pPr>
          </w:p>
        </w:tc>
      </w:tr>
      <w:tr>
        <w:trPr>
          <w:trHeight w:val="189"/>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Fourth</w:t>
            </w: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19</w:t>
            </w: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6</w:t>
            </w: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6"/>
                <w:szCs w:val="16"/>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Effects of Weather</w:t>
      </w:r>
    </w:p>
    <w:p>
      <w:pPr>
        <w:spacing w:after="0" w:line="4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From time to time, unusual weather conditions in a particular worldwide region may adversely affect retail sales of our products and result in a negative impact on our future net sales. As the percentage of our net sales from outside the United States continues to increase, our dependency on weather in any one part of the world decreases. Nonetheless, weather conditions could materially affect our future net sales.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Distribution and Marketing</w:t>
      </w:r>
    </w:p>
    <w:p>
      <w:pPr>
        <w:spacing w:after="0" w:line="40"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auto"/>
        </w:rPr>
        <w:t>We market the majority of our products through approximately 50 domestic and 100 foreign distributors, as well as a number of hardware retailers, home centers, and mass retailers in more than 90 countries worldwide.</w:t>
      </w:r>
    </w:p>
    <w:p>
      <w:pPr>
        <w:jc w:val="both"/>
        <w:ind w:right="140" w:firstLine="180"/>
        <w:spacing w:after="0" w:line="281" w:lineRule="auto"/>
        <w:rPr>
          <w:sz w:val="20"/>
          <w:szCs w:val="20"/>
          <w:color w:val="auto"/>
        </w:rPr>
      </w:pPr>
      <w:r>
        <w:rPr>
          <w:rFonts w:ascii="Arial" w:cs="Arial" w:eastAsia="Arial" w:hAnsi="Arial"/>
          <w:sz w:val="17"/>
          <w:szCs w:val="17"/>
          <w:color w:val="auto"/>
        </w:rPr>
        <w:t>Toro and Lawn-Boy residential products, such as walk power mowers, riding products, and snow throwers, are sold to distributors, including Toro-owned distributors, for resale to retail dealers throughout the United States. Walk power mowers, snow throwers, and riding products are also sold directly to dealers and home centers. Home solutions products and retail irrigation products are sold directly to home centers, mass retailers, hardware retailers, and dealers. We also sell selected residential products over the Internet, mainly through Internet retailers.</w:t>
      </w:r>
    </w:p>
    <w:p>
      <w:pPr>
        <w:spacing w:after="0" w:line="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Internationally, residential products are sold direct to retail dealers and mass merchandisers in Australia, Belgium, Canada, and the United Kingdom. In most other countries, products are mainly sold to distributors for resale to dealers and mass merchandisers.</w:t>
      </w:r>
    </w:p>
    <w:p>
      <w:pPr>
        <w:ind w:firstLine="180"/>
        <w:spacing w:after="0" w:line="266" w:lineRule="auto"/>
        <w:rPr>
          <w:sz w:val="20"/>
          <w:szCs w:val="20"/>
          <w:color w:val="auto"/>
        </w:rPr>
      </w:pPr>
      <w:r>
        <w:rPr>
          <w:rFonts w:ascii="Arial" w:cs="Arial" w:eastAsia="Arial" w:hAnsi="Arial"/>
          <w:sz w:val="18"/>
          <w:szCs w:val="18"/>
          <w:color w:val="auto"/>
        </w:rPr>
        <w:t>Worldwide, professional products are sold mainly to distributors for resale to dealers, sports complexes, industrial facilities, contractors, municipalities, rental stores, and/or golf courses. We also sell some professional segment products directly to government customers and rental centers. Selected residential/commercial irrigation products are also sold directly to professional irrigation distributors. Compact utility loaders and attachments are sold directly to dealers and large rental centers.</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As of October 31, 2005, we owned two domestic distribution companies. Our primary purposes in owning domestic distributorships are to develop a best-practices model of distribution that could be replicated by our independent distributors and to facilitate ownership transfers while improving operations. These distribution companies sell professional and residential products directly to retail dealers and customers primarily in the United States and a majority of their revenues are derived from Toro-manufactured products.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distribution systems are intended to assure quality of sales and market presence as well as effective after-purchase service and support.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our distribution network to be a competitive advantage in marketing our products.</w:t>
      </w:r>
    </w:p>
    <w:p>
      <w:pPr>
        <w:spacing w:after="0" w:line="23" w:lineRule="exact"/>
        <w:rPr>
          <w:sz w:val="20"/>
          <w:szCs w:val="20"/>
          <w:color w:val="auto"/>
        </w:rPr>
      </w:pPr>
    </w:p>
    <w:p>
      <w:pPr>
        <w:ind w:right="280" w:firstLine="180"/>
        <w:spacing w:after="0" w:line="297" w:lineRule="auto"/>
        <w:rPr>
          <w:sz w:val="20"/>
          <w:szCs w:val="20"/>
          <w:color w:val="auto"/>
        </w:rPr>
      </w:pPr>
      <w:r>
        <w:rPr>
          <w:rFonts w:ascii="Arial" w:cs="Arial" w:eastAsia="Arial" w:hAnsi="Arial"/>
          <w:sz w:val="18"/>
          <w:szCs w:val="18"/>
          <w:color w:val="auto"/>
        </w:rPr>
        <w:t>Our current marketing strategy is to maintain distinct brands and brand identification for Toro</w:t>
      </w:r>
      <w:r>
        <w:rPr>
          <w:rFonts w:ascii="Arial" w:cs="Arial" w:eastAsia="Arial" w:hAnsi="Arial"/>
          <w:sz w:val="8"/>
          <w:szCs w:val="8"/>
          <w:color w:val="auto"/>
        </w:rPr>
        <w:t>®</w:t>
      </w:r>
      <w:r>
        <w:rPr>
          <w:rFonts w:ascii="Arial" w:cs="Arial" w:eastAsia="Arial" w:hAnsi="Arial"/>
          <w:sz w:val="18"/>
          <w:szCs w:val="18"/>
          <w:color w:val="auto"/>
        </w:rPr>
        <w:t>, Lawn-Boy</w:t>
      </w:r>
      <w:r>
        <w:rPr>
          <w:rFonts w:ascii="Arial" w:cs="Arial" w:eastAsia="Arial" w:hAnsi="Arial"/>
          <w:sz w:val="8"/>
          <w:szCs w:val="8"/>
          <w:color w:val="auto"/>
        </w:rPr>
        <w:t>®</w:t>
      </w:r>
      <w:r>
        <w:rPr>
          <w:rFonts w:ascii="Arial" w:cs="Arial" w:eastAsia="Arial" w:hAnsi="Arial"/>
          <w:sz w:val="18"/>
          <w:szCs w:val="18"/>
          <w:color w:val="auto"/>
        </w:rPr>
        <w:t>, Exmark</w:t>
      </w:r>
      <w:r>
        <w:rPr>
          <w:rFonts w:ascii="Arial" w:cs="Arial" w:eastAsia="Arial" w:hAnsi="Arial"/>
          <w:sz w:val="8"/>
          <w:szCs w:val="8"/>
          <w:color w:val="auto"/>
        </w:rPr>
        <w:t>®</w:t>
      </w:r>
      <w:r>
        <w:rPr>
          <w:rFonts w:ascii="Arial" w:cs="Arial" w:eastAsia="Arial" w:hAnsi="Arial"/>
          <w:sz w:val="18"/>
          <w:szCs w:val="18"/>
          <w:color w:val="auto"/>
        </w:rPr>
        <w:t>, Lawn Genie</w:t>
      </w:r>
      <w:r>
        <w:rPr>
          <w:rFonts w:ascii="Arial" w:cs="Arial" w:eastAsia="Arial" w:hAnsi="Arial"/>
          <w:sz w:val="8"/>
          <w:szCs w:val="8"/>
          <w:color w:val="auto"/>
        </w:rPr>
        <w:t>®</w:t>
      </w:r>
      <w:r>
        <w:rPr>
          <w:rFonts w:ascii="Arial" w:cs="Arial" w:eastAsia="Arial" w:hAnsi="Arial"/>
          <w:sz w:val="18"/>
          <w:szCs w:val="18"/>
          <w:color w:val="auto"/>
        </w:rPr>
        <w:t>, Irritrol</w:t>
      </w:r>
      <w:r>
        <w:rPr>
          <w:rFonts w:ascii="Arial" w:cs="Arial" w:eastAsia="Arial" w:hAnsi="Arial"/>
          <w:sz w:val="8"/>
          <w:szCs w:val="8"/>
          <w:color w:val="auto"/>
        </w:rPr>
        <w:t>®</w:t>
      </w:r>
      <w:r>
        <w:rPr>
          <w:rFonts w:ascii="Arial" w:cs="Arial" w:eastAsia="Arial" w:hAnsi="Arial"/>
          <w:sz w:val="18"/>
          <w:szCs w:val="18"/>
          <w:color w:val="auto"/>
        </w:rPr>
        <w:t>, Hayter</w:t>
      </w:r>
      <w:r>
        <w:rPr>
          <w:rFonts w:ascii="Arial" w:cs="Arial" w:eastAsia="Arial" w:hAnsi="Arial"/>
          <w:sz w:val="8"/>
          <w:szCs w:val="8"/>
          <w:color w:val="auto"/>
        </w:rPr>
        <w:t>®</w:t>
      </w:r>
      <w:r>
        <w:rPr>
          <w:rFonts w:ascii="Arial" w:cs="Arial" w:eastAsia="Arial" w:hAnsi="Arial"/>
          <w:sz w:val="18"/>
          <w:szCs w:val="18"/>
          <w:color w:val="auto"/>
        </w:rPr>
        <w:t>, and Pope</w:t>
      </w:r>
      <w:r>
        <w:rPr>
          <w:rFonts w:ascii="Arial" w:cs="Arial" w:eastAsia="Arial" w:hAnsi="Arial"/>
          <w:sz w:val="8"/>
          <w:szCs w:val="8"/>
          <w:color w:val="auto"/>
        </w:rPr>
        <w:t>®</w:t>
      </w:r>
      <w:r>
        <w:rPr>
          <w:rFonts w:ascii="Arial" w:cs="Arial" w:eastAsia="Arial" w:hAnsi="Arial"/>
          <w:sz w:val="18"/>
          <w:szCs w:val="18"/>
          <w:color w:val="auto"/>
        </w:rPr>
        <w:t xml:space="preserve"> products.</w:t>
      </w:r>
    </w:p>
    <w:p>
      <w:pPr>
        <w:spacing w:after="0" w:line="1" w:lineRule="exact"/>
        <w:rPr>
          <w:sz w:val="20"/>
          <w:szCs w:val="20"/>
          <w:color w:val="auto"/>
        </w:rPr>
      </w:pPr>
    </w:p>
    <w:p>
      <w:pPr>
        <w:ind w:right="220" w:firstLine="180"/>
        <w:spacing w:after="0" w:line="270" w:lineRule="auto"/>
        <w:rPr>
          <w:sz w:val="20"/>
          <w:szCs w:val="20"/>
          <w:color w:val="auto"/>
        </w:rPr>
      </w:pPr>
      <w:r>
        <w:rPr>
          <w:rFonts w:ascii="Arial" w:cs="Arial" w:eastAsia="Arial" w:hAnsi="Arial"/>
          <w:sz w:val="18"/>
          <w:szCs w:val="18"/>
          <w:color w:val="auto"/>
        </w:rPr>
        <w:t>We advertise our residential products during appropriate seasons throughout the year on television, radio, in print, and via the Internet. Professional products are advertised in print and through direct mail programs as well as on the Internet. Most of our advertising emphasizes our brand names. Advertising is purchased directly by the company as well as through cooperative programs with distributors, dealers, hardware retailers, home centers, and mass retailers.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Customers</w:t>
      </w:r>
    </w:p>
    <w:p>
      <w:pPr>
        <w:spacing w:after="0" w:line="40"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Overall, management believes that in the long-term we are not dependent on a single customer. However, The Home Depot accounted for greater than 10 percent of our total consolidated net sales in fiscal 2005, 2004, and 2003. The residential segment is generally dependent on The Home Depot as a customer. While the loss of any substantial customer could have a material short-term impact on our business, we believe that our diverse distribution channels and customer base should reduce the long-term impact of any such loss.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Backlog of Orders</w:t>
      </w:r>
    </w:p>
    <w:p>
      <w:pPr>
        <w:spacing w:after="0" w:line="40"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color w:val="auto"/>
        </w:rPr>
        <w:t>The approximate backlog of orders believed to be firm as of October 31, 2005 and 2004 was $119.1 million and $156.3 million, respectively. This 24 percent decrease is due mainly to lower backlog of international orders as of October 31, 2005 due to a shorter required order lead time for residential products as a result of a new online ordering system implemented for international customers. We expect the existing backlog of orders will be filled in early fiscal 2006.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Competition</w:t>
      </w:r>
    </w:p>
    <w:p>
      <w:pPr>
        <w:spacing w:after="0" w:line="4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Our products are sold in highly competitive markets throughout the world. The principal competitive factors in our markets are pricing, product innovation, quality and reliability, product support and customer service, warranty, reputation, distribution, shelf space, and financing options. Pricing has become an increasingly important competitive factor for a majority of our products. Management believes we offer total solutions and full service packages with high quality products that have the latest technology and design innovations. Also, by selling our products through a network of distributors, dealers, hardware retailers, home centers, and mass retailers, we offer comprehensive service support during and after the warranty period. We compete in many product lines with numerous manufacturers, many of who have substantially greater financial resources than we do. Management believes that we have a competitive advantage because we manufacture a broad range of product lines, we focus on lean manufacturing methods, and we have a strong focus in maintaining landscapes. In addition, management believes Toro’s commitment to product innovation, customer service, and distribution channels positions us well to compete in various markets.</w:t>
      </w:r>
    </w:p>
    <w:p>
      <w:pPr>
        <w:spacing w:after="0" w:line="2" w:lineRule="exact"/>
        <w:rPr>
          <w:sz w:val="20"/>
          <w:szCs w:val="20"/>
          <w:color w:val="auto"/>
        </w:rPr>
      </w:pPr>
    </w:p>
    <w:p>
      <w:pPr>
        <w:ind w:right="40" w:firstLine="180"/>
        <w:spacing w:after="0" w:line="270" w:lineRule="auto"/>
        <w:rPr>
          <w:sz w:val="20"/>
          <w:szCs w:val="20"/>
          <w:color w:val="auto"/>
        </w:rPr>
      </w:pPr>
      <w:r>
        <w:rPr>
          <w:rFonts w:ascii="Arial" w:cs="Arial" w:eastAsia="Arial" w:hAnsi="Arial"/>
          <w:sz w:val="18"/>
          <w:szCs w:val="18"/>
          <w:color w:val="auto"/>
        </w:rPr>
        <w:t>Internationally, residential segment products can face more competition where foreign competitors manufacture and market products in their respective countries. We experience this competition primarily in Europe and Asia. In addition, fluctuations in the value of the U.S. dollar may affect the price of our products in foreign markets, thereby impacting their competitiveness. We provide pricing support to foreign customers, as needed, to remain competitive in international markets.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Environmental Matters and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Other Governmental Regulation</w:t>
      </w:r>
    </w:p>
    <w:p>
      <w:pPr>
        <w:spacing w:after="0" w:line="16"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We are subject to a wide variety of federal, state, and international environmental laws, rules, and regulations. These laws, rules, and regulations may affect the way we conduct our operations, and failure to comply with these regulations could lead to fines and other penalties. We are also involved in the evaluation and clean-up of a limited number of properties currently and previously owned. Management does not expect that these matters will have a material adverse effect on our consolidated financial position or results of operations.</w:t>
      </w:r>
    </w:p>
    <w:p>
      <w:pPr>
        <w:sectPr>
          <w:pgSz w:w="11900" w:h="16896" w:orient="portrait"/>
          <w:cols w:equalWidth="0" w:num="1">
            <w:col w:w="11420"/>
          </w:cols>
          <w:pgMar w:left="240" w:top="140" w:right="239" w:bottom="0" w:gutter="0" w:footer="0" w:header="0"/>
        </w:sectPr>
      </w:pPr>
    </w:p>
    <w:bookmarkStart w:id="6" w:name="page7"/>
    <w:bookmarkEnd w:id="6"/>
    <w:p>
      <w:pPr>
        <w:ind w:right="140" w:firstLine="180"/>
        <w:spacing w:after="0" w:line="266" w:lineRule="auto"/>
        <w:rPr>
          <w:sz w:val="20"/>
          <w:szCs w:val="20"/>
          <w:color w:val="auto"/>
        </w:rPr>
      </w:pPr>
      <w:r>
        <w:rPr>
          <w:rFonts w:ascii="Arial" w:cs="Arial" w:eastAsia="Arial" w:hAnsi="Arial"/>
          <w:sz w:val="18"/>
          <w:szCs w:val="18"/>
          <w:color w:val="auto"/>
        </w:rPr>
        <w:t>The European Union (EU) adopted the following environmental directives: Waste Electrical and Electronic Equipment (WEEE) and Restriction on the use of Hazardous Substances (RoHS). Both directives are being transposed into legislation of the 25 EU member states. The WEEE directive mandates labeling, collection, and treatment of electrical and electronic equipment. Currently, we are in compliance with the labeling requirements of the WEEE directive, and are actively working with our European distributors to ensure compliance with the collection and recycling requirements. The RoHS directive bans the sale of electrical and electronic equipment containing certain hazardous substances, such as lead, mercury, chromium, cadmium, and brominated-flame retardants. We are working with our suppliers, engineers, and operations functions to ensure we will be in compliance with the RoHS directive by the July 1, 2006 effective date.</w:t>
      </w:r>
    </w:p>
    <w:p>
      <w:pPr>
        <w:spacing w:after="0" w:line="1" w:lineRule="exact"/>
        <w:rPr>
          <w:sz w:val="20"/>
          <w:szCs w:val="20"/>
          <w:color w:val="auto"/>
        </w:rPr>
      </w:pPr>
    </w:p>
    <w:p>
      <w:pPr>
        <w:ind w:right="260" w:firstLine="180"/>
        <w:spacing w:after="0" w:line="270" w:lineRule="auto"/>
        <w:rPr>
          <w:sz w:val="20"/>
          <w:szCs w:val="20"/>
          <w:color w:val="auto"/>
        </w:rPr>
      </w:pPr>
      <w:r>
        <w:rPr>
          <w:rFonts w:ascii="Arial" w:cs="Arial" w:eastAsia="Arial" w:hAnsi="Arial"/>
          <w:sz w:val="18"/>
          <w:szCs w:val="18"/>
          <w:color w:val="auto"/>
        </w:rPr>
        <w:t>Our residential products are subject to various United States statutes designed to protect consumers and are subject to the administrative jurisdiction of the Consumer Product Safety Commission. We are also subject to international, federal and state environmental, occupational safety, transportation, and other regulations, none of which has had a material adverse effect on our operations or business. Management believes we are in substantial compliance with all such regulations.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Customer Financing</w:t>
      </w:r>
    </w:p>
    <w:p>
      <w:pPr>
        <w:spacing w:after="0" w:line="31"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color w:val="4673B6"/>
        </w:rPr>
        <w:t xml:space="preserve">Wholesale Financing – </w:t>
      </w:r>
      <w:r>
        <w:rPr>
          <w:rFonts w:ascii="Arial" w:cs="Arial" w:eastAsia="Arial" w:hAnsi="Arial"/>
          <w:sz w:val="18"/>
          <w:szCs w:val="18"/>
          <w:color w:val="000000"/>
        </w:rPr>
        <w:t>Toro Credit Company, our wholly owned finance subsidiary, provides financing for select products we manufacture for</w:t>
      </w:r>
      <w:r>
        <w:rPr>
          <w:rFonts w:ascii="Arial" w:cs="Arial" w:eastAsia="Arial" w:hAnsi="Arial"/>
          <w:sz w:val="18"/>
          <w:szCs w:val="18"/>
          <w:b w:val="1"/>
          <w:bCs w:val="1"/>
          <w:color w:val="4673B6"/>
        </w:rPr>
        <w:t xml:space="preserve"> </w:t>
      </w:r>
      <w:r>
        <w:rPr>
          <w:rFonts w:ascii="Arial" w:cs="Arial" w:eastAsia="Arial" w:hAnsi="Arial"/>
          <w:sz w:val="18"/>
          <w:szCs w:val="18"/>
          <w:color w:val="000000"/>
        </w:rPr>
        <w:t>North American Toro distributors and approximately 200 selected U.S. dealers. Toro Credit Company purchases select receivables from us and our distributors for extended periods that assists the distributors and dealers to carry representative inventories of equipment. Down payments are not required and, depending on the finance program for each product line, finance charges are incurred by us, shared between us and the distributor and/or the dealer, or paid by the distributor or dealer. A security interest is retained in the distributors’ and dealers’ inventories, and periodic physical checks are made of those inventories. Generally, terms to the distributors and dealers require payment as the equipment, which secures the indebtedness, is sold to customers, or when payment terms become due, whichever occurs first. Rates are generally fixed or based on prime rate plus a fixed percentage that differs based on whether the financing is for a distributor or dealer. Rates may also vary based on the product that is financed.</w:t>
      </w:r>
    </w:p>
    <w:p>
      <w:pPr>
        <w:spacing w:after="0" w:line="3" w:lineRule="exact"/>
        <w:rPr>
          <w:sz w:val="20"/>
          <w:szCs w:val="20"/>
          <w:color w:val="auto"/>
        </w:rPr>
      </w:pPr>
    </w:p>
    <w:p>
      <w:pPr>
        <w:ind w:right="360" w:firstLine="180"/>
        <w:spacing w:after="0" w:line="295" w:lineRule="auto"/>
        <w:rPr>
          <w:sz w:val="20"/>
          <w:szCs w:val="20"/>
          <w:color w:val="auto"/>
        </w:rPr>
      </w:pPr>
      <w:r>
        <w:rPr>
          <w:rFonts w:ascii="Arial" w:cs="Arial" w:eastAsia="Arial" w:hAnsi="Arial"/>
          <w:sz w:val="17"/>
          <w:szCs w:val="17"/>
          <w:color w:val="auto"/>
        </w:rPr>
        <w:t>Independent Toro dealers that do not finance through Toro Credit Company finance their inventories with third party sources. The finance charges represent interest for a pre-established length of time based on a predefined rate by a contract with third party financing sources. Exmark and some international products sold through dealers are financed primarily with third party financing sources or by the distributor.</w:t>
      </w:r>
    </w:p>
    <w:p>
      <w:pPr>
        <w:spacing w:after="0" w:line="4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color w:val="4673B6"/>
        </w:rPr>
        <w:t xml:space="preserve">End-User Financing – </w:t>
      </w:r>
      <w:r>
        <w:rPr>
          <w:rFonts w:ascii="Arial" w:cs="Arial" w:eastAsia="Arial" w:hAnsi="Arial"/>
          <w:sz w:val="18"/>
          <w:szCs w:val="18"/>
          <w:color w:val="000000"/>
        </w:rPr>
        <w:t>We have agreements with a third party financing company to provide lease-financing options to golf course and sports</w:t>
      </w:r>
      <w:r>
        <w:rPr>
          <w:rFonts w:ascii="Arial" w:cs="Arial" w:eastAsia="Arial" w:hAnsi="Arial"/>
          <w:sz w:val="18"/>
          <w:szCs w:val="18"/>
          <w:b w:val="1"/>
          <w:bCs w:val="1"/>
          <w:color w:val="4673B6"/>
        </w:rPr>
        <w:t xml:space="preserve"> </w:t>
      </w:r>
      <w:r>
        <w:rPr>
          <w:rFonts w:ascii="Arial" w:cs="Arial" w:eastAsia="Arial" w:hAnsi="Arial"/>
          <w:sz w:val="18"/>
          <w:szCs w:val="18"/>
          <w:color w:val="000000"/>
        </w:rPr>
        <w:t>fields and grounds equipment customers and agricultural irrigation customers in North America and Europe. The purpose of these agreements is to increase sales by giving buyers of our products alternative financing options when purchasing our products.</w:t>
      </w:r>
    </w:p>
    <w:p>
      <w:pPr>
        <w:ind w:firstLine="180"/>
        <w:spacing w:after="0" w:line="262" w:lineRule="auto"/>
        <w:rPr>
          <w:sz w:val="20"/>
          <w:szCs w:val="20"/>
          <w:color w:val="auto"/>
        </w:rPr>
      </w:pPr>
      <w:r>
        <w:rPr>
          <w:rFonts w:ascii="Arial" w:cs="Arial" w:eastAsia="Arial" w:hAnsi="Arial"/>
          <w:sz w:val="18"/>
          <w:szCs w:val="18"/>
          <w:color w:val="auto"/>
        </w:rPr>
        <w:t>We also have a multi-year agreement with a third party financing company to provide financing programs under a private label program in the U.S. This program, offered primarily to Toro and Exmark</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dealers, provides end-user customers a revolving line of credit for Toro and Exmark products, parts, and services.</w:t>
      </w:r>
    </w:p>
    <w:p>
      <w:pPr>
        <w:spacing w:after="0" w:line="9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4673B6"/>
        </w:rPr>
        <w:t xml:space="preserve">Distributor Financing – </w:t>
      </w:r>
      <w:r>
        <w:rPr>
          <w:rFonts w:ascii="Arial" w:cs="Arial" w:eastAsia="Arial" w:hAnsi="Arial"/>
          <w:sz w:val="18"/>
          <w:szCs w:val="18"/>
          <w:color w:val="000000"/>
        </w:rPr>
        <w:t>We enter into long-term loan agreements with some distributors. These transactions are used for expansion of the</w:t>
      </w:r>
      <w:r>
        <w:rPr>
          <w:rFonts w:ascii="Arial" w:cs="Arial" w:eastAsia="Arial" w:hAnsi="Arial"/>
          <w:sz w:val="18"/>
          <w:szCs w:val="18"/>
          <w:b w:val="1"/>
          <w:bCs w:val="1"/>
          <w:color w:val="4673B6"/>
        </w:rPr>
        <w:t xml:space="preserve"> </w:t>
      </w:r>
      <w:r>
        <w:rPr>
          <w:rFonts w:ascii="Arial" w:cs="Arial" w:eastAsia="Arial" w:hAnsi="Arial"/>
          <w:sz w:val="18"/>
          <w:szCs w:val="18"/>
          <w:color w:val="000000"/>
        </w:rPr>
        <w:t>distributors’ businesses, acquisitions, refinancing working capital agreements, or ownership changes.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Employees</w:t>
      </w:r>
    </w:p>
    <w:p>
      <w:pPr>
        <w:spacing w:after="0" w:line="2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fiscal 2005, we employed an average of 5,185 employees. The total number of employees as of October 31, 2005 was 5,124. Three collective bargaining agreements cover approximately 13 percent of these employees, each expiring in one of the following periods: May 2006, October 2006, and October 2008. From time to time, we also retain consultants, independent contractors, and temporary and part-time workers.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Available Information</w:t>
      </w:r>
    </w:p>
    <w:p>
      <w:pPr>
        <w:spacing w:after="0" w:line="2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are a reporting company under the Securities Exchange Act of 1934, as amended, and file reports, proxy statements, and other information with the Securities and Exchange Commission (SEC). Copies of these reports, proxy statements, and other information can be inspected and copied at the SEC’s Public Reference Room at 100 F Street N.E., Room 1580, Washington, D.C. 20549. You may obtain information on the operation of the Public Reference Room by calling the SEC at 1-800-SEC-0330. Because we make filings to the SEC electronically, you may also access this information from the SEC’s home page on the Internet at http://www.sec.gov.</w:t>
      </w:r>
    </w:p>
    <w:p>
      <w:pPr>
        <w:spacing w:after="0" w:line="2" w:lineRule="exact"/>
        <w:rPr>
          <w:sz w:val="20"/>
          <w:szCs w:val="20"/>
          <w:color w:val="auto"/>
        </w:rPr>
      </w:pPr>
    </w:p>
    <w:p>
      <w:pPr>
        <w:ind w:right="40" w:firstLine="180"/>
        <w:spacing w:after="0" w:line="251" w:lineRule="auto"/>
        <w:rPr>
          <w:sz w:val="20"/>
          <w:szCs w:val="20"/>
          <w:color w:val="auto"/>
        </w:rPr>
      </w:pPr>
      <w:r>
        <w:rPr>
          <w:rFonts w:ascii="Arial" w:cs="Arial" w:eastAsia="Arial" w:hAnsi="Arial"/>
          <w:sz w:val="18"/>
          <w:szCs w:val="18"/>
          <w:color w:val="auto"/>
        </w:rPr>
        <w:t>We make available, free of charge on our Internet web site www.thetorocompany.com,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We also make available, free of charge on our Internet web site www.thetorocompany.com and in print to any stockholder who requests, our corporate governance guidelines, the charters of our board committees, and our Code of Ethics for the CEO and Senior Financial Officers and Code of Conduct for all employees. Requests for copies can be directed to Investor Relations, telephone: 952-887-7141. The information contained on our web site or connected to our web site is not incorporated by reference into this Annual Report on Form 10-K and should not be considered part of this report. We have furnished to the SEC the required certifications under Section 302 of the Sarbanes-Oxley Act of 2002 regarding the quality of our public disclosures as Exhibits 31(a) and 31(b) to this report. We have filed with the New York Stock Exchange (NYSE) the CEO certification regarding our compliance with the NYSE’s corporate governance listing standards as required by NYSE Rule 3030A.12(a) on April 13, 2005.</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Forward-Looking Statements</w:t>
      </w:r>
    </w:p>
    <w:p>
      <w:pPr>
        <w:spacing w:after="0" w:line="2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This Annual Report on Form 10-K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Internet web sites or otherwise. Statements that are not historical are forward-looking and reflect expectations and assumptions. We try to identify forward-looking statements in this report and elsewhere by using words such as “expect”, “looking ahead”, “anticipate”, “plan”, “estimate”, “believe”, “should”, “may”, “intend”, and similar expressions. Our forward-looking statements generally relate to our future performance, including our anticipated</w:t>
      </w:r>
    </w:p>
    <w:p>
      <w:pPr>
        <w:sectPr>
          <w:pgSz w:w="11900" w:h="16838" w:orient="portrait"/>
          <w:cols w:equalWidth="0" w:num="1">
            <w:col w:w="11420"/>
          </w:cols>
          <w:pgMar w:left="240" w:top="152" w:right="239" w:bottom="0" w:gutter="0" w:footer="0" w:header="0"/>
        </w:sectPr>
      </w:pPr>
    </w:p>
    <w:bookmarkStart w:id="7" w:name="page8"/>
    <w:bookmarkEnd w:id="7"/>
    <w:p>
      <w:pPr>
        <w:spacing w:after="0" w:line="53"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operating results and liquidity requirements, our business strategies and goals, and the effect of laws, rules, regulations, and new accounting pronouncements and outstanding litigation on our business, operating results, and financial condition.</w:t>
      </w:r>
    </w:p>
    <w:p>
      <w:pPr>
        <w:ind w:firstLine="180"/>
        <w:spacing w:after="0" w:line="250" w:lineRule="auto"/>
        <w:rPr>
          <w:sz w:val="20"/>
          <w:szCs w:val="20"/>
          <w:color w:val="auto"/>
        </w:rPr>
      </w:pPr>
      <w:r>
        <w:rPr>
          <w:rFonts w:ascii="Arial" w:cs="Arial" w:eastAsia="Arial" w:hAnsi="Arial"/>
          <w:sz w:val="18"/>
          <w:szCs w:val="18"/>
          <w:color w:val="auto"/>
        </w:rPr>
        <w:t>Forward-looking statements involve risks and uncertainties. These risks and uncertainties include factors that affect all businesses operating in a global market as well as matters specific to Toro. The most significant factors known to Toro that may adversely affect Toro’s business, operations, industry, financial position or future financial performance are described later in this report under the heading entitled “Item 1A. Risk Factors.”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under the heading entitled “Item 1A. Risk Factors,” as well as others that we may consider immaterial or do not anticipate at this time. The risks and uncertainties described in this report, including those under the heading entitled “Item 1A. Risk Factors,” are not exclusive and further information concerning our company and our businesses, including factors that potentially could materially affect our financial results or condition, may emerge from time to time.</w:t>
      </w:r>
    </w:p>
    <w:p>
      <w:pPr>
        <w:spacing w:after="0" w:line="5" w:lineRule="exact"/>
        <w:rPr>
          <w:sz w:val="20"/>
          <w:szCs w:val="20"/>
          <w:color w:val="auto"/>
        </w:rPr>
      </w:pPr>
    </w:p>
    <w:p>
      <w:pPr>
        <w:ind w:right="20" w:firstLine="180"/>
        <w:spacing w:after="0" w:line="256" w:lineRule="auto"/>
        <w:rPr>
          <w:sz w:val="20"/>
          <w:szCs w:val="20"/>
          <w:color w:val="auto"/>
        </w:rPr>
      </w:pPr>
      <w:r>
        <w:rPr>
          <w:rFonts w:ascii="Arial" w:cs="Arial" w:eastAsia="Arial" w:hAnsi="Arial"/>
          <w:sz w:val="18"/>
          <w:szCs w:val="18"/>
          <w:color w:val="auto"/>
        </w:rPr>
        <w:t>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we file with or furnish to the Securities and Exchange Commission.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1A. RISK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significant factors known to us that could materially adversely affect our business, financial condition, or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Risks Relating to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673B6"/>
        </w:rPr>
        <w:t>Weather conditions may reduce demand for some of our products and adversely affect our net sales.</w:t>
      </w:r>
    </w:p>
    <w:p>
      <w:pPr>
        <w:spacing w:after="0" w:line="14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From time to time, weather conditions in a particular region or market may adversely affect sales of some of our products and field inventory levels. For example, in the past, drought conditions have had an adverse effect on sales of certain mowing equipment products, unusually rainy weather has had an adverse effect on sales of our irrigation products, and lower snowfall accumulations have had an adverse effect on sales of our snow thrower products.</w:t>
      </w:r>
    </w:p>
    <w:p>
      <w:pPr>
        <w:spacing w:after="0" w:line="163" w:lineRule="exact"/>
        <w:rPr>
          <w:sz w:val="20"/>
          <w:szCs w:val="20"/>
          <w:color w:val="auto"/>
        </w:rPr>
      </w:pPr>
    </w:p>
    <w:p>
      <w:pPr>
        <w:spacing w:after="0" w:line="272" w:lineRule="auto"/>
        <w:rPr>
          <w:sz w:val="20"/>
          <w:szCs w:val="20"/>
          <w:color w:val="auto"/>
        </w:rPr>
      </w:pPr>
      <w:r>
        <w:rPr>
          <w:rFonts w:ascii="Arial" w:cs="Arial" w:eastAsia="Arial" w:hAnsi="Arial"/>
          <w:sz w:val="20"/>
          <w:szCs w:val="20"/>
          <w:b w:val="1"/>
          <w:bCs w:val="1"/>
          <w:i w:val="1"/>
          <w:iCs w:val="1"/>
          <w:color w:val="4673B6"/>
        </w:rPr>
        <w:t>Increases in the cost and availability of raw materials and components that we purchase and increases in our other costs of doing business, such as transportation costs, may adversely affect our profit margins and business.</w:t>
      </w:r>
    </w:p>
    <w:p>
      <w:pPr>
        <w:spacing w:after="0" w:line="8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purchase raw materials, such as steel, fuel, petroleum-based resins, and other commodities, and components, such as engines, transmissions, transaxles, hydraulics and electric motors, for use in our products. Increases in the cost of such raw materials and components may adversely affect our profit margins if we are unable to pass along any cost increases in the form of price increases or otherwise reduce our cost of goods sold. In the past, we have implemented lean manufacturing, other productivity improvement initiatives, and price increases on some of our products in an attempt to offset a portion of increased raw material and component costs. However, we cannot commit that we will be able to continue to do so in the future. Although most of the raw materials and components of our products are commercially available from a number of sources and in adequate supply, any disruption in the availability of such raw materials and components or any deterioration in our relationships with our suppliers could adversely affect our business. Increases in our other costs of doing business may also adversely affect our profit margins and business. For example, an increase in fuel costs may also result in an increase in our transportation costs, which also could adversely affect our operating results and business.</w:t>
      </w:r>
    </w:p>
    <w:p>
      <w:pPr>
        <w:spacing w:after="0" w:line="169" w:lineRule="exact"/>
        <w:rPr>
          <w:sz w:val="20"/>
          <w:szCs w:val="20"/>
          <w:color w:val="auto"/>
        </w:rPr>
      </w:pPr>
    </w:p>
    <w:p>
      <w:pPr>
        <w:jc w:val="both"/>
        <w:ind w:right="1020"/>
        <w:spacing w:after="0" w:line="275" w:lineRule="auto"/>
        <w:rPr>
          <w:sz w:val="20"/>
          <w:szCs w:val="20"/>
          <w:color w:val="auto"/>
        </w:rPr>
      </w:pPr>
      <w:r>
        <w:rPr>
          <w:rFonts w:ascii="Arial" w:cs="Arial" w:eastAsia="Arial" w:hAnsi="Arial"/>
          <w:sz w:val="19"/>
          <w:szCs w:val="19"/>
          <w:b w:val="1"/>
          <w:bCs w:val="1"/>
          <w:i w:val="1"/>
          <w:iCs w:val="1"/>
          <w:color w:val="4673B6"/>
        </w:rPr>
        <w:t>Our professional segment net sales are dependent upon the level of growth in the residential and commercial construction markets, growth of homeowners’ outsourcing lawn care, the amount of investment in golf course renovations and improvements, new golf course development, and the amount of government spending.</w:t>
      </w:r>
    </w:p>
    <w:p>
      <w:pPr>
        <w:spacing w:after="0" w:line="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professional segment products are sold by distributors, dealers, or directly to professional users engaged in maintaining and creating landscapes, such as golf courses, sports fields, municipal properties, and residential and commercial landscapes. Our professional segment net sales, therefore, are dependent upon the level of growth in residential and commercial construction markets, growth of homeowners’ outsourcing lawn care, the amount of investment in golf course renovations and improvements, new golf course construction, and the amount of government spending. Reduced tax revenue, increased expenses, and tighter government budgets generally result in reduced government spending for grounds maintenance equipment. In addition, a slow rate of growth in golf rounds played that impacts revenue for golf courses could adversely affect our sales of golf course equipment and irrigation products.</w:t>
      </w:r>
    </w:p>
    <w:p>
      <w:pPr>
        <w:spacing w:after="0" w:line="165" w:lineRule="exact"/>
        <w:rPr>
          <w:sz w:val="20"/>
          <w:szCs w:val="20"/>
          <w:color w:val="auto"/>
        </w:rPr>
      </w:pPr>
    </w:p>
    <w:p>
      <w:pPr>
        <w:ind w:right="720"/>
        <w:spacing w:after="0" w:line="272" w:lineRule="auto"/>
        <w:rPr>
          <w:sz w:val="20"/>
          <w:szCs w:val="20"/>
          <w:color w:val="auto"/>
        </w:rPr>
      </w:pPr>
      <w:r>
        <w:rPr>
          <w:rFonts w:ascii="Arial" w:cs="Arial" w:eastAsia="Arial" w:hAnsi="Arial"/>
          <w:sz w:val="20"/>
          <w:szCs w:val="20"/>
          <w:b w:val="1"/>
          <w:bCs w:val="1"/>
          <w:i w:val="1"/>
          <w:iCs w:val="1"/>
          <w:color w:val="4673B6"/>
        </w:rPr>
        <w:t>Our residential segment net sales are dependent upon the amount of shelf space retailers assign to our products, changing buying patterns of customers, and The Home Depot, Inc. as a major customer.</w:t>
      </w:r>
    </w:p>
    <w:p>
      <w:pPr>
        <w:spacing w:after="0" w:line="86"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The elimination or reduction of shelf space assigned to our products by retailers could adversely affect our residential segment net sales. Our residential segment net sales are also dependent upon changing buying patterns of customers. For example, in the last decade, there has been a trend away from purchases at dealer outlets and hardware retailers to price and value sensitive purchases at home centers and mass retailers. This trend has resulted in a demand for residential products purchased at retailers with lower price points, such as The Home Depot, which accounted for a greater percentage of our net sales in the past few fiscal years compared to our net sales during and prior to the 1990’s. The Home Depot accounted for greater than 10 percent of our total consolidated net sales in fiscal 2005, 2004, and 2003. While we believe that our diverse distribution channels and customer base should reduce the impact of the loss of The Home Depot or any other substantial customer, the loss of The Home Depot as a customer or any other substantial customer or a significant reduction in sales to The Home Depot or other customers, nonetheless, could have a material impact on our business and operating results. Changing buying patterns of customers also could result in reduced sales of one or more of our residential segment products resulting in increased inventory levels. Although our residential spring and summer products are generally manufactured throughout the year, our residential fall and winter products are generally manufactured in the summer and fall months. Our production levels and inventory management goals are based on estimates</w:t>
      </w:r>
    </w:p>
    <w:p>
      <w:pPr>
        <w:sectPr>
          <w:pgSz w:w="11900" w:h="16891" w:orient="portrait"/>
          <w:cols w:equalWidth="0" w:num="1">
            <w:col w:w="11400"/>
          </w:cols>
          <w:pgMar w:left="240" w:top="140" w:right="25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of demand for our products, taking into account production capacity, timing of shipments, and field inventory levels. If we overestimate or underestimate demand during a given season, we may have excess or insufficient inventories.</w:t>
      </w:r>
    </w:p>
    <w:p>
      <w:pPr>
        <w:spacing w:after="0" w:line="157"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b w:val="1"/>
          <w:bCs w:val="1"/>
          <w:i w:val="1"/>
          <w:iCs w:val="1"/>
          <w:color w:val="4673B6"/>
        </w:rPr>
        <w:t>A significant percentage of our consolidated net sales is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1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manufacture our products in the United States, Mexico, Australia, the United Kingdom, and Italy for sale throughout the world and maintain sales offices in the United States, Canada, Belgium, the United Kingdom, France, Australia, Singapore, Japan, China, and Italy. Our net sales outside the United States were 24.8 percent, 20.7 percent, and 19.3 percent of our total consolidated net sales for fiscal 2005, 2004, and 2003, respectively. One of our strategic objectives is to continue to expand our international business. For example, in February 2005, we completed the acquisition of certain assets and assumed certain liabilities of Hayter Limited, a company located in the United Kingdom that designs, manufactures, and markets residential and professional turf maintenance equipment, primarily for the United Kingdom market. The expansion of our existing international operations and entry into additional international markets requires significant management attention and financial resources. Many of the countries in which we sell our products or otherwise have an international presence are, to some degree, subject to political, economic, and/or social instability. Our international operations expose us and our representatives, agents, and distributors to risks inherent in operating in foreign jurisdictions. These risks include:</w:t>
      </w:r>
    </w:p>
    <w:p>
      <w:pPr>
        <w:spacing w:after="0" w:line="19" w:lineRule="exact"/>
        <w:rPr>
          <w:sz w:val="20"/>
          <w:szCs w:val="20"/>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increased infrastructure costs including legal, tax, accounting, and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information technology;</w:t>
      </w:r>
    </w:p>
    <w:p>
      <w:pPr>
        <w:spacing w:after="0" w:line="23"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w:t>
      </w:r>
    </w:p>
    <w:p>
      <w:pPr>
        <w:spacing w:after="0" w:line="63" w:lineRule="exact"/>
        <w:rPr>
          <w:sz w:val="20"/>
          <w:szCs w:val="20"/>
          <w:color w:val="auto"/>
        </w:rPr>
      </w:pPr>
    </w:p>
    <w:p>
      <w:pPr>
        <w:ind w:left="180" w:right="500"/>
        <w:spacing w:after="0" w:line="258" w:lineRule="auto"/>
        <w:rPr>
          <w:sz w:val="20"/>
          <w:szCs w:val="20"/>
          <w:color w:val="auto"/>
        </w:rPr>
      </w:pPr>
      <w:r>
        <w:rPr>
          <w:rFonts w:ascii="Arial" w:cs="Arial" w:eastAsia="Arial" w:hAnsi="Arial"/>
          <w:sz w:val="18"/>
          <w:szCs w:val="18"/>
          <w:color w:val="auto"/>
        </w:rPr>
        <w:t>foreign agents, representatives, and distributors; and the imposition of costly and lengthy export licensing requirements and changes in duties and tariffs, license obligations, and other non-tariff barriers to trade;</w:t>
      </w:r>
    </w:p>
    <w:p>
      <w:pPr>
        <w:spacing w:after="0" w:line="1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imposition of U.S. and/or international sanctions against a country, company, person, or entity with whom the company does business that</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would restrict or prohibit continued business with the sanctioned country, company, person, or entity;</w:t>
      </w:r>
    </w:p>
    <w:p>
      <w:pPr>
        <w:spacing w:after="0" w:line="23"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pricing pressures;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w:t>
      </w:r>
    </w:p>
    <w:p>
      <w:pPr>
        <w:spacing w:after="0" w:line="63" w:lineRule="exact"/>
        <w:rPr>
          <w:sz w:val="20"/>
          <w:szCs w:val="20"/>
          <w:color w:val="auto"/>
        </w:rPr>
      </w:pPr>
    </w:p>
    <w:p>
      <w:pPr>
        <w:ind w:right="260" w:firstLine="180"/>
        <w:spacing w:after="0" w:line="277" w:lineRule="auto"/>
        <w:rPr>
          <w:sz w:val="20"/>
          <w:szCs w:val="20"/>
          <w:color w:val="auto"/>
        </w:rPr>
      </w:pPr>
      <w:r>
        <w:rPr>
          <w:rFonts w:ascii="Arial" w:cs="Arial" w:eastAsia="Arial" w:hAnsi="Arial"/>
          <w:sz w:val="18"/>
          <w:szCs w:val="18"/>
          <w:color w:val="auto"/>
        </w:rPr>
        <w:t>Our operations in other countries may not produce desired levels of net sales or that one or more of the factors listed above may harm our business. Any material decrease in our international sales could adversely impact our operating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4673B6"/>
        </w:rPr>
        <w:t>Fluctuations in foreign currency exchange rates could result in declines in our reported net sales and net earnings.</w:t>
      </w:r>
    </w:p>
    <w:p>
      <w:pPr>
        <w:spacing w:after="0" w:line="14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Because the functional currency of our foreign operations is the applicable local currency,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Our reported net sales and net earnings are subject to fluctuations in foreign exchange rates.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Japanese yen, the Australian dollar, the Canadian dollar, the British pound, and the Mexican peso against the U.S. dollar. While we actively manage the exposure of our foreign currency market risk in the normal course of business by entering into various foreign exchange contracts, these instruments may not limit our underlying exposure from currency fluctuations or minimize our net earnings and cash volatility associated with foreign currency exchange rate changes. In addition, our hedging activities also involve some risk.</w:t>
      </w:r>
    </w:p>
    <w:p>
      <w:pPr>
        <w:spacing w:after="0" w:line="169" w:lineRule="exact"/>
        <w:rPr>
          <w:sz w:val="20"/>
          <w:szCs w:val="20"/>
          <w:color w:val="auto"/>
        </w:rPr>
      </w:pPr>
    </w:p>
    <w:p>
      <w:pPr>
        <w:ind w:right="380"/>
        <w:spacing w:after="0" w:line="272" w:lineRule="auto"/>
        <w:rPr>
          <w:sz w:val="20"/>
          <w:szCs w:val="20"/>
          <w:color w:val="auto"/>
        </w:rPr>
      </w:pPr>
      <w:r>
        <w:rPr>
          <w:rFonts w:ascii="Arial" w:cs="Arial" w:eastAsia="Arial" w:hAnsi="Arial"/>
          <w:sz w:val="20"/>
          <w:szCs w:val="20"/>
          <w:b w:val="1"/>
          <w:bCs w:val="1"/>
          <w:i w:val="1"/>
          <w:iCs w:val="1"/>
          <w:color w:val="4673B6"/>
        </w:rPr>
        <w:t>We intend to grow our business through additional acquisitions, alliances, and joint venture arrangements, which are risky and could harm our business.</w:t>
      </w:r>
    </w:p>
    <w:p>
      <w:pPr>
        <w:spacing w:after="0" w:line="86"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One of our growth strategies is to supplement our internal growth through acquisitions, alliances, and joint venture arrangements of businesses with technologies or products that complement or augment our existing products and/or add new products to our business. In February 2005, we completed the acquisition of certain assets and assumed certain liabilities of Hayter Limited in the United Kingdom. The benefits of an acquisition, alliance or joint venture may take more time than expected to develop or integrate into our operations, and we cannot guarantee that our Hayter acquisition or any future acquisitions, alliances or joint ventures will in fact produce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any benefits. In addition, acquisitions, alliances, and joint ventures involve a number of risks, including:</w:t>
      </w:r>
    </w:p>
    <w:p>
      <w:pPr>
        <w:spacing w:after="0" w:line="23"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63" w:lineRule="exact"/>
        <w:rPr>
          <w:rFonts w:ascii="Arial" w:cs="Arial" w:eastAsia="Arial" w:hAnsi="Arial"/>
          <w:sz w:val="18"/>
          <w:szCs w:val="18"/>
          <w:color w:val="auto"/>
        </w:rPr>
      </w:pPr>
    </w:p>
    <w:p>
      <w:pPr>
        <w:ind w:left="180" w:right="20" w:hanging="172"/>
        <w:spacing w:after="0" w:line="324" w:lineRule="auto"/>
        <w:tabs>
          <w:tab w:leader="none" w:pos="15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an acquired business or in realizing projected efficiencies, cost savings, and revenue synergies;</w:t>
      </w:r>
    </w:p>
    <w:p>
      <w:pPr>
        <w:sectPr>
          <w:pgSz w:w="11900" w:h="16838" w:orient="portrait"/>
          <w:cols w:equalWidth="0" w:num="1">
            <w:col w:w="11420"/>
          </w:cols>
          <w:pgMar w:left="240" w:top="152" w:right="239" w:bottom="0" w:gutter="0" w:footer="0" w:header="0"/>
        </w:sectPr>
      </w:pPr>
    </w:p>
    <w:bookmarkStart w:id="9" w:name="page10"/>
    <w:bookmarkEnd w:id="9"/>
    <w:p>
      <w:pPr>
        <w:ind w:left="160" w:hanging="152"/>
        <w:spacing w:after="0"/>
        <w:tabs>
          <w:tab w:leader="none" w:pos="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customers;</w:t>
      </w:r>
    </w:p>
    <w:p>
      <w:pPr>
        <w:spacing w:after="0" w:line="23"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impact on overall profitability if acquired businesses do not achieve the financial results projected in our valuation models;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our leverage and debt service requirements to pay the</w:t>
      </w:r>
    </w:p>
    <w:p>
      <w:pPr>
        <w:spacing w:after="0" w:line="63" w:lineRule="exact"/>
        <w:rPr>
          <w:sz w:val="20"/>
          <w:szCs w:val="20"/>
          <w:color w:val="auto"/>
        </w:rPr>
      </w:pPr>
    </w:p>
    <w:p>
      <w:pPr>
        <w:ind w:left="180" w:right="440"/>
        <w:spacing w:after="0" w:line="258" w:lineRule="auto"/>
        <w:rPr>
          <w:sz w:val="20"/>
          <w:szCs w:val="20"/>
          <w:color w:val="auto"/>
        </w:rPr>
      </w:pPr>
      <w:r>
        <w:rPr>
          <w:rFonts w:ascii="Arial" w:cs="Arial" w:eastAsia="Arial" w:hAnsi="Arial"/>
          <w:sz w:val="18"/>
          <w:szCs w:val="18"/>
          <w:color w:val="auto"/>
        </w:rPr>
        <w:t>acquisition purchase prices, which could in turn restrict our ability to access additional capital when needed or to pursue other important elements of our business strategy;</w:t>
      </w:r>
    </w:p>
    <w:p>
      <w:pPr>
        <w:spacing w:after="0" w:line="14"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acquisition; and</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 that could adversely affect our operating results.</w:t>
      </w:r>
    </w:p>
    <w:p>
      <w:pPr>
        <w:spacing w:after="0" w:line="23" w:lineRule="exact"/>
        <w:rPr>
          <w:sz w:val="20"/>
          <w:szCs w:val="20"/>
          <w:color w:val="auto"/>
        </w:rPr>
      </w:pPr>
    </w:p>
    <w:p>
      <w:pPr>
        <w:ind w:right="20" w:firstLine="180"/>
        <w:spacing w:after="0" w:line="269" w:lineRule="auto"/>
        <w:rPr>
          <w:sz w:val="20"/>
          <w:szCs w:val="20"/>
          <w:color w:val="auto"/>
        </w:rPr>
      </w:pPr>
      <w:r>
        <w:rPr>
          <w:rFonts w:ascii="Arial" w:cs="Arial" w:eastAsia="Arial" w:hAnsi="Arial"/>
          <w:sz w:val="18"/>
          <w:szCs w:val="18"/>
          <w:color w:val="auto"/>
        </w:rPr>
        <w:t>Our ability to grow through acquisitions will depend, in part, on the availability of suitable acquisition candidates at an acceptable price, our ability to compete effectively for these acquisition candidates, and the availability of capital to complete such acquisitions. These risks could be heightened if we complete several acquisitions within a relatively short period of time. In addition, some acquisitions may require the consent of the lenders under our credit agreements. We cannot predict whether such approvals would be forthcoming or the terms on which the lenders would approve such acquisitions. Any potential acquisition could impair our operating results.</w:t>
      </w:r>
    </w:p>
    <w:p>
      <w:pPr>
        <w:spacing w:after="0" w:line="164" w:lineRule="exact"/>
        <w:rPr>
          <w:sz w:val="20"/>
          <w:szCs w:val="20"/>
          <w:color w:val="auto"/>
        </w:rPr>
      </w:pPr>
    </w:p>
    <w:p>
      <w:pPr>
        <w:ind w:right="340"/>
        <w:spacing w:after="0" w:line="272" w:lineRule="auto"/>
        <w:rPr>
          <w:sz w:val="20"/>
          <w:szCs w:val="20"/>
          <w:color w:val="auto"/>
        </w:rPr>
      </w:pPr>
      <w:r>
        <w:rPr>
          <w:rFonts w:ascii="Arial" w:cs="Arial" w:eastAsia="Arial" w:hAnsi="Arial"/>
          <w:sz w:val="20"/>
          <w:szCs w:val="20"/>
          <w:b w:val="1"/>
          <w:bCs w:val="1"/>
          <w:i w:val="1"/>
          <w:iCs w:val="1"/>
          <w:color w:val="4673B6"/>
        </w:rPr>
        <w:t>If we are unable to smoothly transition leadership roles and responsibilities, retain our key employees and attract and retain other qualified personnel, we may not be able to meet strategic objectives and our business could suffer.</w:t>
      </w:r>
    </w:p>
    <w:p>
      <w:pPr>
        <w:spacing w:after="0" w:line="86"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Our ability to meet our strategic objectives and otherwise grow will depend to a significant extent on the continued contributions of our senior management team and the smooth transition of leadership from Kendrick B. Melrose, our current Executive Chairman of the Board and former Chief Executive Officer, to Michael J. Hoffman, our President and Chief Executive Officer. Our future success will also depend in large part on our ability to identify, attract, and retain other highly qualified managerial, technical, sales and marketing, and customer service personnel. Competition for these individuals is intense, and we may not succeed in identifying, attracting, and/or retaining these personnel. The loss or interruption of services of any of our key personnel, the inability to identify, attract or retain qualified personnel in the future, delays in hiring qualified personnel, or any employee slowdowns, strikes or similar actions could make it difficult for us to manage our business and meet key objectives, which could harm our business, financial condition, and operating results.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b w:val="1"/>
          <w:bCs w:val="1"/>
          <w:i w:val="1"/>
          <w:iCs w:val="1"/>
          <w:color w:val="4673B6"/>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0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efficient operation of our business is dependent on our management information systems. We rely on our management information systems to effectively manage accounting and financial functions, manage manufacturing and supply chain processes, and to maintain our research and development data. The failure of our management information systems to perform properly could disrupt our business and product development and could result in decreased sales, increased overhead costs, excess inventory, and product shortages, causing our business and operating results to suffer. In addition, our management information systems, including our computer systems, Internet web sites, telecommunications, and data networks are vulnerable to damage or interruption from natural or man-made disasters, terrorist attacks and attacks by computer viruses or hackers, or power loss. Any such interruption could adversely affect our business and operating results.</w:t>
      </w:r>
    </w:p>
    <w:p>
      <w:pPr>
        <w:spacing w:after="0" w:line="165"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b w:val="1"/>
          <w:bCs w:val="1"/>
          <w:i w:val="1"/>
          <w:iCs w:val="1"/>
          <w:color w:val="4673B6"/>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adversely affect our sales and operating results.</w:t>
      </w:r>
    </w:p>
    <w:p>
      <w:pPr>
        <w:spacing w:after="0" w:line="113"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Some Toro dealers and Exmark distributors and dealers generally finance their inventories with third party financing companies. These third party financing companies purchase select receivables from us and our distributors and dealers for extended periods that assists our distributors and dealers in carrying representative inventories of our products. We also have agreements with third party financing companies to provide financing options to golf course and sports fields and grounds equipment customers and agricultural irrigation customers in North America and Europe. The purpose of these agreements is to increase our net sales by giving buyers of our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products alternative financing options when purchasing our products. We also have an agreement with a third party financing company to provide financing programs under a private label program offered primarily to Toro and Exmark dealers that provides our end-user customers a revolving line of credit for Toro and Exmark products, parts, and services. Termination of our agreements with these third parties, any material change to the terms of our agreements with these third parties or in the availability or terms of credit for our customers from these third parties or any delay in securing replacement credit sources, could adversely affect our operating results.</w:t>
      </w:r>
    </w:p>
    <w:p>
      <w:pPr>
        <w:spacing w:after="0" w:line="164" w:lineRule="exact"/>
        <w:rPr>
          <w:sz w:val="20"/>
          <w:szCs w:val="20"/>
          <w:color w:val="auto"/>
        </w:rPr>
      </w:pPr>
    </w:p>
    <w:p>
      <w:pPr>
        <w:ind w:right="620"/>
        <w:spacing w:after="0" w:line="272" w:lineRule="auto"/>
        <w:rPr>
          <w:sz w:val="20"/>
          <w:szCs w:val="20"/>
          <w:color w:val="auto"/>
        </w:rPr>
      </w:pPr>
      <w:r>
        <w:rPr>
          <w:rFonts w:ascii="Arial" w:cs="Arial" w:eastAsia="Arial" w:hAnsi="Arial"/>
          <w:sz w:val="20"/>
          <w:szCs w:val="20"/>
          <w:b w:val="1"/>
          <w:bCs w:val="1"/>
          <w:i w:val="1"/>
          <w:iCs w:val="1"/>
          <w:color w:val="4673B6"/>
        </w:rPr>
        <w:t>Our reliance upon patents, trademark laws, and contractual provisions to protect our proprietary rights may not be sufficient to protect our intellectual property from others who may sell similar products.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 hold patents relating to various aspects of our products and believe that proprietary technical know-how is critical to many of our</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products.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patent protection, we may be vulnerable to competitors who attempt to copy our products or gain access to our trade secrets and know-how. Our competitors may initiate litigation to challenge the validity of our patents, or they may use their resources to design comparable products that do not infringe our patents. We may incur substantial costs if our competitors initiate litigation to challenge the validity of our patents, or if we initiate any proceedings to protect our proprietary rights, and if the outcome of</w:t>
      </w:r>
    </w:p>
    <w:p>
      <w:pPr>
        <w:sectPr>
          <w:pgSz w:w="11900" w:h="16838" w:orient="portrait"/>
          <w:cols w:equalWidth="0" w:num="1">
            <w:col w:w="11400"/>
          </w:cols>
          <w:pgMar w:left="240" w:top="152" w:right="259" w:bottom="0" w:gutter="0" w:footer="0" w:header="0"/>
        </w:sectPr>
      </w:pPr>
    </w:p>
    <w:bookmarkStart w:id="10" w:name="page11"/>
    <w:bookmarkEnd w:id="10"/>
    <w:p>
      <w:pPr>
        <w:ind w:right="120"/>
        <w:spacing w:after="0" w:line="266" w:lineRule="auto"/>
        <w:rPr>
          <w:sz w:val="20"/>
          <w:szCs w:val="20"/>
          <w:color w:val="auto"/>
        </w:rPr>
      </w:pPr>
      <w:r>
        <w:rPr>
          <w:rFonts w:ascii="Arial" w:cs="Arial" w:eastAsia="Arial" w:hAnsi="Arial"/>
          <w:sz w:val="18"/>
          <w:szCs w:val="18"/>
          <w:color w:val="auto"/>
        </w:rPr>
        <w:t>any such litigation is unfavorable to us, our business and operating results could be adversely affected. There may also be pending or issued patents held by parties not affiliated with us that relate to our products or technologies, and we may need to acquire licenses to any such patents to continue selling some or all of our products. If we had to obtain any such license in order to be able to continue to sell some or all of our products, we may not be able to do so on terms that were favorable to us, if at all.</w:t>
      </w:r>
    </w:p>
    <w:p>
      <w:pPr>
        <w:spacing w:after="0" w:line="1" w:lineRule="exact"/>
        <w:rPr>
          <w:sz w:val="20"/>
          <w:szCs w:val="20"/>
          <w:color w:val="auto"/>
        </w:rPr>
      </w:pPr>
    </w:p>
    <w:p>
      <w:pPr>
        <w:ind w:right="20" w:firstLine="180"/>
        <w:spacing w:after="0" w:line="259" w:lineRule="auto"/>
        <w:rPr>
          <w:sz w:val="20"/>
          <w:szCs w:val="20"/>
          <w:color w:val="auto"/>
        </w:rPr>
      </w:pPr>
      <w:r>
        <w:rPr>
          <w:rFonts w:ascii="Arial" w:cs="Arial" w:eastAsia="Arial" w:hAnsi="Arial"/>
          <w:sz w:val="18"/>
          <w:szCs w:val="18"/>
          <w:color w:val="auto"/>
        </w:rPr>
        <w:t>In addition, we rely on trade secrets and proprietary know-how that we seek to protect, in part, by confidentiality agreements with our employees and consultants. These agreements may be breached, and we may not have adequate remedies for any such breach. Even if these confidentiality agreements are not breached, our trade secrets may otherwise become known or be independently developed by competitors.</w:t>
      </w:r>
    </w:p>
    <w:p>
      <w:pPr>
        <w:spacing w:after="0" w:line="2" w:lineRule="exact"/>
        <w:rPr>
          <w:sz w:val="20"/>
          <w:szCs w:val="20"/>
          <w:color w:val="auto"/>
        </w:rPr>
      </w:pPr>
    </w:p>
    <w:p>
      <w:pPr>
        <w:ind w:right="600"/>
        <w:spacing w:after="0" w:line="243" w:lineRule="auto"/>
        <w:rPr>
          <w:sz w:val="20"/>
          <w:szCs w:val="20"/>
          <w:color w:val="auto"/>
        </w:rPr>
      </w:pPr>
      <w:r>
        <w:rPr>
          <w:rFonts w:ascii="Arial" w:cs="Arial" w:eastAsia="Arial" w:hAnsi="Arial"/>
          <w:sz w:val="20"/>
          <w:szCs w:val="20"/>
          <w:b w:val="1"/>
          <w:bCs w:val="1"/>
          <w:i w:val="1"/>
          <w:iCs w:val="1"/>
          <w:color w:val="4673B6"/>
        </w:rPr>
        <w:t>We manufacture our products at and distribute our products from several locations in the United States and internationally. Any disruption at any of these facilities or our inability to cost-effectively expand existing and move production between manufacturing facilities could adversely affect our business and operating results.</w:t>
      </w:r>
    </w:p>
    <w:p>
      <w:pPr>
        <w:spacing w:after="0" w:line="11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We manufacture most of our products at seven locations in the United States, two locations in Mexico, and one location in each of Australia, Italy, and the United Kingdom. We also have several locations that serve as distribution centers, warehouses, test facilities, and corporate offices. Our facilities may be affected by natural or man-made disasters. In the event one of our manufacturing facilities was affected by a disaster, we could be forced to shift production to one of our other manufacturing facilities. Although we purchase insurance for damage to our property and the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including a strike at any one of our three manufacturing facilities operating under a collective bargaining agreement or the failure to renew or enter into a new collective bargaining agreement, could impair our ability to meet the demand of our customers and our customers may cancel orders or purchase products from our competitors, which could adversely affect our business and operating results. Our operating results may also be adversely affected if we are unable to cost-effectively expand existing and move production between manufacturing facilities as needed from time to time.</w:t>
      </w:r>
    </w:p>
    <w:p>
      <w:pPr>
        <w:spacing w:after="0" w:line="168" w:lineRule="exact"/>
        <w:rPr>
          <w:sz w:val="20"/>
          <w:szCs w:val="20"/>
          <w:color w:val="auto"/>
        </w:rPr>
      </w:pPr>
    </w:p>
    <w:p>
      <w:pPr>
        <w:ind w:right="760"/>
        <w:spacing w:after="0" w:line="272" w:lineRule="auto"/>
        <w:rPr>
          <w:sz w:val="20"/>
          <w:szCs w:val="20"/>
          <w:color w:val="auto"/>
        </w:rPr>
      </w:pPr>
      <w:r>
        <w:rPr>
          <w:rFonts w:ascii="Arial" w:cs="Arial" w:eastAsia="Arial" w:hAnsi="Arial"/>
          <w:sz w:val="20"/>
          <w:szCs w:val="20"/>
          <w:b w:val="1"/>
          <w:bCs w:val="1"/>
          <w:i w:val="1"/>
          <w:iCs w:val="1"/>
          <w:color w:val="4673B6"/>
        </w:rPr>
        <w:t>Our business is subject to a number of other miscellaneous risks that may adversely affect our operating results, financial condition or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Other miscellaneous risks include:</w:t>
      </w:r>
    </w:p>
    <w:p>
      <w:pPr>
        <w:spacing w:after="0" w:line="23"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global and domestic economies, including but not limited to slow growth rate, slow down or reduction in home ownership, rise in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rates, inflation, unemployment, and weakening consumer confidence;</w:t>
      </w:r>
    </w:p>
    <w:p>
      <w:pPr>
        <w:spacing w:after="0" w:line="23"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such as hurricanes, which may result in shortages of raw materials, higher fuel costs, and increase in insurance premiums;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viability of some distributors and dealers, changes in distributor ownership, our success in partnering with new dealers, and our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customers’ ability to pay amounts owed to us; and</w:t>
      </w:r>
    </w:p>
    <w:p>
      <w:pPr>
        <w:spacing w:after="0" w:line="23" w:lineRule="exact"/>
        <w:rPr>
          <w:sz w:val="20"/>
          <w:szCs w:val="20"/>
          <w:color w:val="auto"/>
        </w:rPr>
      </w:pPr>
    </w:p>
    <w:p>
      <w:pPr>
        <w:ind w:left="180" w:right="620" w:hanging="172"/>
        <w:spacing w:after="0" w:line="324" w:lineRule="auto"/>
        <w:tabs>
          <w:tab w:leader="none" w:pos="1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threat of terrorist acts and war, which may result in heightened security and higher costs for import and export shipments of components or finished goods, reduced leisure travel, and contraction of the U.S. and worldwide economies.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Risks Relating to Our Industry</w:t>
      </w:r>
    </w:p>
    <w:p>
      <w:pPr>
        <w:spacing w:after="0" w:line="216" w:lineRule="exact"/>
        <w:rPr>
          <w:sz w:val="20"/>
          <w:szCs w:val="20"/>
          <w:color w:val="auto"/>
        </w:rPr>
      </w:pPr>
    </w:p>
    <w:p>
      <w:pPr>
        <w:ind w:right="420"/>
        <w:spacing w:after="0" w:line="255" w:lineRule="auto"/>
        <w:rPr>
          <w:sz w:val="20"/>
          <w:szCs w:val="20"/>
          <w:color w:val="auto"/>
        </w:rPr>
      </w:pPr>
      <w:r>
        <w:rPr>
          <w:rFonts w:ascii="Arial" w:cs="Arial" w:eastAsia="Arial" w:hAnsi="Arial"/>
          <w:sz w:val="20"/>
          <w:szCs w:val="20"/>
          <w:b w:val="1"/>
          <w:bCs w:val="1"/>
          <w:i w:val="1"/>
          <w:iCs w:val="1"/>
          <w:color w:val="4673B6"/>
        </w:rPr>
        <w:t>If we are unable to continue to enhance existing products and develop and market new products that respond to customer needs and achieve market acceptance, we may experience a decrease in demand for our products, and our business could suffer.</w:t>
      </w:r>
    </w:p>
    <w:p>
      <w:pPr>
        <w:spacing w:after="0" w:line="10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One of our growth strategies is to continue to lead our industry in product innovation by enhancing existing products and by developing and marketing new products that respond to customer needs. Our sales from new products in the past have represented a significant component of our net sales and are expected to continue to represent a significant component of our future net sales. We may not be able to compete effectively with our competitors unless we can keep up with existing or new products in the markets in which we compete. Product development requires significant financial and other resources. Although in the past we have implemented lean manufacturing and other productivity improvement initiatives to provide investment funding for new products, we cannot ensure that we will be able to continue to do so in the future. Product improvements and new product introductions also require significant planning, design, development, and testing at the technological, product, and manufacturing process levels and we may not be able to timely develop product improvements or new products. Our competitors’ new products may beat our products to market, may be more effective with more features and/or less expensive than our products or render our products obsolete. Any new products that we may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68"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b w:val="1"/>
          <w:bCs w:val="1"/>
          <w:i w:val="1"/>
          <w:iCs w:val="1"/>
          <w:color w:val="4673B6"/>
        </w:rPr>
        <w:t>We face intense competition in all of our product lines, including some competitors that have greater resources than us. We may not be able to compete effectively against competitors’ actions, which could harm our business and operating results.</w:t>
      </w:r>
    </w:p>
    <w:p>
      <w:pPr>
        <w:spacing w:after="0" w:line="104"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Our products are sold in highly competitive markets throughout the world. Principal competitive factors in our markets include pricing, product innovation, quality and reliability, product support and customer service, warranty, reputation, distribution, shelf space, and financing options. We compete in all of our product lines with numerous manufacturers, some who have substantially greater financial, marketing, and other resources than we do. As a result, they may be able to adapt more quickly to new or emerging technologies and changes in customer requirements, or to devote greater resources to the promotion and sale of their products than we can. In addition, competition could increase if new companies enter the market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can face more competition where foreign competitors manufacture and market products in their respective countries. We experience this competition primarily in Europe and Asia. In addition,</w:t>
      </w:r>
    </w:p>
    <w:p>
      <w:pPr>
        <w:sectPr>
          <w:pgSz w:w="11900" w:h="16838" w:orient="portrait"/>
          <w:cols w:equalWidth="0" w:num="1">
            <w:col w:w="11420"/>
          </w:cols>
          <w:pgMar w:left="240" w:top="152" w:right="239" w:bottom="0" w:gutter="0" w:footer="0" w:header="0"/>
        </w:sectPr>
      </w:pPr>
    </w:p>
    <w:bookmarkStart w:id="11" w:name="page12"/>
    <w:bookmarkEnd w:id="11"/>
    <w:p>
      <w:pPr>
        <w:jc w:val="both"/>
        <w:ind w:right="460"/>
        <w:spacing w:after="0" w:line="271" w:lineRule="auto"/>
        <w:rPr>
          <w:sz w:val="20"/>
          <w:szCs w:val="20"/>
          <w:color w:val="auto"/>
        </w:rPr>
      </w:pPr>
      <w:r>
        <w:rPr>
          <w:rFonts w:ascii="Arial" w:cs="Arial" w:eastAsia="Arial" w:hAnsi="Arial"/>
          <w:sz w:val="18"/>
          <w:szCs w:val="18"/>
          <w:color w:val="auto"/>
        </w:rPr>
        <w:t>fluctuations in the value of the U.S. dollar may affect the price of our products in foreign markets, thereby impacting their competitiveness. Pricing has become an increasingly important competitive factor for a majority of our products. We may not be able to compete effectively against competitors’ actions, which could harm our business and operating results.</w:t>
      </w:r>
    </w:p>
    <w:p>
      <w:pPr>
        <w:spacing w:after="0" w:line="163" w:lineRule="exact"/>
        <w:rPr>
          <w:sz w:val="20"/>
          <w:szCs w:val="20"/>
          <w:color w:val="auto"/>
        </w:rPr>
      </w:pPr>
    </w:p>
    <w:p>
      <w:pPr>
        <w:jc w:val="both"/>
        <w:ind w:right="40"/>
        <w:spacing w:after="0" w:line="255" w:lineRule="auto"/>
        <w:rPr>
          <w:sz w:val="20"/>
          <w:szCs w:val="20"/>
          <w:color w:val="auto"/>
        </w:rPr>
      </w:pPr>
      <w:r>
        <w:rPr>
          <w:rFonts w:ascii="Arial" w:cs="Arial" w:eastAsia="Arial" w:hAnsi="Arial"/>
          <w:sz w:val="20"/>
          <w:szCs w:val="20"/>
          <w:b w:val="1"/>
          <w:bCs w:val="1"/>
          <w:i w:val="1"/>
          <w:iCs w:val="1"/>
          <w:color w:val="4673B6"/>
        </w:rPr>
        <w:t>Our business, properties, and products are subject to governmental regulation with which compliance may require us to incur expenses or modify our products or operations and may expose us to penalties for non-compliance. Governmental regulation may also adversely affect the demand for some of our products and our operating results.</w:t>
      </w:r>
    </w:p>
    <w:p>
      <w:pPr>
        <w:spacing w:after="0" w:line="10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business, properties, and products are subject to a wide variety of international, federal, state and local laws, rules and regulations relating to the protection of the environment, natural resources, and worker health and safety and the use, management, storage, and disposal of hazardous substances, wastes, and other regulated materials. These laws, rules, and regulations may affect the way we conduct our operations, and the failure to comply with these regulations could lead to fines and other penalties.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consolidated financial position or operating results, our future costs of complying with the various environmental requirements, as they now exist or may be altered in the future, could adversely affect our financial condition and operating results. We are also subject to other international, federal and state laws, rules and regulations, the future non-compliance of which may harm our business or may adversely affect the demand for some of our products. For example, our residential products are subject to various United States statutes designed to protect consumers and are subject to the administrative jurisdiction of the Consumer Product Safety Commission. The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European Union also recently adopted environmental directives that mandate the labeling, collection, and treatment of electrical and electronic equipment and bans the sale of electrical and electronic equipment containing certain hazardous substances. In addition, governmental restrictions placed on water usage as well as water availability may adversely affect demand for our irrigation products. Changes in laws and regulations, including changes in accounting standards, taxation changes, including tax rate changes, new tax laws, revised tax law interpretations, also may adversely affect our operating results.</w:t>
      </w:r>
    </w:p>
    <w:p>
      <w:pPr>
        <w:spacing w:after="0" w:line="164" w:lineRule="exact"/>
        <w:rPr>
          <w:sz w:val="20"/>
          <w:szCs w:val="20"/>
          <w:color w:val="auto"/>
        </w:rPr>
      </w:pPr>
    </w:p>
    <w:p>
      <w:pPr>
        <w:ind w:right="800"/>
        <w:spacing w:after="0" w:line="272" w:lineRule="auto"/>
        <w:rPr>
          <w:sz w:val="20"/>
          <w:szCs w:val="20"/>
          <w:color w:val="auto"/>
        </w:rPr>
      </w:pPr>
      <w:r>
        <w:rPr>
          <w:rFonts w:ascii="Arial" w:cs="Arial" w:eastAsia="Arial" w:hAnsi="Arial"/>
          <w:sz w:val="20"/>
          <w:szCs w:val="20"/>
          <w:b w:val="1"/>
          <w:bCs w:val="1"/>
          <w:i w:val="1"/>
          <w:iCs w:val="1"/>
          <w:color w:val="4673B6"/>
        </w:rPr>
        <w:t>We are subject to product liability claims, product quality issues, and other litigation from time to time that could adversely affect our operating results or financial condition.</w:t>
      </w:r>
    </w:p>
    <w:p>
      <w:pPr>
        <w:spacing w:after="0" w:line="8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manufacture and sale of our products expose us to significant risk of product liability claims. If a product liability claim or series of claims is brought against us for uninsured liabilities or in excess of our insurance coverage and it is ultimately determined that we are liable, our business could suffer. While we instruct our customers on the proper usage of our products, we cannot ensure that they will implement our instructions accurately. If our products are used incorrectly by our customers, injury may result and this could give rise to product liability claims against us. Any losses that we may suffer from any liability claims, and the effect that any product liability litigation may have upon the reputation and marketability of our products, may divert management’s attention from other matters and may have a negative impact on our business and operating results. Some of our products or product improvements were developed relatively recently and defects or risks that we have not yet identified may give rise to product liability claims. Additionally, we could experience a material design or manufacturing failure in our products, a quality system failure, other safety issues or heightened regulatory scrutiny that could warrant a recall of some of our products. A recall of some of our products could also result in increased product liability claims. Unforeseen product quality problems in the development and production of new and existing products could also result in loss of market share, reduced sales, and higher warranty expense.</w:t>
      </w:r>
    </w:p>
    <w:p>
      <w:pPr>
        <w:spacing w:after="0" w:line="2" w:lineRule="exact"/>
        <w:rPr>
          <w:sz w:val="20"/>
          <w:szCs w:val="20"/>
          <w:color w:val="auto"/>
        </w:rPr>
      </w:pPr>
    </w:p>
    <w:p>
      <w:pPr>
        <w:ind w:right="180" w:firstLine="180"/>
        <w:spacing w:after="0" w:line="268" w:lineRule="auto"/>
        <w:rPr>
          <w:sz w:val="20"/>
          <w:szCs w:val="20"/>
          <w:color w:val="auto"/>
        </w:rPr>
      </w:pPr>
      <w:r>
        <w:rPr>
          <w:rFonts w:ascii="Arial" w:cs="Arial" w:eastAsia="Arial" w:hAnsi="Arial"/>
          <w:sz w:val="18"/>
          <w:szCs w:val="18"/>
          <w:color w:val="auto"/>
        </w:rPr>
        <w:t>We are also subject to other litigation from time to time that could adversely affect our operating results or financial condition. For example, we are currently one of eight defendants in a purported class action in which the plaintiffs are alleging that the horsepower labels on the products the plaintiffs purchased were inaccurate. The complaint seeks an injunction, unspecified compensatory and punitive damages, and attorneys’ fees. Even if the plaintiff’s claims are found to be without merit, we have incurred and may continue to incur substantial costs in defending the lawsuit. The lawsuit could divert the time and attention of our management and could result in adverse publicity, either of which could significantly harm our operating results and financial condition. Any adverse determination in the litigation could also result in material liability, which could harm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2.  PROPERTIES</w:t>
      </w:r>
    </w:p>
    <w:p>
      <w:pPr>
        <w:spacing w:after="0" w:line="2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of October 31, 2005, we utilized manufacturing, distribution, warehouse, and office facilities totaling approximately 5.4 million square feet of space, which also included inactive facilities totaling approximately 0.4 million of square feet available for sale or subleasing. We also utilize 20.34 acres of land in California as a testing facility, 16.3 acres of land in Nebraska as a parking and testing facility, and 36.38 acres of land in Minnesota as a testing and storage facility. Plant utilization varies during the year depending on the production cycle. We consider each of our current facilities in use to be in good operating condition and adequate for its present use. Management believes we have sufficient manufacturing capacity for fiscal 2006. The following schedule outlines our significant facilities by location, ownership, and function as of October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106045</wp:posOffset>
            </wp:positionV>
            <wp:extent cx="6037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ectPr>
          <w:pgSz w:w="11900" w:h="16838" w:orient="portrait"/>
          <w:cols w:equalWidth="0" w:num="1">
            <w:col w:w="11400"/>
          </w:cols>
          <w:pgMar w:left="240" w:top="152" w:right="259" w:bottom="0" w:gutter="0" w:footer="0" w:header="0"/>
        </w:sectPr>
      </w:pPr>
    </w:p>
    <w:p>
      <w:pPr>
        <w:spacing w:after="0" w:line="181" w:lineRule="exact"/>
        <w:rPr>
          <w:sz w:val="20"/>
          <w:szCs w:val="20"/>
          <w:color w:val="auto"/>
        </w:rPr>
      </w:pPr>
    </w:p>
    <w:p>
      <w:pPr>
        <w:ind w:left="960"/>
        <w:spacing w:after="0"/>
        <w:tabs>
          <w:tab w:leader="none" w:pos="3760" w:val="left"/>
          <w:tab w:leader="none" w:pos="6240" w:val="left"/>
        </w:tabs>
        <w:rPr>
          <w:sz w:val="20"/>
          <w:szCs w:val="20"/>
          <w:color w:val="auto"/>
        </w:rPr>
      </w:pPr>
      <w:r>
        <w:rPr>
          <w:rFonts w:ascii="Arial" w:cs="Arial" w:eastAsia="Arial" w:hAnsi="Arial"/>
          <w:sz w:val="14"/>
          <w:szCs w:val="14"/>
          <w:b w:val="1"/>
          <w:bCs w:val="1"/>
          <w:color w:val="auto"/>
        </w:rPr>
        <w:t>Location</w:t>
      </w:r>
      <w:r>
        <w:rPr>
          <w:sz w:val="20"/>
          <w:szCs w:val="20"/>
          <w:color w:val="auto"/>
        </w:rPr>
        <w:tab/>
      </w:r>
      <w:r>
        <w:rPr>
          <w:rFonts w:ascii="Arial" w:cs="Arial" w:eastAsia="Arial" w:hAnsi="Arial"/>
          <w:sz w:val="14"/>
          <w:szCs w:val="14"/>
          <w:b w:val="1"/>
          <w:bCs w:val="1"/>
          <w:color w:val="auto"/>
        </w:rPr>
        <w:t>Ownership</w:t>
      </w:r>
      <w:r>
        <w:rPr>
          <w:sz w:val="20"/>
          <w:szCs w:val="20"/>
          <w:color w:val="auto"/>
        </w:rPr>
        <w:tab/>
      </w:r>
      <w:r>
        <w:rPr>
          <w:rFonts w:ascii="Arial" w:cs="Arial" w:eastAsia="Arial" w:hAnsi="Arial"/>
          <w:sz w:val="14"/>
          <w:szCs w:val="14"/>
          <w:b w:val="1"/>
          <w:bCs w:val="1"/>
          <w:color w:val="auto"/>
        </w:rPr>
        <w:t>Products Manufactured /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17780</wp:posOffset>
            </wp:positionV>
            <wp:extent cx="6037580" cy="95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7580" cy="95885"/>
                    </a:xfrm>
                    <a:prstGeom prst="rect">
                      <a:avLst/>
                    </a:prstGeom>
                    <a:noFill/>
                  </pic:spPr>
                </pic:pic>
              </a:graphicData>
            </a:graphic>
          </wp:anchor>
        </w:drawing>
      </w:r>
    </w:p>
    <w:p>
      <w:pPr>
        <w:sectPr>
          <w:pgSz w:w="11900" w:h="16838" w:orient="portrait"/>
          <w:cols w:equalWidth="0" w:num="1">
            <w:col w:w="11400"/>
          </w:cols>
          <w:pgMar w:left="240" w:top="152" w:right="259" w:bottom="0" w:gutter="0" w:footer="0" w:header="0"/>
          <w:type w:val="continuous"/>
        </w:sectPr>
      </w:pPr>
    </w:p>
    <w:bookmarkStart w:id="12" w:name="page13"/>
    <w:bookmarkEnd w:id="12"/>
    <w:tbl>
      <w:tblPr>
        <w:tblLayout w:type="fixed"/>
        <w:tblInd w:w="960" w:type="dxa"/>
        <w:tblCellMar>
          <w:top w:w="0" w:type="dxa"/>
          <w:left w:w="0" w:type="dxa"/>
          <w:bottom w:w="0" w:type="dxa"/>
          <w:right w:w="0" w:type="dxa"/>
        </w:tblCellMar>
      </w:tblPr>
      <w:tr>
        <w:trPr>
          <w:trHeight w:val="189"/>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Bloomington, MN</w:t>
            </w:r>
          </w:p>
        </w:tc>
        <w:tc>
          <w:tcPr>
            <w:tcW w:w="22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Owned/Leased</w:t>
            </w:r>
          </w:p>
        </w:tc>
        <w:tc>
          <w:tcPr>
            <w:tcW w:w="50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Corporate headquarters, warehouse, and test facility</w:t>
            </w:r>
          </w:p>
        </w:tc>
      </w:tr>
      <w:tr>
        <w:trPr>
          <w:trHeight w:val="181"/>
        </w:trPr>
        <w:tc>
          <w:tcPr>
            <w:tcW w:w="2260" w:type="dxa"/>
            <w:vAlign w:val="bottom"/>
          </w:tcPr>
          <w:p>
            <w:pPr>
              <w:spacing w:after="0"/>
              <w:rPr>
                <w:sz w:val="20"/>
                <w:szCs w:val="20"/>
                <w:color w:val="auto"/>
              </w:rPr>
            </w:pPr>
            <w:r>
              <w:rPr>
                <w:rFonts w:ascii="Arial" w:cs="Arial" w:eastAsia="Arial" w:hAnsi="Arial"/>
                <w:sz w:val="13"/>
                <w:szCs w:val="13"/>
                <w:color w:val="auto"/>
              </w:rPr>
              <w:t>El Paso, TX</w:t>
            </w:r>
          </w:p>
        </w:tc>
        <w:tc>
          <w:tcPr>
            <w:tcW w:w="2220" w:type="dxa"/>
            <w:vAlign w:val="bottom"/>
          </w:tcPr>
          <w:p>
            <w:pPr>
              <w:ind w:left="560"/>
              <w:spacing w:after="0"/>
              <w:rPr>
                <w:sz w:val="20"/>
                <w:szCs w:val="20"/>
                <w:color w:val="auto"/>
              </w:rPr>
            </w:pPr>
            <w:r>
              <w:rPr>
                <w:rFonts w:ascii="Arial" w:cs="Arial" w:eastAsia="Arial" w:hAnsi="Arial"/>
                <w:sz w:val="13"/>
                <w:szCs w:val="13"/>
                <w:color w:val="auto"/>
              </w:rPr>
              <w:t>Owned/Leased</w:t>
            </w:r>
          </w:p>
        </w:tc>
        <w:tc>
          <w:tcPr>
            <w:tcW w:w="5040" w:type="dxa"/>
            <w:vAlign w:val="bottom"/>
          </w:tcPr>
          <w:p>
            <w:pPr>
              <w:ind w:left="820"/>
              <w:spacing w:after="0"/>
              <w:rPr>
                <w:sz w:val="20"/>
                <w:szCs w:val="20"/>
                <w:color w:val="auto"/>
              </w:rPr>
            </w:pPr>
            <w:r>
              <w:rPr>
                <w:rFonts w:ascii="Arial" w:cs="Arial" w:eastAsia="Arial" w:hAnsi="Arial"/>
                <w:sz w:val="13"/>
                <w:szCs w:val="13"/>
                <w:color w:val="auto"/>
              </w:rPr>
              <w:t>Components for professional and residential products, distribution center</w:t>
            </w:r>
          </w:p>
        </w:tc>
      </w:tr>
      <w:tr>
        <w:trPr>
          <w:trHeight w:val="19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Juarez, Mexico</w:t>
            </w:r>
          </w:p>
        </w:tc>
        <w:tc>
          <w:tcPr>
            <w:tcW w:w="22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Leased</w:t>
            </w:r>
          </w:p>
        </w:tc>
        <w:tc>
          <w:tcPr>
            <w:tcW w:w="50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Professional and residential products</w:t>
            </w:r>
          </w:p>
        </w:tc>
      </w:tr>
      <w:tr>
        <w:trPr>
          <w:trHeight w:val="181"/>
        </w:trPr>
        <w:tc>
          <w:tcPr>
            <w:tcW w:w="2260" w:type="dxa"/>
            <w:vAlign w:val="bottom"/>
          </w:tcPr>
          <w:p>
            <w:pPr>
              <w:spacing w:after="0"/>
              <w:rPr>
                <w:sz w:val="20"/>
                <w:szCs w:val="20"/>
                <w:color w:val="auto"/>
              </w:rPr>
            </w:pPr>
            <w:r>
              <w:rPr>
                <w:rFonts w:ascii="Arial" w:cs="Arial" w:eastAsia="Arial" w:hAnsi="Arial"/>
                <w:sz w:val="13"/>
                <w:szCs w:val="13"/>
                <w:color w:val="auto"/>
              </w:rPr>
              <w:t>Plymouth, WI</w:t>
            </w:r>
          </w:p>
        </w:tc>
        <w:tc>
          <w:tcPr>
            <w:tcW w:w="2220" w:type="dxa"/>
            <w:vAlign w:val="bottom"/>
          </w:tcPr>
          <w:p>
            <w:pPr>
              <w:ind w:left="560"/>
              <w:spacing w:after="0"/>
              <w:rPr>
                <w:sz w:val="20"/>
                <w:szCs w:val="20"/>
                <w:color w:val="auto"/>
              </w:rPr>
            </w:pPr>
            <w:r>
              <w:rPr>
                <w:rFonts w:ascii="Arial" w:cs="Arial" w:eastAsia="Arial" w:hAnsi="Arial"/>
                <w:sz w:val="13"/>
                <w:szCs w:val="13"/>
                <w:color w:val="auto"/>
              </w:rPr>
              <w:t>Owned</w:t>
            </w:r>
          </w:p>
        </w:tc>
        <w:tc>
          <w:tcPr>
            <w:tcW w:w="5040" w:type="dxa"/>
            <w:vAlign w:val="bottom"/>
          </w:tcPr>
          <w:p>
            <w:pPr>
              <w:ind w:left="820"/>
              <w:spacing w:after="0"/>
              <w:rPr>
                <w:sz w:val="20"/>
                <w:szCs w:val="20"/>
                <w:color w:val="auto"/>
              </w:rPr>
            </w:pPr>
            <w:r>
              <w:rPr>
                <w:rFonts w:ascii="Arial" w:cs="Arial" w:eastAsia="Arial" w:hAnsi="Arial"/>
                <w:sz w:val="13"/>
                <w:szCs w:val="13"/>
                <w:color w:val="auto"/>
              </w:rPr>
              <w:t>Professional and residential parts distribution center</w:t>
            </w:r>
          </w:p>
        </w:tc>
      </w:tr>
      <w:tr>
        <w:trPr>
          <w:trHeight w:val="19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Tomah, WI</w:t>
            </w:r>
          </w:p>
        </w:tc>
        <w:tc>
          <w:tcPr>
            <w:tcW w:w="22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Owned/Leased</w:t>
            </w:r>
          </w:p>
        </w:tc>
        <w:tc>
          <w:tcPr>
            <w:tcW w:w="50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Professional products and warehouse</w:t>
            </w:r>
          </w:p>
        </w:tc>
      </w:tr>
      <w:tr>
        <w:trPr>
          <w:trHeight w:val="181"/>
        </w:trPr>
        <w:tc>
          <w:tcPr>
            <w:tcW w:w="2260" w:type="dxa"/>
            <w:vAlign w:val="bottom"/>
          </w:tcPr>
          <w:p>
            <w:pPr>
              <w:spacing w:after="0"/>
              <w:rPr>
                <w:sz w:val="20"/>
                <w:szCs w:val="20"/>
                <w:color w:val="auto"/>
              </w:rPr>
            </w:pPr>
            <w:r>
              <w:rPr>
                <w:rFonts w:ascii="Arial" w:cs="Arial" w:eastAsia="Arial" w:hAnsi="Arial"/>
                <w:sz w:val="13"/>
                <w:szCs w:val="13"/>
                <w:color w:val="auto"/>
              </w:rPr>
              <w:t>Windom, MN</w:t>
            </w:r>
          </w:p>
        </w:tc>
        <w:tc>
          <w:tcPr>
            <w:tcW w:w="2220" w:type="dxa"/>
            <w:vAlign w:val="bottom"/>
          </w:tcPr>
          <w:p>
            <w:pPr>
              <w:ind w:left="560"/>
              <w:spacing w:after="0"/>
              <w:rPr>
                <w:sz w:val="20"/>
                <w:szCs w:val="20"/>
                <w:color w:val="auto"/>
              </w:rPr>
            </w:pPr>
            <w:r>
              <w:rPr>
                <w:rFonts w:ascii="Arial" w:cs="Arial" w:eastAsia="Arial" w:hAnsi="Arial"/>
                <w:sz w:val="13"/>
                <w:szCs w:val="13"/>
                <w:color w:val="auto"/>
              </w:rPr>
              <w:t>Owned/Leased</w:t>
            </w:r>
          </w:p>
        </w:tc>
        <w:tc>
          <w:tcPr>
            <w:tcW w:w="5040" w:type="dxa"/>
            <w:vAlign w:val="bottom"/>
          </w:tcPr>
          <w:p>
            <w:pPr>
              <w:ind w:left="820"/>
              <w:spacing w:after="0"/>
              <w:rPr>
                <w:sz w:val="20"/>
                <w:szCs w:val="20"/>
                <w:color w:val="auto"/>
              </w:rPr>
            </w:pPr>
            <w:r>
              <w:rPr>
                <w:rFonts w:ascii="Arial" w:cs="Arial" w:eastAsia="Arial" w:hAnsi="Arial"/>
                <w:sz w:val="13"/>
                <w:szCs w:val="13"/>
                <w:color w:val="auto"/>
              </w:rPr>
              <w:t>Residential and professional products and warehouse</w:t>
            </w:r>
          </w:p>
        </w:tc>
      </w:tr>
      <w:tr>
        <w:trPr>
          <w:trHeight w:val="19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Baraboo, WI</w:t>
            </w:r>
          </w:p>
        </w:tc>
        <w:tc>
          <w:tcPr>
            <w:tcW w:w="22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Leased</w:t>
            </w:r>
          </w:p>
        </w:tc>
        <w:tc>
          <w:tcPr>
            <w:tcW w:w="50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Professional and residential finished goods distribution center</w:t>
            </w:r>
          </w:p>
        </w:tc>
      </w:tr>
      <w:tr>
        <w:trPr>
          <w:trHeight w:val="181"/>
        </w:trPr>
        <w:tc>
          <w:tcPr>
            <w:tcW w:w="2260" w:type="dxa"/>
            <w:vAlign w:val="bottom"/>
          </w:tcPr>
          <w:p>
            <w:pPr>
              <w:spacing w:after="0"/>
              <w:rPr>
                <w:sz w:val="20"/>
                <w:szCs w:val="20"/>
                <w:color w:val="auto"/>
              </w:rPr>
            </w:pPr>
            <w:r>
              <w:rPr>
                <w:rFonts w:ascii="Arial" w:cs="Arial" w:eastAsia="Arial" w:hAnsi="Arial"/>
                <w:sz w:val="13"/>
                <w:szCs w:val="13"/>
                <w:color w:val="auto"/>
              </w:rPr>
              <w:t>Beatrice, NE</w:t>
            </w:r>
          </w:p>
        </w:tc>
        <w:tc>
          <w:tcPr>
            <w:tcW w:w="2220" w:type="dxa"/>
            <w:vAlign w:val="bottom"/>
          </w:tcPr>
          <w:p>
            <w:pPr>
              <w:ind w:left="560"/>
              <w:spacing w:after="0"/>
              <w:rPr>
                <w:sz w:val="20"/>
                <w:szCs w:val="20"/>
                <w:color w:val="auto"/>
              </w:rPr>
            </w:pPr>
            <w:r>
              <w:rPr>
                <w:rFonts w:ascii="Arial" w:cs="Arial" w:eastAsia="Arial" w:hAnsi="Arial"/>
                <w:sz w:val="13"/>
                <w:szCs w:val="13"/>
                <w:color w:val="auto"/>
              </w:rPr>
              <w:t>Owned</w:t>
            </w:r>
          </w:p>
        </w:tc>
        <w:tc>
          <w:tcPr>
            <w:tcW w:w="5040" w:type="dxa"/>
            <w:vAlign w:val="bottom"/>
          </w:tcPr>
          <w:p>
            <w:pPr>
              <w:ind w:left="820"/>
              <w:spacing w:after="0"/>
              <w:rPr>
                <w:sz w:val="20"/>
                <w:szCs w:val="20"/>
                <w:color w:val="auto"/>
              </w:rPr>
            </w:pPr>
            <w:r>
              <w:rPr>
                <w:rFonts w:ascii="Arial" w:cs="Arial" w:eastAsia="Arial" w:hAnsi="Arial"/>
                <w:sz w:val="13"/>
                <w:szCs w:val="13"/>
                <w:color w:val="auto"/>
              </w:rPr>
              <w:t>Professional products, office, and test facility</w:t>
            </w:r>
          </w:p>
        </w:tc>
      </w:tr>
      <w:tr>
        <w:trPr>
          <w:trHeight w:val="19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Riverside, CA</w:t>
            </w:r>
          </w:p>
        </w:tc>
        <w:tc>
          <w:tcPr>
            <w:tcW w:w="22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Owned/Leased</w:t>
            </w:r>
          </w:p>
        </w:tc>
        <w:tc>
          <w:tcPr>
            <w:tcW w:w="50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Office and test facility</w:t>
            </w:r>
          </w:p>
        </w:tc>
      </w:tr>
      <w:tr>
        <w:trPr>
          <w:trHeight w:val="181"/>
        </w:trPr>
        <w:tc>
          <w:tcPr>
            <w:tcW w:w="2260" w:type="dxa"/>
            <w:vAlign w:val="bottom"/>
          </w:tcPr>
          <w:p>
            <w:pPr>
              <w:spacing w:after="0"/>
              <w:rPr>
                <w:sz w:val="20"/>
                <w:szCs w:val="20"/>
                <w:color w:val="auto"/>
              </w:rPr>
            </w:pPr>
            <w:r>
              <w:rPr>
                <w:rFonts w:ascii="Arial" w:cs="Arial" w:eastAsia="Arial" w:hAnsi="Arial"/>
                <w:sz w:val="13"/>
                <w:szCs w:val="13"/>
                <w:color w:val="auto"/>
              </w:rPr>
              <w:t>Lakeville, MN</w:t>
            </w:r>
          </w:p>
        </w:tc>
        <w:tc>
          <w:tcPr>
            <w:tcW w:w="2220" w:type="dxa"/>
            <w:vAlign w:val="bottom"/>
          </w:tcPr>
          <w:p>
            <w:pPr>
              <w:ind w:left="560"/>
              <w:spacing w:after="0"/>
              <w:rPr>
                <w:sz w:val="20"/>
                <w:szCs w:val="20"/>
                <w:color w:val="auto"/>
              </w:rPr>
            </w:pPr>
            <w:r>
              <w:rPr>
                <w:rFonts w:ascii="Arial" w:cs="Arial" w:eastAsia="Arial" w:hAnsi="Arial"/>
                <w:sz w:val="13"/>
                <w:szCs w:val="13"/>
                <w:color w:val="auto"/>
              </w:rPr>
              <w:t>Leased</w:t>
            </w:r>
          </w:p>
        </w:tc>
        <w:tc>
          <w:tcPr>
            <w:tcW w:w="5040" w:type="dxa"/>
            <w:vAlign w:val="bottom"/>
          </w:tcPr>
          <w:p>
            <w:pPr>
              <w:ind w:left="820"/>
              <w:spacing w:after="0"/>
              <w:rPr>
                <w:sz w:val="20"/>
                <w:szCs w:val="20"/>
                <w:color w:val="auto"/>
              </w:rPr>
            </w:pPr>
            <w:r>
              <w:rPr>
                <w:rFonts w:ascii="Arial" w:cs="Arial" w:eastAsia="Arial" w:hAnsi="Arial"/>
                <w:sz w:val="13"/>
                <w:szCs w:val="13"/>
                <w:color w:val="auto"/>
              </w:rPr>
              <w:t>Residential finished goods distribution center</w:t>
            </w:r>
          </w:p>
        </w:tc>
      </w:tr>
      <w:tr>
        <w:trPr>
          <w:trHeight w:val="19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Lincoln, NE</w:t>
            </w:r>
          </w:p>
        </w:tc>
        <w:tc>
          <w:tcPr>
            <w:tcW w:w="22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Leased</w:t>
            </w:r>
          </w:p>
        </w:tc>
        <w:tc>
          <w:tcPr>
            <w:tcW w:w="50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Professional products warehouse</w:t>
            </w:r>
          </w:p>
        </w:tc>
      </w:tr>
      <w:tr>
        <w:trPr>
          <w:trHeight w:val="181"/>
        </w:trPr>
        <w:tc>
          <w:tcPr>
            <w:tcW w:w="2260" w:type="dxa"/>
            <w:vAlign w:val="bottom"/>
          </w:tcPr>
          <w:p>
            <w:pPr>
              <w:spacing w:after="0"/>
              <w:rPr>
                <w:sz w:val="20"/>
                <w:szCs w:val="20"/>
                <w:color w:val="auto"/>
              </w:rPr>
            </w:pPr>
            <w:r>
              <w:rPr>
                <w:rFonts w:ascii="Arial" w:cs="Arial" w:eastAsia="Arial" w:hAnsi="Arial"/>
                <w:sz w:val="13"/>
                <w:szCs w:val="13"/>
                <w:color w:val="auto"/>
              </w:rPr>
              <w:t>Hertfordshire, United Kingdom</w:t>
            </w:r>
          </w:p>
        </w:tc>
        <w:tc>
          <w:tcPr>
            <w:tcW w:w="2220" w:type="dxa"/>
            <w:vAlign w:val="bottom"/>
          </w:tcPr>
          <w:p>
            <w:pPr>
              <w:ind w:left="560"/>
              <w:spacing w:after="0"/>
              <w:rPr>
                <w:sz w:val="20"/>
                <w:szCs w:val="20"/>
                <w:color w:val="auto"/>
              </w:rPr>
            </w:pPr>
            <w:r>
              <w:rPr>
                <w:rFonts w:ascii="Arial" w:cs="Arial" w:eastAsia="Arial" w:hAnsi="Arial"/>
                <w:sz w:val="13"/>
                <w:szCs w:val="13"/>
                <w:color w:val="auto"/>
              </w:rPr>
              <w:t>Owned</w:t>
            </w:r>
          </w:p>
        </w:tc>
        <w:tc>
          <w:tcPr>
            <w:tcW w:w="5040" w:type="dxa"/>
            <w:vAlign w:val="bottom"/>
          </w:tcPr>
          <w:p>
            <w:pPr>
              <w:ind w:left="820"/>
              <w:spacing w:after="0"/>
              <w:rPr>
                <w:sz w:val="20"/>
                <w:szCs w:val="20"/>
                <w:color w:val="auto"/>
              </w:rPr>
            </w:pPr>
            <w:r>
              <w:rPr>
                <w:rFonts w:ascii="Arial" w:cs="Arial" w:eastAsia="Arial" w:hAnsi="Arial"/>
                <w:sz w:val="13"/>
                <w:szCs w:val="13"/>
                <w:color w:val="auto"/>
              </w:rPr>
              <w:t>Professional and residential products and warehouse, office</w:t>
            </w:r>
          </w:p>
        </w:tc>
      </w:tr>
      <w:tr>
        <w:trPr>
          <w:trHeight w:val="19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Shakopee, MN</w:t>
            </w:r>
          </w:p>
        </w:tc>
        <w:tc>
          <w:tcPr>
            <w:tcW w:w="22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Owned</w:t>
            </w:r>
          </w:p>
        </w:tc>
        <w:tc>
          <w:tcPr>
            <w:tcW w:w="50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Components for professional and residential products</w:t>
            </w:r>
          </w:p>
        </w:tc>
      </w:tr>
      <w:tr>
        <w:trPr>
          <w:trHeight w:val="181"/>
        </w:trPr>
        <w:tc>
          <w:tcPr>
            <w:tcW w:w="2260" w:type="dxa"/>
            <w:vAlign w:val="bottom"/>
          </w:tcPr>
          <w:p>
            <w:pPr>
              <w:spacing w:after="0"/>
              <w:rPr>
                <w:sz w:val="20"/>
                <w:szCs w:val="20"/>
                <w:color w:val="auto"/>
              </w:rPr>
            </w:pPr>
            <w:r>
              <w:rPr>
                <w:rFonts w:ascii="Arial" w:cs="Arial" w:eastAsia="Arial" w:hAnsi="Arial"/>
                <w:sz w:val="13"/>
                <w:szCs w:val="13"/>
                <w:color w:val="auto"/>
              </w:rPr>
              <w:t>Beverley, Australia</w:t>
            </w:r>
          </w:p>
        </w:tc>
        <w:tc>
          <w:tcPr>
            <w:tcW w:w="2220" w:type="dxa"/>
            <w:vAlign w:val="bottom"/>
          </w:tcPr>
          <w:p>
            <w:pPr>
              <w:ind w:left="560"/>
              <w:spacing w:after="0"/>
              <w:rPr>
                <w:sz w:val="20"/>
                <w:szCs w:val="20"/>
                <w:color w:val="auto"/>
              </w:rPr>
            </w:pPr>
            <w:r>
              <w:rPr>
                <w:rFonts w:ascii="Arial" w:cs="Arial" w:eastAsia="Arial" w:hAnsi="Arial"/>
                <w:sz w:val="13"/>
                <w:szCs w:val="13"/>
                <w:color w:val="auto"/>
              </w:rPr>
              <w:t>Owned</w:t>
            </w:r>
          </w:p>
        </w:tc>
        <w:tc>
          <w:tcPr>
            <w:tcW w:w="5040" w:type="dxa"/>
            <w:vAlign w:val="bottom"/>
          </w:tcPr>
          <w:p>
            <w:pPr>
              <w:ind w:left="820"/>
              <w:spacing w:after="0"/>
              <w:rPr>
                <w:sz w:val="20"/>
                <w:szCs w:val="20"/>
                <w:color w:val="auto"/>
              </w:rPr>
            </w:pPr>
            <w:r>
              <w:rPr>
                <w:rFonts w:ascii="Arial" w:cs="Arial" w:eastAsia="Arial" w:hAnsi="Arial"/>
                <w:sz w:val="13"/>
                <w:szCs w:val="13"/>
                <w:color w:val="auto"/>
              </w:rPr>
              <w:t>Professional products, office and finished goods distribution center</w:t>
            </w:r>
          </w:p>
        </w:tc>
      </w:tr>
      <w:tr>
        <w:trPr>
          <w:trHeight w:val="19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El Cajon, CA</w:t>
            </w:r>
          </w:p>
        </w:tc>
        <w:tc>
          <w:tcPr>
            <w:tcW w:w="22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Owned</w:t>
            </w:r>
          </w:p>
        </w:tc>
        <w:tc>
          <w:tcPr>
            <w:tcW w:w="50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Professional and residential products and warehouse, office</w:t>
            </w:r>
          </w:p>
        </w:tc>
      </w:tr>
      <w:tr>
        <w:trPr>
          <w:trHeight w:val="181"/>
        </w:trPr>
        <w:tc>
          <w:tcPr>
            <w:tcW w:w="2260" w:type="dxa"/>
            <w:vAlign w:val="bottom"/>
          </w:tcPr>
          <w:p>
            <w:pPr>
              <w:spacing w:after="0"/>
              <w:rPr>
                <w:sz w:val="20"/>
                <w:szCs w:val="20"/>
                <w:color w:val="auto"/>
              </w:rPr>
            </w:pPr>
            <w:r>
              <w:rPr>
                <w:rFonts w:ascii="Arial" w:cs="Arial" w:eastAsia="Arial" w:hAnsi="Arial"/>
                <w:sz w:val="13"/>
                <w:szCs w:val="13"/>
                <w:color w:val="auto"/>
              </w:rPr>
              <w:t>Brooklyn Center, MN</w:t>
            </w:r>
          </w:p>
        </w:tc>
        <w:tc>
          <w:tcPr>
            <w:tcW w:w="2220" w:type="dxa"/>
            <w:vAlign w:val="bottom"/>
          </w:tcPr>
          <w:p>
            <w:pPr>
              <w:ind w:left="560"/>
              <w:spacing w:after="0"/>
              <w:rPr>
                <w:sz w:val="20"/>
                <w:szCs w:val="20"/>
                <w:color w:val="auto"/>
              </w:rPr>
            </w:pPr>
            <w:r>
              <w:rPr>
                <w:rFonts w:ascii="Arial" w:cs="Arial" w:eastAsia="Arial" w:hAnsi="Arial"/>
                <w:sz w:val="13"/>
                <w:szCs w:val="13"/>
                <w:color w:val="auto"/>
              </w:rPr>
              <w:t>Leased</w:t>
            </w:r>
          </w:p>
        </w:tc>
        <w:tc>
          <w:tcPr>
            <w:tcW w:w="5040" w:type="dxa"/>
            <w:vAlign w:val="bottom"/>
          </w:tcPr>
          <w:p>
            <w:pPr>
              <w:ind w:left="820"/>
              <w:spacing w:after="0"/>
              <w:rPr>
                <w:sz w:val="20"/>
                <w:szCs w:val="20"/>
                <w:color w:val="auto"/>
              </w:rPr>
            </w:pPr>
            <w:r>
              <w:rPr>
                <w:rFonts w:ascii="Arial" w:cs="Arial" w:eastAsia="Arial" w:hAnsi="Arial"/>
                <w:sz w:val="13"/>
                <w:szCs w:val="13"/>
                <w:color w:val="auto"/>
              </w:rPr>
              <w:t>Distribution facility</w:t>
            </w:r>
          </w:p>
        </w:tc>
      </w:tr>
      <w:tr>
        <w:trPr>
          <w:trHeight w:val="19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Capena, Italy</w:t>
            </w:r>
          </w:p>
        </w:tc>
        <w:tc>
          <w:tcPr>
            <w:tcW w:w="22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Leased</w:t>
            </w:r>
          </w:p>
        </w:tc>
        <w:tc>
          <w:tcPr>
            <w:tcW w:w="50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Distribution facility</w:t>
            </w:r>
          </w:p>
        </w:tc>
      </w:tr>
      <w:tr>
        <w:trPr>
          <w:trHeight w:val="181"/>
        </w:trPr>
        <w:tc>
          <w:tcPr>
            <w:tcW w:w="2260" w:type="dxa"/>
            <w:vAlign w:val="bottom"/>
          </w:tcPr>
          <w:p>
            <w:pPr>
              <w:spacing w:after="0"/>
              <w:rPr>
                <w:sz w:val="20"/>
                <w:szCs w:val="20"/>
                <w:color w:val="auto"/>
              </w:rPr>
            </w:pPr>
            <w:r>
              <w:rPr>
                <w:rFonts w:ascii="Arial" w:cs="Arial" w:eastAsia="Arial" w:hAnsi="Arial"/>
                <w:sz w:val="13"/>
                <w:szCs w:val="13"/>
                <w:color w:val="auto"/>
              </w:rPr>
              <w:t>Oevel, Belgium</w:t>
            </w:r>
          </w:p>
        </w:tc>
        <w:tc>
          <w:tcPr>
            <w:tcW w:w="2220" w:type="dxa"/>
            <w:vAlign w:val="bottom"/>
          </w:tcPr>
          <w:p>
            <w:pPr>
              <w:ind w:left="560"/>
              <w:spacing w:after="0"/>
              <w:rPr>
                <w:sz w:val="20"/>
                <w:szCs w:val="20"/>
                <w:color w:val="auto"/>
              </w:rPr>
            </w:pPr>
            <w:r>
              <w:rPr>
                <w:rFonts w:ascii="Arial" w:cs="Arial" w:eastAsia="Arial" w:hAnsi="Arial"/>
                <w:sz w:val="13"/>
                <w:szCs w:val="13"/>
                <w:color w:val="auto"/>
              </w:rPr>
              <w:t>Owned</w:t>
            </w:r>
          </w:p>
        </w:tc>
        <w:tc>
          <w:tcPr>
            <w:tcW w:w="5040" w:type="dxa"/>
            <w:vAlign w:val="bottom"/>
          </w:tcPr>
          <w:p>
            <w:pPr>
              <w:ind w:left="820"/>
              <w:spacing w:after="0"/>
              <w:rPr>
                <w:sz w:val="20"/>
                <w:szCs w:val="20"/>
                <w:color w:val="auto"/>
              </w:rPr>
            </w:pPr>
            <w:r>
              <w:rPr>
                <w:rFonts w:ascii="Arial" w:cs="Arial" w:eastAsia="Arial" w:hAnsi="Arial"/>
                <w:sz w:val="13"/>
                <w:szCs w:val="13"/>
                <w:color w:val="auto"/>
              </w:rPr>
              <w:t>Distribution facility</w:t>
            </w:r>
          </w:p>
        </w:tc>
      </w:tr>
      <w:tr>
        <w:trPr>
          <w:trHeight w:val="19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Hazelwood, MO</w:t>
            </w:r>
          </w:p>
        </w:tc>
        <w:tc>
          <w:tcPr>
            <w:tcW w:w="22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Leased</w:t>
            </w:r>
          </w:p>
        </w:tc>
        <w:tc>
          <w:tcPr>
            <w:tcW w:w="50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Distribution facility</w:t>
            </w:r>
          </w:p>
        </w:tc>
      </w:tr>
      <w:tr>
        <w:trPr>
          <w:trHeight w:val="181"/>
        </w:trPr>
        <w:tc>
          <w:tcPr>
            <w:tcW w:w="2260" w:type="dxa"/>
            <w:vAlign w:val="bottom"/>
          </w:tcPr>
          <w:p>
            <w:pPr>
              <w:spacing w:after="0"/>
              <w:rPr>
                <w:sz w:val="20"/>
                <w:szCs w:val="20"/>
                <w:color w:val="auto"/>
              </w:rPr>
            </w:pPr>
            <w:r>
              <w:rPr>
                <w:rFonts w:ascii="Arial" w:cs="Arial" w:eastAsia="Arial" w:hAnsi="Arial"/>
                <w:sz w:val="13"/>
                <w:szCs w:val="13"/>
                <w:color w:val="auto"/>
              </w:rPr>
              <w:t>Braeside, Australia</w:t>
            </w:r>
          </w:p>
        </w:tc>
        <w:tc>
          <w:tcPr>
            <w:tcW w:w="2220" w:type="dxa"/>
            <w:vAlign w:val="bottom"/>
          </w:tcPr>
          <w:p>
            <w:pPr>
              <w:ind w:left="560"/>
              <w:spacing w:after="0"/>
              <w:rPr>
                <w:sz w:val="20"/>
                <w:szCs w:val="20"/>
                <w:color w:val="auto"/>
              </w:rPr>
            </w:pPr>
            <w:r>
              <w:rPr>
                <w:rFonts w:ascii="Arial" w:cs="Arial" w:eastAsia="Arial" w:hAnsi="Arial"/>
                <w:sz w:val="13"/>
                <w:szCs w:val="13"/>
                <w:color w:val="auto"/>
              </w:rPr>
              <w:t>Leased</w:t>
            </w:r>
          </w:p>
        </w:tc>
        <w:tc>
          <w:tcPr>
            <w:tcW w:w="5040" w:type="dxa"/>
            <w:vAlign w:val="bottom"/>
          </w:tcPr>
          <w:p>
            <w:pPr>
              <w:ind w:left="820"/>
              <w:spacing w:after="0"/>
              <w:rPr>
                <w:sz w:val="20"/>
                <w:szCs w:val="20"/>
                <w:color w:val="auto"/>
              </w:rPr>
            </w:pPr>
            <w:r>
              <w:rPr>
                <w:rFonts w:ascii="Arial" w:cs="Arial" w:eastAsia="Arial" w:hAnsi="Arial"/>
                <w:sz w:val="13"/>
                <w:szCs w:val="13"/>
                <w:color w:val="auto"/>
              </w:rPr>
              <w:t>Distribution facility</w:t>
            </w:r>
          </w:p>
        </w:tc>
      </w:tr>
      <w:tr>
        <w:trPr>
          <w:trHeight w:val="19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Sandford, FL</w:t>
            </w:r>
          </w:p>
        </w:tc>
        <w:tc>
          <w:tcPr>
            <w:tcW w:w="22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Leased</w:t>
            </w:r>
          </w:p>
        </w:tc>
        <w:tc>
          <w:tcPr>
            <w:tcW w:w="50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Professional products</w:t>
            </w:r>
          </w:p>
        </w:tc>
      </w:tr>
      <w:tr>
        <w:trPr>
          <w:trHeight w:val="183"/>
        </w:trPr>
        <w:tc>
          <w:tcPr>
            <w:tcW w:w="2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Itasca, IL</w:t>
            </w:r>
          </w:p>
        </w:tc>
        <w:tc>
          <w:tcPr>
            <w:tcW w:w="222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Leased</w:t>
            </w:r>
          </w:p>
        </w:tc>
        <w:tc>
          <w:tcPr>
            <w:tcW w:w="504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Distribution facility</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3.  LEGAL PROCEEDINGS</w:t>
      </w:r>
    </w:p>
    <w:p>
      <w:pPr>
        <w:spacing w:after="0" w:line="23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are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both as a plaintiff and as a defendant. While the ultimate results of the current cases are unknown at this time, management believes that the outcome of these cases is unlikely to have a materially adverse effect on our consolidated operating results or financial condition. Further, we maintain insurance against some product liability losses.</w:t>
      </w:r>
    </w:p>
    <w:p>
      <w:pPr>
        <w:spacing w:after="0" w:line="3" w:lineRule="exact"/>
        <w:rPr>
          <w:sz w:val="20"/>
          <w:szCs w:val="20"/>
          <w:color w:val="auto"/>
        </w:rPr>
      </w:pPr>
    </w:p>
    <w:p>
      <w:pPr>
        <w:ind w:firstLine="180"/>
        <w:spacing w:after="0" w:line="251" w:lineRule="auto"/>
        <w:rPr>
          <w:sz w:val="20"/>
          <w:szCs w:val="20"/>
          <w:color w:val="auto"/>
        </w:rPr>
      </w:pPr>
      <w:r>
        <w:rPr>
          <w:rFonts w:ascii="Arial" w:cs="Arial" w:eastAsia="Arial" w:hAnsi="Arial"/>
          <w:sz w:val="18"/>
          <w:szCs w:val="18"/>
          <w:color w:val="auto"/>
        </w:rPr>
        <w:t>On June 3, 2004, eight individuals who claim to have purchased lawnmowers in Illinois and Minnesota filed a lawsuit (Ronnie Phillips et al. v. Sears Roebuck Corporation et. al., No.04-L-334 (20th Judicial Circuit, St. Clair County, IL)) against the company and eight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or sold by the defendants. The complaint seeks an injunction, unspecified compensatory and punitive damages, and attorneys’ fees. No answers have been entered in the case, and there has been no formal discovery. A number of procedural motions have been filed by the defendants, but have not yet been decided. On April 20, 2005, the court issued a stay of discovery and procedural matters to permit the parties to engage in settlement discussions. An attempt at mediation in October 2005 was unsuccessful, and the company expects the stay of discovery to be lifted so that various procedural motions may be determined. Management continues to evaluate this lawsuit and is unable to reasonably estimate the likelihood of loss or the amount or range of potential loss that could result from this litigation. Therefore, an accrual has not been established for any potential loss in connection with this lawsuit. The company is also unable to assess at this time whether the lawsuit will have a material adverse effect on its annual consolidated operating results or financial condition, although an unfavorable resolution could be material to the company’s operating results for a particular period.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4.  SUBMISSION OF MATTERS TO A VOTE OF SECURITY 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security holders during the fourth quarter of fiscal 2005.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EXECUTIVE OFFICERS OF THE REGISTRANT</w:t>
      </w:r>
    </w:p>
    <w:p>
      <w:pPr>
        <w:spacing w:after="0" w:line="4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list below identifies those persons designated as executive officers of the company, including their age and position with the company as of December 16, 2005 and positions held by them during the last five or more years. Officers are elected by the Board of Directors or appointed by the Chief Executive Officer annually. All executive officers listed below are subject to Section 16 under the Securities Exchange Act of 1934, as amended.</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26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Name, Age, and Position with the</w:t>
            </w:r>
          </w:p>
        </w:tc>
        <w:tc>
          <w:tcPr>
            <w:tcW w:w="678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rPr>
              <w:t>Business Experience During the Last Five or More Years</w:t>
            </w:r>
          </w:p>
        </w:tc>
      </w:tr>
      <w:tr>
        <w:trPr>
          <w:trHeight w:val="189"/>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678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Kendrick B. Melrose</w:t>
            </w:r>
          </w:p>
        </w:tc>
        <w:tc>
          <w:tcPr>
            <w:tcW w:w="67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w w:val="96"/>
              </w:rPr>
              <w:t>Executive Chairman of the Board since March 2005. From December 1987 to March 2005, he served as Chairman</w:t>
            </w:r>
          </w:p>
        </w:tc>
      </w:tr>
      <w:tr>
        <w:trPr>
          <w:trHeight w:val="176"/>
        </w:trPr>
        <w:tc>
          <w:tcPr>
            <w:tcW w:w="20" w:type="dxa"/>
            <w:vAlign w:val="bottom"/>
          </w:tcPr>
          <w:p>
            <w:pPr>
              <w:spacing w:after="0"/>
              <w:rPr>
                <w:sz w:val="15"/>
                <w:szCs w:val="15"/>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65, Executive Chairman</w:t>
            </w:r>
          </w:p>
        </w:tc>
        <w:tc>
          <w:tcPr>
            <w:tcW w:w="67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7"/>
              </w:rPr>
              <w:t>of the Board and Chief Executive Officer. From December 1983 to December 1987, he served as Chief Executive</w:t>
            </w:r>
          </w:p>
        </w:tc>
      </w:tr>
      <w:tr>
        <w:trPr>
          <w:trHeight w:val="176"/>
        </w:trPr>
        <w:tc>
          <w:tcPr>
            <w:tcW w:w="20" w:type="dxa"/>
            <w:vAlign w:val="bottom"/>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67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8"/>
              </w:rPr>
              <w:t>Officer. On December 31, 2005, he will retire as an employee of The Toro Company but will continue to serve as</w:t>
            </w:r>
          </w:p>
        </w:tc>
      </w:tr>
      <w:tr>
        <w:trPr>
          <w:trHeight w:val="185"/>
        </w:trPr>
        <w:tc>
          <w:tcPr>
            <w:tcW w:w="20" w:type="dxa"/>
            <w:vAlign w:val="bottom"/>
          </w:tcPr>
          <w:p>
            <w:pPr>
              <w:spacing w:after="0"/>
              <w:rPr>
                <w:sz w:val="16"/>
                <w:szCs w:val="16"/>
                <w:color w:val="auto"/>
              </w:rPr>
            </w:pPr>
          </w:p>
        </w:tc>
        <w:tc>
          <w:tcPr>
            <w:tcW w:w="2660" w:type="dxa"/>
            <w:vAlign w:val="bottom"/>
            <w:tcBorders>
              <w:bottom w:val="single" w:sz="8" w:color="auto"/>
            </w:tcBorders>
            <w:shd w:val="clear" w:color="auto" w:fill="CCEEFF"/>
          </w:tcPr>
          <w:p>
            <w:pPr>
              <w:spacing w:after="0"/>
              <w:rPr>
                <w:sz w:val="16"/>
                <w:szCs w:val="16"/>
                <w:color w:val="auto"/>
              </w:rPr>
            </w:pPr>
          </w:p>
        </w:tc>
        <w:tc>
          <w:tcPr>
            <w:tcW w:w="67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rPr>
              <w:t>Chairman of the Board.</w:t>
            </w:r>
          </w:p>
        </w:tc>
      </w:tr>
      <w:tr>
        <w:trPr>
          <w:trHeight w:val="168"/>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3"/>
                <w:szCs w:val="13"/>
                <w:b w:val="1"/>
                <w:bCs w:val="1"/>
                <w:color w:val="auto"/>
              </w:rPr>
              <w:t>Michael J. Hoffman</w:t>
            </w:r>
          </w:p>
        </w:tc>
        <w:tc>
          <w:tcPr>
            <w:tcW w:w="6780" w:type="dxa"/>
            <w:vAlign w:val="bottom"/>
          </w:tcPr>
          <w:p>
            <w:pPr>
              <w:ind w:left="380"/>
              <w:spacing w:after="0"/>
              <w:rPr>
                <w:sz w:val="20"/>
                <w:szCs w:val="20"/>
                <w:color w:val="auto"/>
              </w:rPr>
            </w:pPr>
            <w:r>
              <w:rPr>
                <w:rFonts w:ascii="Arial" w:cs="Arial" w:eastAsia="Arial" w:hAnsi="Arial"/>
                <w:sz w:val="13"/>
                <w:szCs w:val="13"/>
                <w:color w:val="auto"/>
              </w:rPr>
              <w:t>Chief Executive Officer since March 2005 and President since 2004. He also served as Chief Operating Officer</w:t>
            </w:r>
          </w:p>
        </w:tc>
      </w:tr>
      <w:tr>
        <w:trPr>
          <w:trHeight w:val="167"/>
        </w:trPr>
        <w:tc>
          <w:tcPr>
            <w:tcW w:w="2680" w:type="dxa"/>
            <w:vAlign w:val="bottom"/>
            <w:gridSpan w:val="2"/>
          </w:tcPr>
          <w:p>
            <w:pPr>
              <w:spacing w:after="0"/>
              <w:rPr>
                <w:sz w:val="20"/>
                <w:szCs w:val="20"/>
                <w:color w:val="auto"/>
              </w:rPr>
            </w:pPr>
            <w:r>
              <w:rPr>
                <w:rFonts w:ascii="Arial" w:cs="Arial" w:eastAsia="Arial" w:hAnsi="Arial"/>
                <w:sz w:val="13"/>
                <w:szCs w:val="13"/>
                <w:color w:val="auto"/>
              </w:rPr>
              <w:t>50, President and Chief Executive Officer</w:t>
            </w:r>
          </w:p>
        </w:tc>
        <w:tc>
          <w:tcPr>
            <w:tcW w:w="6780" w:type="dxa"/>
            <w:vAlign w:val="bottom"/>
          </w:tcPr>
          <w:p>
            <w:pPr>
              <w:ind w:left="380"/>
              <w:spacing w:after="0"/>
              <w:rPr>
                <w:sz w:val="20"/>
                <w:szCs w:val="20"/>
                <w:color w:val="auto"/>
              </w:rPr>
            </w:pPr>
            <w:r>
              <w:rPr>
                <w:rFonts w:ascii="Arial" w:cs="Arial" w:eastAsia="Arial" w:hAnsi="Arial"/>
                <w:sz w:val="13"/>
                <w:szCs w:val="13"/>
                <w:color w:val="auto"/>
                <w:w w:val="99"/>
              </w:rPr>
              <w:t>from October 2004 to March 2005. From November 2002 to October 2004, he served as Group Vice President,</w:t>
            </w:r>
          </w:p>
        </w:tc>
      </w:tr>
      <w:tr>
        <w:trPr>
          <w:trHeight w:val="176"/>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6780" w:type="dxa"/>
            <w:vAlign w:val="bottom"/>
          </w:tcPr>
          <w:p>
            <w:pPr>
              <w:ind w:left="380"/>
              <w:spacing w:after="0"/>
              <w:rPr>
                <w:sz w:val="20"/>
                <w:szCs w:val="20"/>
                <w:color w:val="auto"/>
              </w:rPr>
            </w:pPr>
            <w:r>
              <w:rPr>
                <w:rFonts w:ascii="Arial" w:cs="Arial" w:eastAsia="Arial" w:hAnsi="Arial"/>
                <w:sz w:val="13"/>
                <w:szCs w:val="13"/>
                <w:color w:val="auto"/>
              </w:rPr>
              <w:t>Consumer, Exmark, Landscape Contractor, and International Businesses. From May 2001 to October 2002, he</w:t>
            </w:r>
          </w:p>
        </w:tc>
      </w:tr>
      <w:tr>
        <w:trPr>
          <w:trHeight w:val="176"/>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6780" w:type="dxa"/>
            <w:vAlign w:val="bottom"/>
          </w:tcPr>
          <w:p>
            <w:pPr>
              <w:ind w:left="380"/>
              <w:spacing w:after="0"/>
              <w:rPr>
                <w:sz w:val="20"/>
                <w:szCs w:val="20"/>
                <w:color w:val="auto"/>
              </w:rPr>
            </w:pPr>
            <w:r>
              <w:rPr>
                <w:rFonts w:ascii="Arial" w:cs="Arial" w:eastAsia="Arial" w:hAnsi="Arial"/>
                <w:sz w:val="13"/>
                <w:szCs w:val="13"/>
                <w:color w:val="auto"/>
                <w:w w:val="96"/>
              </w:rPr>
              <w:t>served as Group Vice President, Consumer, and Landscape Contractor Businesses. From May 2000 to May 2001,</w:t>
            </w:r>
          </w:p>
        </w:tc>
      </w:tr>
      <w:tr>
        <w:trPr>
          <w:trHeight w:val="185"/>
        </w:trPr>
        <w:tc>
          <w:tcPr>
            <w:tcW w:w="20" w:type="dxa"/>
            <w:vAlign w:val="bottom"/>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67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he served as Vice President and General Manager, Consumer Business.</w:t>
            </w:r>
          </w:p>
        </w:tc>
      </w:tr>
      <w:tr>
        <w:trPr>
          <w:trHeight w:val="168"/>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William E. Brown, Jr.</w:t>
            </w:r>
          </w:p>
        </w:tc>
        <w:tc>
          <w:tcPr>
            <w:tcW w:w="67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Vice President and General Manager, Commercial Business since February 2003. From September 2000 to</w:t>
            </w: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44, Vice President and General Manager,</w:t>
            </w:r>
          </w:p>
        </w:tc>
        <w:tc>
          <w:tcPr>
            <w:tcW w:w="67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January 2003, he served as General Manager, Landscape Contractor Business.</w:t>
            </w:r>
          </w:p>
        </w:tc>
      </w:tr>
      <w:tr>
        <w:trPr>
          <w:trHeight w:val="185"/>
        </w:trPr>
        <w:tc>
          <w:tcPr>
            <w:tcW w:w="20" w:type="dxa"/>
            <w:vAlign w:val="bottom"/>
          </w:tcPr>
          <w:p>
            <w:pPr>
              <w:spacing w:after="0"/>
              <w:rPr>
                <w:sz w:val="16"/>
                <w:szCs w:val="16"/>
                <w:color w:val="auto"/>
              </w:rPr>
            </w:pPr>
          </w:p>
        </w:tc>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Commercial Business</w:t>
            </w:r>
          </w:p>
        </w:tc>
        <w:tc>
          <w:tcPr>
            <w:tcW w:w="6780" w:type="dxa"/>
            <w:vAlign w:val="bottom"/>
            <w:tcBorders>
              <w:bottom w:val="single" w:sz="8" w:color="auto"/>
            </w:tcBorders>
            <w:shd w:val="clear" w:color="auto" w:fill="CCEEFF"/>
          </w:tcPr>
          <w:p>
            <w:pPr>
              <w:spacing w:after="0"/>
              <w:rPr>
                <w:sz w:val="16"/>
                <w:szCs w:val="16"/>
                <w:color w:val="auto"/>
              </w:rPr>
            </w:pPr>
          </w:p>
        </w:tc>
      </w:tr>
    </w:tbl>
    <w:p>
      <w:pPr>
        <w:sectPr>
          <w:pgSz w:w="11900" w:h="16838" w:orient="portrait"/>
          <w:cols w:equalWidth="0" w:num="1">
            <w:col w:w="11400"/>
          </w:cols>
          <w:pgMar w:left="240" w:top="140" w:right="259" w:bottom="0" w:gutter="0" w:footer="0" w:header="0"/>
        </w:sectPr>
      </w:pPr>
    </w:p>
    <w:bookmarkStart w:id="13" w:name="page14"/>
    <w:bookmarkEnd w:id="13"/>
    <w:p>
      <w:pPr>
        <w:spacing w:after="0" w:line="90" w:lineRule="exact"/>
        <w:rPr>
          <w:sz w:val="20"/>
          <w:szCs w:val="20"/>
          <w:color w:val="auto"/>
        </w:rPr>
      </w:pPr>
    </w:p>
    <w:tbl>
      <w:tblPr>
        <w:tblLayout w:type="fixed"/>
        <w:tblInd w:w="980" w:type="dxa"/>
        <w:tblCellMar>
          <w:top w:w="0" w:type="dxa"/>
          <w:left w:w="0" w:type="dxa"/>
          <w:bottom w:w="0" w:type="dxa"/>
          <w:right w:w="0" w:type="dxa"/>
        </w:tblCellMar>
      </w:tblPr>
      <w:tr>
        <w:trPr>
          <w:trHeight w:val="182"/>
        </w:trPr>
        <w:tc>
          <w:tcPr>
            <w:tcW w:w="278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Philip A. Burkart</w:t>
            </w:r>
          </w:p>
        </w:tc>
        <w:tc>
          <w:tcPr>
            <w:tcW w:w="6680" w:type="dxa"/>
            <w:vAlign w:val="bottom"/>
            <w:tcBorders>
              <w:top w:val="single" w:sz="8" w:color="auto"/>
            </w:tcBorders>
          </w:tcPr>
          <w:p>
            <w:pPr>
              <w:ind w:left="280"/>
              <w:spacing w:after="0"/>
              <w:rPr>
                <w:sz w:val="20"/>
                <w:szCs w:val="20"/>
                <w:color w:val="auto"/>
              </w:rPr>
            </w:pPr>
            <w:r>
              <w:rPr>
                <w:rFonts w:ascii="Arial" w:cs="Arial" w:eastAsia="Arial" w:hAnsi="Arial"/>
                <w:sz w:val="13"/>
                <w:szCs w:val="13"/>
                <w:color w:val="auto"/>
              </w:rPr>
              <w:t>Vice President and General Manager, Irrigation Business since February 2003. From November 2000 to</w:t>
            </w:r>
          </w:p>
        </w:tc>
      </w:tr>
      <w:tr>
        <w:trPr>
          <w:trHeight w:val="167"/>
        </w:trPr>
        <w:tc>
          <w:tcPr>
            <w:tcW w:w="2780" w:type="dxa"/>
            <w:vAlign w:val="bottom"/>
            <w:gridSpan w:val="2"/>
          </w:tcPr>
          <w:p>
            <w:pPr>
              <w:spacing w:after="0"/>
              <w:rPr>
                <w:sz w:val="20"/>
                <w:szCs w:val="20"/>
                <w:color w:val="auto"/>
              </w:rPr>
            </w:pPr>
            <w:r>
              <w:rPr>
                <w:rFonts w:ascii="Arial" w:cs="Arial" w:eastAsia="Arial" w:hAnsi="Arial"/>
                <w:sz w:val="13"/>
                <w:szCs w:val="13"/>
                <w:color w:val="auto"/>
              </w:rPr>
              <w:t>43, Vice President and General Manager,</w:t>
            </w:r>
          </w:p>
        </w:tc>
        <w:tc>
          <w:tcPr>
            <w:tcW w:w="6680" w:type="dxa"/>
            <w:vAlign w:val="bottom"/>
          </w:tcPr>
          <w:p>
            <w:pPr>
              <w:ind w:left="280"/>
              <w:spacing w:after="0"/>
              <w:rPr>
                <w:sz w:val="20"/>
                <w:szCs w:val="20"/>
                <w:color w:val="auto"/>
              </w:rPr>
            </w:pPr>
            <w:r>
              <w:rPr>
                <w:rFonts w:ascii="Arial" w:cs="Arial" w:eastAsia="Arial" w:hAnsi="Arial"/>
                <w:sz w:val="13"/>
                <w:szCs w:val="13"/>
                <w:color w:val="auto"/>
              </w:rPr>
              <w:t>January 2003, he served as Vice President and General Manager, International Business.</w:t>
            </w:r>
          </w:p>
        </w:tc>
      </w:tr>
      <w:tr>
        <w:trPr>
          <w:trHeight w:val="185"/>
        </w:trPr>
        <w:tc>
          <w:tcPr>
            <w:tcW w:w="2780" w:type="dxa"/>
            <w:vAlign w:val="bottom"/>
            <w:gridSpan w:val="2"/>
          </w:tcPr>
          <w:p>
            <w:pPr>
              <w:spacing w:after="0"/>
              <w:rPr>
                <w:sz w:val="20"/>
                <w:szCs w:val="20"/>
                <w:color w:val="auto"/>
              </w:rPr>
            </w:pPr>
            <w:r>
              <w:rPr>
                <w:rFonts w:ascii="Arial" w:cs="Arial" w:eastAsia="Arial" w:hAnsi="Arial"/>
                <w:sz w:val="13"/>
                <w:szCs w:val="13"/>
                <w:color w:val="auto"/>
              </w:rPr>
              <w:t>Irrigation Business</w:t>
            </w:r>
          </w:p>
        </w:tc>
        <w:tc>
          <w:tcPr>
            <w:tcW w:w="668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Michael D. Drazan</w:t>
            </w:r>
          </w:p>
        </w:tc>
        <w:tc>
          <w:tcPr>
            <w:tcW w:w="66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Vice President, Corporate Information Services since March 2000.</w:t>
            </w: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48, Vice President, Corporate Information</w:t>
            </w:r>
          </w:p>
        </w:tc>
        <w:tc>
          <w:tcPr>
            <w:tcW w:w="6680" w:type="dxa"/>
            <w:vAlign w:val="bottom"/>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Services</w:t>
            </w:r>
          </w:p>
        </w:tc>
        <w:tc>
          <w:tcPr>
            <w:tcW w:w="6680" w:type="dxa"/>
            <w:vAlign w:val="bottom"/>
            <w:tcBorders>
              <w:bottom w:val="single" w:sz="8" w:color="auto"/>
            </w:tcBorders>
            <w:shd w:val="clear" w:color="auto" w:fill="CCEEFF"/>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b w:val="1"/>
                <w:bCs w:val="1"/>
                <w:color w:val="auto"/>
              </w:rPr>
              <w:t>Timothy A. Ford</w:t>
            </w:r>
          </w:p>
        </w:tc>
        <w:tc>
          <w:tcPr>
            <w:tcW w:w="6680" w:type="dxa"/>
            <w:vAlign w:val="bottom"/>
          </w:tcPr>
          <w:p>
            <w:pPr>
              <w:ind w:left="280"/>
              <w:spacing w:after="0"/>
              <w:rPr>
                <w:sz w:val="20"/>
                <w:szCs w:val="20"/>
                <w:color w:val="auto"/>
              </w:rPr>
            </w:pPr>
            <w:r>
              <w:rPr>
                <w:rFonts w:ascii="Arial" w:cs="Arial" w:eastAsia="Arial" w:hAnsi="Arial"/>
                <w:sz w:val="13"/>
                <w:szCs w:val="13"/>
                <w:color w:val="auto"/>
              </w:rPr>
              <w:t>Executive Vice President, Consumer, Exmark, Lawn-Boy, Landscape Contractor Business, Irrigation, Micro-</w:t>
            </w:r>
          </w:p>
        </w:tc>
      </w:tr>
      <w:tr>
        <w:trPr>
          <w:trHeight w:val="167"/>
        </w:trPr>
        <w:tc>
          <w:tcPr>
            <w:tcW w:w="2780" w:type="dxa"/>
            <w:vAlign w:val="bottom"/>
            <w:gridSpan w:val="2"/>
          </w:tcPr>
          <w:p>
            <w:pPr>
              <w:spacing w:after="0"/>
              <w:rPr>
                <w:sz w:val="20"/>
                <w:szCs w:val="20"/>
                <w:color w:val="auto"/>
              </w:rPr>
            </w:pPr>
            <w:r>
              <w:rPr>
                <w:rFonts w:ascii="Arial" w:cs="Arial" w:eastAsia="Arial" w:hAnsi="Arial"/>
                <w:sz w:val="13"/>
                <w:szCs w:val="13"/>
                <w:color w:val="auto"/>
              </w:rPr>
              <w:t>43, Executive Vice President</w:t>
            </w:r>
          </w:p>
        </w:tc>
        <w:tc>
          <w:tcPr>
            <w:tcW w:w="6680" w:type="dxa"/>
            <w:vAlign w:val="bottom"/>
          </w:tcPr>
          <w:p>
            <w:pPr>
              <w:ind w:left="280"/>
              <w:spacing w:after="0"/>
              <w:rPr>
                <w:sz w:val="20"/>
                <w:szCs w:val="20"/>
                <w:color w:val="auto"/>
              </w:rPr>
            </w:pPr>
            <w:r>
              <w:rPr>
                <w:rFonts w:ascii="Arial" w:cs="Arial" w:eastAsia="Arial" w:hAnsi="Arial"/>
                <w:sz w:val="13"/>
                <w:szCs w:val="13"/>
                <w:color w:val="auto"/>
                <w:w w:val="99"/>
              </w:rPr>
              <w:t>Irrigation, Corporate Accounts, and Center for Advanced Technology since June 2005. From November 2002 to</w:t>
            </w:r>
          </w:p>
        </w:tc>
      </w:tr>
      <w:tr>
        <w:trPr>
          <w:trHeight w:val="176"/>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680" w:type="dxa"/>
            <w:vAlign w:val="bottom"/>
          </w:tcPr>
          <w:p>
            <w:pPr>
              <w:ind w:left="280"/>
              <w:spacing w:after="0"/>
              <w:rPr>
                <w:sz w:val="20"/>
                <w:szCs w:val="20"/>
                <w:color w:val="auto"/>
              </w:rPr>
            </w:pPr>
            <w:r>
              <w:rPr>
                <w:rFonts w:ascii="Arial" w:cs="Arial" w:eastAsia="Arial" w:hAnsi="Arial"/>
                <w:sz w:val="13"/>
                <w:szCs w:val="13"/>
                <w:color w:val="auto"/>
              </w:rPr>
              <w:t>May 2005, he served as Group Vice President, Commercial, Irrigation, Agricultural Irrigation Businesses,</w:t>
            </w:r>
          </w:p>
        </w:tc>
      </w:tr>
      <w:tr>
        <w:trPr>
          <w:trHeight w:val="176"/>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680" w:type="dxa"/>
            <w:vAlign w:val="bottom"/>
          </w:tcPr>
          <w:p>
            <w:pPr>
              <w:ind w:left="280"/>
              <w:spacing w:after="0"/>
              <w:rPr>
                <w:sz w:val="20"/>
                <w:szCs w:val="20"/>
                <w:color w:val="auto"/>
              </w:rPr>
            </w:pPr>
            <w:r>
              <w:rPr>
                <w:rFonts w:ascii="Arial" w:cs="Arial" w:eastAsia="Arial" w:hAnsi="Arial"/>
                <w:sz w:val="13"/>
                <w:szCs w:val="13"/>
                <w:color w:val="auto"/>
              </w:rPr>
              <w:t>Corporate Accounts, Distributor Businesses, and Center for Advanced Technology. From February 2002 to</w:t>
            </w:r>
          </w:p>
        </w:tc>
      </w:tr>
      <w:tr>
        <w:trPr>
          <w:trHeight w:val="176"/>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680" w:type="dxa"/>
            <w:vAlign w:val="bottom"/>
          </w:tcPr>
          <w:p>
            <w:pPr>
              <w:ind w:left="280"/>
              <w:spacing w:after="0"/>
              <w:rPr>
                <w:sz w:val="20"/>
                <w:szCs w:val="20"/>
                <w:color w:val="auto"/>
              </w:rPr>
            </w:pPr>
            <w:r>
              <w:rPr>
                <w:rFonts w:ascii="Arial" w:cs="Arial" w:eastAsia="Arial" w:hAnsi="Arial"/>
                <w:sz w:val="13"/>
                <w:szCs w:val="13"/>
                <w:color w:val="auto"/>
              </w:rPr>
              <w:t>October 2002, he served as Vice President and General Manager, Commercial Business, Corporate Accounts,</w:t>
            </w:r>
          </w:p>
        </w:tc>
      </w:tr>
      <w:tr>
        <w:trPr>
          <w:trHeight w:val="176"/>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680" w:type="dxa"/>
            <w:vAlign w:val="bottom"/>
          </w:tcPr>
          <w:p>
            <w:pPr>
              <w:ind w:left="280"/>
              <w:spacing w:after="0"/>
              <w:rPr>
                <w:sz w:val="20"/>
                <w:szCs w:val="20"/>
                <w:color w:val="auto"/>
              </w:rPr>
            </w:pPr>
            <w:r>
              <w:rPr>
                <w:rFonts w:ascii="Arial" w:cs="Arial" w:eastAsia="Arial" w:hAnsi="Arial"/>
                <w:sz w:val="13"/>
                <w:szCs w:val="13"/>
                <w:color w:val="auto"/>
              </w:rPr>
              <w:t>and Distributor Business Development. From August 2001 to January 2002, he served as Vice President and</w:t>
            </w:r>
          </w:p>
        </w:tc>
      </w:tr>
      <w:tr>
        <w:trPr>
          <w:trHeight w:val="185"/>
        </w:trPr>
        <w:tc>
          <w:tcPr>
            <w:tcW w:w="2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668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General Manager, Commercial Business.</w:t>
            </w:r>
          </w:p>
        </w:tc>
      </w:tr>
      <w:tr>
        <w:trPr>
          <w:trHeight w:val="168"/>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Dennis P. Himan</w:t>
            </w:r>
          </w:p>
        </w:tc>
        <w:tc>
          <w:tcPr>
            <w:tcW w:w="6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Vice President and General Manager, International Business since February 2003. From January 2002 to</w:t>
            </w: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61, Vice President and General Manager,</w:t>
            </w:r>
          </w:p>
        </w:tc>
        <w:tc>
          <w:tcPr>
            <w:tcW w:w="668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7"/>
              </w:rPr>
              <w:t>January 2003, he served as Vice President and General Manager, Exmark Landscape Contractor Business. From</w:t>
            </w:r>
          </w:p>
        </w:tc>
      </w:tr>
      <w:tr>
        <w:trPr>
          <w:trHeight w:val="176"/>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International Business</w:t>
            </w:r>
          </w:p>
        </w:tc>
        <w:tc>
          <w:tcPr>
            <w:tcW w:w="6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August 1998 to December 2001, he served as Vice President and General Manager, Landscape Contractor</w:t>
            </w:r>
          </w:p>
        </w:tc>
      </w:tr>
      <w:tr>
        <w:trPr>
          <w:trHeight w:val="185"/>
        </w:trPr>
        <w:tc>
          <w:tcPr>
            <w:tcW w:w="20" w:type="dxa"/>
            <w:vAlign w:val="bottom"/>
          </w:tcPr>
          <w:p>
            <w:pPr>
              <w:spacing w:after="0"/>
              <w:rPr>
                <w:sz w:val="16"/>
                <w:szCs w:val="16"/>
                <w:color w:val="auto"/>
              </w:rPr>
            </w:pPr>
          </w:p>
        </w:tc>
        <w:tc>
          <w:tcPr>
            <w:tcW w:w="2760" w:type="dxa"/>
            <w:vAlign w:val="bottom"/>
            <w:tcBorders>
              <w:bottom w:val="single" w:sz="8" w:color="auto"/>
            </w:tcBorders>
            <w:shd w:val="clear" w:color="auto" w:fill="CCEEFF"/>
          </w:tcPr>
          <w:p>
            <w:pPr>
              <w:spacing w:after="0"/>
              <w:rPr>
                <w:sz w:val="16"/>
                <w:szCs w:val="16"/>
                <w:color w:val="auto"/>
              </w:rPr>
            </w:pPr>
          </w:p>
        </w:tc>
        <w:tc>
          <w:tcPr>
            <w:tcW w:w="66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Business.</w:t>
            </w:r>
          </w:p>
        </w:tc>
      </w:tr>
      <w:tr>
        <w:trPr>
          <w:trHeight w:val="168"/>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b w:val="1"/>
                <w:bCs w:val="1"/>
                <w:color w:val="auto"/>
              </w:rPr>
              <w:t>Randy B. James</w:t>
            </w:r>
          </w:p>
        </w:tc>
        <w:tc>
          <w:tcPr>
            <w:tcW w:w="6680" w:type="dxa"/>
            <w:vAlign w:val="bottom"/>
          </w:tcPr>
          <w:p>
            <w:pPr>
              <w:ind w:left="280"/>
              <w:spacing w:after="0"/>
              <w:rPr>
                <w:sz w:val="20"/>
                <w:szCs w:val="20"/>
                <w:color w:val="auto"/>
              </w:rPr>
            </w:pPr>
            <w:r>
              <w:rPr>
                <w:rFonts w:ascii="Arial" w:cs="Arial" w:eastAsia="Arial" w:hAnsi="Arial"/>
                <w:sz w:val="13"/>
                <w:szCs w:val="13"/>
                <w:color w:val="auto"/>
              </w:rPr>
              <w:t>Vice President and Controller since December 1988.</w:t>
            </w:r>
          </w:p>
        </w:tc>
      </w:tr>
      <w:tr>
        <w:trPr>
          <w:trHeight w:val="177"/>
        </w:trPr>
        <w:tc>
          <w:tcPr>
            <w:tcW w:w="2780" w:type="dxa"/>
            <w:vAlign w:val="bottom"/>
            <w:gridSpan w:val="2"/>
          </w:tcPr>
          <w:p>
            <w:pPr>
              <w:spacing w:after="0"/>
              <w:rPr>
                <w:sz w:val="20"/>
                <w:szCs w:val="20"/>
                <w:color w:val="auto"/>
              </w:rPr>
            </w:pPr>
            <w:r>
              <w:rPr>
                <w:rFonts w:ascii="Arial" w:cs="Arial" w:eastAsia="Arial" w:hAnsi="Arial"/>
                <w:sz w:val="13"/>
                <w:szCs w:val="13"/>
                <w:color w:val="auto"/>
              </w:rPr>
              <w:t>62, Vice President and Controller</w:t>
            </w:r>
          </w:p>
        </w:tc>
        <w:tc>
          <w:tcPr>
            <w:tcW w:w="668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J. Lawrence McIntyre</w:t>
            </w:r>
          </w:p>
        </w:tc>
        <w:tc>
          <w:tcPr>
            <w:tcW w:w="66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Vice President, Secretary and General Counsel since July 1993.</w:t>
            </w: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63, Vice President, Secretary and General</w:t>
            </w:r>
          </w:p>
        </w:tc>
        <w:tc>
          <w:tcPr>
            <w:tcW w:w="6680" w:type="dxa"/>
            <w:vAlign w:val="bottom"/>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Counsel</w:t>
            </w:r>
          </w:p>
        </w:tc>
        <w:tc>
          <w:tcPr>
            <w:tcW w:w="6680" w:type="dxa"/>
            <w:vAlign w:val="bottom"/>
            <w:tcBorders>
              <w:bottom w:val="single" w:sz="8" w:color="auto"/>
            </w:tcBorders>
            <w:shd w:val="clear" w:color="auto" w:fill="CCEEFF"/>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b w:val="1"/>
                <w:bCs w:val="1"/>
                <w:color w:val="auto"/>
              </w:rPr>
              <w:t>Sandra J. Meurlot</w:t>
            </w:r>
          </w:p>
        </w:tc>
        <w:tc>
          <w:tcPr>
            <w:tcW w:w="6680" w:type="dxa"/>
            <w:vAlign w:val="bottom"/>
          </w:tcPr>
          <w:p>
            <w:pPr>
              <w:ind w:left="280"/>
              <w:spacing w:after="0"/>
              <w:rPr>
                <w:sz w:val="20"/>
                <w:szCs w:val="20"/>
                <w:color w:val="auto"/>
              </w:rPr>
            </w:pPr>
            <w:r>
              <w:rPr>
                <w:rFonts w:ascii="Arial" w:cs="Arial" w:eastAsia="Arial" w:hAnsi="Arial"/>
                <w:sz w:val="13"/>
                <w:szCs w:val="13"/>
                <w:color w:val="auto"/>
                <w:w w:val="99"/>
              </w:rPr>
              <w:t>Vice President, Operations since November 2002. From September 2000 to February 2001, she served as Vice</w:t>
            </w:r>
          </w:p>
        </w:tc>
      </w:tr>
      <w:tr>
        <w:trPr>
          <w:trHeight w:val="167"/>
        </w:trPr>
        <w:tc>
          <w:tcPr>
            <w:tcW w:w="2780" w:type="dxa"/>
            <w:vAlign w:val="bottom"/>
            <w:gridSpan w:val="2"/>
          </w:tcPr>
          <w:p>
            <w:pPr>
              <w:spacing w:after="0"/>
              <w:rPr>
                <w:sz w:val="20"/>
                <w:szCs w:val="20"/>
                <w:color w:val="auto"/>
              </w:rPr>
            </w:pPr>
            <w:r>
              <w:rPr>
                <w:rFonts w:ascii="Arial" w:cs="Arial" w:eastAsia="Arial" w:hAnsi="Arial"/>
                <w:sz w:val="13"/>
                <w:szCs w:val="13"/>
                <w:color w:val="auto"/>
              </w:rPr>
              <w:t>57, Vice President, Operations</w:t>
            </w:r>
          </w:p>
        </w:tc>
        <w:tc>
          <w:tcPr>
            <w:tcW w:w="6680" w:type="dxa"/>
            <w:vAlign w:val="bottom"/>
          </w:tcPr>
          <w:p>
            <w:pPr>
              <w:ind w:left="280"/>
              <w:spacing w:after="0"/>
              <w:rPr>
                <w:sz w:val="20"/>
                <w:szCs w:val="20"/>
                <w:color w:val="auto"/>
              </w:rPr>
            </w:pPr>
            <w:r>
              <w:rPr>
                <w:rFonts w:ascii="Arial" w:cs="Arial" w:eastAsia="Arial" w:hAnsi="Arial"/>
                <w:sz w:val="13"/>
                <w:szCs w:val="13"/>
                <w:color w:val="auto"/>
              </w:rPr>
              <w:t>President/OMC and President, Boat Group at Outboard Marine Corporation, a manufacturer and marketer of</w:t>
            </w:r>
          </w:p>
        </w:tc>
      </w:tr>
      <w:tr>
        <w:trPr>
          <w:trHeight w:val="185"/>
        </w:trPr>
        <w:tc>
          <w:tcPr>
            <w:tcW w:w="2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668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marine engines, boats, and accessories.</w:t>
            </w:r>
          </w:p>
        </w:tc>
      </w:tr>
      <w:tr>
        <w:trPr>
          <w:trHeight w:val="168"/>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Karen M. Meyer</w:t>
            </w:r>
          </w:p>
        </w:tc>
        <w:tc>
          <w:tcPr>
            <w:tcW w:w="6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Vice President, Administration since August 1998.</w:t>
            </w:r>
          </w:p>
        </w:tc>
      </w:tr>
      <w:tr>
        <w:trPr>
          <w:trHeight w:val="177"/>
        </w:trPr>
        <w:tc>
          <w:tcPr>
            <w:tcW w:w="20" w:type="dxa"/>
            <w:vAlign w:val="bottom"/>
          </w:tcPr>
          <w:p>
            <w:pPr>
              <w:spacing w:after="0"/>
              <w:rPr>
                <w:sz w:val="15"/>
                <w:szCs w:val="15"/>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55, Vice President, Administration</w:t>
            </w:r>
          </w:p>
        </w:tc>
        <w:tc>
          <w:tcPr>
            <w:tcW w:w="6680" w:type="dxa"/>
            <w:vAlign w:val="bottom"/>
            <w:tcBorders>
              <w:bottom w:val="single" w:sz="8" w:color="auto"/>
            </w:tcBorders>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b w:val="1"/>
                <w:bCs w:val="1"/>
                <w:color w:val="auto"/>
              </w:rPr>
              <w:t>Richard W. Rodier</w:t>
            </w:r>
          </w:p>
        </w:tc>
        <w:tc>
          <w:tcPr>
            <w:tcW w:w="6680" w:type="dxa"/>
            <w:vAlign w:val="bottom"/>
          </w:tcPr>
          <w:p>
            <w:pPr>
              <w:ind w:left="280"/>
              <w:spacing w:after="0"/>
              <w:rPr>
                <w:sz w:val="20"/>
                <w:szCs w:val="20"/>
                <w:color w:val="auto"/>
              </w:rPr>
            </w:pPr>
            <w:r>
              <w:rPr>
                <w:rFonts w:ascii="Arial" w:cs="Arial" w:eastAsia="Arial" w:hAnsi="Arial"/>
                <w:sz w:val="13"/>
                <w:szCs w:val="13"/>
                <w:color w:val="auto"/>
              </w:rPr>
              <w:t>General Manager, Landscape Contractor Business – Toro since November 2004. From February 2003 to</w:t>
            </w:r>
          </w:p>
        </w:tc>
      </w:tr>
      <w:tr>
        <w:trPr>
          <w:trHeight w:val="167"/>
        </w:trPr>
        <w:tc>
          <w:tcPr>
            <w:tcW w:w="2780" w:type="dxa"/>
            <w:vAlign w:val="bottom"/>
            <w:gridSpan w:val="2"/>
          </w:tcPr>
          <w:p>
            <w:pPr>
              <w:spacing w:after="0"/>
              <w:rPr>
                <w:sz w:val="20"/>
                <w:szCs w:val="20"/>
                <w:color w:val="auto"/>
              </w:rPr>
            </w:pPr>
            <w:r>
              <w:rPr>
                <w:rFonts w:ascii="Arial" w:cs="Arial" w:eastAsia="Arial" w:hAnsi="Arial"/>
                <w:sz w:val="13"/>
                <w:szCs w:val="13"/>
                <w:color w:val="auto"/>
              </w:rPr>
              <w:t>45, General Manager, Landscape Contractor</w:t>
            </w:r>
          </w:p>
        </w:tc>
        <w:tc>
          <w:tcPr>
            <w:tcW w:w="6680" w:type="dxa"/>
            <w:vAlign w:val="bottom"/>
          </w:tcPr>
          <w:p>
            <w:pPr>
              <w:ind w:left="280"/>
              <w:spacing w:after="0"/>
              <w:rPr>
                <w:sz w:val="20"/>
                <w:szCs w:val="20"/>
                <w:color w:val="auto"/>
              </w:rPr>
            </w:pPr>
            <w:r>
              <w:rPr>
                <w:rFonts w:ascii="Arial" w:cs="Arial" w:eastAsia="Arial" w:hAnsi="Arial"/>
                <w:sz w:val="13"/>
                <w:szCs w:val="13"/>
                <w:color w:val="auto"/>
                <w:w w:val="97"/>
              </w:rPr>
              <w:t>October 2004, he served as Managing Director, Landscape Contractor Business – Toro. From November 1999 to</w:t>
            </w:r>
          </w:p>
        </w:tc>
      </w:tr>
      <w:tr>
        <w:trPr>
          <w:trHeight w:val="185"/>
        </w:trPr>
        <w:tc>
          <w:tcPr>
            <w:tcW w:w="2780" w:type="dxa"/>
            <w:vAlign w:val="bottom"/>
            <w:gridSpan w:val="2"/>
          </w:tcPr>
          <w:p>
            <w:pPr>
              <w:spacing w:after="0"/>
              <w:rPr>
                <w:sz w:val="20"/>
                <w:szCs w:val="20"/>
                <w:color w:val="auto"/>
              </w:rPr>
            </w:pPr>
            <w:r>
              <w:rPr>
                <w:rFonts w:ascii="Arial" w:cs="Arial" w:eastAsia="Arial" w:hAnsi="Arial"/>
                <w:sz w:val="13"/>
                <w:szCs w:val="13"/>
                <w:color w:val="auto"/>
              </w:rPr>
              <w:t>Business – Toro</w:t>
            </w:r>
          </w:p>
        </w:tc>
        <w:tc>
          <w:tcPr>
            <w:tcW w:w="6680" w:type="dxa"/>
            <w:vAlign w:val="bottom"/>
          </w:tcPr>
          <w:p>
            <w:pPr>
              <w:ind w:left="280"/>
              <w:spacing w:after="0"/>
              <w:rPr>
                <w:sz w:val="20"/>
                <w:szCs w:val="20"/>
                <w:color w:val="auto"/>
              </w:rPr>
            </w:pPr>
            <w:r>
              <w:rPr>
                <w:rFonts w:ascii="Arial" w:cs="Arial" w:eastAsia="Arial" w:hAnsi="Arial"/>
                <w:sz w:val="13"/>
                <w:szCs w:val="13"/>
                <w:color w:val="auto"/>
              </w:rPr>
              <w:t>January 2003, he served as Director of Grounds Marketing for the Commercial Business.</w:t>
            </w:r>
          </w:p>
        </w:tc>
      </w:tr>
      <w:tr>
        <w:trPr>
          <w:trHeight w:val="168"/>
        </w:trPr>
        <w:tc>
          <w:tcPr>
            <w:tcW w:w="20" w:type="dxa"/>
            <w:vAlign w:val="bottom"/>
          </w:tcPr>
          <w:p>
            <w:pPr>
              <w:spacing w:after="0"/>
              <w:rPr>
                <w:sz w:val="14"/>
                <w:szCs w:val="14"/>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Mark B. Stinson</w:t>
            </w:r>
          </w:p>
        </w:tc>
        <w:tc>
          <w:tcPr>
            <w:tcW w:w="66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General Manager, Landscape Contractor Business – Exmark since November 2004. From February 2003 to</w:t>
            </w: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40, General Manager, Landscape Contractor</w:t>
            </w:r>
          </w:p>
        </w:tc>
        <w:tc>
          <w:tcPr>
            <w:tcW w:w="6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October 2004, he served as Managing Director, Landscape Contractor Business – Exmark. From July 1996 to</w:t>
            </w:r>
          </w:p>
        </w:tc>
      </w:tr>
      <w:tr>
        <w:trPr>
          <w:trHeight w:val="185"/>
        </w:trPr>
        <w:tc>
          <w:tcPr>
            <w:tcW w:w="20" w:type="dxa"/>
            <w:vAlign w:val="bottom"/>
          </w:tcPr>
          <w:p>
            <w:pPr>
              <w:spacing w:after="0"/>
              <w:rPr>
                <w:sz w:val="16"/>
                <w:szCs w:val="16"/>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Business – Exmark</w:t>
            </w:r>
          </w:p>
        </w:tc>
        <w:tc>
          <w:tcPr>
            <w:tcW w:w="66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January 2003, he served as Controller of Exmark Manufacturing.</w:t>
            </w:r>
          </w:p>
        </w:tc>
      </w:tr>
      <w:tr>
        <w:trPr>
          <w:trHeight w:val="168"/>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b w:val="1"/>
                <w:bCs w:val="1"/>
                <w:color w:val="auto"/>
              </w:rPr>
              <w:t>Thomas M. Swain</w:t>
            </w:r>
          </w:p>
        </w:tc>
        <w:tc>
          <w:tcPr>
            <w:tcW w:w="6680" w:type="dxa"/>
            <w:vAlign w:val="bottom"/>
          </w:tcPr>
          <w:p>
            <w:pPr>
              <w:ind w:left="280"/>
              <w:spacing w:after="0"/>
              <w:rPr>
                <w:sz w:val="20"/>
                <w:szCs w:val="20"/>
                <w:color w:val="auto"/>
              </w:rPr>
            </w:pPr>
            <w:r>
              <w:rPr>
                <w:rFonts w:ascii="Arial" w:cs="Arial" w:eastAsia="Arial" w:hAnsi="Arial"/>
                <w:sz w:val="13"/>
                <w:szCs w:val="13"/>
                <w:color w:val="auto"/>
                <w:w w:val="96"/>
              </w:rPr>
              <w:t>General Manager, Consumer Business since November 2004. From February 2003 to October 2004, he served as</w:t>
            </w:r>
          </w:p>
        </w:tc>
      </w:tr>
      <w:tr>
        <w:trPr>
          <w:trHeight w:val="167"/>
        </w:trPr>
        <w:tc>
          <w:tcPr>
            <w:tcW w:w="2780" w:type="dxa"/>
            <w:vAlign w:val="bottom"/>
            <w:gridSpan w:val="2"/>
          </w:tcPr>
          <w:p>
            <w:pPr>
              <w:spacing w:after="0"/>
              <w:rPr>
                <w:sz w:val="20"/>
                <w:szCs w:val="20"/>
                <w:color w:val="auto"/>
              </w:rPr>
            </w:pPr>
            <w:r>
              <w:rPr>
                <w:rFonts w:ascii="Arial" w:cs="Arial" w:eastAsia="Arial" w:hAnsi="Arial"/>
                <w:sz w:val="13"/>
                <w:szCs w:val="13"/>
                <w:color w:val="auto"/>
              </w:rPr>
              <w:t>52, General Manager, Consumer Business</w:t>
            </w:r>
          </w:p>
        </w:tc>
        <w:tc>
          <w:tcPr>
            <w:tcW w:w="6680" w:type="dxa"/>
            <w:vAlign w:val="bottom"/>
          </w:tcPr>
          <w:p>
            <w:pPr>
              <w:ind w:left="280"/>
              <w:spacing w:after="0"/>
              <w:rPr>
                <w:sz w:val="20"/>
                <w:szCs w:val="20"/>
                <w:color w:val="auto"/>
              </w:rPr>
            </w:pPr>
            <w:r>
              <w:rPr>
                <w:rFonts w:ascii="Arial" w:cs="Arial" w:eastAsia="Arial" w:hAnsi="Arial"/>
                <w:sz w:val="13"/>
                <w:szCs w:val="13"/>
                <w:color w:val="auto"/>
              </w:rPr>
              <w:t>Managing Director, Consumer Business. From November 1994 to January 2003, he served as Director of</w:t>
            </w:r>
          </w:p>
        </w:tc>
      </w:tr>
      <w:tr>
        <w:trPr>
          <w:trHeight w:val="185"/>
        </w:trPr>
        <w:tc>
          <w:tcPr>
            <w:tcW w:w="2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668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Marketing for the Consumer Business.</w:t>
            </w:r>
          </w:p>
        </w:tc>
      </w:tr>
      <w:tr>
        <w:trPr>
          <w:trHeight w:val="168"/>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Stephen P. Wolfe</w:t>
            </w:r>
          </w:p>
        </w:tc>
        <w:tc>
          <w:tcPr>
            <w:tcW w:w="6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Vice President Finance, Treasurer and Chief Financial Officer since June 1997.</w:t>
            </w: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57, Vice President Finance, Treasurer and</w:t>
            </w:r>
          </w:p>
        </w:tc>
        <w:tc>
          <w:tcPr>
            <w:tcW w:w="6680" w:type="dxa"/>
            <w:vAlign w:val="bottom"/>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Chief Financial Officer</w:t>
            </w:r>
          </w:p>
        </w:tc>
        <w:tc>
          <w:tcPr>
            <w:tcW w:w="6680" w:type="dxa"/>
            <w:vAlign w:val="bottom"/>
            <w:tcBorders>
              <w:bottom w:val="single" w:sz="8" w:color="auto"/>
            </w:tcBorders>
            <w:shd w:val="clear" w:color="auto" w:fill="CCEEFF"/>
          </w:tcPr>
          <w:p>
            <w:pPr>
              <w:spacing w:after="0"/>
              <w:rPr>
                <w:sz w:val="16"/>
                <w:szCs w:val="16"/>
                <w:color w:val="auto"/>
              </w:rPr>
            </w:pPr>
          </w:p>
        </w:tc>
      </w:tr>
    </w:tbl>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4673B6"/>
        </w:rPr>
        <w:t>PART II</w:t>
      </w:r>
    </w:p>
    <w:p>
      <w:pPr>
        <w:spacing w:after="0" w:line="200" w:lineRule="exact"/>
        <w:rPr>
          <w:sz w:val="20"/>
          <w:szCs w:val="20"/>
          <w:color w:val="auto"/>
        </w:rPr>
      </w:pPr>
    </w:p>
    <w:p>
      <w:pPr>
        <w:spacing w:after="0" w:line="361" w:lineRule="exact"/>
        <w:rPr>
          <w:sz w:val="20"/>
          <w:szCs w:val="20"/>
          <w:color w:val="auto"/>
        </w:rPr>
      </w:pPr>
    </w:p>
    <w:p>
      <w:pPr>
        <w:ind w:left="800" w:hanging="791"/>
        <w:spacing w:after="0" w:line="299" w:lineRule="auto"/>
        <w:rPr>
          <w:sz w:val="20"/>
          <w:szCs w:val="20"/>
          <w:color w:val="auto"/>
        </w:rPr>
      </w:pPr>
      <w:r>
        <w:rPr>
          <w:rFonts w:ascii="Arial" w:cs="Arial" w:eastAsia="Arial" w:hAnsi="Arial"/>
          <w:sz w:val="22"/>
          <w:szCs w:val="22"/>
          <w:b w:val="1"/>
          <w:bCs w:val="1"/>
          <w:color w:val="4673B6"/>
        </w:rPr>
        <w:t>ITEM 5. MARKET FOR REGISTRANT’S COMMON EQUITY, RELATED STOCKHOLDER MATTERS, AND ISSUER PURCHASES OF EQUITY SECURITIES</w:t>
      </w:r>
    </w:p>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Toro common stock is listed for trading on the New York Stock Exchange and trades under the symbol “TTC”. The high, low, and last sales prices for Toro common stock and cash dividends paid for each of the quarterly periods for fiscal 2005 and 2004 were as follows:</w:t>
      </w:r>
    </w:p>
    <w:p>
      <w:pPr>
        <w:spacing w:after="0" w:line="165" w:lineRule="exact"/>
        <w:rPr>
          <w:sz w:val="20"/>
          <w:szCs w:val="20"/>
          <w:color w:val="auto"/>
        </w:rPr>
      </w:pPr>
    </w:p>
    <w:tbl>
      <w:tblPr>
        <w:tblLayout w:type="fixed"/>
        <w:tblInd w:w="3320" w:type="dxa"/>
        <w:tblCellMar>
          <w:top w:w="0" w:type="dxa"/>
          <w:left w:w="0" w:type="dxa"/>
          <w:bottom w:w="0" w:type="dxa"/>
          <w:right w:w="0" w:type="dxa"/>
        </w:tblCellMar>
      </w:tblPr>
      <w:tr>
        <w:trPr>
          <w:trHeight w:val="203"/>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8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October 31, 2005</w:t>
            </w:r>
            <w:r>
              <w:rPr>
                <w:rFonts w:ascii="Arial" w:cs="Arial" w:eastAsia="Arial" w:hAnsi="Arial"/>
                <w:sz w:val="17"/>
                <w:szCs w:val="17"/>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Second</w:t>
            </w:r>
          </w:p>
        </w:tc>
        <w:tc>
          <w:tcPr>
            <w:tcW w:w="780" w:type="dxa"/>
            <w:vAlign w:val="bottom"/>
          </w:tcPr>
          <w:p>
            <w:pPr>
              <w:jc w:val="right"/>
              <w:ind w:right="9"/>
              <w:spacing w:after="0"/>
              <w:rPr>
                <w:sz w:val="20"/>
                <w:szCs w:val="20"/>
                <w:color w:val="auto"/>
              </w:rPr>
            </w:pPr>
            <w:r>
              <w:rPr>
                <w:rFonts w:ascii="Arial" w:cs="Arial" w:eastAsia="Arial" w:hAnsi="Arial"/>
                <w:sz w:val="14"/>
                <w:szCs w:val="14"/>
                <w:b w:val="1"/>
                <w:bCs w:val="1"/>
                <w:color w:val="auto"/>
              </w:rPr>
              <w:t>Third</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Fourth</w:t>
            </w:r>
          </w:p>
        </w:tc>
      </w:tr>
      <w:tr>
        <w:trPr>
          <w:trHeight w:val="183"/>
        </w:trPr>
        <w:tc>
          <w:tcPr>
            <w:tcW w:w="20" w:type="dxa"/>
            <w:vAlign w:val="bottom"/>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Market price per share</w:t>
            </w:r>
          </w:p>
        </w:tc>
        <w:tc>
          <w:tcPr>
            <w:tcW w:w="8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of common stock –</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High sales price</w:t>
            </w:r>
          </w:p>
        </w:tc>
        <w:tc>
          <w:tcPr>
            <w:tcW w:w="860" w:type="dxa"/>
            <w:vAlign w:val="bottom"/>
          </w:tcPr>
          <w:p>
            <w:pPr>
              <w:jc w:val="right"/>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41.425</w:t>
            </w:r>
          </w:p>
        </w:tc>
        <w:tc>
          <w:tcPr>
            <w:tcW w:w="800" w:type="dxa"/>
            <w:vAlign w:val="bottom"/>
          </w:tcPr>
          <w:p>
            <w:pPr>
              <w:jc w:val="right"/>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45.93</w:t>
            </w:r>
          </w:p>
        </w:tc>
        <w:tc>
          <w:tcPr>
            <w:tcW w:w="780" w:type="dxa"/>
            <w:vAlign w:val="bottom"/>
          </w:tcPr>
          <w:p>
            <w:pPr>
              <w:jc w:val="right"/>
              <w:ind w:right="29"/>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49.02</w:t>
            </w:r>
          </w:p>
        </w:tc>
        <w:tc>
          <w:tcPr>
            <w:tcW w:w="680" w:type="dxa"/>
            <w:vAlign w:val="bottom"/>
          </w:tcPr>
          <w:p>
            <w:pPr>
              <w:jc w:val="right"/>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42.69</w:t>
            </w:r>
          </w:p>
        </w:tc>
        <w:tc>
          <w:tcPr>
            <w:tcW w:w="6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6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Low sales price</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33.900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40.30</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37.02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34.65</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Last sales price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40.175</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41.32</w:t>
            </w:r>
          </w:p>
        </w:tc>
        <w:tc>
          <w:tcPr>
            <w:tcW w:w="780" w:type="dxa"/>
            <w:vAlign w:val="bottom"/>
          </w:tcPr>
          <w:p>
            <w:pPr>
              <w:jc w:val="right"/>
              <w:ind w:right="9"/>
              <w:spacing w:after="0"/>
              <w:rPr>
                <w:sz w:val="20"/>
                <w:szCs w:val="20"/>
                <w:color w:val="auto"/>
              </w:rPr>
            </w:pPr>
            <w:r>
              <w:rPr>
                <w:rFonts w:ascii="Arial" w:cs="Arial" w:eastAsia="Arial" w:hAnsi="Arial"/>
                <w:sz w:val="14"/>
                <w:szCs w:val="14"/>
                <w:b w:val="1"/>
                <w:bCs w:val="1"/>
                <w:color w:val="auto"/>
              </w:rPr>
              <w:t>40.24</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36.51</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dividends per</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share of common</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stock</w:t>
            </w:r>
            <w:r>
              <w:rPr>
                <w:rFonts w:ascii="Arial" w:cs="Arial" w:eastAsia="Arial" w:hAnsi="Arial"/>
                <w:sz w:val="17"/>
                <w:szCs w:val="17"/>
                <w:b w:val="1"/>
                <w:bCs w:val="1"/>
                <w:color w:val="auto"/>
                <w:vertAlign w:val="superscript"/>
              </w:rPr>
              <w:t>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0.06</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0.06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0.06</w:t>
            </w:r>
          </w:p>
        </w:tc>
        <w:tc>
          <w:tcPr>
            <w:tcW w:w="60" w:type="dxa"/>
            <w:vAlign w:val="bottom"/>
            <w:shd w:val="clear" w:color="auto" w:fill="CCEEFF"/>
          </w:tcPr>
          <w:p>
            <w:pPr>
              <w:spacing w:after="0"/>
              <w:rPr>
                <w:sz w:val="18"/>
                <w:szCs w:val="18"/>
                <w:color w:val="auto"/>
              </w:rPr>
            </w:pPr>
          </w:p>
        </w:tc>
      </w:tr>
      <w:tr>
        <w:trPr>
          <w:trHeight w:val="264"/>
        </w:trPr>
        <w:tc>
          <w:tcPr>
            <w:tcW w:w="1620" w:type="dxa"/>
            <w:vAlign w:val="bottom"/>
            <w:tcBorders>
              <w:bottom w:val="single" w:sz="8" w:color="auto"/>
            </w:tcBorders>
            <w:gridSpan w:val="2"/>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84"/>
        </w:trPr>
        <w:tc>
          <w:tcPr>
            <w:tcW w:w="1620" w:type="dxa"/>
            <w:vAlign w:val="bottom"/>
            <w:gridSpan w:val="2"/>
          </w:tcPr>
          <w:p>
            <w:pPr>
              <w:spacing w:after="0"/>
              <w:rPr>
                <w:sz w:val="20"/>
                <w:szCs w:val="20"/>
                <w:color w:val="auto"/>
              </w:rPr>
            </w:pPr>
            <w:r>
              <w:rPr>
                <w:rFonts w:ascii="Arial" w:cs="Arial" w:eastAsia="Arial" w:hAnsi="Arial"/>
                <w:sz w:val="14"/>
                <w:szCs w:val="14"/>
                <w:color w:val="auto"/>
              </w:rPr>
              <w:t>Fiscal year ended</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5"/>
        </w:trPr>
        <w:tc>
          <w:tcPr>
            <w:tcW w:w="1620" w:type="dxa"/>
            <w:vAlign w:val="bottom"/>
            <w:gridSpan w:val="2"/>
          </w:tcPr>
          <w:p>
            <w:pPr>
              <w:spacing w:after="0"/>
              <w:rPr>
                <w:sz w:val="20"/>
                <w:szCs w:val="20"/>
                <w:color w:val="auto"/>
              </w:rPr>
            </w:pPr>
            <w:r>
              <w:rPr>
                <w:rFonts w:ascii="Arial" w:cs="Arial" w:eastAsia="Arial" w:hAnsi="Arial"/>
                <w:sz w:val="14"/>
                <w:szCs w:val="14"/>
                <w:color w:val="auto"/>
              </w:rPr>
              <w:t>October 31, 2004</w:t>
            </w:r>
            <w:r>
              <w:rPr>
                <w:rFonts w:ascii="Arial" w:cs="Arial" w:eastAsia="Arial" w:hAnsi="Arial"/>
                <w:sz w:val="17"/>
                <w:szCs w:val="17"/>
                <w:b w:val="1"/>
                <w:bCs w:val="1"/>
                <w:color w:val="auto"/>
                <w:vertAlign w:val="superscript"/>
              </w:rPr>
              <w:t>1</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First</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Second</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Third</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Fourth</w:t>
            </w:r>
          </w:p>
        </w:tc>
      </w:tr>
      <w:tr>
        <w:trPr>
          <w:trHeight w:val="184"/>
        </w:trPr>
        <w:tc>
          <w:tcPr>
            <w:tcW w:w="1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8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88"/>
        </w:trPr>
        <w:tc>
          <w:tcPr>
            <w:tcW w:w="20" w:type="dxa"/>
            <w:vAlign w:val="bottom"/>
            <w:shd w:val="clear" w:color="auto" w:fill="CCEEFF"/>
          </w:tcPr>
          <w:p>
            <w:pPr>
              <w:spacing w:after="0"/>
              <w:rPr>
                <w:sz w:val="16"/>
                <w:szCs w:val="16"/>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common stock –</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High sales price</w:t>
            </w:r>
          </w:p>
        </w:tc>
        <w:tc>
          <w:tcPr>
            <w:tcW w:w="860" w:type="dxa"/>
            <w:vAlign w:val="bottom"/>
          </w:tcPr>
          <w:p>
            <w:pPr>
              <w:jc w:val="right"/>
              <w:ind w:right="149"/>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25.500</w:t>
            </w:r>
          </w:p>
        </w:tc>
        <w:tc>
          <w:tcPr>
            <w:tcW w:w="800" w:type="dxa"/>
            <w:vAlign w:val="bottom"/>
          </w:tcPr>
          <w:p>
            <w:pPr>
              <w:jc w:val="right"/>
              <w:ind w:right="149"/>
              <w:spacing w:after="0" w:line="230" w:lineRule="exact"/>
              <w:rPr>
                <w:sz w:val="20"/>
                <w:szCs w:val="20"/>
                <w:color w:val="auto"/>
              </w:rPr>
            </w:pPr>
            <w:r>
              <w:rPr>
                <w:rFonts w:ascii="Arial" w:cs="Arial" w:eastAsia="Arial" w:hAnsi="Arial"/>
                <w:sz w:val="26"/>
                <w:szCs w:val="26"/>
                <w:color w:val="auto"/>
                <w:w w:val="99"/>
                <w:vertAlign w:val="subscript"/>
              </w:rPr>
              <w:t>$</w:t>
            </w:r>
            <w:r>
              <w:rPr>
                <w:rFonts w:ascii="Arial" w:cs="Arial" w:eastAsia="Arial" w:hAnsi="Arial"/>
                <w:sz w:val="14"/>
                <w:szCs w:val="14"/>
                <w:color w:val="auto"/>
                <w:w w:val="99"/>
              </w:rPr>
              <w:t xml:space="preserve"> 32.125</w:t>
            </w:r>
          </w:p>
        </w:tc>
        <w:tc>
          <w:tcPr>
            <w:tcW w:w="780" w:type="dxa"/>
            <w:vAlign w:val="bottom"/>
          </w:tcPr>
          <w:p>
            <w:pPr>
              <w:jc w:val="right"/>
              <w:ind w:right="109"/>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35.825</w:t>
            </w:r>
          </w:p>
        </w:tc>
        <w:tc>
          <w:tcPr>
            <w:tcW w:w="680" w:type="dxa"/>
            <w:vAlign w:val="bottom"/>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35.670</w:t>
            </w:r>
          </w:p>
        </w:tc>
        <w:tc>
          <w:tcPr>
            <w:tcW w:w="6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16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Low sales price</w:t>
            </w:r>
          </w:p>
        </w:tc>
        <w:tc>
          <w:tcPr>
            <w:tcW w:w="8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22.225</w:t>
            </w: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23.165</w:t>
            </w:r>
          </w:p>
        </w:tc>
        <w:tc>
          <w:tcPr>
            <w:tcW w:w="7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26.450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30.225</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Last sales price</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23.800</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29.075</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32.750</w:t>
            </w:r>
          </w:p>
        </w:tc>
        <w:tc>
          <w:tcPr>
            <w:tcW w:w="680" w:type="dxa"/>
            <w:vAlign w:val="bottom"/>
          </w:tcPr>
          <w:p>
            <w:pPr>
              <w:jc w:val="right"/>
              <w:spacing w:after="0"/>
              <w:rPr>
                <w:sz w:val="20"/>
                <w:szCs w:val="20"/>
                <w:color w:val="auto"/>
              </w:rPr>
            </w:pPr>
            <w:r>
              <w:rPr>
                <w:rFonts w:ascii="Arial" w:cs="Arial" w:eastAsia="Arial" w:hAnsi="Arial"/>
                <w:sz w:val="14"/>
                <w:szCs w:val="14"/>
                <w:color w:val="auto"/>
              </w:rPr>
              <w:t>34.125</w:t>
            </w:r>
          </w:p>
        </w:tc>
        <w:tc>
          <w:tcPr>
            <w:tcW w:w="60" w:type="dxa"/>
            <w:vAlign w:val="bottom"/>
          </w:tcPr>
          <w:p>
            <w:pPr>
              <w:spacing w:after="0"/>
              <w:rPr>
                <w:sz w:val="16"/>
                <w:szCs w:val="16"/>
                <w:color w:val="auto"/>
              </w:rPr>
            </w:pPr>
          </w:p>
        </w:tc>
      </w:tr>
      <w:tr>
        <w:trPr>
          <w:trHeight w:val="191"/>
        </w:trPr>
        <w:tc>
          <w:tcPr>
            <w:tcW w:w="1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dividends per</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 of common</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5"/>
        </w:trPr>
        <w:tc>
          <w:tcPr>
            <w:tcW w:w="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stock</w:t>
            </w:r>
            <w:r>
              <w:rPr>
                <w:rFonts w:ascii="Arial" w:cs="Arial" w:eastAsia="Arial" w:hAnsi="Arial"/>
                <w:sz w:val="17"/>
                <w:szCs w:val="17"/>
                <w:color w:val="auto"/>
                <w:vertAlign w:val="superscript"/>
              </w:rPr>
              <w:t>2</w:t>
            </w:r>
          </w:p>
        </w:tc>
        <w:tc>
          <w:tcPr>
            <w:tcW w:w="8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0.03</w:t>
            </w:r>
          </w:p>
        </w:tc>
        <w:tc>
          <w:tcPr>
            <w:tcW w:w="8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0.03</w:t>
            </w:r>
          </w:p>
        </w:tc>
        <w:tc>
          <w:tcPr>
            <w:tcW w:w="7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0.03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8"/>
                <w:szCs w:val="18"/>
                <w:color w:val="auto"/>
              </w:rPr>
            </w:pPr>
          </w:p>
        </w:tc>
      </w:tr>
    </w:tbl>
    <w:p>
      <w:pPr>
        <w:spacing w:after="0" w:line="38"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Per share data and sales prices have been adjusted for all periods presented to reflect a two-for-one stock split effective March 28, 2005.</w:t>
      </w:r>
    </w:p>
    <w:p>
      <w:pPr>
        <w:spacing w:after="0" w:line="57" w:lineRule="exact"/>
        <w:rPr>
          <w:sz w:val="20"/>
          <w:szCs w:val="20"/>
          <w:color w:val="auto"/>
        </w:rPr>
      </w:pPr>
    </w:p>
    <w:p>
      <w:pPr>
        <w:ind w:left="100" w:right="520" w:hanging="92"/>
        <w:spacing w:after="0" w:line="290" w:lineRule="auto"/>
        <w:tabs>
          <w:tab w:leader="none" w:pos="1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Future cash dividends will depend upon the company’s financial condition, capital requirements, results of operations, and other factors deemed relevant by the Board of Directors.</w:t>
      </w:r>
    </w:p>
    <w:p>
      <w:pPr>
        <w:sectPr>
          <w:pgSz w:w="11900" w:h="16928" w:orient="portrait"/>
          <w:cols w:equalWidth="0" w:num="1">
            <w:col w:w="11360"/>
          </w:cols>
          <w:pgMar w:left="240" w:top="133" w:right="299" w:bottom="0" w:gutter="0" w:footer="0" w:header="0"/>
        </w:sectPr>
      </w:pPr>
    </w:p>
    <w:bookmarkStart w:id="14" w:name="page15"/>
    <w:bookmarkEnd w:id="14"/>
    <w:p>
      <w:pPr>
        <w:ind w:right="280"/>
        <w:spacing w:after="0" w:line="303" w:lineRule="auto"/>
        <w:rPr>
          <w:sz w:val="20"/>
          <w:szCs w:val="20"/>
          <w:color w:val="auto"/>
        </w:rPr>
      </w:pPr>
      <w:r>
        <w:rPr>
          <w:rFonts w:ascii="Arial" w:cs="Arial" w:eastAsia="Arial" w:hAnsi="Arial"/>
          <w:sz w:val="18"/>
          <w:szCs w:val="18"/>
          <w:b w:val="1"/>
          <w:bCs w:val="1"/>
          <w:color w:val="4673B6"/>
        </w:rPr>
        <w:t xml:space="preserve">Common Stock – </w:t>
      </w:r>
      <w:r>
        <w:rPr>
          <w:rFonts w:ascii="Arial" w:cs="Arial" w:eastAsia="Arial" w:hAnsi="Arial"/>
          <w:sz w:val="18"/>
          <w:szCs w:val="18"/>
          <w:color w:val="000000"/>
        </w:rPr>
        <w:t>100,000,000 shares authorized, $1.00 par value, 41,898,463 and 45,036,658 shares outstanding as of October 31, 2005</w:t>
      </w:r>
      <w:r>
        <w:rPr>
          <w:rFonts w:ascii="Arial" w:cs="Arial" w:eastAsia="Arial" w:hAnsi="Arial"/>
          <w:sz w:val="18"/>
          <w:szCs w:val="18"/>
          <w:b w:val="1"/>
          <w:bCs w:val="1"/>
          <w:color w:val="4673B6"/>
        </w:rPr>
        <w:t xml:space="preserve"> </w:t>
      </w:r>
      <w:r>
        <w:rPr>
          <w:rFonts w:ascii="Arial" w:cs="Arial" w:eastAsia="Arial" w:hAnsi="Arial"/>
          <w:sz w:val="18"/>
          <w:szCs w:val="18"/>
          <w:color w:val="000000"/>
        </w:rPr>
        <w:t>and 2004,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4673B6"/>
        </w:rPr>
        <w:t xml:space="preserve">Preferred Stock – </w:t>
      </w:r>
      <w:r>
        <w:rPr>
          <w:rFonts w:ascii="Arial" w:cs="Arial" w:eastAsia="Arial" w:hAnsi="Arial"/>
          <w:sz w:val="18"/>
          <w:szCs w:val="18"/>
          <w:color w:val="000000"/>
        </w:rPr>
        <w:t>1,000,000 voting shares authorized and 850,000 non-voting shares authorized, $1.00 par value, no shares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16, 2005, Toro had approximately 4,598 stockholders of record.</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information with respect to shares of common stock of the company purchased by the company during each of the three fiscal months ended October 31, 2005.</w:t>
      </w:r>
    </w:p>
    <w:p>
      <w:pPr>
        <w:spacing w:after="0" w:line="165" w:lineRule="exact"/>
        <w:rPr>
          <w:sz w:val="20"/>
          <w:szCs w:val="20"/>
          <w:color w:val="auto"/>
        </w:rPr>
      </w:pPr>
    </w:p>
    <w:tbl>
      <w:tblPr>
        <w:tblLayout w:type="fixed"/>
        <w:tblInd w:w="3240" w:type="dxa"/>
        <w:tblCellMar>
          <w:top w:w="0" w:type="dxa"/>
          <w:left w:w="0" w:type="dxa"/>
          <w:bottom w:w="0" w:type="dxa"/>
          <w:right w:w="0" w:type="dxa"/>
        </w:tblCellMar>
      </w:tblPr>
      <w:tr>
        <w:trPr>
          <w:trHeight w:val="204"/>
        </w:trPr>
        <w:tc>
          <w:tcPr>
            <w:tcW w:w="1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Total</w:t>
            </w:r>
          </w:p>
        </w:tc>
        <w:tc>
          <w:tcPr>
            <w:tcW w:w="8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Maximum</w:t>
            </w:r>
          </w:p>
        </w:tc>
        <w:tc>
          <w:tcPr>
            <w:tcW w:w="0" w:type="dxa"/>
            <w:vAlign w:val="bottom"/>
          </w:tcPr>
          <w:p>
            <w:pPr>
              <w:spacing w:after="0"/>
              <w:rPr>
                <w:sz w:val="1"/>
                <w:szCs w:val="1"/>
                <w:color w:val="auto"/>
              </w:rPr>
            </w:pPr>
          </w:p>
        </w:tc>
      </w:tr>
      <w:tr>
        <w:trPr>
          <w:trHeight w:val="179"/>
        </w:trPr>
        <w:tc>
          <w:tcPr>
            <w:tcW w:w="1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Number of</w:t>
            </w: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Shares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Purchased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Shares that</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as Part of</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May Yet be</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Total</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Average</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Publicly</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Purchased</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Number of</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Price</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Announced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Under the</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5"/>
                <w:szCs w:val="15"/>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Shares</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Paid Per</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Plans or</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Plans or</w:t>
            </w:r>
          </w:p>
        </w:tc>
        <w:tc>
          <w:tcPr>
            <w:tcW w:w="0" w:type="dxa"/>
            <w:vAlign w:val="bottom"/>
          </w:tcPr>
          <w:p>
            <w:pPr>
              <w:spacing w:after="0"/>
              <w:rPr>
                <w:sz w:val="1"/>
                <w:szCs w:val="1"/>
                <w:color w:val="auto"/>
              </w:rPr>
            </w:pPr>
          </w:p>
        </w:tc>
      </w:tr>
      <w:tr>
        <w:trPr>
          <w:trHeight w:val="203"/>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Purchased</w:t>
            </w:r>
            <w:r>
              <w:rPr>
                <w:rFonts w:ascii="Arial" w:cs="Arial" w:eastAsia="Arial" w:hAnsi="Arial"/>
                <w:sz w:val="17"/>
                <w:szCs w:val="17"/>
                <w:color w:val="auto"/>
                <w:vertAlign w:val="superscript"/>
              </w:rPr>
              <w:t>1,2</w:t>
            </w: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Programs</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9"/>
              </w:rPr>
              <w:t>Programs</w:t>
            </w:r>
            <w:r>
              <w:rPr>
                <w:rFonts w:ascii="Arial" w:cs="Arial" w:eastAsia="Arial" w:hAnsi="Arial"/>
                <w:sz w:val="17"/>
                <w:szCs w:val="17"/>
                <w:color w:val="auto"/>
                <w:w w:val="99"/>
                <w:vertAlign w:val="superscript"/>
              </w:rPr>
              <w:t>1,2</w:t>
            </w:r>
          </w:p>
        </w:tc>
        <w:tc>
          <w:tcPr>
            <w:tcW w:w="0" w:type="dxa"/>
            <w:vAlign w:val="bottom"/>
          </w:tcPr>
          <w:p>
            <w:pPr>
              <w:spacing w:after="0"/>
              <w:rPr>
                <w:sz w:val="1"/>
                <w:szCs w:val="1"/>
                <w:color w:val="auto"/>
              </w:rPr>
            </w:pPr>
          </w:p>
        </w:tc>
      </w:tr>
      <w:tr>
        <w:trPr>
          <w:trHeight w:val="184"/>
        </w:trPr>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July 30, 2005 through</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40.11</w:t>
            </w: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August 26, 2005</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600,000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continue"/>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2,054,505</w:t>
            </w: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Arial" w:cs="Arial" w:eastAsia="Arial" w:hAnsi="Arial"/>
                <w:sz w:val="14"/>
                <w:szCs w:val="14"/>
                <w:color w:val="auto"/>
              </w:rPr>
              <w:t>August 27, 2005</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Pr>
          <w:p>
            <w:pPr>
              <w:ind w:left="180"/>
              <w:spacing w:after="0"/>
              <w:rPr>
                <w:sz w:val="20"/>
                <w:szCs w:val="20"/>
                <w:color w:val="auto"/>
              </w:rPr>
            </w:pPr>
            <w:r>
              <w:rPr>
                <w:rFonts w:ascii="Arial" w:cs="Arial" w:eastAsia="Arial" w:hAnsi="Arial"/>
                <w:sz w:val="14"/>
                <w:szCs w:val="14"/>
                <w:color w:val="auto"/>
              </w:rPr>
              <w:t>through September</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144,796</w:t>
            </w:r>
            <w:r>
              <w:rPr>
                <w:rFonts w:ascii="Arial" w:cs="Arial" w:eastAsia="Arial" w:hAnsi="Arial"/>
                <w:sz w:val="17"/>
                <w:szCs w:val="17"/>
                <w:color w:val="auto"/>
                <w:vertAlign w:val="superscript"/>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180"/>
              <w:spacing w:after="0"/>
              <w:rPr>
                <w:sz w:val="20"/>
                <w:szCs w:val="20"/>
                <w:color w:val="auto"/>
              </w:rPr>
            </w:pPr>
            <w:r>
              <w:rPr>
                <w:rFonts w:ascii="Arial" w:cs="Arial" w:eastAsia="Arial" w:hAnsi="Arial"/>
                <w:sz w:val="14"/>
                <w:szCs w:val="14"/>
                <w:color w:val="auto"/>
              </w:rPr>
              <w:t>23, 2005</w:t>
            </w: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38.33</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144,796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1,909,709</w:t>
            </w: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September 24, 2005</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through October 31,</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2005</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65,925</w:t>
            </w:r>
          </w:p>
        </w:tc>
        <w:tc>
          <w:tcPr>
            <w:tcW w:w="1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35.65</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63,520</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1,846,189</w:t>
            </w:r>
          </w:p>
        </w:tc>
        <w:tc>
          <w:tcPr>
            <w:tcW w:w="0" w:type="dxa"/>
            <w:vAlign w:val="bottom"/>
          </w:tcPr>
          <w:p>
            <w:pPr>
              <w:spacing w:after="0"/>
              <w:rPr>
                <w:sz w:val="1"/>
                <w:szCs w:val="1"/>
                <w:color w:val="auto"/>
              </w:rPr>
            </w:pPr>
          </w:p>
        </w:tc>
      </w:tr>
      <w:tr>
        <w:trPr>
          <w:trHeight w:val="223"/>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810,721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39.43</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808,316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0" w:hanging="92"/>
        <w:spacing w:after="0" w:line="273" w:lineRule="auto"/>
        <w:tabs>
          <w:tab w:leader="none" w:pos="1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On September 30, 2004, the company’s Board of Directors authorized the repurchase of up to 2,000,000 shares of the company’s common stock (doubled from the original amount of 1,000,000 shares as a result of the stock split effective March 28, 2005) in open-market or in privately negotiated transactions. This program has no expiration date but</w:t>
      </w:r>
    </w:p>
    <w:p>
      <w:pPr>
        <w:ind w:left="100" w:right="340"/>
        <w:spacing w:after="0" w:line="278" w:lineRule="auto"/>
        <w:rPr>
          <w:sz w:val="20"/>
          <w:szCs w:val="20"/>
          <w:color w:val="auto"/>
        </w:rPr>
      </w:pPr>
      <w:r>
        <w:rPr>
          <w:rFonts w:ascii="Arial" w:cs="Arial" w:eastAsia="Arial" w:hAnsi="Arial"/>
          <w:sz w:val="14"/>
          <w:szCs w:val="14"/>
          <w:color w:val="auto"/>
        </w:rPr>
        <w:t>may be terminated by the company’s Board of Directors at any time. The company purchased 654,505 shares during the periods indicated under this program. There are no shares remaining for repurchase under this program.</w:t>
      </w:r>
    </w:p>
    <w:p>
      <w:pPr>
        <w:ind w:left="120" w:hanging="112"/>
        <w:spacing w:after="0" w:line="205" w:lineRule="auto"/>
        <w:tabs>
          <w:tab w:leader="none" w:pos="1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On July 19, 2005, the company’s Board of Directors authorized the repurchase of up to an additional 2,000,000 shares of the company’s common stock in open-market or in</w:t>
      </w:r>
    </w:p>
    <w:p>
      <w:pPr>
        <w:spacing w:after="0" w:line="58" w:lineRule="exact"/>
        <w:rPr>
          <w:sz w:val="20"/>
          <w:szCs w:val="20"/>
          <w:color w:val="auto"/>
        </w:rPr>
      </w:pPr>
    </w:p>
    <w:p>
      <w:pPr>
        <w:ind w:left="100" w:right="40"/>
        <w:spacing w:after="0" w:line="278" w:lineRule="auto"/>
        <w:rPr>
          <w:sz w:val="20"/>
          <w:szCs w:val="20"/>
          <w:color w:val="auto"/>
        </w:rPr>
      </w:pPr>
      <w:r>
        <w:rPr>
          <w:rFonts w:ascii="Arial" w:cs="Arial" w:eastAsia="Arial" w:hAnsi="Arial"/>
          <w:sz w:val="14"/>
          <w:szCs w:val="14"/>
          <w:color w:val="auto"/>
        </w:rPr>
        <w:t>privately negotiated transactions. This program has no expiration date but may be terminated by the company’s Board of Directors at any time. The company purchased 153,811 shares during the periods indicated under this program.</w:t>
      </w:r>
    </w:p>
    <w:p>
      <w:pPr>
        <w:spacing w:after="0" w:line="5" w:lineRule="exact"/>
        <w:rPr>
          <w:sz w:val="20"/>
          <w:szCs w:val="20"/>
          <w:color w:val="auto"/>
        </w:rPr>
      </w:pPr>
    </w:p>
    <w:p>
      <w:pPr>
        <w:ind w:left="100" w:hanging="92"/>
        <w:spacing w:after="0" w:line="280" w:lineRule="auto"/>
        <w:tabs>
          <w:tab w:leader="none" w:pos="1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2,405 units (shares) of the company’s common stock purchased in open-market transactions at an average price of $36.33 per share on behalf of a rabbi trust formed to pay benefit obligations of the company to participants in deferred compensation plans. These 2,405 shares were not repurchased under any of the company’s repurchase programs, as described in footnotes 1 and 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6. SELECTED FINANCIAL DATA</w:t>
      </w:r>
    </w:p>
    <w:p>
      <w:pPr>
        <w:spacing w:after="0" w:line="205" w:lineRule="exact"/>
        <w:rPr>
          <w:sz w:val="20"/>
          <w:szCs w:val="20"/>
          <w:color w:val="auto"/>
        </w:rPr>
      </w:pPr>
    </w:p>
    <w:tbl>
      <w:tblPr>
        <w:tblLayout w:type="fixed"/>
        <w:tblInd w:w="880" w:type="dxa"/>
        <w:tblCellMar>
          <w:top w:w="0" w:type="dxa"/>
          <w:left w:w="0" w:type="dxa"/>
          <w:bottom w:w="0" w:type="dxa"/>
          <w:right w:w="0" w:type="dxa"/>
        </w:tblCellMar>
      </w:tblPr>
      <w:tr>
        <w:trPr>
          <w:trHeight w:val="204"/>
        </w:trPr>
        <w:tc>
          <w:tcPr>
            <w:tcW w:w="39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 except per share data)</w:t>
            </w: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2005</w:t>
            </w:r>
            <w:r>
              <w:rPr>
                <w:rFonts w:ascii="Arial" w:cs="Arial" w:eastAsia="Arial" w:hAnsi="Arial"/>
                <w:sz w:val="17"/>
                <w:szCs w:val="17"/>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2004</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2003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2002</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RESULTS:</w:t>
            </w: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4"/>
                <w:szCs w:val="14"/>
                <w:b w:val="1"/>
                <w:bCs w:val="1"/>
                <w:color w:val="auto"/>
              </w:rPr>
              <w:t>Net sales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1,779,387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1,652,508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1,496,588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1,399,273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1,353,083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Net sales growth from prior year</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3900" w:type="dxa"/>
            <w:vAlign w:val="bottom"/>
          </w:tcPr>
          <w:p>
            <w:pPr>
              <w:ind w:left="180"/>
              <w:spacing w:after="0"/>
              <w:rPr>
                <w:sz w:val="20"/>
                <w:szCs w:val="20"/>
                <w:color w:val="auto"/>
              </w:rPr>
            </w:pPr>
            <w:r>
              <w:rPr>
                <w:rFonts w:ascii="Arial" w:cs="Arial" w:eastAsia="Arial" w:hAnsi="Arial"/>
                <w:sz w:val="14"/>
                <w:szCs w:val="14"/>
                <w:b w:val="1"/>
                <w:bCs w:val="1"/>
                <w:color w:val="auto"/>
              </w:rPr>
              <w:t>Gross profit percentage</w:t>
            </w:r>
          </w:p>
        </w:tc>
        <w:tc>
          <w:tcPr>
            <w:tcW w:w="460" w:type="dxa"/>
            <w:vAlign w:val="bottom"/>
          </w:tcPr>
          <w:p>
            <w:pPr>
              <w:spacing w:after="0"/>
              <w:rPr>
                <w:sz w:val="16"/>
                <w:szCs w:val="16"/>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34.6</w:t>
            </w:r>
          </w:p>
        </w:tc>
        <w:tc>
          <w:tcPr>
            <w:tcW w:w="200" w:type="dxa"/>
            <w:vAlign w:val="bottom"/>
          </w:tcPr>
          <w:p>
            <w:pPr>
              <w:spacing w:after="0"/>
              <w:rPr>
                <w:sz w:val="16"/>
                <w:szCs w:val="16"/>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35.9</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35.8</w:t>
            </w:r>
          </w:p>
        </w:tc>
        <w:tc>
          <w:tcPr>
            <w:tcW w:w="200" w:type="dxa"/>
            <w:vAlign w:val="bottom"/>
          </w:tcPr>
          <w:p>
            <w:pPr>
              <w:spacing w:after="0"/>
              <w:rPr>
                <w:sz w:val="16"/>
                <w:szCs w:val="16"/>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34.7</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Selling, general, and administrative expense as a</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percentage of net sales</w:t>
            </w:r>
            <w:r>
              <w:rPr>
                <w:rFonts w:ascii="Arial" w:cs="Arial" w:eastAsia="Arial" w:hAnsi="Arial"/>
                <w:sz w:val="17"/>
                <w:szCs w:val="17"/>
                <w:b w:val="1"/>
                <w:bCs w:val="1"/>
                <w:color w:val="auto"/>
                <w:vertAlign w:val="superscript"/>
              </w:rPr>
              <w:t>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24.3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4"/>
                <w:szCs w:val="14"/>
                <w:b w:val="1"/>
                <w:bCs w:val="1"/>
                <w:color w:val="auto"/>
              </w:rPr>
              <w:t>Earnings from operations</w:t>
            </w:r>
            <w:r>
              <w:rPr>
                <w:rFonts w:ascii="Arial" w:cs="Arial" w:eastAsia="Arial" w:hAnsi="Arial"/>
                <w:sz w:val="17"/>
                <w:szCs w:val="17"/>
                <w:b w:val="1"/>
                <w:bCs w:val="1"/>
                <w:color w:val="auto"/>
                <w:vertAlign w:val="superscript"/>
              </w:rPr>
              <w:t>3</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182,726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165,225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126,994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98,965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93,248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Interest expense</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17,733</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15,523</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16,285</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19,747</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4"/>
                <w:szCs w:val="14"/>
                <w:b w:val="1"/>
                <w:bCs w:val="1"/>
                <w:color w:val="auto"/>
              </w:rPr>
              <w:t>Earnings before accounting change</w:t>
            </w:r>
            <w:r>
              <w:rPr>
                <w:rFonts w:ascii="Arial" w:cs="Arial" w:eastAsia="Arial" w:hAnsi="Arial"/>
                <w:sz w:val="17"/>
                <w:szCs w:val="17"/>
                <w:b w:val="1"/>
                <w:bCs w:val="1"/>
                <w:color w:val="auto"/>
                <w:vertAlign w:val="superscript"/>
              </w:rPr>
              <w:t>3</w:t>
            </w:r>
          </w:p>
        </w:tc>
        <w:tc>
          <w:tcPr>
            <w:tcW w:w="46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114,082</w:t>
            </w:r>
          </w:p>
        </w:tc>
        <w:tc>
          <w:tcPr>
            <w:tcW w:w="20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102,666</w:t>
            </w:r>
          </w:p>
        </w:tc>
        <w:tc>
          <w:tcPr>
            <w:tcW w:w="200" w:type="dxa"/>
            <w:vAlign w:val="bottom"/>
          </w:tcPr>
          <w:p>
            <w:pPr>
              <w:spacing w:after="0"/>
              <w:rPr>
                <w:sz w:val="18"/>
                <w:szCs w:val="18"/>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81,620</w:t>
            </w:r>
          </w:p>
        </w:tc>
        <w:tc>
          <w:tcPr>
            <w:tcW w:w="20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59,931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50,448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As a percentage of net sales</w:t>
            </w:r>
            <w:r>
              <w:rPr>
                <w:rFonts w:ascii="Arial" w:cs="Arial" w:eastAsia="Arial" w:hAnsi="Arial"/>
                <w:sz w:val="17"/>
                <w:szCs w:val="17"/>
                <w:b w:val="1"/>
                <w:bCs w:val="1"/>
                <w:color w:val="auto"/>
                <w:vertAlign w:val="superscript"/>
              </w:rPr>
              <w:t>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4"/>
                <w:szCs w:val="14"/>
                <w:b w:val="1"/>
                <w:bCs w:val="1"/>
                <w:color w:val="auto"/>
              </w:rPr>
              <w:t>Net earnings</w:t>
            </w:r>
            <w:r>
              <w:rPr>
                <w:rFonts w:ascii="Arial" w:cs="Arial" w:eastAsia="Arial" w:hAnsi="Arial"/>
                <w:sz w:val="17"/>
                <w:szCs w:val="17"/>
                <w:b w:val="1"/>
                <w:bCs w:val="1"/>
                <w:color w:val="auto"/>
                <w:vertAlign w:val="superscript"/>
              </w:rPr>
              <w:t>3,4</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114,082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102,666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81,620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35,317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50,448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17"/>
                <w:szCs w:val="17"/>
                <w:b w:val="1"/>
                <w:bCs w:val="1"/>
                <w:color w:val="auto"/>
                <w:vertAlign w:val="superscript"/>
              </w:rPr>
              <w:t>2,3,4</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2.55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0.70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17"/>
                <w:szCs w:val="17"/>
                <w:b w:val="1"/>
                <w:bCs w:val="1"/>
                <w:color w:val="auto"/>
                <w:vertAlign w:val="superscript"/>
              </w:rPr>
              <w:t>2,3,4</w:t>
            </w:r>
          </w:p>
        </w:tc>
        <w:tc>
          <w:tcPr>
            <w:tcW w:w="46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2.45</w:t>
            </w:r>
          </w:p>
        </w:tc>
        <w:tc>
          <w:tcPr>
            <w:tcW w:w="20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2.02</w:t>
            </w:r>
          </w:p>
        </w:tc>
        <w:tc>
          <w:tcPr>
            <w:tcW w:w="200" w:type="dxa"/>
            <w:vAlign w:val="bottom"/>
          </w:tcPr>
          <w:p>
            <w:pPr>
              <w:spacing w:after="0"/>
              <w:rPr>
                <w:sz w:val="18"/>
                <w:szCs w:val="18"/>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1.56</w:t>
            </w:r>
          </w:p>
        </w:tc>
        <w:tc>
          <w:tcPr>
            <w:tcW w:w="20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0.68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Return on average stockholders’ equity</w:t>
            </w:r>
            <w:r>
              <w:rPr>
                <w:rFonts w:ascii="Arial" w:cs="Arial" w:eastAsia="Arial" w:hAnsi="Arial"/>
                <w:sz w:val="17"/>
                <w:szCs w:val="17"/>
                <w:b w:val="1"/>
                <w:bCs w:val="1"/>
                <w:color w:val="auto"/>
                <w:vertAlign w:val="superscript"/>
              </w:rPr>
              <w:t>3,4</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4"/>
                <w:szCs w:val="14"/>
                <w:b w:val="1"/>
                <w:bCs w:val="1"/>
                <w:color w:val="auto"/>
              </w:rPr>
              <w:t>SUMMARY OF FINANCIAL POSITION:</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Total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916,737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932,100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928,737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845,853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838,453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4"/>
                <w:szCs w:val="14"/>
                <w:b w:val="1"/>
                <w:bCs w:val="1"/>
                <w:color w:val="auto"/>
              </w:rPr>
              <w:t>Working capita</w:t>
            </w:r>
            <w:r>
              <w:rPr>
                <w:rFonts w:ascii="Arial" w:cs="Arial" w:eastAsia="Arial" w:hAnsi="Arial"/>
                <w:sz w:val="15"/>
                <w:szCs w:val="15"/>
                <w:b w:val="1"/>
                <w:bCs w:val="1"/>
                <w:color w:val="auto"/>
              </w:rPr>
              <w:t>l</w:t>
            </w:r>
            <w:r>
              <w:rPr>
                <w:rFonts w:ascii="Arial" w:cs="Arial" w:eastAsia="Arial" w:hAnsi="Arial"/>
                <w:sz w:val="17"/>
                <w:szCs w:val="17"/>
                <w:b w:val="1"/>
                <w:bCs w:val="1"/>
                <w:color w:val="auto"/>
                <w:vertAlign w:val="superscript"/>
              </w:rPr>
              <w:t>5</w:t>
            </w:r>
          </w:p>
        </w:tc>
        <w:tc>
          <w:tcPr>
            <w:tcW w:w="46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305,872</w:t>
            </w:r>
          </w:p>
        </w:tc>
        <w:tc>
          <w:tcPr>
            <w:tcW w:w="20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344,446</w:t>
            </w:r>
          </w:p>
        </w:tc>
        <w:tc>
          <w:tcPr>
            <w:tcW w:w="200" w:type="dxa"/>
            <w:vAlign w:val="bottom"/>
          </w:tcPr>
          <w:p>
            <w:pPr>
              <w:spacing w:after="0"/>
              <w:rPr>
                <w:sz w:val="18"/>
                <w:szCs w:val="18"/>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380,100</w:t>
            </w:r>
          </w:p>
        </w:tc>
        <w:tc>
          <w:tcPr>
            <w:tcW w:w="20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301,627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272,941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Long-term debt, including current portion</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175,046</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175,091</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178,921</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194,581</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195,078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180"/>
              <w:spacing w:after="0"/>
              <w:rPr>
                <w:sz w:val="20"/>
                <w:szCs w:val="20"/>
                <w:color w:val="auto"/>
              </w:rPr>
            </w:pPr>
            <w:r>
              <w:rPr>
                <w:rFonts w:ascii="Arial" w:cs="Arial" w:eastAsia="Arial" w:hAnsi="Arial"/>
                <w:sz w:val="14"/>
                <w:szCs w:val="14"/>
                <w:b w:val="1"/>
                <w:bCs w:val="1"/>
                <w:color w:val="auto"/>
              </w:rPr>
              <w:t>Stockholders’ equity</w:t>
            </w:r>
          </w:p>
        </w:tc>
        <w:tc>
          <w:tcPr>
            <w:tcW w:w="460" w:type="dxa"/>
            <w:vAlign w:val="bottom"/>
          </w:tcPr>
          <w:p>
            <w:pPr>
              <w:spacing w:after="0"/>
              <w:rPr>
                <w:sz w:val="16"/>
                <w:szCs w:val="16"/>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390,034</w:t>
            </w:r>
          </w:p>
        </w:tc>
        <w:tc>
          <w:tcPr>
            <w:tcW w:w="200" w:type="dxa"/>
            <w:vAlign w:val="bottom"/>
          </w:tcPr>
          <w:p>
            <w:pPr>
              <w:spacing w:after="0"/>
              <w:rPr>
                <w:sz w:val="16"/>
                <w:szCs w:val="16"/>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420,819</w:t>
            </w:r>
          </w:p>
        </w:tc>
        <w:tc>
          <w:tcPr>
            <w:tcW w:w="20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451,523</w:t>
            </w:r>
          </w:p>
        </w:tc>
        <w:tc>
          <w:tcPr>
            <w:tcW w:w="200" w:type="dxa"/>
            <w:vAlign w:val="bottom"/>
          </w:tcPr>
          <w:p>
            <w:pPr>
              <w:spacing w:after="0"/>
              <w:rPr>
                <w:sz w:val="16"/>
                <w:szCs w:val="16"/>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373,526</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347,708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Debt to capitalization ratio</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31.0%</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4"/>
                <w:szCs w:val="14"/>
                <w:b w:val="1"/>
                <w:bCs w:val="1"/>
                <w:color w:val="auto"/>
              </w:rPr>
              <w:t>OTHER STATISTICAL DATA:</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Market price range –</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4"/>
                <w:szCs w:val="14"/>
                <w:b w:val="1"/>
                <w:bCs w:val="1"/>
                <w:color w:val="auto"/>
              </w:rPr>
              <w:t>High sales price</w:t>
            </w:r>
            <w:r>
              <w:rPr>
                <w:rFonts w:ascii="Arial" w:cs="Arial" w:eastAsia="Arial" w:hAnsi="Arial"/>
                <w:sz w:val="17"/>
                <w:szCs w:val="17"/>
                <w:b w:val="1"/>
                <w:bCs w:val="1"/>
                <w:color w:val="auto"/>
                <w:vertAlign w:val="superscript"/>
              </w:rPr>
              <w:t>2</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49.02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35.825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25.205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16.0550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12.5000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Low sales price</w:t>
            </w:r>
            <w:r>
              <w:rPr>
                <w:rFonts w:ascii="Arial" w:cs="Arial" w:eastAsia="Arial" w:hAnsi="Arial"/>
                <w:sz w:val="17"/>
                <w:szCs w:val="17"/>
                <w:b w:val="1"/>
                <w:bCs w:val="1"/>
                <w:color w:val="auto"/>
                <w:vertAlign w:val="superscript"/>
              </w:rPr>
              <w:t>2</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33.90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22.225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15.075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10.4775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4"/>
                <w:szCs w:val="14"/>
                <w:b w:val="1"/>
                <w:bCs w:val="1"/>
                <w:color w:val="auto"/>
              </w:rPr>
              <w:t>Cash dividends per share of common stock</w:t>
            </w:r>
            <w:r>
              <w:rPr>
                <w:rFonts w:ascii="Arial" w:cs="Arial" w:eastAsia="Arial" w:hAnsi="Arial"/>
                <w:sz w:val="17"/>
                <w:szCs w:val="17"/>
                <w:b w:val="1"/>
                <w:bCs w:val="1"/>
                <w:color w:val="auto"/>
                <w:vertAlign w:val="superscript"/>
              </w:rPr>
              <w:t>2</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0.24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0.12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0.12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0.12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Average number of employees</w:t>
            </w: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5,185</w:t>
            </w: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5,164</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5,367</w:t>
            </w: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5,395</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ind w:left="120" w:hanging="112"/>
        <w:spacing w:after="0" w:line="220" w:lineRule="auto"/>
        <w:tabs>
          <w:tab w:leader="none" w:pos="1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company’s consolidated financial statements include results of Hayter Limited from February 8, 2005, date of acquisition.</w:t>
      </w:r>
    </w:p>
    <w:p>
      <w:pPr>
        <w:spacing w:after="0" w:line="23"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Per share data has been adjusted for all fiscal years presented to reflect two separate two-for-one stock splits effective on March 28, 2005 and April 1, 2003.</w:t>
      </w:r>
    </w:p>
    <w:p>
      <w:pPr>
        <w:sectPr>
          <w:pgSz w:w="11900" w:h="16838" w:orient="portrait"/>
          <w:cols w:equalWidth="0" w:num="1">
            <w:col w:w="11380"/>
          </w:cols>
          <w:pgMar w:left="240" w:top="130" w:right="279" w:bottom="0" w:gutter="0" w:footer="0" w:header="0"/>
        </w:sectPr>
      </w:pPr>
    </w:p>
    <w:bookmarkStart w:id="15" w:name="page16"/>
    <w:bookmarkEnd w:id="15"/>
    <w:p>
      <w:pPr>
        <w:ind w:left="120" w:hanging="112"/>
        <w:spacing w:after="0"/>
        <w:tabs>
          <w:tab w:leader="none" w:pos="1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Fiscal 2002 earnings from operations include restructuring and other expense of $8.4 million and fiscal 2001 earnings from operations include restructuring and other income of</w:t>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$0.7 million, which was not combined with selling, general, and administrative expense.</w:t>
      </w:r>
    </w:p>
    <w:p>
      <w:pPr>
        <w:ind w:left="120" w:hanging="112"/>
        <w:spacing w:after="0" w:line="232" w:lineRule="auto"/>
        <w:tabs>
          <w:tab w:leader="none" w:pos="1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Fiscal 2002 net earnings and basic and diluted net earnings per share data include the cumulative effect of a change in accounting principle of $24.6 million, $0.49 per basic</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share, and $0.48 per diluted share.</w:t>
      </w:r>
    </w:p>
    <w:p>
      <w:pPr>
        <w:ind w:left="120" w:hanging="112"/>
        <w:spacing w:after="0" w:line="232" w:lineRule="auto"/>
        <w:tabs>
          <w:tab w:leader="none" w:pos="1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Working capital is defined as current assets less current liabilities.</w:t>
      </w:r>
    </w:p>
    <w:p>
      <w:pPr>
        <w:spacing w:after="0" w:line="200" w:lineRule="exact"/>
        <w:rPr>
          <w:sz w:val="20"/>
          <w:szCs w:val="20"/>
          <w:color w:val="auto"/>
        </w:rPr>
      </w:pPr>
    </w:p>
    <w:p>
      <w:pPr>
        <w:spacing w:after="0" w:line="266" w:lineRule="exact"/>
        <w:rPr>
          <w:sz w:val="20"/>
          <w:szCs w:val="20"/>
          <w:color w:val="auto"/>
        </w:rPr>
      </w:pPr>
    </w:p>
    <w:p>
      <w:pPr>
        <w:ind w:left="800" w:right="840" w:hanging="791"/>
        <w:spacing w:after="0" w:line="299" w:lineRule="auto"/>
        <w:rPr>
          <w:sz w:val="20"/>
          <w:szCs w:val="20"/>
          <w:color w:val="auto"/>
        </w:rPr>
      </w:pPr>
      <w:r>
        <w:rPr>
          <w:rFonts w:ascii="Arial" w:cs="Arial" w:eastAsia="Arial" w:hAnsi="Arial"/>
          <w:sz w:val="22"/>
          <w:szCs w:val="22"/>
          <w:b w:val="1"/>
          <w:bCs w:val="1"/>
          <w:color w:val="4673B6"/>
        </w:rPr>
        <w:t>ITEM 7. MANAGEMENT’S DISCUSSION AND ANALYSIS OF FINANCIAL CONDITION AND RESULTS OF OPERATIONS</w:t>
      </w:r>
    </w:p>
    <w:p>
      <w:pPr>
        <w:spacing w:after="0" w:line="144"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including those discussed under the caption “Risk Factors” in Item 1A of this Annual Report on Form 10-K and elsewhere in this report. These risks could cause our actual results to differ materially from any future performance suggested below.</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OVERVIEW</w:t>
      </w:r>
    </w:p>
    <w:p>
      <w:pPr>
        <w:spacing w:after="0" w:line="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Toro Company is in the business of designing, manufacturing, and marketing professional turf maintenance equipment and services, turf and micro irrigation systems, landscaping equipment, and residential yard products worldwide. Our products are sold through a network of distributors, dealers, hardware retailers, home centers, mass retailers, and over the Internet, mainly through Internet retailers. Our businesses are organized into two segments: professional and residential. A third segment called “other” consists of domestic distribution companies and corporate activities. Our emphasis is to provide well-built, dependable, and innovative products supported by an extensive service network. A significant portion of our revenues has historically been attributable to new and enhanced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Financial Overview</w:t>
      </w:r>
    </w:p>
    <w:p>
      <w:pPr>
        <w:spacing w:after="0" w:line="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Fiscal 2005 was another strong year with net sales growth of 7.7 percent and a double digit net earnings growth rate of 11.1 percent. Diluted net earnings per share also increased 21.3 percent in fiscal 2005 compared to fiscal 2004. Our after-tax return on net sales rose to 6.4 percent from 6.2 percent for fiscal 2004. Sales of most of our product lines were up mainly as a result of successful new products introduced within the past two years, the acquisition of Hayter Limited, strong international demand, select price increases, and favorable foreign currency exchange rates compared to the U.S. dollar. The following table sets forth, for the fiscal years indicated, net sales by segment and the related percent change from the prior fiscal year.</w:t>
      </w:r>
    </w:p>
    <w:p>
      <w:pPr>
        <w:spacing w:after="0" w:line="174" w:lineRule="exact"/>
        <w:rPr>
          <w:sz w:val="20"/>
          <w:szCs w:val="20"/>
          <w:color w:val="auto"/>
        </w:rPr>
      </w:pPr>
    </w:p>
    <w:tbl>
      <w:tblPr>
        <w:tblLayout w:type="fixed"/>
        <w:tblInd w:w="3240" w:type="dxa"/>
        <w:tblCellMar>
          <w:top w:w="0" w:type="dxa"/>
          <w:left w:w="0" w:type="dxa"/>
          <w:bottom w:w="0" w:type="dxa"/>
          <w:right w:w="0" w:type="dxa"/>
        </w:tblCellMar>
      </w:tblPr>
      <w:tr>
        <w:trPr>
          <w:trHeight w:val="218"/>
        </w:trPr>
        <w:tc>
          <w:tcPr>
            <w:tcW w:w="18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Dollars in thousands)</w:t>
            </w:r>
          </w:p>
        </w:tc>
        <w:tc>
          <w:tcPr>
            <w:tcW w:w="9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2005</w:t>
            </w:r>
          </w:p>
        </w:tc>
        <w:tc>
          <w:tcPr>
            <w:tcW w:w="8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2005 vs. 2004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9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change</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Professional</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$ 1,145,361</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$ 1,028,941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20"/>
                <w:szCs w:val="20"/>
                <w:color w:val="auto"/>
              </w:rPr>
            </w:pPr>
            <w:r>
              <w:rPr>
                <w:rFonts w:ascii="Arial" w:cs="Arial" w:eastAsia="Arial" w:hAnsi="Arial"/>
                <w:sz w:val="14"/>
                <w:szCs w:val="14"/>
                <w:b w:val="1"/>
                <w:bCs w:val="1"/>
                <w:color w:val="auto"/>
              </w:rPr>
              <w:t>Residential</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583,291</w:t>
            </w:r>
          </w:p>
        </w:tc>
        <w:tc>
          <w:tcPr>
            <w:tcW w:w="880" w:type="dxa"/>
            <w:vAlign w:val="bottom"/>
          </w:tcPr>
          <w:p>
            <w:pPr>
              <w:jc w:val="right"/>
              <w:spacing w:after="0"/>
              <w:rPr>
                <w:sz w:val="20"/>
                <w:szCs w:val="20"/>
                <w:color w:val="auto"/>
              </w:rPr>
            </w:pPr>
            <w:r>
              <w:rPr>
                <w:rFonts w:ascii="Arial" w:cs="Arial" w:eastAsia="Arial" w:hAnsi="Arial"/>
                <w:sz w:val="14"/>
                <w:szCs w:val="14"/>
                <w:color w:val="auto"/>
              </w:rPr>
              <w:t>554,334</w:t>
            </w:r>
          </w:p>
        </w:tc>
        <w:tc>
          <w:tcPr>
            <w:tcW w:w="1160" w:type="dxa"/>
            <w:vAlign w:val="bottom"/>
          </w:tcPr>
          <w:p>
            <w:pPr>
              <w:jc w:val="right"/>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50,735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69,233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20"/>
                <w:szCs w:val="20"/>
                <w:color w:val="auto"/>
              </w:rPr>
            </w:pPr>
            <w:r>
              <w:rPr>
                <w:rFonts w:ascii="Arial" w:cs="Arial" w:eastAsia="Arial" w:hAnsi="Arial"/>
                <w:sz w:val="14"/>
                <w:szCs w:val="14"/>
                <w:b w:val="1"/>
                <w:bCs w:val="1"/>
                <w:color w:val="auto"/>
              </w:rPr>
              <w:t>Total net sales</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$ 1,779,387</w:t>
            </w:r>
          </w:p>
        </w:tc>
        <w:tc>
          <w:tcPr>
            <w:tcW w:w="880" w:type="dxa"/>
            <w:vAlign w:val="bottom"/>
          </w:tcPr>
          <w:p>
            <w:pPr>
              <w:jc w:val="right"/>
              <w:spacing w:after="0"/>
              <w:rPr>
                <w:sz w:val="20"/>
                <w:szCs w:val="20"/>
                <w:color w:val="auto"/>
              </w:rPr>
            </w:pPr>
            <w:r>
              <w:rPr>
                <w:rFonts w:ascii="Arial" w:cs="Arial" w:eastAsia="Arial" w:hAnsi="Arial"/>
                <w:sz w:val="14"/>
                <w:szCs w:val="14"/>
                <w:color w:val="auto"/>
              </w:rPr>
              <w:t>$ 1,652,508</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Our financial condition remains strong with continued emphasis on asset management. This has allowed us to reinvest in product development, brand building, and new technologies. We doubled our fiscal 2005 quarterly cash dividend from the quarterly cash dividend paid in fiscal 2004 and recently increased our first quarter of fiscal 2006 quarterly cash dividend by 50 percent from the quarterly dividend paid in the first quarter of fiscal 2005. We also continued to repurchase shares of our common stock during fiscal 2005, which has reduced the number of our shares outstanding. This reduction has resulted in an increase of approximately $0.20 per diluted share in fiscal 2005 compared to fiscal 2004.</w:t>
      </w:r>
    </w:p>
    <w:p>
      <w:pPr>
        <w:spacing w:after="0" w:line="1" w:lineRule="exact"/>
        <w:rPr>
          <w:sz w:val="20"/>
          <w:szCs w:val="20"/>
          <w:color w:val="auto"/>
        </w:rPr>
      </w:pPr>
    </w:p>
    <w:p>
      <w:pPr>
        <w:ind w:right="220" w:firstLine="180"/>
        <w:spacing w:after="0" w:line="266" w:lineRule="auto"/>
        <w:rPr>
          <w:sz w:val="20"/>
          <w:szCs w:val="20"/>
          <w:color w:val="auto"/>
        </w:rPr>
      </w:pPr>
      <w:r>
        <w:rPr>
          <w:rFonts w:ascii="Arial" w:cs="Arial" w:eastAsia="Arial" w:hAnsi="Arial"/>
          <w:sz w:val="18"/>
          <w:szCs w:val="18"/>
          <w:color w:val="auto"/>
        </w:rPr>
        <w:t>On March 15, 2005, our Board of Directors declared a two-for-one stock split of our common stock, effected in the form of a 100 percent stock dividend paid on April 12, 2005. As a result of this action, approximately 21.7 million shares were issued to stockholders of record as of March 28, 2005. This was the second stock split in the past three fiscal years. All references to the number of common shares and per common share amounts have been adjusted to give retroactive effect to the stock split for all periods presented.</w:t>
      </w:r>
    </w:p>
    <w:p>
      <w:pPr>
        <w:spacing w:after="0" w:line="1" w:lineRule="exact"/>
        <w:rPr>
          <w:sz w:val="20"/>
          <w:szCs w:val="20"/>
          <w:color w:val="auto"/>
        </w:rPr>
      </w:pPr>
    </w:p>
    <w:p>
      <w:pPr>
        <w:ind w:firstLine="180"/>
        <w:spacing w:after="0" w:line="268" w:lineRule="auto"/>
        <w:rPr>
          <w:sz w:val="20"/>
          <w:szCs w:val="20"/>
          <w:color w:val="auto"/>
        </w:rPr>
      </w:pPr>
      <w:r>
        <w:rPr>
          <w:rFonts w:ascii="Arial" w:cs="Arial" w:eastAsia="Arial" w:hAnsi="Arial"/>
          <w:sz w:val="18"/>
          <w:szCs w:val="18"/>
          <w:color w:val="auto"/>
        </w:rPr>
        <w:t>Overall, fiscal 2005 was a good year and we believe we are in a position for yet another good year in fiscal 2006. Key drivers for our anticipated growth in fiscal 2006 will be the continued success of our product innovation, increased emphasis on growing our international business, developing integrated services with our product offering, focusing on markets that are underserved by our brands, and adapting to an ever-changing competitive marketplace by becoming a solutions provider. However, we will continue to keep a cautionary eye on the weather, world economies, field inventory levels, commodity prices, and other factors identified under the caption “Risk Factors” in Item 1A of this Annual Report on Form 10-K, which could cause our actual results to differ from our outlook.</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Acquisition</w:t>
      </w:r>
    </w:p>
    <w:p>
      <w:pPr>
        <w:spacing w:after="0" w:line="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February 8, 2005, we completed the acquisition of certain assets and assumed certain liabilities of Hayter Limited (Hayter). Hayter designs, manufactures, and markets residential and professional turf maintenance equipment primarily for the United Kingdom market, with annual sales of approximately $50 million. The acquisition of Hayter contributed 2.1 percent of our 7.7 percent net sales growth for fiscal 2005.</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Initiative Accelerating our Future</w:t>
      </w:r>
    </w:p>
    <w:p>
      <w:pPr>
        <w:spacing w:after="0" w:line="4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Fiscal 2005 was the second year of our “6 + 8: Teamwork to the Top” initiative to achieve a consistent after-tax return on sales of 6 percent or more and grow revenues at an average annual rate of 8 percent or more over the three-year period ending October 31, 2006. We have mobilized our global workforce to employ new tools and disciplines that are intended to drive innovation, eliminate waste, and add sustainable value. The focus areas of this initiative are:</w:t>
      </w:r>
    </w:p>
    <w:p>
      <w:pPr>
        <w:sectPr>
          <w:pgSz w:w="11900" w:h="16838" w:orient="portrait"/>
          <w:cols w:equalWidth="0" w:num="1">
            <w:col w:w="11420"/>
          </w:cols>
          <w:pgMar w:left="240" w:top="123" w:right="239" w:bottom="0" w:gutter="0" w:footer="0" w:header="0"/>
        </w:sectPr>
      </w:pPr>
    </w:p>
    <w:bookmarkStart w:id="16" w:name="page17"/>
    <w:bookmarkEnd w:id="16"/>
    <w:p>
      <w:pPr>
        <w:spacing w:after="0" w:line="275" w:lineRule="auto"/>
        <w:rPr>
          <w:sz w:val="20"/>
          <w:szCs w:val="20"/>
          <w:color w:val="auto"/>
        </w:rPr>
      </w:pPr>
      <w:r>
        <w:rPr>
          <w:rFonts w:ascii="Arial" w:cs="Arial" w:eastAsia="Arial" w:hAnsi="Arial"/>
          <w:sz w:val="18"/>
          <w:szCs w:val="18"/>
          <w:b w:val="1"/>
          <w:bCs w:val="1"/>
          <w:i w:val="1"/>
          <w:iCs w:val="1"/>
          <w:color w:val="4673B6"/>
        </w:rPr>
        <w:t xml:space="preserve">Lean/No Waste. </w:t>
      </w:r>
      <w:r>
        <w:rPr>
          <w:rFonts w:ascii="Arial" w:cs="Arial" w:eastAsia="Arial" w:hAnsi="Arial"/>
          <w:sz w:val="18"/>
          <w:szCs w:val="18"/>
          <w:color w:val="000000"/>
        </w:rPr>
        <w:t>The same “Lean” methods and principles that are delivering measurable improvements in efficiency and profitability in our</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manufacturing environment are also being employed in our office environments to streamline work and eliminate waste. Project teams are forming throughout the organization to assess existing processes, increase cross-functional collaboration, and eliminate unnecessary steps that have little value. Combined, these efforts have made the organization more resilient and disciplined to reduce the impact of external factors like weather and global economic volatility.</w:t>
      </w:r>
    </w:p>
    <w:p>
      <w:pPr>
        <w:spacing w:after="0" w:line="70"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i w:val="1"/>
          <w:iCs w:val="1"/>
          <w:color w:val="4673B6"/>
        </w:rPr>
        <w:t xml:space="preserve">Investing in Growth. </w:t>
      </w:r>
      <w:r>
        <w:rPr>
          <w:rFonts w:ascii="Arial" w:cs="Arial" w:eastAsia="Arial" w:hAnsi="Arial"/>
          <w:sz w:val="18"/>
          <w:szCs w:val="18"/>
          <w:color w:val="000000"/>
        </w:rPr>
        <w:t>In addition to increasing profitability, the “6 + 8” initiative has a second focus of driving stronger revenue growth through</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accelerated investments in innovative products and services, product branding, new technologies, and expansion in current and new markets. In fiscal 2005, we experienced significant growth in our international markets through the acquisition of Hayter in the United Kingdom and by strengthening our brand presence and relationships internationally. We will continue to redirect a portion of our Lean/No Waste savings to research new and better solutions that create market differentiation and address demands for innovative solutions, no matter where our customers live and work.</w:t>
      </w:r>
    </w:p>
    <w:p>
      <w:pPr>
        <w:spacing w:after="0" w:line="7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4673B6"/>
        </w:rPr>
        <w:t xml:space="preserve">Strengthening Culture. </w:t>
      </w:r>
      <w:r>
        <w:rPr>
          <w:rFonts w:ascii="Arial" w:cs="Arial" w:eastAsia="Arial" w:hAnsi="Arial"/>
          <w:sz w:val="18"/>
          <w:szCs w:val="18"/>
          <w:color w:val="000000"/>
        </w:rPr>
        <w:t>Toro has a long-standing culture of people and performance values. These serve as a foundation for establishing a</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stronger mindset of continuous improvement and process discipline that will ensure we remain a viable and successful organization. To position us for the future, we are emphasizing four key values: teamwork and partnership, communications, prevention, and building growth and profitability. We recognize that the collective contributions, energy, and commitment of our employees are the key factors in our success. Therefore, we will continue to invest in education, surveys, focus groups, and other methods to ensure all</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employees are engaged and committed to achieving our growth and profitability goals.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Leadership Transition</w:t>
      </w:r>
    </w:p>
    <w:p>
      <w:pPr>
        <w:spacing w:after="0" w:line="4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On February 17, 2005, the Board of Directors elected Michael J. Hoffman to the position of President and Chief Executive Officer effective on March 15, 2005. At the same time, Kendrick B. Melrose assumed his new role as Executive Chairman of the Board of Directors. On December 31, 2005, he will retire as an employee of The Toro Company but will continue to serve as Chairman of the Board.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Significant Transactions and Financial Trends</w:t>
      </w:r>
    </w:p>
    <w:p>
      <w:pPr>
        <w:spacing w:after="0" w:line="40"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Throughout these financial sections, you will read about significant transactions or events that materially contribute to or reduce our earnings and materially affect financial trends. During fiscal 2005 and 2004, we experienced rising costs for steel, fuel, petroleum-based resins, and other commodities that reduced our gross margins and net earnings. With the exception of steel prices, which management believes have leveled, this trend is expected to continue into fiscal 2006, as increased worldwide demand and other factors are driving higher prices for commodities. To partially offset the higher commodity costs we are experiencing, we introduced select price increases on some products in fiscal 2005. We also generated and plan to continue to generate cost savings through ongoing cost reduction efforts as we continued to implement lean methods and processes in our plants and offices.</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Effective November 1, 2004, we adopted the provisions of Statement of Financial Accounting Standards (SFAS) No. 123 (Revised 2004), “Share-Based Payment,” which resulted in a benefit to net earnings of $1.4 million or $0.04 per diluted share. However, if we had applied the provisions of SFAS No. 123R during fiscal 2004, diluted net earnings per share would have increased by $0.05 per share to $2.07 per share for fiscal 2004. Additional information is presented in Item 8, Notes to Consolidated Financial Statements in Note 1 under the section entitled “Stock-Based Compensation” and in Note 10, “Stock-Based Compensation Plans.”</w:t>
      </w:r>
    </w:p>
    <w:p>
      <w:pPr>
        <w:spacing w:after="0" w:line="1" w:lineRule="exact"/>
        <w:rPr>
          <w:sz w:val="20"/>
          <w:szCs w:val="20"/>
          <w:color w:val="auto"/>
        </w:rPr>
      </w:pPr>
    </w:p>
    <w:p>
      <w:pPr>
        <w:jc w:val="both"/>
        <w:ind w:right="120" w:firstLine="180"/>
        <w:spacing w:after="0" w:line="271" w:lineRule="auto"/>
        <w:rPr>
          <w:sz w:val="20"/>
          <w:szCs w:val="20"/>
          <w:color w:val="auto"/>
        </w:rPr>
      </w:pPr>
      <w:r>
        <w:rPr>
          <w:rFonts w:ascii="Arial" w:cs="Arial" w:eastAsia="Arial" w:hAnsi="Arial"/>
          <w:sz w:val="18"/>
          <w:szCs w:val="18"/>
          <w:color w:val="auto"/>
        </w:rPr>
        <w:t>While these items are important in understanding and evaluating our financial results and trends, other transactions or events such as those discussed later in this Management’s Discussion and Analysis may also have a material impact on financial trends. A complete understanding of these transactions is necessary in order to evaluate the likelihood that financial trends will continue.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RESULTS OF OPERATIONS</w:t>
      </w:r>
    </w:p>
    <w:p>
      <w:pPr>
        <w:spacing w:after="0" w:line="4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Fiscal 2005 net earnings were $114.1 million compared to $102.7 million in fiscal 2004, an increase of 11.1 percent. Fiscal 2005 net earnings per diluted share were $2.45, an increase of 21.3 percent over $2.02 per diluted share in fiscal 2004. The primary factors contributing to the net earnings increase were higher net sales, lower incentive compensation expense, and improved leveraging of selling, general, and administrative expense. However, the growth in fiscal 2005 net earnings relative to fiscal 2004 was somewhat tempered by higher costs for steel, resin, and other commodities.</w:t>
      </w:r>
    </w:p>
    <w:p>
      <w:pPr>
        <w:spacing w:after="0" w:line="1" w:lineRule="exact"/>
        <w:rPr>
          <w:sz w:val="20"/>
          <w:szCs w:val="20"/>
          <w:color w:val="auto"/>
        </w:rPr>
      </w:pPr>
    </w:p>
    <w:p>
      <w:pPr>
        <w:jc w:val="both"/>
        <w:ind w:right="20" w:firstLine="180"/>
        <w:spacing w:after="0" w:line="266" w:lineRule="auto"/>
        <w:rPr>
          <w:sz w:val="20"/>
          <w:szCs w:val="20"/>
          <w:color w:val="auto"/>
        </w:rPr>
      </w:pPr>
      <w:r>
        <w:rPr>
          <w:rFonts w:ascii="Arial" w:cs="Arial" w:eastAsia="Arial" w:hAnsi="Arial"/>
          <w:sz w:val="18"/>
          <w:szCs w:val="18"/>
          <w:color w:val="auto"/>
        </w:rPr>
        <w:t>Fiscal 2004 net earnings were $102.7 million compared to $81.6 million in fiscal 2003, an increase of 25.8 percent. Fiscal 2004 net earnings per diluted share were $2.02, an increase of 29.5 percent over $1.56 per diluted share in fiscal 2003. The primary factors contributing to the net earnings increase were higher sales volumes and improved leveraging of selling, general, and administrative expense.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results of operations as a percentage of net sales.</w:t>
      </w:r>
    </w:p>
    <w:p>
      <w:pPr>
        <w:spacing w:after="0" w:line="206" w:lineRule="exact"/>
        <w:rPr>
          <w:sz w:val="20"/>
          <w:szCs w:val="20"/>
          <w:color w:val="auto"/>
        </w:rPr>
      </w:pPr>
    </w:p>
    <w:tbl>
      <w:tblPr>
        <w:tblLayout w:type="fixed"/>
        <w:tblInd w:w="3420" w:type="dxa"/>
        <w:tblCellMar>
          <w:top w:w="0" w:type="dxa"/>
          <w:left w:w="0" w:type="dxa"/>
          <w:bottom w:w="0" w:type="dxa"/>
          <w:right w:w="0" w:type="dxa"/>
        </w:tblCellMar>
      </w:tblPr>
      <w:tr>
        <w:trPr>
          <w:trHeight w:val="203"/>
        </w:trPr>
        <w:tc>
          <w:tcPr>
            <w:tcW w:w="2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7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2005</w:t>
            </w:r>
          </w:p>
        </w:tc>
        <w:tc>
          <w:tcPr>
            <w:tcW w:w="6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2004</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160" w:type="dxa"/>
            <w:vAlign w:val="bottom"/>
            <w:tcBorders>
              <w:bottom w:val="single" w:sz="8" w:color="CCEEFF"/>
            </w:tcBorders>
          </w:tcPr>
          <w:p>
            <w:pPr>
              <w:spacing w:after="0"/>
              <w:rPr>
                <w:sz w:val="17"/>
                <w:szCs w:val="17"/>
                <w:color w:val="auto"/>
              </w:rPr>
            </w:pPr>
          </w:p>
        </w:tc>
      </w:tr>
      <w:tr>
        <w:trPr>
          <w:trHeight w:val="183"/>
        </w:trPr>
        <w:tc>
          <w:tcPr>
            <w:tcW w:w="2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w:t>
            </w:r>
          </w:p>
        </w:tc>
      </w:tr>
      <w:tr>
        <w:trPr>
          <w:trHeight w:val="189"/>
        </w:trPr>
        <w:tc>
          <w:tcPr>
            <w:tcW w:w="2600" w:type="dxa"/>
            <w:vAlign w:val="bottom"/>
          </w:tcPr>
          <w:p>
            <w:pPr>
              <w:spacing w:after="0"/>
              <w:rPr>
                <w:sz w:val="20"/>
                <w:szCs w:val="20"/>
                <w:color w:val="auto"/>
              </w:rPr>
            </w:pPr>
            <w:r>
              <w:rPr>
                <w:rFonts w:ascii="Arial" w:cs="Arial" w:eastAsia="Arial" w:hAnsi="Arial"/>
                <w:sz w:val="14"/>
                <w:szCs w:val="14"/>
                <w:b w:val="1"/>
                <w:bCs w:val="1"/>
                <w:color w:val="auto"/>
              </w:rPr>
              <w:t>Cost of sales</w:t>
            </w: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(65.4)</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(64.1)</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(64.2)</w:t>
            </w:r>
          </w:p>
        </w:tc>
      </w:tr>
      <w:tr>
        <w:trPr>
          <w:trHeight w:val="183"/>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Gross profit</w:t>
            </w:r>
          </w:p>
        </w:tc>
        <w:tc>
          <w:tcPr>
            <w:tcW w:w="7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34.6</w:t>
            </w:r>
          </w:p>
        </w:tc>
        <w:tc>
          <w:tcPr>
            <w:tcW w:w="6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35.9</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60" w:type="dxa"/>
            <w:vAlign w:val="bottom"/>
            <w:tcBorders>
              <w:top w:val="single" w:sz="8" w:color="CCEEFF"/>
            </w:tcBorders>
            <w:shd w:val="clear" w:color="auto" w:fill="CCEEFF"/>
          </w:tcPr>
          <w:p>
            <w:pPr>
              <w:spacing w:after="0"/>
              <w:rPr>
                <w:sz w:val="15"/>
                <w:szCs w:val="15"/>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b w:val="1"/>
                <w:bCs w:val="1"/>
                <w:color w:val="auto"/>
              </w:rPr>
              <w:t>Selling, general, and administrative</w:t>
            </w: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2600" w:type="dxa"/>
            <w:vAlign w:val="bottom"/>
          </w:tcPr>
          <w:p>
            <w:pPr>
              <w:ind w:left="180"/>
              <w:spacing w:after="0"/>
              <w:rPr>
                <w:sz w:val="20"/>
                <w:szCs w:val="20"/>
                <w:color w:val="auto"/>
              </w:rPr>
            </w:pPr>
            <w:r>
              <w:rPr>
                <w:rFonts w:ascii="Arial" w:cs="Arial" w:eastAsia="Arial" w:hAnsi="Arial"/>
                <w:sz w:val="14"/>
                <w:szCs w:val="14"/>
                <w:b w:val="1"/>
                <w:bCs w:val="1"/>
                <w:color w:val="auto"/>
              </w:rPr>
              <w:t>expense</w:t>
            </w: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(24.3)</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(25.9)</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(27.3)</w:t>
            </w:r>
          </w:p>
        </w:tc>
      </w:tr>
      <w:tr>
        <w:trPr>
          <w:trHeight w:val="189"/>
        </w:trPr>
        <w:tc>
          <w:tcPr>
            <w:tcW w:w="2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expense</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w:t>
            </w:r>
          </w:p>
        </w:tc>
      </w:tr>
      <w:tr>
        <w:trPr>
          <w:trHeight w:val="189"/>
        </w:trPr>
        <w:tc>
          <w:tcPr>
            <w:tcW w:w="2600" w:type="dxa"/>
            <w:vAlign w:val="bottom"/>
          </w:tcPr>
          <w:p>
            <w:pPr>
              <w:spacing w:after="0"/>
              <w:rPr>
                <w:sz w:val="20"/>
                <w:szCs w:val="20"/>
                <w:color w:val="auto"/>
              </w:rPr>
            </w:pPr>
            <w:r>
              <w:rPr>
                <w:rFonts w:ascii="Arial" w:cs="Arial" w:eastAsia="Arial" w:hAnsi="Arial"/>
                <w:sz w:val="14"/>
                <w:szCs w:val="14"/>
                <w:b w:val="1"/>
                <w:bCs w:val="1"/>
                <w:color w:val="auto"/>
              </w:rPr>
              <w:t>Other income, net</w:t>
            </w: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0.3</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0.2</w:t>
            </w:r>
          </w:p>
        </w:tc>
        <w:tc>
          <w:tcPr>
            <w:tcW w:w="460" w:type="dxa"/>
            <w:vAlign w:val="bottom"/>
          </w:tcPr>
          <w:p>
            <w:pPr>
              <w:jc w:val="right"/>
              <w:spacing w:after="0"/>
              <w:rPr>
                <w:sz w:val="20"/>
                <w:szCs w:val="20"/>
                <w:color w:val="auto"/>
              </w:rPr>
            </w:pPr>
            <w:r>
              <w:rPr>
                <w:rFonts w:ascii="Arial" w:cs="Arial" w:eastAsia="Arial" w:hAnsi="Arial"/>
                <w:sz w:val="14"/>
                <w:szCs w:val="14"/>
                <w:color w:val="auto"/>
              </w:rPr>
              <w:t>0.7</w:t>
            </w:r>
          </w:p>
        </w:tc>
        <w:tc>
          <w:tcPr>
            <w:tcW w:w="160" w:type="dxa"/>
            <w:vAlign w:val="bottom"/>
          </w:tcPr>
          <w:p>
            <w:pPr>
              <w:spacing w:after="0"/>
              <w:rPr>
                <w:sz w:val="16"/>
                <w:szCs w:val="16"/>
                <w:color w:val="auto"/>
              </w:rPr>
            </w:pPr>
          </w:p>
        </w:tc>
      </w:tr>
      <w:tr>
        <w:trPr>
          <w:trHeight w:val="189"/>
        </w:trPr>
        <w:tc>
          <w:tcPr>
            <w:tcW w:w="2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Provision for income taxes</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w:t>
            </w:r>
          </w:p>
        </w:tc>
      </w:tr>
      <w:tr>
        <w:trPr>
          <w:trHeight w:val="20"/>
        </w:trPr>
        <w:tc>
          <w:tcPr>
            <w:tcW w:w="26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600" w:type="dxa"/>
            <w:vAlign w:val="bottom"/>
          </w:tcPr>
          <w:p>
            <w:pPr>
              <w:spacing w:after="0"/>
              <w:rPr>
                <w:sz w:val="20"/>
                <w:szCs w:val="20"/>
                <w:color w:val="auto"/>
              </w:rPr>
            </w:pPr>
            <w:r>
              <w:rPr>
                <w:rFonts w:ascii="Arial" w:cs="Arial" w:eastAsia="Arial" w:hAnsi="Arial"/>
                <w:sz w:val="14"/>
                <w:szCs w:val="14"/>
                <w:b w:val="1"/>
                <w:bCs w:val="1"/>
                <w:color w:val="auto"/>
              </w:rPr>
              <w:t>Net earnings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5.5%</w:t>
            </w:r>
          </w:p>
        </w:tc>
      </w:tr>
      <w:tr>
        <w:trPr>
          <w:trHeight w:val="20"/>
        </w:trPr>
        <w:tc>
          <w:tcPr>
            <w:tcW w:w="26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80" w:firstLine="180"/>
        <w:spacing w:after="0" w:line="270" w:lineRule="auto"/>
        <w:rPr>
          <w:sz w:val="20"/>
          <w:szCs w:val="20"/>
          <w:color w:val="auto"/>
        </w:rPr>
      </w:pPr>
      <w:r>
        <w:rPr>
          <w:rFonts w:ascii="Arial" w:cs="Arial" w:eastAsia="Arial" w:hAnsi="Arial"/>
          <w:sz w:val="18"/>
          <w:szCs w:val="18"/>
          <w:color w:val="auto"/>
        </w:rPr>
        <w:t>As we enter fiscal 2006, we anticipate a strong year of net sales and earnings growth due to the introduction of new products and expected continued growth in our international businesses. Net sales are expected to increase at an annual rate of 8 percent in fiscal 2006, which excludes any benefit from potential future acquisitions, and diluted net earnings per share are expected to grow at an annual rate of 12 to 15 percent over fiscal 2005.</w:t>
      </w:r>
    </w:p>
    <w:p>
      <w:pPr>
        <w:sectPr>
          <w:pgSz w:w="11900" w:h="16838" w:orient="portrait"/>
          <w:cols w:equalWidth="0" w:num="1">
            <w:col w:w="11420"/>
          </w:cols>
          <w:pgMar w:left="240" w:top="130" w:right="239" w:bottom="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4673B6"/>
        </w:rPr>
        <w:t>Fiscal 2005 Compared With Fiscal 2004</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Worldwide net sales in fiscal 2005 were $1,779.4 million compared to $1,652.5 million in fiscal 2004, an increase of 7.7 percent.</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Factoring out the effect of our southeastern-based distributor sold in October 2004, our southwestern-based distributor sold in November 2004, and the additional sales from our acquisition of Hayter in February 2005, net sales increased 6.9 percent in fiscal 2005 compared to fiscal 2004. Net sales growth was primarily driven by:</w:t>
      </w:r>
    </w:p>
    <w:p>
      <w:pPr>
        <w:spacing w:after="0" w:line="16" w:lineRule="exact"/>
        <w:rPr>
          <w:sz w:val="20"/>
          <w:szCs w:val="20"/>
          <w:color w:val="auto"/>
        </w:rPr>
      </w:pP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Strong international net sales that grew 29.1 percent as a result of the acquisition of Hayter as well as increased demand and new products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introduced within the past two years, particularly in the golf and residential markets.</w:t>
      </w:r>
    </w:p>
    <w:p>
      <w:pPr>
        <w:spacing w:after="0" w:line="23"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shipments to the golf and grounds and sports fields markets due to the success of introducing new products and strong retail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demand.</w:t>
      </w:r>
    </w:p>
    <w:p>
      <w:pPr>
        <w:spacing w:after="0" w:line="23"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shipments of new Lawn-Boy products due to additional placement in the home center distribution channel.</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Select price increases on some products.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Favorable currency rates that contributed approximately 1 percent of the net sales growth for fiscal 2005. Disregarding currency effects,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international net sales were up 23.8 percent for fiscal 2005.</w:t>
      </w:r>
    </w:p>
    <w:p>
      <w:pPr>
        <w:spacing w:after="0" w:line="23"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Somewhat offsetting the factors contributing to our net sales growth was a decline in domestic residential segment net sales for most product lines primarily as a result of strong competition and unfavorable weather conditions in key domestic markets.</w:t>
      </w:r>
    </w:p>
    <w:p>
      <w:pPr>
        <w:ind w:right="220" w:firstLine="180"/>
        <w:spacing w:after="0" w:line="271" w:lineRule="auto"/>
        <w:rPr>
          <w:sz w:val="20"/>
          <w:szCs w:val="20"/>
          <w:color w:val="auto"/>
        </w:rPr>
      </w:pPr>
      <w:r>
        <w:rPr>
          <w:rFonts w:ascii="Arial" w:cs="Arial" w:eastAsia="Arial" w:hAnsi="Arial"/>
          <w:sz w:val="18"/>
          <w:szCs w:val="18"/>
          <w:color w:val="auto"/>
        </w:rPr>
        <w:t>Looking ahead, we expect net sales to grow at an annual rate of 8 percent in fiscal 2006 compared to the net sales reported in fiscal 2005, which excludes any benefit from potential future acquisitions, driven primarily by the introduction of new products, continued growth in our international businesses, and select price increases introduced on some products.</w:t>
      </w:r>
    </w:p>
    <w:p>
      <w:pPr>
        <w:spacing w:after="0" w:line="7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4673B6"/>
        </w:rPr>
        <w:t xml:space="preserve">Gross Profit. </w:t>
      </w:r>
      <w:r>
        <w:rPr>
          <w:rFonts w:ascii="Arial" w:cs="Arial" w:eastAsia="Arial" w:hAnsi="Arial"/>
          <w:sz w:val="18"/>
          <w:szCs w:val="18"/>
          <w:color w:val="000000"/>
        </w:rPr>
        <w:t>Gross profit as a percentage of net sales decreased by 1.3 percentage points from 35.9 percent in fiscal 2004 to 34.6 percent in</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fiscal 2005. This decline was mainly the result of the following factors:</w:t>
      </w:r>
    </w:p>
    <w:p>
      <w:pPr>
        <w:spacing w:after="0" w:line="14"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costs for steel, steel-based component parts, resin, and other commodities.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sales of lower margin products, including the impact of Hayter product sales that carry lower margins.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excess and obsolescence parts inventory expense.</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Hayter acquisition that negatively impacted gross margins due to the purchase accounting effect of recording the fair value of the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inventory acquired as the inventory was sold.</w:t>
      </w:r>
    </w:p>
    <w:p>
      <w:pPr>
        <w:spacing w:after="0" w:line="23"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outbound freight costs due mainly to higher fuel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negative factors were:</w:t>
      </w:r>
    </w:p>
    <w:p>
      <w:pPr>
        <w:spacing w:after="0" w:line="23"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increases introduced on some products.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 reduction efforts, including ongoing benefits from past and continuing profit improvement initiatives.</w:t>
      </w:r>
    </w:p>
    <w:p>
      <w:pPr>
        <w:spacing w:after="0" w:line="63" w:lineRule="exact"/>
        <w:rPr>
          <w:sz w:val="20"/>
          <w:szCs w:val="20"/>
          <w:color w:val="auto"/>
        </w:rPr>
      </w:pPr>
    </w:p>
    <w:p>
      <w:pPr>
        <w:ind w:right="280" w:firstLine="180"/>
        <w:spacing w:after="0" w:line="271" w:lineRule="auto"/>
        <w:rPr>
          <w:sz w:val="20"/>
          <w:szCs w:val="20"/>
          <w:color w:val="auto"/>
        </w:rPr>
      </w:pPr>
      <w:r>
        <w:rPr>
          <w:rFonts w:ascii="Arial" w:cs="Arial" w:eastAsia="Arial" w:hAnsi="Arial"/>
          <w:sz w:val="18"/>
          <w:szCs w:val="18"/>
          <w:color w:val="auto"/>
        </w:rPr>
        <w:t>Looking ahead, gross profit as a percentage of net sales for fiscal 2006 compared to fiscal 2005 is expected to slightly improve. We anticipate benefits from ongoing profit improvement initiatives driven by our emphasis on lean manufacturing, and select price increases will offset anticipated higher costs of commodities.</w:t>
      </w:r>
    </w:p>
    <w:p>
      <w:pPr>
        <w:spacing w:after="0" w:line="74"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i w:val="1"/>
          <w:iCs w:val="1"/>
          <w:color w:val="4673B6"/>
        </w:rPr>
        <w:t xml:space="preserve">Selling, General, and Administrative Expense (SG&amp;A). </w:t>
      </w:r>
      <w:r>
        <w:rPr>
          <w:rFonts w:ascii="Arial" w:cs="Arial" w:eastAsia="Arial" w:hAnsi="Arial"/>
          <w:sz w:val="18"/>
          <w:szCs w:val="18"/>
          <w:color w:val="000000"/>
        </w:rPr>
        <w:t>SG&amp;A expense in dollars increased 1.1 percent from fiscal 2004. SG&amp;A expense as</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a percentage of net sales decreased to 24.3 percent in fiscal 2005 compared to 25.9 percent in fiscal 2004. The decrease in SG&amp;A expense as a percentage of net sales was due primarily to the following factors:</w:t>
      </w:r>
    </w:p>
    <w:p>
      <w:pPr>
        <w:spacing w:after="0" w:line="15"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incentive compensation expense in fiscal 2005 compared to fiscal 2004 as a result of the exceptional financial performance last year</w:t>
      </w:r>
    </w:p>
    <w:p>
      <w:pPr>
        <w:spacing w:after="0" w:line="63" w:lineRule="exact"/>
        <w:rPr>
          <w:sz w:val="20"/>
          <w:szCs w:val="20"/>
          <w:color w:val="auto"/>
        </w:rPr>
      </w:pPr>
    </w:p>
    <w:p>
      <w:pPr>
        <w:ind w:left="180"/>
        <w:spacing w:after="0" w:line="262" w:lineRule="auto"/>
        <w:rPr>
          <w:sz w:val="20"/>
          <w:szCs w:val="20"/>
          <w:color w:val="auto"/>
        </w:rPr>
      </w:pPr>
      <w:r>
        <w:rPr>
          <w:rFonts w:ascii="Arial" w:cs="Arial" w:eastAsia="Arial" w:hAnsi="Arial"/>
          <w:sz w:val="18"/>
          <w:szCs w:val="18"/>
          <w:color w:val="auto"/>
        </w:rPr>
        <w:t>relative to the established incentive goals as well as the impact of adopting SFAS No. 123R in fiscal 2005. In fiscal 2004, we accounted for stock-based compensation under the provisions of Accounting Principles Board Opinion No. 25, “Accounting for Stock Issued to Employees,” (APB No. 25), which resulted in higher compensation expense for our Performance Share Plan due to the increase in our stock price during fiscal 2004.</w:t>
      </w:r>
    </w:p>
    <w:p>
      <w:pPr>
        <w:spacing w:after="0" w:line="15"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warranty expense due to lower costs for major product modifications in fiscal 2005 compared to fiscal 2004 as well as continued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lower claims experience on certain product lines.</w:t>
      </w:r>
    </w:p>
    <w:p>
      <w:pPr>
        <w:spacing w:after="0" w:line="23"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Leveraging the fixed portion of SG&amp;A costs over higher sales volumes.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cost decreases were:</w:t>
      </w:r>
    </w:p>
    <w:p>
      <w:pPr>
        <w:spacing w:after="0" w:line="23"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investments in engineering, marketing, and information systems as part of our “6 + 8” initiative.</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administrative expenses, mainly from increased costs related to Sarbanes-Oxley Act of 2002 compliance and higher bad debt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expense due mainly to a recovery in fiscal 2004 of a previously written off note receivable.</w:t>
      </w:r>
    </w:p>
    <w:p>
      <w:pPr>
        <w:spacing w:after="0" w:line="23" w:lineRule="exact"/>
        <w:rPr>
          <w:sz w:val="20"/>
          <w:szCs w:val="20"/>
          <w:color w:val="auto"/>
        </w:rPr>
      </w:pPr>
    </w:p>
    <w:p>
      <w:pPr>
        <w:ind w:right="240" w:firstLine="180"/>
        <w:spacing w:after="0" w:line="271" w:lineRule="auto"/>
        <w:rPr>
          <w:sz w:val="20"/>
          <w:szCs w:val="20"/>
          <w:color w:val="auto"/>
        </w:rPr>
      </w:pPr>
      <w:r>
        <w:rPr>
          <w:rFonts w:ascii="Arial" w:cs="Arial" w:eastAsia="Arial" w:hAnsi="Arial"/>
          <w:sz w:val="18"/>
          <w:szCs w:val="18"/>
          <w:color w:val="auto"/>
        </w:rPr>
        <w:t>Looking ahead, SG&amp;A expense in dollars is expected to increase, and as a percentage of net sales, SG&amp;A expense is expected to remain the same or slightly increase in fiscal 2006 compared to fiscal 2005 as we continue to accelerate our investments in engineering and brand marketing as part of our “6 + 8” initiative.</w:t>
      </w:r>
    </w:p>
    <w:p>
      <w:pPr>
        <w:spacing w:after="0" w:line="74"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4673B6"/>
        </w:rPr>
        <w:t xml:space="preserve">Interest Expense. </w:t>
      </w:r>
      <w:r>
        <w:rPr>
          <w:rFonts w:ascii="Arial" w:cs="Arial" w:eastAsia="Arial" w:hAnsi="Arial"/>
          <w:sz w:val="18"/>
          <w:szCs w:val="18"/>
          <w:color w:val="000000"/>
        </w:rPr>
        <w:t>Interest expense for fiscal 2005 increased 14.2 percent compared to fiscal 2004 due primarily to higher average levels of</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short-term debt as a result of increased stock repurchases and the acquisition of Hayter, as well as higher average interest rates.</w:t>
      </w:r>
    </w:p>
    <w:p>
      <w:pPr>
        <w:spacing w:after="0" w:line="2" w:lineRule="exact"/>
        <w:rPr>
          <w:sz w:val="20"/>
          <w:szCs w:val="20"/>
          <w:color w:val="auto"/>
        </w:rPr>
      </w:pPr>
    </w:p>
    <w:p>
      <w:pPr>
        <w:ind w:firstLine="180"/>
        <w:spacing w:after="0" w:line="271" w:lineRule="auto"/>
        <w:rPr>
          <w:sz w:val="20"/>
          <w:szCs w:val="20"/>
          <w:color w:val="auto"/>
        </w:rPr>
      </w:pPr>
      <w:r>
        <w:rPr>
          <w:rFonts w:ascii="Arial" w:cs="Arial" w:eastAsia="Arial" w:hAnsi="Arial"/>
          <w:sz w:val="18"/>
          <w:szCs w:val="18"/>
          <w:color w:val="auto"/>
        </w:rPr>
        <w:t>Looking ahead, interest expense is expected to increase as a result of anticipated higher average interest rates. We also anticipate average debt levels to increase over fiscal 2005 due to the borrowings associated with the purchases of our common stock and the acquisition of Hayter during fiscal 2005, as well as expected higher working capital levels to support anticipated increased sales volumes for fiscal 2006.</w:t>
      </w:r>
    </w:p>
    <w:p>
      <w:pPr>
        <w:spacing w:after="0" w:line="74"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i w:val="1"/>
          <w:iCs w:val="1"/>
          <w:color w:val="4673B6"/>
        </w:rPr>
        <w:t xml:space="preserve">Other Income, Net. </w:t>
      </w:r>
      <w:r>
        <w:rPr>
          <w:rFonts w:ascii="Arial" w:cs="Arial" w:eastAsia="Arial" w:hAnsi="Arial"/>
          <w:sz w:val="18"/>
          <w:szCs w:val="18"/>
          <w:color w:val="000000"/>
        </w:rPr>
        <w:t>Other income, net consists mainly of interest income, financing income, royalty income, litigation settlements and recovery,</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currency exchange rate gains and losses, and equity losses from investments. Other income, net for fiscal 2005 increased $1.7 million compared to fiscal 2004. This increase was due mainly to lower litigation settlement expense in fiscal 2005 compared to fiscal 2004.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673B6"/>
        </w:rPr>
        <w:t xml:space="preserve">Provision for Income Taxes. </w:t>
      </w:r>
      <w:r>
        <w:rPr>
          <w:rFonts w:ascii="Arial" w:cs="Arial" w:eastAsia="Arial" w:hAnsi="Arial"/>
          <w:sz w:val="18"/>
          <w:szCs w:val="18"/>
          <w:color w:val="000000"/>
        </w:rPr>
        <w:t>The effective tax rate for fiscal 2005 was unchanged from 33.0 percent in fiscal 2004.</w:t>
      </w:r>
    </w:p>
    <w:p>
      <w:pPr>
        <w:sectPr>
          <w:pgSz w:w="11900" w:h="16838" w:orient="portrait"/>
          <w:cols w:equalWidth="0" w:num="1">
            <w:col w:w="11400"/>
          </w:cols>
          <w:pgMar w:left="240" w:top="112" w:right="259" w:bottom="0" w:gutter="0" w:footer="0" w:header="0"/>
        </w:sectPr>
      </w:pPr>
    </w:p>
    <w:bookmarkStart w:id="18" w:name="page19"/>
    <w:bookmarkEnd w:id="18"/>
    <w:p>
      <w:pPr>
        <w:ind w:firstLine="180"/>
        <w:spacing w:after="0" w:line="269" w:lineRule="auto"/>
        <w:rPr>
          <w:sz w:val="20"/>
          <w:szCs w:val="20"/>
          <w:color w:val="auto"/>
        </w:rPr>
      </w:pPr>
      <w:r>
        <w:rPr>
          <w:rFonts w:ascii="Arial" w:cs="Arial" w:eastAsia="Arial" w:hAnsi="Arial"/>
          <w:sz w:val="18"/>
          <w:szCs w:val="18"/>
          <w:color w:val="auto"/>
        </w:rPr>
        <w:t>Looking ahead, the tax rate for fiscal 2006 is expected to be 33.0 percent or slightly higher. The American Jobs Creation Act of 2004, signed into law in October 2004, provides for a variety of changes in the tax law, including a phased elimination of the extra-territorial income (ETI) exclusion and the addition of a domestic manufacturing benefit. The ETI exclusion for foreign sales will be phased out over two years beginning in 2005. The deduction for income from qualified domestic production activities will be phased-in from 2005 through 2010. Similar to the ETI benefit, the domestic manufacturing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benefit has no effect on deferred tax assets and liabilities existing at the enactment date. Rather, the impact of this deduction will be reported in the period in which the deduction is claimed on the federal income tax return. We anticipate the net effect of the phase-out of the ETI and the phase-in of this new deduction should result in no material impact on our effective tax rate for fiscal 2006.</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Fiscal 2004 Compared With Fiscal 2003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Worldwide net sales in fiscal 2004 were $1,652.5 million compared to $1,496.6 million in fiscal 2003, an increase of 10.4 percent.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Sales growth was primarily driven by:</w:t>
      </w:r>
    </w:p>
    <w:p>
      <w:pPr>
        <w:spacing w:after="0" w:line="23"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acceptance of new products introduced within the past two years across many product lines.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increase in demand for landscape contractor equipment as a result of continued market growth and acceptance of new products.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Favorable currency rates that contributed approximately 1 percent of the sales growth for fiscal 2004. International sales grew 18.1 percent</w:t>
      </w:r>
    </w:p>
    <w:p>
      <w:pPr>
        <w:spacing w:after="0" w:line="63" w:lineRule="exact"/>
        <w:rPr>
          <w:sz w:val="20"/>
          <w:szCs w:val="20"/>
          <w:color w:val="auto"/>
        </w:rPr>
      </w:pPr>
    </w:p>
    <w:p>
      <w:pPr>
        <w:ind w:left="180" w:right="540"/>
        <w:spacing w:after="0" w:line="258" w:lineRule="auto"/>
        <w:rPr>
          <w:sz w:val="20"/>
          <w:szCs w:val="20"/>
          <w:color w:val="auto"/>
        </w:rPr>
      </w:pPr>
      <w:r>
        <w:rPr>
          <w:rFonts w:ascii="Arial" w:cs="Arial" w:eastAsia="Arial" w:hAnsi="Arial"/>
          <w:sz w:val="18"/>
          <w:szCs w:val="18"/>
          <w:color w:val="auto"/>
        </w:rPr>
        <w:t>driven primarily by a weaker U.S. dollar and new product introductions. Disregarding currency effects, international sales were up 12.0 percent for fiscal 2004.</w:t>
      </w:r>
    </w:p>
    <w:p>
      <w:pPr>
        <w:spacing w:after="0" w:line="14"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company-owned distribution sales as a result of strong demand and improved economic conditions.</w:t>
      </w:r>
    </w:p>
    <w:p>
      <w:pPr>
        <w:spacing w:after="0" w:line="63"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Somewhat offsetting the factors contributing to our sales growth was a decline in domestic irrigation product sales, mainly domestic residential/commercial irrigation products.</w:t>
      </w:r>
    </w:p>
    <w:p>
      <w:pPr>
        <w:spacing w:after="0" w:line="67"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4673B6"/>
        </w:rPr>
        <w:t xml:space="preserve">Gross Profit. </w:t>
      </w:r>
      <w:r>
        <w:rPr>
          <w:rFonts w:ascii="Arial" w:cs="Arial" w:eastAsia="Arial" w:hAnsi="Arial"/>
          <w:sz w:val="18"/>
          <w:szCs w:val="18"/>
          <w:color w:val="000000"/>
        </w:rPr>
        <w:t>Gross profit as a percentage of net sales increased slightly by 0.1 percentage point from 35.8 percent in fiscal 2003 to 35.9</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percent in fiscal 2004. This improvement was mainly the result of the following factors:</w:t>
      </w:r>
    </w:p>
    <w:p>
      <w:pPr>
        <w:spacing w:after="0" w:line="14"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 reduction efforts, including ongoing benefits from past and continuing profit improvement initiatives, as well as moving production to</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facilities with lower operating costs.</w:t>
      </w:r>
    </w:p>
    <w:p>
      <w:pPr>
        <w:spacing w:after="0" w:line="23"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manufacturing costs from increased plant utilization as a result of reduced excess manufacturing capacity, mainly related to increased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demand for our products.</w:t>
      </w:r>
    </w:p>
    <w:p>
      <w:pPr>
        <w:spacing w:after="0" w:line="23"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international gross margins as a result of the weaker U.S. dollar.</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Fiscal 2003 gross margins were negatively impacted by an impairment charge for automation equipment that was no longer used and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subsequently disposed.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3"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Rising steel and other commodity prices.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outbound freight costs due to higher fuel costs and increased demand for transportation.</w:t>
      </w:r>
    </w:p>
    <w:p>
      <w:pPr>
        <w:spacing w:after="0" w:line="14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i w:val="1"/>
          <w:iCs w:val="1"/>
          <w:color w:val="4673B6"/>
        </w:rPr>
        <w:t xml:space="preserve">Selling, General, and Administrative Expense (SG&amp;A). </w:t>
      </w:r>
      <w:r>
        <w:rPr>
          <w:rFonts w:ascii="Arial" w:cs="Arial" w:eastAsia="Arial" w:hAnsi="Arial"/>
          <w:sz w:val="18"/>
          <w:szCs w:val="18"/>
          <w:color w:val="000000"/>
        </w:rPr>
        <w:t>SG&amp;A expense in dollars increased 4.7 percent from fiscal 2003. SG&amp;A expense as</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a percentage of net sales decreased to 25.9 percent in fiscal 2004 compared to 27.3 percent in fiscal 2003. The decrease in SG&amp;A expense as a percentage of net sales was due primarily to leveraging fixed SG&amp;A costs over higher sales volumes as well as the following other factors:</w:t>
      </w:r>
    </w:p>
    <w:p>
      <w:pPr>
        <w:spacing w:after="0" w:line="15"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decline in bad debt expense due mainly to the recovery of a previously written off note receivable.</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for distributor changes in fiscal 2003 that did not occur in fiscal 2004.</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warranty expense due mainly to lower claims experience on certain product lines.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warehousing expenses due to consolidation and the reduction of the number of warehousing facilities utilized.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decreases were:</w:t>
      </w:r>
    </w:p>
    <w:p>
      <w:pPr>
        <w:spacing w:after="0" w:line="23"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investments in engineering, marketing, and information systems as part of our “6 + 8” initiative.</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incentive compensation costs due to the significant improvement in our financial performance, on which incentive compensation is</w:t>
      </w:r>
    </w:p>
    <w:p>
      <w:pPr>
        <w:spacing w:after="0" w:line="63" w:lineRule="exact"/>
        <w:rPr>
          <w:sz w:val="20"/>
          <w:szCs w:val="20"/>
          <w:color w:val="auto"/>
        </w:rPr>
      </w:pPr>
    </w:p>
    <w:p>
      <w:pPr>
        <w:ind w:left="180"/>
        <w:spacing w:after="0" w:line="271" w:lineRule="auto"/>
        <w:rPr>
          <w:sz w:val="20"/>
          <w:szCs w:val="20"/>
          <w:color w:val="auto"/>
        </w:rPr>
      </w:pPr>
      <w:r>
        <w:rPr>
          <w:rFonts w:ascii="Arial" w:cs="Arial" w:eastAsia="Arial" w:hAnsi="Arial"/>
          <w:sz w:val="18"/>
          <w:szCs w:val="18"/>
          <w:color w:val="auto"/>
        </w:rPr>
        <w:t>based. In addition, the increase in Toro’s stock price during fiscal 2004 also contributed to higher compensation expense for our Performance Share Plan. See Note 1, section entitled “Stock-Based Compensation” of the notes to consolidated financial statements for additional information.</w:t>
      </w:r>
    </w:p>
    <w:p>
      <w:pPr>
        <w:spacing w:after="0" w:line="74"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i w:val="1"/>
          <w:iCs w:val="1"/>
          <w:color w:val="4673B6"/>
        </w:rPr>
        <w:t xml:space="preserve">Interest Expense. </w:t>
      </w:r>
      <w:r>
        <w:rPr>
          <w:rFonts w:ascii="Arial" w:cs="Arial" w:eastAsia="Arial" w:hAnsi="Arial"/>
          <w:sz w:val="18"/>
          <w:szCs w:val="18"/>
          <w:color w:val="000000"/>
        </w:rPr>
        <w:t>Interest expense for fiscal 2004 declined 4.7 percent compared to fiscal 2003 due primarily to lower average debt levels as</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we used earnings to finance operating activities and pay down debt.</w:t>
      </w:r>
    </w:p>
    <w:p>
      <w:pPr>
        <w:spacing w:after="0" w:line="4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4673B6"/>
        </w:rPr>
        <w:t xml:space="preserve">Other Income, Net. </w:t>
      </w:r>
      <w:r>
        <w:rPr>
          <w:rFonts w:ascii="Arial" w:cs="Arial" w:eastAsia="Arial" w:hAnsi="Arial"/>
          <w:sz w:val="18"/>
          <w:szCs w:val="18"/>
          <w:color w:val="000000"/>
        </w:rPr>
        <w:t>Other income, net for fiscal 2004 decreased $6.7 million compared to fiscal 2003. This decrease was due mainly to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following factors:</w:t>
      </w:r>
    </w:p>
    <w:p>
      <w:pPr>
        <w:spacing w:after="0" w:line="14"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expense incurred in fiscal 2004. However, during fiscal 2003, we received proceeds from a legal settlement and insurance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recoveries.</w:t>
      </w:r>
    </w:p>
    <w:p>
      <w:pPr>
        <w:spacing w:after="0" w:line="23" w:lineRule="exact"/>
        <w:rPr>
          <w:sz w:val="20"/>
          <w:szCs w:val="20"/>
          <w:color w:val="auto"/>
        </w:rPr>
      </w:pPr>
    </w:p>
    <w:p>
      <w:pPr>
        <w:ind w:right="2900" w:firstLine="8"/>
        <w:spacing w:after="0" w:line="324" w:lineRule="auto"/>
        <w:tabs>
          <w:tab w:leader="none" w:pos="1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Equity losses incurred from an investment and a loss recognized for the sale of a business in fiscal 2004. Those negative factors were somewhat offset by higher interest income and finance charge revenue.</w:t>
      </w:r>
    </w:p>
    <w:p>
      <w:pPr>
        <w:spacing w:after="0" w:line="27"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b w:val="1"/>
          <w:bCs w:val="1"/>
          <w:i w:val="1"/>
          <w:iCs w:val="1"/>
          <w:color w:val="4673B6"/>
        </w:rPr>
        <w:t xml:space="preserve">Provision for Income Taxes. </w:t>
      </w:r>
      <w:r>
        <w:rPr>
          <w:rFonts w:ascii="Arial" w:cs="Arial" w:eastAsia="Arial" w:hAnsi="Arial"/>
          <w:sz w:val="18"/>
          <w:szCs w:val="18"/>
          <w:color w:val="000000"/>
        </w:rPr>
        <w:t>The effective tax rate for fiscal 2004 was 33.0 percent compared to 32.5 percent in fiscal 2003. The increase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was due mainly to an increase in tax reserves for certain state and international issues, partially offset by a reduction in the tax on international operations.</w:t>
      </w:r>
    </w:p>
    <w:p>
      <w:pPr>
        <w:sectPr>
          <w:pgSz w:w="11900" w:h="16838" w:orient="portrait"/>
          <w:cols w:equalWidth="0" w:num="1">
            <w:col w:w="11400"/>
          </w:cols>
          <w:pgMar w:left="240" w:top="152" w:right="259"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152" w:right="259" w:bottom="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4673B6"/>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BY BUSINESS SEGMENT</w:t>
      </w:r>
    </w:p>
    <w:p>
      <w:pPr>
        <w:spacing w:after="0" w:line="4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As more fully described in Note 12 of the notes to consolidated financial statements, we operate in two reportable business segments: professional and residential. A third reportable segment called “other” consists of company-owned distributor operations in the United States, corporate activities, and financing functions. Effective the beginning of fiscal 2005, we combined our former distribution segment with the other segment because our distribution segment no longer met the quantitative thresholds for separate reporting as an operating segment for all periods presented. Prior periods have been reclassified to conform to the current fiscal year presentation. Operating earnings for each of our two business segments is defined as earnings from operations plus other income, net. Operating losses for our third “other” segment includes earnings (loss) from domestic wholly owned distribution company operations, corporate activities, including corporate financing activities, other income, and interest expense.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information provides perspective on our business segments’ net sales and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Professional</w:t>
      </w:r>
    </w:p>
    <w:p>
      <w:pPr>
        <w:spacing w:after="0" w:line="40"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Professional segment net sales represented 64 percent of consolidated net sales for fiscal 2005, and 62 percent of consolidated net sales in fiscal 2004 and 2003. The following table shows the professional segment net sales, operating earnings, and operating earnings as a percent of net sales.</w:t>
      </w:r>
    </w:p>
    <w:p>
      <w:pPr>
        <w:spacing w:after="0" w:line="171" w:lineRule="exact"/>
        <w:rPr>
          <w:sz w:val="20"/>
          <w:szCs w:val="20"/>
          <w:color w:val="auto"/>
        </w:rPr>
      </w:pPr>
    </w:p>
    <w:tbl>
      <w:tblPr>
        <w:tblLayout w:type="fixed"/>
        <w:tblInd w:w="3380" w:type="dxa"/>
        <w:tblCellMar>
          <w:top w:w="0" w:type="dxa"/>
          <w:left w:w="0" w:type="dxa"/>
          <w:bottom w:w="0" w:type="dxa"/>
          <w:right w:w="0" w:type="dxa"/>
        </w:tblCellMar>
      </w:tblPr>
      <w:tr>
        <w:trPr>
          <w:trHeight w:val="204"/>
        </w:trPr>
        <w:tc>
          <w:tcPr>
            <w:tcW w:w="2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96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4"/>
                <w:szCs w:val="14"/>
                <w:b w:val="1"/>
                <w:bCs w:val="1"/>
                <w:color w:val="auto"/>
              </w:rPr>
              <w:t>2005</w:t>
            </w:r>
          </w:p>
        </w:tc>
        <w:tc>
          <w:tcPr>
            <w:tcW w:w="8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9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2004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$ 1,145.4</w:t>
            </w: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$ 1,028.9</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$ 929.4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40" w:type="dxa"/>
            <w:vAlign w:val="bottom"/>
          </w:tcPr>
          <w:p>
            <w:pPr>
              <w:ind w:left="140"/>
              <w:spacing w:after="0"/>
              <w:rPr>
                <w:sz w:val="20"/>
                <w:szCs w:val="20"/>
                <w:color w:val="auto"/>
              </w:rPr>
            </w:pPr>
            <w:r>
              <w:rPr>
                <w:rFonts w:ascii="Arial" w:cs="Arial" w:eastAsia="Arial" w:hAnsi="Arial"/>
                <w:sz w:val="14"/>
                <w:szCs w:val="14"/>
                <w:b w:val="1"/>
                <w:bCs w:val="1"/>
                <w:color w:val="auto"/>
              </w:rPr>
              <w:t>% change from prior year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11.3</w:t>
            </w: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$ 207.4</w:t>
            </w: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$ 173.1</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$ 146.8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tcPr>
          <w:p>
            <w:pPr>
              <w:ind w:left="140"/>
              <w:spacing w:after="0"/>
              <w:rPr>
                <w:sz w:val="20"/>
                <w:szCs w:val="20"/>
                <w:color w:val="auto"/>
              </w:rPr>
            </w:pPr>
            <w:r>
              <w:rPr>
                <w:rFonts w:ascii="Arial" w:cs="Arial" w:eastAsia="Arial" w:hAnsi="Arial"/>
                <w:sz w:val="14"/>
                <w:szCs w:val="14"/>
                <w:b w:val="1"/>
                <w:bCs w:val="1"/>
                <w:color w:val="auto"/>
              </w:rPr>
              <w:t>As a percent of net sales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18.1</w:t>
            </w: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16.8%</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Worldwide net sales for the professional segment in fiscal 2005 were up 11.3 percent compared to fiscal 2004 as a result of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following factors:</w:t>
      </w:r>
    </w:p>
    <w:p>
      <w:pPr>
        <w:spacing w:after="0" w:line="14" w:lineRule="exact"/>
        <w:rPr>
          <w:sz w:val="20"/>
          <w:szCs w:val="20"/>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Worldwide shipments of most product lines were up driven primarily by our success in introducing new products within the past two years.</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Significantly higher international net sales as a result of the acquisition of Hayter, strong demand in the golf market, and a weaker U.S. dollar.</w:t>
      </w:r>
    </w:p>
    <w:p>
      <w:pPr>
        <w:spacing w:after="0" w:line="74" w:lineRule="exact"/>
        <w:rPr>
          <w:rFonts w:ascii="Arial" w:cs="Arial" w:eastAsia="Arial" w:hAnsi="Arial"/>
          <w:sz w:val="17"/>
          <w:szCs w:val="17"/>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Price increases introduced on some products.</w:t>
      </w:r>
    </w:p>
    <w:p>
      <w:pPr>
        <w:spacing w:after="0" w:line="63" w:lineRule="exact"/>
        <w:rPr>
          <w:sz w:val="20"/>
          <w:szCs w:val="20"/>
          <w:color w:val="auto"/>
        </w:rPr>
      </w:pPr>
    </w:p>
    <w:p>
      <w:pPr>
        <w:jc w:val="both"/>
        <w:ind w:right="80" w:firstLine="180"/>
        <w:spacing w:after="0" w:line="266" w:lineRule="auto"/>
        <w:rPr>
          <w:sz w:val="20"/>
          <w:szCs w:val="20"/>
          <w:color w:val="auto"/>
        </w:rPr>
      </w:pPr>
      <w:r>
        <w:rPr>
          <w:rFonts w:ascii="Arial" w:cs="Arial" w:eastAsia="Arial" w:hAnsi="Arial"/>
          <w:sz w:val="18"/>
          <w:szCs w:val="18"/>
          <w:color w:val="auto"/>
        </w:rPr>
        <w:t>Field inventory levels for professional segment equipment, mainly landscape contractor equipment, were higher as of the end of fiscal 2005 compared to the end of fiscal 2004 as a result of the introduction of new products, new dealers, and slower than expected retail demand in the last half of fiscal 2005 for certain products.</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Worldwide net sales for the professional segment in fiscal 2004 were up 10.7 percent compared to fiscal 2003. Worldwide shipments of most product lines increased due to the successful introduction of new products, strong demand for landscape contractor equipment, and overall improved economic conditions that resulted in strong retail demand in most of our businesses. International professional segment net sales were up significantly due to strong demand, the successful introduction of new products, and a weaker U.S. dollar.</w:t>
      </w:r>
    </w:p>
    <w:p>
      <w:pPr>
        <w:spacing w:after="0" w:line="1" w:lineRule="exact"/>
        <w:rPr>
          <w:sz w:val="20"/>
          <w:szCs w:val="20"/>
          <w:color w:val="auto"/>
        </w:rPr>
      </w:pPr>
    </w:p>
    <w:p>
      <w:pPr>
        <w:jc w:val="both"/>
        <w:ind w:right="20" w:firstLine="180"/>
        <w:spacing w:after="0" w:line="271" w:lineRule="auto"/>
        <w:rPr>
          <w:sz w:val="20"/>
          <w:szCs w:val="20"/>
          <w:color w:val="auto"/>
        </w:rPr>
      </w:pPr>
      <w:r>
        <w:rPr>
          <w:rFonts w:ascii="Arial" w:cs="Arial" w:eastAsia="Arial" w:hAnsi="Arial"/>
          <w:sz w:val="18"/>
          <w:szCs w:val="18"/>
          <w:color w:val="auto"/>
        </w:rPr>
        <w:t>Looking ahead, net sales for the professional segment are expected to grow in fiscal 2006 compared to fiscal 2005 because we expect new products to be well received and anticipate continued growth in international markets. In addition, we introduced price increases for some 2006 products that should also contribute to the net sales growth in fiscal 2006.</w:t>
      </w:r>
    </w:p>
    <w:p>
      <w:pPr>
        <w:spacing w:after="0" w:line="7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i w:val="1"/>
          <w:iCs w:val="1"/>
          <w:color w:val="4673B6"/>
        </w:rPr>
        <w:t xml:space="preserve">Operating Earnings. </w:t>
      </w:r>
      <w:r>
        <w:rPr>
          <w:rFonts w:ascii="Arial" w:cs="Arial" w:eastAsia="Arial" w:hAnsi="Arial"/>
          <w:sz w:val="18"/>
          <w:szCs w:val="18"/>
          <w:color w:val="000000"/>
        </w:rPr>
        <w:t>Operating earnings for the professional segment in fiscal 2005 increased 19.8 percent compared to fiscal 2004.</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Expressed as a percentage of net sales, professional segment operating margins increased to 18.1 percent compared to 16.8 percent in fiscal 2004. The following factors impacted professional segment operating earnings:</w:t>
      </w:r>
    </w:p>
    <w:p>
      <w:pPr>
        <w:spacing w:after="0" w:line="15" w:lineRule="exact"/>
        <w:rPr>
          <w:sz w:val="20"/>
          <w:szCs w:val="20"/>
          <w:color w:val="auto"/>
        </w:rPr>
      </w:pPr>
    </w:p>
    <w:p>
      <w:pPr>
        <w:ind w:left="160" w:hanging="152"/>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gross margins in fiscal 2005 compared to fiscal 2004 due to cost reduction efforts from profit improvement initiatives, price increases</w:t>
      </w:r>
    </w:p>
    <w:p>
      <w:pPr>
        <w:spacing w:after="0" w:line="63" w:lineRule="exact"/>
        <w:rPr>
          <w:sz w:val="20"/>
          <w:szCs w:val="20"/>
          <w:color w:val="auto"/>
        </w:rPr>
      </w:pPr>
    </w:p>
    <w:p>
      <w:pPr>
        <w:ind w:left="180" w:right="440"/>
        <w:spacing w:after="0" w:line="258" w:lineRule="auto"/>
        <w:rPr>
          <w:sz w:val="20"/>
          <w:szCs w:val="20"/>
          <w:color w:val="auto"/>
        </w:rPr>
      </w:pPr>
      <w:r>
        <w:rPr>
          <w:rFonts w:ascii="Arial" w:cs="Arial" w:eastAsia="Arial" w:hAnsi="Arial"/>
          <w:sz w:val="18"/>
          <w:szCs w:val="18"/>
          <w:color w:val="auto"/>
        </w:rPr>
        <w:t>on some products, increased sales of higher margin products, and lower manufacturing costs from increased plant utilization. However, higher steel and other commodity costs somewhat tempered the increase in gross margin and operating earnings.</w:t>
      </w:r>
    </w:p>
    <w:p>
      <w:pPr>
        <w:spacing w:after="0" w:line="14" w:lineRule="exact"/>
        <w:rPr>
          <w:sz w:val="20"/>
          <w:szCs w:val="20"/>
          <w:color w:val="auto"/>
        </w:rPr>
      </w:pPr>
    </w:p>
    <w:p>
      <w:pPr>
        <w:ind w:left="160" w:hanging="152"/>
        <w:spacing w:after="0"/>
        <w:tabs>
          <w:tab w:leader="none" w:pos="1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Lower SG&amp;A expense as a percentage of net sales also contributed to the operating earnings improvement as we leveraged the fixed portion</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SG&amp;A costs over higher sales volumes.</w:t>
      </w:r>
    </w:p>
    <w:p>
      <w:pPr>
        <w:spacing w:after="0" w:line="23"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Operating earnings for the professional segment in fiscal 2004 increased 18.0 percent compared to fiscal 2003. Expressed as a percentage of net sales, professional segment operating margin increased to 16.8 percent in fiscal 2004 compared to 15.8 percent in fiscal 2003. The operating profit improvement was due mainly to lower SG&amp;A expense as a percentage of net sales due to leveraging the fixed portion of SG&amp;A costs over higher sales volumes and a slight increase in gross margin in fiscal 2004 compared to fiscal 2003. Somewhat offsetting the operating earnings improvement was lower other income in fiscal 2004 as we recognized a gain from a legal settlement in fiscal 2003.</w:t>
      </w:r>
    </w:p>
    <w:p>
      <w:pPr>
        <w:spacing w:after="0" w:line="1" w:lineRule="exact"/>
        <w:rPr>
          <w:sz w:val="20"/>
          <w:szCs w:val="20"/>
          <w:color w:val="auto"/>
        </w:rPr>
      </w:pPr>
    </w:p>
    <w:p>
      <w:pPr>
        <w:ind w:right="480" w:firstLine="180"/>
        <w:spacing w:after="0" w:line="277" w:lineRule="auto"/>
        <w:rPr>
          <w:sz w:val="20"/>
          <w:szCs w:val="20"/>
          <w:color w:val="auto"/>
        </w:rPr>
      </w:pPr>
      <w:r>
        <w:rPr>
          <w:rFonts w:ascii="Arial" w:cs="Arial" w:eastAsia="Arial" w:hAnsi="Arial"/>
          <w:sz w:val="18"/>
          <w:szCs w:val="18"/>
          <w:color w:val="auto"/>
        </w:rPr>
        <w:t>Looking ahead, professional segment earnings are anticipated to improve in fiscal 2006 compared to fiscal 2005 due to expected sales growth, slight improvement in gross margins, and additional leveraging of SG&amp;A costs.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Residential</w:t>
      </w:r>
    </w:p>
    <w:p>
      <w:pPr>
        <w:spacing w:after="0" w:line="4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Residential segment net sales represented 33 percent of consolidated net sales for fiscal 2005, and 34 percent of consolidated net sales for fiscal 2004 and 2003. The following table shows the residential segment net sales, operating earnings, and operating earnings as a percent of net sales.</w:t>
      </w:r>
    </w:p>
    <w:p>
      <w:pPr>
        <w:spacing w:after="0" w:line="171" w:lineRule="exact"/>
        <w:rPr>
          <w:sz w:val="20"/>
          <w:szCs w:val="20"/>
          <w:color w:val="auto"/>
        </w:rPr>
      </w:pPr>
    </w:p>
    <w:tbl>
      <w:tblPr>
        <w:tblLayout w:type="fixed"/>
        <w:tblInd w:w="3380" w:type="dxa"/>
        <w:tblCellMar>
          <w:top w:w="0" w:type="dxa"/>
          <w:left w:w="0" w:type="dxa"/>
          <w:bottom w:w="0" w:type="dxa"/>
          <w:right w:w="0" w:type="dxa"/>
        </w:tblCellMar>
      </w:tblPr>
      <w:tr>
        <w:trPr>
          <w:trHeight w:val="204"/>
        </w:trPr>
        <w:tc>
          <w:tcPr>
            <w:tcW w:w="2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960" w:type="dxa"/>
            <w:vAlign w:val="bottom"/>
            <w:tcBorders>
              <w:top w:val="single" w:sz="8" w:color="auto"/>
            </w:tcBorders>
            <w:vMerge w:val="restart"/>
          </w:tcPr>
          <w:p>
            <w:pPr>
              <w:jc w:val="right"/>
              <w:ind w:right="109"/>
              <w:spacing w:after="0"/>
              <w:rPr>
                <w:sz w:val="20"/>
                <w:szCs w:val="20"/>
                <w:color w:val="auto"/>
              </w:rPr>
            </w:pPr>
            <w:r>
              <w:rPr>
                <w:rFonts w:ascii="Arial" w:cs="Arial" w:eastAsia="Arial" w:hAnsi="Arial"/>
                <w:sz w:val="14"/>
                <w:szCs w:val="14"/>
                <w:b w:val="1"/>
                <w:bCs w:val="1"/>
                <w:color w:val="auto"/>
              </w:rPr>
              <w:t>2005</w:t>
            </w:r>
          </w:p>
        </w:tc>
        <w:tc>
          <w:tcPr>
            <w:tcW w:w="7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9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2004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$ 583.3</w:t>
            </w:r>
          </w:p>
        </w:tc>
        <w:tc>
          <w:tcPr>
            <w:tcW w:w="7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$ 554.3</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$ 506.5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140"/>
              <w:spacing w:after="0"/>
              <w:rPr>
                <w:sz w:val="20"/>
                <w:szCs w:val="20"/>
                <w:color w:val="auto"/>
              </w:rPr>
            </w:pPr>
            <w:r>
              <w:rPr>
                <w:rFonts w:ascii="Arial" w:cs="Arial" w:eastAsia="Arial" w:hAnsi="Arial"/>
                <w:sz w:val="14"/>
                <w:szCs w:val="14"/>
                <w:b w:val="1"/>
                <w:bCs w:val="1"/>
                <w:color w:val="auto"/>
              </w:rPr>
              <w:t>% change from prior year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740" w:type="dxa"/>
            <w:vAlign w:val="bottom"/>
          </w:tcPr>
          <w:p>
            <w:pPr>
              <w:jc w:val="right"/>
              <w:spacing w:after="0"/>
              <w:rPr>
                <w:sz w:val="20"/>
                <w:szCs w:val="20"/>
                <w:color w:val="auto"/>
              </w:rPr>
            </w:pPr>
            <w:r>
              <w:rPr>
                <w:rFonts w:ascii="Arial" w:cs="Arial" w:eastAsia="Arial" w:hAnsi="Arial"/>
                <w:sz w:val="14"/>
                <w:szCs w:val="14"/>
                <w:color w:val="auto"/>
              </w:rPr>
              <w:t>9.5%</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$ 50.2</w:t>
            </w:r>
          </w:p>
        </w:tc>
        <w:tc>
          <w:tcPr>
            <w:tcW w:w="7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$ 61.8</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$ 55.5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140"/>
              <w:spacing w:after="0"/>
              <w:rPr>
                <w:sz w:val="20"/>
                <w:szCs w:val="20"/>
                <w:color w:val="auto"/>
              </w:rPr>
            </w:pPr>
            <w:r>
              <w:rPr>
                <w:rFonts w:ascii="Arial" w:cs="Arial" w:eastAsia="Arial" w:hAnsi="Arial"/>
                <w:sz w:val="14"/>
                <w:szCs w:val="14"/>
                <w:b w:val="1"/>
                <w:bCs w:val="1"/>
                <w:color w:val="auto"/>
              </w:rPr>
              <w:t>As a percent of net sales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740" w:type="dxa"/>
            <w:vAlign w:val="bottom"/>
          </w:tcPr>
          <w:p>
            <w:pPr>
              <w:jc w:val="right"/>
              <w:spacing w:after="0"/>
              <w:rPr>
                <w:sz w:val="20"/>
                <w:szCs w:val="20"/>
                <w:color w:val="auto"/>
              </w:rPr>
            </w:pPr>
            <w:r>
              <w:rPr>
                <w:rFonts w:ascii="Arial" w:cs="Arial" w:eastAsia="Arial" w:hAnsi="Arial"/>
                <w:sz w:val="14"/>
                <w:szCs w:val="14"/>
                <w:color w:val="auto"/>
              </w:rPr>
              <w:t>11.1%</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
        </w:trPr>
        <w:tc>
          <w:tcPr>
            <w:tcW w:w="2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504" w:right="279" w:bottom="0" w:gutter="0" w:footer="0" w:header="0"/>
        </w:sectPr>
      </w:pPr>
    </w:p>
    <w:bookmarkStart w:id="20" w:name="page21"/>
    <w:bookmarkEnd w:id="20"/>
    <w:p>
      <w:pPr>
        <w:spacing w:after="0" w:line="60"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Worldwide net sales for the residential segment in fiscal 2005 were up 5.2 percent compared to fiscal 2004 as a result of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following factors:</w:t>
      </w:r>
    </w:p>
    <w:p>
      <w:pPr>
        <w:spacing w:after="0" w:line="14" w:lineRule="exact"/>
        <w:rPr>
          <w:sz w:val="20"/>
          <w:szCs w:val="20"/>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Significantly higher international net sales as a result of the acquisition of Hayter, introduction of new products, and a weaker U.S. dollar.</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shipments of walk power mowers, led by new Lawn-Boy products as a result of expanded placement in the home center</w:t>
      </w:r>
    </w:p>
    <w:p>
      <w:pPr>
        <w:spacing w:after="0" w:line="63" w:lineRule="exact"/>
        <w:rPr>
          <w:sz w:val="20"/>
          <w:szCs w:val="20"/>
          <w:color w:val="auto"/>
        </w:rPr>
      </w:pPr>
    </w:p>
    <w:p>
      <w:pPr>
        <w:ind w:left="180" w:right="20"/>
        <w:spacing w:after="0" w:line="266" w:lineRule="auto"/>
        <w:rPr>
          <w:sz w:val="20"/>
          <w:szCs w:val="20"/>
          <w:color w:val="auto"/>
        </w:rPr>
      </w:pPr>
      <w:r>
        <w:rPr>
          <w:rFonts w:ascii="Arial" w:cs="Arial" w:eastAsia="Arial" w:hAnsi="Arial"/>
          <w:sz w:val="18"/>
          <w:szCs w:val="18"/>
          <w:color w:val="auto"/>
        </w:rPr>
        <w:t>distribution channel. However, domestic shipments of Toro walk power mowers declined due mainly to a shift of some sales to the new line of Lawn-Boy walk power mowers.</w:t>
      </w: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3"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Lower riding product and electric blower product shipments due to continued strong competition.</w:t>
      </w:r>
    </w:p>
    <w:p>
      <w:pPr>
        <w:spacing w:after="0" w:line="63" w:lineRule="exact"/>
        <w:rPr>
          <w:rFonts w:ascii="Arial" w:cs="Arial" w:eastAsia="Arial" w:hAnsi="Arial"/>
          <w:sz w:val="18"/>
          <w:szCs w:val="18"/>
          <w:color w:val="auto"/>
        </w:rPr>
      </w:pPr>
    </w:p>
    <w:p>
      <w:pPr>
        <w:ind w:left="160" w:hanging="152"/>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decline in retail irrigation product sales sold through the home center distribution channel due to unfavorable weather conditions in key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domestic markets.</w:t>
      </w:r>
    </w:p>
    <w:p>
      <w:pPr>
        <w:spacing w:after="0" w:line="23" w:lineRule="exact"/>
        <w:rPr>
          <w:sz w:val="20"/>
          <w:szCs w:val="20"/>
          <w:color w:val="auto"/>
        </w:rPr>
      </w:pPr>
    </w:p>
    <w:p>
      <w:pPr>
        <w:ind w:right="80" w:firstLine="180"/>
        <w:spacing w:after="0" w:line="266" w:lineRule="auto"/>
        <w:rPr>
          <w:sz w:val="20"/>
          <w:szCs w:val="20"/>
          <w:color w:val="auto"/>
        </w:rPr>
      </w:pPr>
      <w:r>
        <w:rPr>
          <w:rFonts w:ascii="Arial" w:cs="Arial" w:eastAsia="Arial" w:hAnsi="Arial"/>
          <w:sz w:val="18"/>
          <w:szCs w:val="18"/>
          <w:color w:val="auto"/>
        </w:rPr>
        <w:t>Worldwide net sales for the residential segment in fiscal 2004 were up by 9.5 percent compared to fiscal 2003. Snow thrower net sales were up due to customer acceptance of new products and strong demand as a result of heavy snowfalls in key markets during the 2003-2004 winter season that depleted field inventory levels. Sales of walk power mowers were also up due to the introduction of new models and strong retail demand. International net sales benefited from a weaker U.S. dollar and increased shipments of Pope products in Australia.</w:t>
      </w:r>
    </w:p>
    <w:p>
      <w:pPr>
        <w:spacing w:after="0" w:line="1" w:lineRule="exact"/>
        <w:rPr>
          <w:sz w:val="20"/>
          <w:szCs w:val="20"/>
          <w:color w:val="auto"/>
        </w:rPr>
      </w:pPr>
    </w:p>
    <w:p>
      <w:pPr>
        <w:ind w:right="300" w:firstLine="180"/>
        <w:spacing w:after="0" w:line="277" w:lineRule="auto"/>
        <w:rPr>
          <w:sz w:val="20"/>
          <w:szCs w:val="20"/>
          <w:color w:val="auto"/>
        </w:rPr>
      </w:pPr>
      <w:r>
        <w:rPr>
          <w:rFonts w:ascii="Arial" w:cs="Arial" w:eastAsia="Arial" w:hAnsi="Arial"/>
          <w:sz w:val="18"/>
          <w:szCs w:val="18"/>
          <w:color w:val="auto"/>
        </w:rPr>
        <w:t>Looking ahead, residential segment net sales are expected to increase in fiscal 2006 compared to fiscal 2005 led by anticipated growth in domestic riding product sales and international markets.</w:t>
      </w:r>
    </w:p>
    <w:p>
      <w:pPr>
        <w:spacing w:after="0" w:line="67"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b w:val="1"/>
          <w:bCs w:val="1"/>
          <w:i w:val="1"/>
          <w:iCs w:val="1"/>
          <w:color w:val="4673B6"/>
        </w:rPr>
        <w:t xml:space="preserve">Operating Earnings. </w:t>
      </w:r>
      <w:r>
        <w:rPr>
          <w:rFonts w:ascii="Arial" w:cs="Arial" w:eastAsia="Arial" w:hAnsi="Arial"/>
          <w:sz w:val="18"/>
          <w:szCs w:val="18"/>
          <w:color w:val="000000"/>
        </w:rPr>
        <w:t>Operating earnings for the residential segment in fiscal 2005 decreased 18.8 percent compared to fiscal 2004.</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Expressed as a percentage of net sales, residential segment operating margins declined to 8.6 percent compared to 11.1 percent in fiscal 2004. The following factors impacted residential segment operating earnings:</w:t>
      </w:r>
    </w:p>
    <w:p>
      <w:pPr>
        <w:spacing w:after="0" w:line="15" w:lineRule="exact"/>
        <w:rPr>
          <w:sz w:val="20"/>
          <w:szCs w:val="20"/>
          <w:color w:val="auto"/>
        </w:rPr>
      </w:pPr>
    </w:p>
    <w:p>
      <w:pPr>
        <w:ind w:left="160" w:hanging="152"/>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Lower gross margin as a result of higher costs for commodities combined with minimal price increases due to competitive conditions,</w:t>
      </w:r>
    </w:p>
    <w:p>
      <w:pPr>
        <w:spacing w:after="0" w:line="63" w:lineRule="exact"/>
        <w:rPr>
          <w:sz w:val="20"/>
          <w:szCs w:val="20"/>
          <w:color w:val="auto"/>
        </w:rPr>
      </w:pPr>
    </w:p>
    <w:p>
      <w:pPr>
        <w:ind w:left="180" w:right="620"/>
        <w:spacing w:after="0" w:line="258" w:lineRule="auto"/>
        <w:rPr>
          <w:sz w:val="20"/>
          <w:szCs w:val="20"/>
          <w:color w:val="auto"/>
        </w:rPr>
      </w:pPr>
      <w:r>
        <w:rPr>
          <w:rFonts w:ascii="Arial" w:cs="Arial" w:eastAsia="Arial" w:hAnsi="Arial"/>
          <w:sz w:val="18"/>
          <w:szCs w:val="18"/>
          <w:color w:val="auto"/>
        </w:rPr>
        <w:t>increased sales of lower margin products, higher manufacturing costs from lower plant utilization as we curtailed production to reduce inventory levels, and lower gross margins from sales of Hayter products.</w:t>
      </w:r>
    </w:p>
    <w:p>
      <w:pPr>
        <w:spacing w:after="0" w:line="14" w:lineRule="exact"/>
        <w:rPr>
          <w:sz w:val="20"/>
          <w:szCs w:val="20"/>
          <w:color w:val="auto"/>
        </w:rPr>
      </w:pPr>
    </w:p>
    <w:p>
      <w:pPr>
        <w:ind w:left="160" w:hanging="152"/>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Lower SG&amp;A expense as a percentage of net sales due to reduced warranty expense for major product modifications in fiscal 2005</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compared to fiscal 2004 as well as lower claims experience.</w:t>
      </w:r>
    </w:p>
    <w:p>
      <w:pPr>
        <w:spacing w:after="0" w:line="23"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Operating earnings for the residential segment in fiscal 2004 increased 11.4 percent compared to fiscal 2003. Expressed as a percentage of net sales, residential segment operating margins increased slightly to 11.1 percent compared to 11.0 percent in fiscal 2003 mainly as a result of leveraging SG&amp;A costs over higher sales volumes. This was somewhat offset by lower gross margin as a result of higher steel and other commodity costs and increased freight expense.</w:t>
      </w:r>
    </w:p>
    <w:p>
      <w:pPr>
        <w:spacing w:after="0" w:line="1" w:lineRule="exact"/>
        <w:rPr>
          <w:sz w:val="20"/>
          <w:szCs w:val="20"/>
          <w:color w:val="auto"/>
        </w:rPr>
      </w:pPr>
    </w:p>
    <w:p>
      <w:pPr>
        <w:ind w:right="80" w:firstLine="180"/>
        <w:spacing w:after="0" w:line="277" w:lineRule="auto"/>
        <w:rPr>
          <w:sz w:val="20"/>
          <w:szCs w:val="20"/>
          <w:color w:val="auto"/>
        </w:rPr>
      </w:pPr>
      <w:r>
        <w:rPr>
          <w:rFonts w:ascii="Arial" w:cs="Arial" w:eastAsia="Arial" w:hAnsi="Arial"/>
          <w:sz w:val="18"/>
          <w:szCs w:val="18"/>
          <w:color w:val="auto"/>
        </w:rPr>
        <w:t>Looking ahead, residential segment earnings are expected to improve due to price increases on selected products and anticipated improved profitability in our international business.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154305</wp:posOffset>
            </wp:positionV>
            <wp:extent cx="28301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58" w:lineRule="exact"/>
        <w:rPr>
          <w:sz w:val="20"/>
          <w:szCs w:val="20"/>
          <w:color w:val="auto"/>
        </w:rPr>
      </w:pPr>
    </w:p>
    <w:tbl>
      <w:tblPr>
        <w:tblLayout w:type="fixed"/>
        <w:tblInd w:w="3400" w:type="dxa"/>
        <w:tblCellMar>
          <w:top w:w="0" w:type="dxa"/>
          <w:left w:w="0" w:type="dxa"/>
          <w:bottom w:w="0" w:type="dxa"/>
          <w:right w:w="0" w:type="dxa"/>
        </w:tblCellMar>
      </w:tblPr>
      <w:tr>
        <w:trPr>
          <w:trHeight w:val="152"/>
        </w:trPr>
        <w:tc>
          <w:tcPr>
            <w:tcW w:w="2200" w:type="dxa"/>
            <w:vAlign w:val="bottom"/>
          </w:tcPr>
          <w:p>
            <w:pPr>
              <w:spacing w:after="0"/>
              <w:rPr>
                <w:sz w:val="20"/>
                <w:szCs w:val="20"/>
                <w:color w:val="auto"/>
              </w:rPr>
            </w:pPr>
            <w:r>
              <w:rPr>
                <w:rFonts w:ascii="Arial" w:cs="Arial" w:eastAsia="Arial" w:hAnsi="Arial"/>
                <w:sz w:val="13"/>
                <w:szCs w:val="13"/>
                <w:color w:val="auto"/>
              </w:rPr>
              <w:t>(Dollars in millions)</w:t>
            </w: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9"/>
        </w:trPr>
        <w:tc>
          <w:tcPr>
            <w:tcW w:w="2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2005</w:t>
            </w: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2004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2003</w:t>
            </w:r>
          </w:p>
        </w:tc>
        <w:tc>
          <w:tcPr>
            <w:tcW w:w="180" w:type="dxa"/>
            <w:vAlign w:val="bottom"/>
            <w:tcBorders>
              <w:bottom w:val="single" w:sz="8" w:color="CCEEFF"/>
            </w:tcBorders>
          </w:tcPr>
          <w:p>
            <w:pPr>
              <w:spacing w:after="0"/>
              <w:rPr>
                <w:sz w:val="17"/>
                <w:szCs w:val="17"/>
                <w:color w:val="auto"/>
              </w:rPr>
            </w:pPr>
          </w:p>
        </w:tc>
      </w:tr>
      <w:tr>
        <w:trPr>
          <w:trHeight w:val="189"/>
        </w:trPr>
        <w:tc>
          <w:tcPr>
            <w:tcW w:w="2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sales</w:t>
            </w:r>
          </w:p>
        </w:tc>
        <w:tc>
          <w:tcPr>
            <w:tcW w:w="1100" w:type="dxa"/>
            <w:vAlign w:val="bottom"/>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$ 50.7</w:t>
            </w:r>
          </w:p>
        </w:tc>
        <w:tc>
          <w:tcPr>
            <w:tcW w:w="6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$ 69.2</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$ 60.7</w:t>
            </w:r>
          </w:p>
        </w:tc>
        <w:tc>
          <w:tcPr>
            <w:tcW w:w="180" w:type="dxa"/>
            <w:vAlign w:val="bottom"/>
            <w:shd w:val="clear" w:color="auto" w:fill="CCEEFF"/>
          </w:tcPr>
          <w:p>
            <w:pPr>
              <w:spacing w:after="0"/>
              <w:rPr>
                <w:sz w:val="16"/>
                <w:szCs w:val="16"/>
                <w:color w:val="auto"/>
              </w:rPr>
            </w:pPr>
          </w:p>
        </w:tc>
      </w:tr>
      <w:tr>
        <w:trPr>
          <w:trHeight w:val="181"/>
        </w:trPr>
        <w:tc>
          <w:tcPr>
            <w:tcW w:w="2200" w:type="dxa"/>
            <w:vAlign w:val="bottom"/>
          </w:tcPr>
          <w:p>
            <w:pPr>
              <w:ind w:left="140"/>
              <w:spacing w:after="0"/>
              <w:rPr>
                <w:sz w:val="20"/>
                <w:szCs w:val="20"/>
                <w:color w:val="auto"/>
              </w:rPr>
            </w:pPr>
            <w:r>
              <w:rPr>
                <w:rFonts w:ascii="Arial" w:cs="Arial" w:eastAsia="Arial" w:hAnsi="Arial"/>
                <w:sz w:val="13"/>
                <w:szCs w:val="13"/>
                <w:b w:val="1"/>
                <w:bCs w:val="1"/>
                <w:color w:val="auto"/>
              </w:rPr>
              <w:t>% change from prior year</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(26.7)%</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14.1%</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r>
      <w:tr>
        <w:trPr>
          <w:trHeight w:val="203"/>
        </w:trPr>
        <w:tc>
          <w:tcPr>
            <w:tcW w:w="2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loss</w:t>
            </w:r>
          </w:p>
        </w:tc>
        <w:tc>
          <w:tcPr>
            <w:tcW w:w="1100" w:type="dxa"/>
            <w:vAlign w:val="bottom"/>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 (87.3)</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 (81.7)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(81.3)</w:t>
            </w:r>
          </w:p>
        </w:tc>
      </w:tr>
      <w:tr>
        <w:trPr>
          <w:trHeight w:val="22"/>
        </w:trPr>
        <w:tc>
          <w:tcPr>
            <w:tcW w:w="2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3"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b w:val="1"/>
          <w:bCs w:val="1"/>
          <w:i w:val="1"/>
          <w:iCs w:val="1"/>
          <w:color w:val="4673B6"/>
        </w:rPr>
        <w:t xml:space="preserve">Net Sales. </w:t>
      </w:r>
      <w:r>
        <w:rPr>
          <w:rFonts w:ascii="Arial" w:cs="Arial" w:eastAsia="Arial" w:hAnsi="Arial"/>
          <w:sz w:val="18"/>
          <w:szCs w:val="18"/>
          <w:color w:val="000000"/>
        </w:rPr>
        <w:t>Net sales for the other segment include sales from our wholly owned domestic distribution companies less sales from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professional and residential segments to those distribution companies. In addition, elimination of the professional and residential segments’ floor plan interest costs from Toro Credit Company are also included in this segment. The other segment net sales in fiscal 2005 decreased 26.7 percent compared to fiscal 2004 due to the sale of two distribution companies in the fourth calendar quarter of 2004.</w:t>
      </w:r>
    </w:p>
    <w:p>
      <w:pPr>
        <w:spacing w:after="0" w:line="2" w:lineRule="exact"/>
        <w:rPr>
          <w:sz w:val="20"/>
          <w:szCs w:val="20"/>
          <w:color w:val="auto"/>
        </w:rPr>
      </w:pPr>
    </w:p>
    <w:p>
      <w:pPr>
        <w:ind w:right="160" w:firstLine="180"/>
        <w:spacing w:after="0" w:line="271" w:lineRule="auto"/>
        <w:rPr>
          <w:sz w:val="20"/>
          <w:szCs w:val="20"/>
          <w:color w:val="auto"/>
        </w:rPr>
      </w:pPr>
      <w:r>
        <w:rPr>
          <w:rFonts w:ascii="Arial" w:cs="Arial" w:eastAsia="Arial" w:hAnsi="Arial"/>
          <w:sz w:val="18"/>
          <w:szCs w:val="18"/>
          <w:color w:val="auto"/>
        </w:rPr>
        <w:t>The other segment net sales in fiscal 2004 increased 14.1 percent compared to fiscal 2003. This increase was due primarily to higher sales from our company owned distributorships as a result of strong demand for commercial equipment and irrigation products and the addition of sales from a southeastern-based distributorship acquired during fiscal 2003.</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140"/>
        <w:spacing w:after="0" w:line="274" w:lineRule="auto"/>
        <w:rPr>
          <w:sz w:val="20"/>
          <w:szCs w:val="20"/>
          <w:color w:val="auto"/>
        </w:rPr>
      </w:pPr>
      <w:r>
        <w:rPr>
          <w:rFonts w:ascii="Arial" w:cs="Arial" w:eastAsia="Arial" w:hAnsi="Arial"/>
          <w:sz w:val="18"/>
          <w:szCs w:val="18"/>
          <w:b w:val="1"/>
          <w:bCs w:val="1"/>
          <w:i w:val="1"/>
          <w:iCs w:val="1"/>
          <w:color w:val="4673B6"/>
        </w:rPr>
        <w:t xml:space="preserve">Operating loss. </w:t>
      </w:r>
      <w:r>
        <w:rPr>
          <w:rFonts w:ascii="Arial" w:cs="Arial" w:eastAsia="Arial" w:hAnsi="Arial"/>
          <w:sz w:val="18"/>
          <w:szCs w:val="18"/>
          <w:color w:val="000000"/>
        </w:rPr>
        <w:t>Operating loss for the other segment in fiscal 2005 increased by 6.9 percent compared to fiscal 2004. This loss increase was</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primarily the result of higher administrative expenses, mainly for information systems and Sarbanes-Oxley Act of 2002 compliance costs, and higher interest expense, somewhat offset by lower incentive compensation costs, as previously described.</w:t>
      </w:r>
    </w:p>
    <w:p>
      <w:pPr>
        <w:spacing w:after="0" w:line="2" w:lineRule="exact"/>
        <w:rPr>
          <w:sz w:val="20"/>
          <w:szCs w:val="20"/>
          <w:color w:val="auto"/>
        </w:rPr>
      </w:pPr>
    </w:p>
    <w:p>
      <w:pPr>
        <w:ind w:right="60" w:firstLine="180"/>
        <w:spacing w:after="0" w:line="269" w:lineRule="auto"/>
        <w:rPr>
          <w:sz w:val="20"/>
          <w:szCs w:val="20"/>
          <w:color w:val="auto"/>
        </w:rPr>
      </w:pPr>
      <w:r>
        <w:rPr>
          <w:rFonts w:ascii="Arial" w:cs="Arial" w:eastAsia="Arial" w:hAnsi="Arial"/>
          <w:sz w:val="18"/>
          <w:szCs w:val="18"/>
          <w:color w:val="auto"/>
        </w:rPr>
        <w:t>Operating loss for the other segment in fiscal 2004 was slightly up by 0.4 percent compared to fiscal 2003. This loss increase was due to higher incentive compensation expenses, increased spending for information systems, higher litigation costs, and the fact that fiscal 2003 was favorably impacted by a reduction of the gross profit elimination percentage due to a change in estimate applied to the ending Toro inventory at our company-owned distributors. Those increases were somewhat offset by lower bad debt expense and costs for distributor changes in fiscal 2003 that did not occur in fiscal 2004 as well as higher operating earnings for our company-owned distributors.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Working Capital</w:t>
      </w:r>
    </w:p>
    <w:p>
      <w:pPr>
        <w:spacing w:after="0" w:line="40"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Our financial condition remains strong. Our average working capital for fiscal 2005 was $309.2 million compared to $376.3 million in fiscal 2004, a decrease of 17.8 percent. This decrease was due mainly to higher average short-term debt and accrued liabilities and lower average cash and cash equivalents, somewhat offset by higher average receivables and inventory levels in fiscal 2005 compared to fiscal 2004. The acquisition of Hayter added $9.7 million of average incremental working capital for fiscal 2005.</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highlights several key measures of our working capital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143510</wp:posOffset>
            </wp:positionV>
            <wp:extent cx="28727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ectPr>
          <w:pgSz w:w="11900" w:h="16899" w:orient="portrait"/>
          <w:cols w:equalWidth="0" w:num="1">
            <w:col w:w="11420"/>
          </w:cols>
          <w:pgMar w:left="240" w:top="130" w:right="239" w:bottom="0" w:gutter="0" w:footer="0" w:header="0"/>
        </w:sectPr>
      </w:pPr>
    </w:p>
    <w:p>
      <w:pPr>
        <w:spacing w:after="0" w:line="258" w:lineRule="exact"/>
        <w:rPr>
          <w:sz w:val="20"/>
          <w:szCs w:val="20"/>
          <w:color w:val="auto"/>
        </w:rPr>
      </w:pPr>
    </w:p>
    <w:tbl>
      <w:tblPr>
        <w:tblLayout w:type="fixed"/>
        <w:tblInd w:w="3400" w:type="dxa"/>
        <w:tblCellMar>
          <w:top w:w="0" w:type="dxa"/>
          <w:left w:w="0" w:type="dxa"/>
          <w:bottom w:w="0" w:type="dxa"/>
          <w:right w:w="0" w:type="dxa"/>
        </w:tblCellMar>
      </w:tblPr>
      <w:tr>
        <w:trPr>
          <w:trHeight w:val="172"/>
        </w:trPr>
        <w:tc>
          <w:tcPr>
            <w:tcW w:w="2700" w:type="dxa"/>
            <w:vAlign w:val="bottom"/>
          </w:tcPr>
          <w:p>
            <w:pPr>
              <w:spacing w:after="0"/>
              <w:rPr>
                <w:sz w:val="20"/>
                <w:szCs w:val="20"/>
                <w:color w:val="auto"/>
              </w:rPr>
            </w:pPr>
            <w:r>
              <w:rPr>
                <w:rFonts w:ascii="Arial" w:cs="Arial" w:eastAsia="Arial" w:hAnsi="Arial"/>
                <w:sz w:val="14"/>
                <w:szCs w:val="14"/>
                <w:color w:val="auto"/>
              </w:rPr>
              <w:t>(Dollars in millions)</w:t>
            </w:r>
          </w:p>
        </w:tc>
        <w:tc>
          <w:tcPr>
            <w:tcW w:w="12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20"/>
                <w:szCs w:val="20"/>
                <w:color w:val="auto"/>
              </w:rPr>
            </w:pPr>
            <w:r>
              <w:rPr>
                <w:rFonts w:ascii="Arial" w:cs="Arial" w:eastAsia="Arial" w:hAnsi="Arial"/>
                <w:sz w:val="14"/>
                <w:szCs w:val="14"/>
                <w:color w:val="auto"/>
              </w:rPr>
              <w:t>Fiscal years ended October 31</w:t>
            </w:r>
          </w:p>
        </w:tc>
        <w:tc>
          <w:tcPr>
            <w:tcW w:w="1280" w:type="dxa"/>
            <w:vAlign w:val="bottom"/>
            <w:vMerge w:val="continue"/>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99" w:orient="portrait"/>
          <w:cols w:equalWidth="0" w:num="1">
            <w:col w:w="11420"/>
          </w:cols>
          <w:pgMar w:left="240" w:top="130" w:right="239" w:bottom="0" w:gutter="0" w:footer="0" w:header="0"/>
          <w:type w:val="continuous"/>
        </w:sectPr>
      </w:pPr>
    </w:p>
    <w:bookmarkStart w:id="21" w:name="page22"/>
    <w:bookmarkEnd w:id="21"/>
    <w:p>
      <w:pPr>
        <w:spacing w:after="0" w:line="59" w:lineRule="exact"/>
        <w:rPr>
          <w:sz w:val="20"/>
          <w:szCs w:val="20"/>
          <w:color w:val="auto"/>
        </w:rPr>
      </w:pPr>
    </w:p>
    <w:tbl>
      <w:tblPr>
        <w:tblLayout w:type="fixed"/>
        <w:tblInd w:w="3400" w:type="dxa"/>
        <w:tblCellMar>
          <w:top w:w="0" w:type="dxa"/>
          <w:left w:w="0" w:type="dxa"/>
          <w:bottom w:w="0" w:type="dxa"/>
          <w:right w:w="0" w:type="dxa"/>
        </w:tblCellMar>
      </w:tblPr>
      <w:tr>
        <w:trPr>
          <w:trHeight w:val="210"/>
        </w:trPr>
        <w:tc>
          <w:tcPr>
            <w:tcW w:w="30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Average cash and cash equivalents</w:t>
            </w:r>
          </w:p>
        </w:tc>
        <w:tc>
          <w:tcPr>
            <w:tcW w:w="86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  31.7</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57.5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4"/>
                <w:szCs w:val="14"/>
                <w:b w:val="1"/>
                <w:bCs w:val="1"/>
                <w:color w:val="auto"/>
              </w:rPr>
              <w:t>Average short-term debt</w:t>
            </w: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63.4</w:t>
            </w:r>
          </w:p>
        </w:tc>
        <w:tc>
          <w:tcPr>
            <w:tcW w:w="58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r>
      <w:tr>
        <w:trPr>
          <w:trHeight w:val="189"/>
        </w:trPr>
        <w:tc>
          <w:tcPr>
            <w:tcW w:w="3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inventories, net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260.5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120" w:type="dxa"/>
            <w:vAlign w:val="bottom"/>
            <w:shd w:val="clear" w:color="auto" w:fill="CCEEFF"/>
          </w:tcPr>
          <w:p>
            <w:pPr>
              <w:spacing w:after="0"/>
              <w:rPr>
                <w:sz w:val="16"/>
                <w:szCs w:val="16"/>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4"/>
                <w:szCs w:val="14"/>
                <w:b w:val="1"/>
                <w:bCs w:val="1"/>
                <w:color w:val="auto"/>
              </w:rPr>
              <w:t>Average receivables, net</w:t>
            </w: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374.0</w:t>
            </w:r>
          </w:p>
        </w:tc>
        <w:tc>
          <w:tcPr>
            <w:tcW w:w="580" w:type="dxa"/>
            <w:vAlign w:val="bottom"/>
          </w:tcPr>
          <w:p>
            <w:pPr>
              <w:jc w:val="right"/>
              <w:spacing w:after="0"/>
              <w:rPr>
                <w:sz w:val="20"/>
                <w:szCs w:val="20"/>
                <w:color w:val="auto"/>
              </w:rPr>
            </w:pPr>
            <w:r>
              <w:rPr>
                <w:rFonts w:ascii="Arial" w:cs="Arial" w:eastAsia="Arial" w:hAnsi="Arial"/>
                <w:sz w:val="14"/>
                <w:szCs w:val="14"/>
                <w:color w:val="auto"/>
              </w:rPr>
              <w:t>343.9</w:t>
            </w:r>
          </w:p>
        </w:tc>
        <w:tc>
          <w:tcPr>
            <w:tcW w:w="120" w:type="dxa"/>
            <w:vAlign w:val="bottom"/>
          </w:tcPr>
          <w:p>
            <w:pPr>
              <w:spacing w:after="0"/>
              <w:rPr>
                <w:sz w:val="16"/>
                <w:szCs w:val="16"/>
                <w:color w:val="auto"/>
              </w:rPr>
            </w:pPr>
          </w:p>
        </w:tc>
      </w:tr>
      <w:tr>
        <w:trPr>
          <w:trHeight w:val="189"/>
        </w:trPr>
        <w:tc>
          <w:tcPr>
            <w:tcW w:w="3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days outstanding for receivables</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77</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6"/>
                <w:szCs w:val="16"/>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4"/>
                <w:szCs w:val="14"/>
                <w:b w:val="1"/>
                <w:bCs w:val="1"/>
                <w:color w:val="auto"/>
              </w:rPr>
              <w:t>Inventory turnover</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4.47x</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4.30x</w:t>
            </w:r>
          </w:p>
        </w:tc>
      </w:tr>
      <w:tr>
        <w:trPr>
          <w:trHeight w:val="20"/>
        </w:trPr>
        <w:tc>
          <w:tcPr>
            <w:tcW w:w="30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Average short-term debt increased in fiscal 2005 compared to fiscal 2004 primarily because we purchased Hayter and continued our emphasis on repurchasing shares of our common stock during fiscal 2005, which also resulted in lower average cash and cash equivalents in fiscal 2005 compared to fiscal 2004. The increase in average receivables, net was due primarily to the acquisition of Hayter that added $8.6 million of average incremental accounts receivable and higher sales volumes. Average days outstanding for receivables slightly increased to 77 days in fiscal 2005 compared to 76 days in fiscal 2004 due primarily to an increase in international receivables that have longer average terms.</w:t>
      </w:r>
    </w:p>
    <w:p>
      <w:pPr>
        <w:spacing w:after="0" w:line="1" w:lineRule="exact"/>
        <w:rPr>
          <w:sz w:val="20"/>
          <w:szCs w:val="20"/>
          <w:color w:val="auto"/>
        </w:rPr>
      </w:pPr>
    </w:p>
    <w:p>
      <w:pPr>
        <w:ind w:right="60" w:firstLine="180"/>
        <w:spacing w:after="0" w:line="266" w:lineRule="auto"/>
        <w:rPr>
          <w:sz w:val="20"/>
          <w:szCs w:val="20"/>
          <w:color w:val="auto"/>
        </w:rPr>
      </w:pPr>
      <w:r>
        <w:rPr>
          <w:rFonts w:ascii="Arial" w:cs="Arial" w:eastAsia="Arial" w:hAnsi="Arial"/>
          <w:sz w:val="18"/>
          <w:szCs w:val="18"/>
          <w:color w:val="auto"/>
        </w:rPr>
        <w:t>Average net inventories increased 5.7 percent due mainly to the acquisition of Hayter that added $9.1 million of average incremental inventory. Average inventory turnover improved 4.0 percent in fiscal 2005 compared to fiscal 2004. This favorable change was driven by efforts to improve asset management.</w:t>
      </w:r>
    </w:p>
    <w:p>
      <w:pPr>
        <w:spacing w:after="0" w:line="1" w:lineRule="exact"/>
        <w:rPr>
          <w:sz w:val="20"/>
          <w:szCs w:val="20"/>
          <w:color w:val="auto"/>
        </w:rPr>
      </w:pPr>
    </w:p>
    <w:p>
      <w:pPr>
        <w:ind w:right="380" w:firstLine="180"/>
        <w:spacing w:after="0" w:line="271" w:lineRule="auto"/>
        <w:rPr>
          <w:sz w:val="20"/>
          <w:szCs w:val="20"/>
          <w:color w:val="auto"/>
        </w:rPr>
      </w:pPr>
      <w:r>
        <w:rPr>
          <w:rFonts w:ascii="Arial" w:cs="Arial" w:eastAsia="Arial" w:hAnsi="Arial"/>
          <w:sz w:val="18"/>
          <w:szCs w:val="18"/>
          <w:color w:val="auto"/>
        </w:rPr>
        <w:t>We expect that average receivables and inventory levels in fiscal 2006 will increase compared to fiscal 2005 due to higher planned sales volumes. We anticipate both average days outstanding for receivables and average inventory turnover to slightly improve in fiscal 2006 compared to fiscal 2005 as we continue our efforts to improve asset utilization.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Capital Expenditures and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Other Long-Term Assets</w:t>
      </w:r>
    </w:p>
    <w:p>
      <w:pPr>
        <w:spacing w:after="0" w:line="1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Fiscal 2005 capital expenditures of $37.4 million were 8.3 percent lower compared to fiscal 2004. This decline was due primarily to production equipment and tooling expenditures in fiscal 2004 for new products we introduced within the past two years. Capital expenditures for fiscal 2006 are planned to be approximately $3 to $8 million higher than fiscal 2005 as we plan to invest in manufacturing equipment, tooling for new products, and information service technology.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assets as of October 31, 2005 were $269.7 million compared to $263.6 million as of October 31, 2004, an increase of 2.3 percent.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due to the acquisition of Hayter, which resulted in the addition of $3.1 million of goodwill and $3.6 of net 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Acquisitions and Divestures”, in the notes to consolidated financial statements for further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Capital Structure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total capitalization and key ratios.</w:t>
      </w:r>
    </w:p>
    <w:p>
      <w:pPr>
        <w:spacing w:after="0" w:line="206" w:lineRule="exact"/>
        <w:rPr>
          <w:sz w:val="20"/>
          <w:szCs w:val="20"/>
          <w:color w:val="auto"/>
        </w:rPr>
      </w:pPr>
    </w:p>
    <w:tbl>
      <w:tblPr>
        <w:tblLayout w:type="fixed"/>
        <w:tblInd w:w="3400" w:type="dxa"/>
        <w:tblCellMar>
          <w:top w:w="0" w:type="dxa"/>
          <w:left w:w="0" w:type="dxa"/>
          <w:bottom w:w="0" w:type="dxa"/>
          <w:right w:w="0" w:type="dxa"/>
        </w:tblCellMar>
      </w:tblPr>
      <w:tr>
        <w:trPr>
          <w:trHeight w:val="204"/>
        </w:trPr>
        <w:tc>
          <w:tcPr>
            <w:tcW w:w="30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880" w:type="dxa"/>
            <w:vAlign w:val="bottom"/>
            <w:tcBorders>
              <w:top w:val="single" w:sz="8" w:color="auto"/>
            </w:tcBorders>
            <w:vMerge w:val="restart"/>
          </w:tcPr>
          <w:p>
            <w:pPr>
              <w:jc w:val="right"/>
              <w:ind w:right="109"/>
              <w:spacing w:after="0"/>
              <w:rPr>
                <w:sz w:val="20"/>
                <w:szCs w:val="20"/>
                <w:color w:val="auto"/>
              </w:rPr>
            </w:pPr>
            <w:r>
              <w:rPr>
                <w:rFonts w:ascii="Arial" w:cs="Arial" w:eastAsia="Arial" w:hAnsi="Arial"/>
                <w:sz w:val="14"/>
                <w:szCs w:val="14"/>
                <w:b w:val="1"/>
                <w:bCs w:val="1"/>
                <w:color w:val="auto"/>
              </w:rPr>
              <w:t>2005</w:t>
            </w: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8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Short-term debt</w:t>
            </w:r>
          </w:p>
        </w:tc>
        <w:tc>
          <w:tcPr>
            <w:tcW w:w="880" w:type="dxa"/>
            <w:vAlign w:val="bottom"/>
            <w:shd w:val="clear" w:color="auto" w:fill="CCEEFF"/>
          </w:tcPr>
          <w:p>
            <w:pPr>
              <w:jc w:val="right"/>
              <w:ind w:right="129"/>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0.3</w:t>
            </w:r>
          </w:p>
        </w:tc>
        <w:tc>
          <w:tcPr>
            <w:tcW w:w="560" w:type="dxa"/>
            <w:vAlign w:val="bottom"/>
            <w:shd w:val="clear" w:color="auto" w:fill="CCEEFF"/>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4"/>
                <w:szCs w:val="14"/>
                <w:b w:val="1"/>
                <w:bCs w:val="1"/>
                <w:color w:val="auto"/>
              </w:rPr>
              <w:t>Long-term debt, including current portion</w:t>
            </w:r>
          </w:p>
        </w:tc>
        <w:tc>
          <w:tcPr>
            <w:tcW w:w="880" w:type="dxa"/>
            <w:vAlign w:val="bottom"/>
          </w:tcPr>
          <w:p>
            <w:pPr>
              <w:jc w:val="right"/>
              <w:ind w:right="109"/>
              <w:spacing w:after="0"/>
              <w:rPr>
                <w:sz w:val="20"/>
                <w:szCs w:val="20"/>
                <w:color w:val="auto"/>
              </w:rPr>
            </w:pPr>
            <w:r>
              <w:rPr>
                <w:rFonts w:ascii="Arial" w:cs="Arial" w:eastAsia="Arial" w:hAnsi="Arial"/>
                <w:sz w:val="14"/>
                <w:szCs w:val="14"/>
                <w:b w:val="1"/>
                <w:bCs w:val="1"/>
                <w:color w:val="auto"/>
              </w:rPr>
              <w:t>175.0</w:t>
            </w:r>
          </w:p>
        </w:tc>
        <w:tc>
          <w:tcPr>
            <w:tcW w:w="560" w:type="dxa"/>
            <w:vAlign w:val="bottom"/>
          </w:tcPr>
          <w:p>
            <w:pPr>
              <w:jc w:val="right"/>
              <w:spacing w:after="0"/>
              <w:rPr>
                <w:sz w:val="20"/>
                <w:szCs w:val="20"/>
                <w:color w:val="auto"/>
              </w:rPr>
            </w:pPr>
            <w:r>
              <w:rPr>
                <w:rFonts w:ascii="Arial" w:cs="Arial" w:eastAsia="Arial" w:hAnsi="Arial"/>
                <w:sz w:val="14"/>
                <w:szCs w:val="14"/>
                <w:color w:val="auto"/>
              </w:rPr>
              <w:t>175.1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390.0</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4"/>
                <w:szCs w:val="14"/>
                <w:b w:val="1"/>
                <w:bCs w:val="1"/>
                <w:color w:val="auto"/>
              </w:rPr>
              <w:t>Debt to capitalization ratio</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31.0%</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180"/>
        <w:spacing w:after="0" w:line="277" w:lineRule="auto"/>
        <w:rPr>
          <w:sz w:val="20"/>
          <w:szCs w:val="20"/>
          <w:color w:val="auto"/>
        </w:rPr>
      </w:pPr>
      <w:r>
        <w:rPr>
          <w:rFonts w:ascii="Arial" w:cs="Arial" w:eastAsia="Arial" w:hAnsi="Arial"/>
          <w:sz w:val="18"/>
          <w:szCs w:val="18"/>
          <w:color w:val="auto"/>
        </w:rPr>
        <w:t>Our debt to capitalization ratio was higher in fiscal 2005 compared to fiscal 2004 due mainly to a decrease in stockholders’ equity as a result of the significant amount of our common stock repurchases in fiscal 2005.</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Liquidity and Capital Resources</w:t>
      </w:r>
    </w:p>
    <w:p>
      <w:pPr>
        <w:spacing w:after="0" w:line="40"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color w:val="auto"/>
        </w:rPr>
        <w:t>with our fixed rate long-term debt, bank credit lines, and cash on hand, will provide us with adequate liquidity to meet our operating requirements. We believe that the combination of funds available through existing or anticipated financing arrangements, coupled with forecasted cash flows, will be sufficient to provide the necessary capital resources for our anticipated working capital needs, capital expenditures, acquisitions, debt repayments, dividend payments, and stock repurchases for at least the next twelve months.</w:t>
      </w:r>
    </w:p>
    <w:p>
      <w:pPr>
        <w:spacing w:after="0" w:line="1" w:lineRule="exact"/>
        <w:rPr>
          <w:sz w:val="20"/>
          <w:szCs w:val="20"/>
          <w:color w:val="auto"/>
        </w:rPr>
      </w:pPr>
    </w:p>
    <w:p>
      <w:pPr>
        <w:ind w:right="440" w:firstLine="180"/>
        <w:spacing w:after="0" w:line="271" w:lineRule="auto"/>
        <w:rPr>
          <w:sz w:val="20"/>
          <w:szCs w:val="20"/>
          <w:color w:val="auto"/>
        </w:rPr>
      </w:pPr>
      <w:r>
        <w:rPr>
          <w:rFonts w:ascii="Arial" w:cs="Arial" w:eastAsia="Arial" w:hAnsi="Arial"/>
          <w:sz w:val="18"/>
          <w:szCs w:val="18"/>
          <w:color w:val="auto"/>
        </w:rPr>
        <w:t>Each quarter in fiscal 2005, our Board of Directors approved a cash dividend of $0.06 per share, which was double our cash dividend of $0.03 per share paid each quarter in fiscal 2004. Our Board of Directors recently increased our first quarter of fiscal 2006 quarterly cash dividend by 50 percent to $0.09 per share from the quarterly dividend paid in the first quarter of fiscal 2005.</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Cash Flow</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(used in) operating, investing, and financing activities during the past three fiscal years are shown in the following table.</w:t>
      </w:r>
    </w:p>
    <w:p>
      <w:pPr>
        <w:spacing w:after="0" w:line="206" w:lineRule="exact"/>
        <w:rPr>
          <w:sz w:val="20"/>
          <w:szCs w:val="20"/>
          <w:color w:val="auto"/>
        </w:rPr>
      </w:pPr>
    </w:p>
    <w:tbl>
      <w:tblPr>
        <w:tblLayout w:type="fixed"/>
        <w:tblInd w:w="3380" w:type="dxa"/>
        <w:tblCellMar>
          <w:top w:w="0" w:type="dxa"/>
          <w:left w:w="0" w:type="dxa"/>
          <w:bottom w:w="0" w:type="dxa"/>
          <w:right w:w="0" w:type="dxa"/>
        </w:tblCellMar>
      </w:tblPr>
      <w:tr>
        <w:trPr>
          <w:trHeight w:val="203"/>
        </w:trPr>
        <w:tc>
          <w:tcPr>
            <w:tcW w:w="27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60" w:type="dxa"/>
            <w:vAlign w:val="bottom"/>
            <w:tcBorders>
              <w:top w:val="single" w:sz="8" w:color="auto"/>
            </w:tcBorders>
          </w:tcPr>
          <w:p>
            <w:pPr>
              <w:spacing w:after="0"/>
              <w:rPr>
                <w:sz w:val="17"/>
                <w:szCs w:val="17"/>
                <w:color w:val="auto"/>
              </w:rPr>
            </w:pPr>
          </w:p>
        </w:tc>
        <w:tc>
          <w:tcPr>
            <w:tcW w:w="184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color w:val="auto"/>
              </w:rPr>
              <w:t>Cash Provided by (Used in)</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2004</w:t>
            </w: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174.0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175.3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(68.4)</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(38.3)</w:t>
            </w:r>
          </w:p>
        </w:tc>
        <w:tc>
          <w:tcPr>
            <w:tcW w:w="14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(154.4)</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w:t>
            </w: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Effect of exchange rates on cash</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(0.6)</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cash (used) provided</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gridSpan w:val="2"/>
            <w:shd w:val="clear" w:color="auto" w:fill="CCEEFF"/>
          </w:tcPr>
          <w:p>
            <w:pPr>
              <w:jc w:val="right"/>
              <w:spacing w:after="0" w:line="223" w:lineRule="exact"/>
              <w:rPr>
                <w:sz w:val="20"/>
                <w:szCs w:val="20"/>
                <w:color w:val="auto"/>
              </w:rPr>
            </w:pPr>
            <w:r>
              <w:rPr>
                <w:rFonts w:ascii="Arial" w:cs="Arial" w:eastAsia="Arial" w:hAnsi="Arial"/>
                <w:sz w:val="13"/>
                <w:szCs w:val="13"/>
                <w:b w:val="1"/>
                <w:bCs w:val="1"/>
                <w:color w:val="auto"/>
              </w:rPr>
              <w:t xml:space="preserve">(49.4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w:t>
            </w:r>
            <w:r>
              <w:rPr>
                <w:rFonts w:ascii="Arial" w:cs="Arial" w:eastAsia="Arial" w:hAnsi="Arial"/>
                <w:sz w:val="25"/>
                <w:szCs w:val="25"/>
                <w:color w:val="auto"/>
                <w:vertAlign w:val="subscript"/>
              </w:rPr>
              <w:t>$</w:t>
            </w:r>
          </w:p>
        </w:tc>
        <w:tc>
          <w:tcPr>
            <w:tcW w:w="660" w:type="dxa"/>
            <w:vAlign w:val="bottom"/>
            <w:tcBorders>
              <w:bottom w:val="single" w:sz="8" w:color="auto"/>
            </w:tcBorders>
            <w:gridSpan w:val="2"/>
            <w:shd w:val="clear" w:color="auto" w:fill="CCEEFF"/>
          </w:tcPr>
          <w:p>
            <w:pPr>
              <w:jc w:val="right"/>
              <w:spacing w:after="0" w:line="223" w:lineRule="exact"/>
              <w:rPr>
                <w:sz w:val="20"/>
                <w:szCs w:val="20"/>
                <w:color w:val="auto"/>
              </w:rPr>
            </w:pPr>
            <w:r>
              <w:rPr>
                <w:rFonts w:ascii="Arial" w:cs="Arial" w:eastAsia="Arial" w:hAnsi="Arial"/>
                <w:sz w:val="13"/>
                <w:szCs w:val="13"/>
                <w:color w:val="auto"/>
              </w:rPr>
              <w:t xml:space="preserve">(19.5 </w:t>
            </w:r>
            <w:r>
              <w:rPr>
                <w:rFonts w:ascii="Arial" w:cs="Arial" w:eastAsia="Arial" w:hAnsi="Arial"/>
                <w:sz w:val="25"/>
                <w:szCs w:val="25"/>
                <w:color w:val="auto"/>
                <w:vertAlign w:val="subscript"/>
              </w:rPr>
              <w:t>) $</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20"/>
                <w:szCs w:val="20"/>
                <w:color w:val="auto"/>
              </w:rPr>
            </w:pPr>
            <w:r>
              <w:rPr>
                <w:rFonts w:ascii="Arial" w:cs="Arial" w:eastAsia="Arial" w:hAnsi="Arial"/>
                <w:sz w:val="14"/>
                <w:szCs w:val="14"/>
                <w:b w:val="1"/>
                <w:bCs w:val="1"/>
                <w:color w:val="auto"/>
              </w:rPr>
              <w:t>Cash and cash equivalents as of fiscal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41.4</w:t>
            </w:r>
          </w:p>
        </w:tc>
        <w:tc>
          <w:tcPr>
            <w:tcW w:w="140" w:type="dxa"/>
            <w:vAlign w:val="bottom"/>
          </w:tcPr>
          <w:p>
            <w:pPr>
              <w:spacing w:after="0"/>
              <w:rPr>
                <w:sz w:val="15"/>
                <w:szCs w:val="15"/>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90.8</w:t>
            </w:r>
          </w:p>
        </w:tc>
        <w:tc>
          <w:tcPr>
            <w:tcW w:w="14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110.3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 end</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97" w:orient="portrait"/>
          <w:cols w:equalWidth="0" w:num="1">
            <w:col w:w="11420"/>
          </w:cols>
          <w:pgMar w:left="240" w:top="120" w:right="239" w:bottom="0" w:gutter="0" w:footer="0" w:header="0"/>
        </w:sectPr>
      </w:pPr>
    </w:p>
    <w:p>
      <w:pPr>
        <w:spacing w:after="0" w:line="47"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i w:val="1"/>
          <w:iCs w:val="1"/>
          <w:color w:val="4673B6"/>
        </w:rPr>
        <w:t xml:space="preserve">Cash Flows Provided by Operating Activities. </w:t>
      </w:r>
      <w:r>
        <w:rPr>
          <w:rFonts w:ascii="Arial" w:cs="Arial" w:eastAsia="Arial" w:hAnsi="Arial"/>
          <w:sz w:val="18"/>
          <w:szCs w:val="18"/>
          <w:color w:val="000000"/>
        </w:rPr>
        <w:t>Our primary source of funds is cash generated from operations. In fiscal 2005, cash provided</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by operating activities slightly decreased by 0.7 percent from fiscal 2004. The increase in net earnings and depreciation was offset by changes</w:t>
      </w:r>
    </w:p>
    <w:p>
      <w:pPr>
        <w:sectPr>
          <w:pgSz w:w="11900" w:h="16897" w:orient="portrait"/>
          <w:cols w:equalWidth="0" w:num="1">
            <w:col w:w="11420"/>
          </w:cols>
          <w:pgMar w:left="240" w:top="120" w:right="239" w:bottom="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in working capital.</w:t>
      </w:r>
    </w:p>
    <w:p>
      <w:pPr>
        <w:spacing w:after="0" w:line="109"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i w:val="1"/>
          <w:iCs w:val="1"/>
          <w:color w:val="4673B6"/>
        </w:rPr>
        <w:t xml:space="preserve">Cash Flows Used in Investing Activities. </w:t>
      </w:r>
      <w:r>
        <w:rPr>
          <w:rFonts w:ascii="Arial" w:cs="Arial" w:eastAsia="Arial" w:hAnsi="Arial"/>
          <w:sz w:val="18"/>
          <w:szCs w:val="18"/>
          <w:color w:val="000000"/>
        </w:rPr>
        <w:t>Capital expenditures and acquisitions are primary uses of capital resources. Cash used in investing</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activities increased by 78.7 percent due mainly to cash utilized for the purchase of Hayter, somewhat offset by lower purchases of property, plant, and equipment in fiscal 2005 compared to fiscal 2004, as discussed previously.</w:t>
      </w:r>
    </w:p>
    <w:p>
      <w:pPr>
        <w:spacing w:after="0" w:line="62"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4673B6"/>
        </w:rPr>
        <w:t xml:space="preserve">Cash Flows Used in Financing Activities. </w:t>
      </w:r>
      <w:r>
        <w:rPr>
          <w:rFonts w:ascii="Arial" w:cs="Arial" w:eastAsia="Arial" w:hAnsi="Arial"/>
          <w:sz w:val="18"/>
          <w:szCs w:val="18"/>
          <w:color w:val="000000"/>
        </w:rPr>
        <w:t>Cash used in financing activities was slightly lower by 1.3 percent in fiscal 2005 compared to fiscal</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2004. This was primarily driven by higher levels of funds used to purchase our common stock last fiscal year. Refer to section “Share Repurchase Plan” below for additional details. This decline was somewhat offset by higher dividends paid on Toro common stock and lower proceeds in fiscal 2005 from the exercise of stock options.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Credit Lines and Other Capital Resources</w:t>
      </w:r>
    </w:p>
    <w:p>
      <w:pPr>
        <w:spacing w:after="0" w:line="4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Our business is seasonal, with accounts receivable balances historically increasing between January and April as a result of higher sales volumes and extended payment terms made available to our customers, and decreasing between May and December when payments are received. The seasonality of production and shipments causes working capital requirements to fluctuate during the year. Our peak borrowing usually occurs between February and May. Seasonal cash requirements are financed from operations and with short- and medium-term financing arrangements, including a $175.0 million unsecured senior five-year revolving credit facility, which expires in October 2010. We also have a $75.0 million secured credit line backed by a multi-year credit agreement, expiring in July 2006, which is renewable annually. Interest expense on these credit lines is determined based on a LIBOR or commercial paper rate plus a basis point spread defined in the credit agreements. In addition, our non-U.S. operations and a domestic subsidiary also maintain unsecured short-term lines of credit of approximately $16.4 million. These facilities bear interest at various rates depending on the rates in their respective countries of operation. We also have a letter of credit subfacility as part of our credit agreements. Average short-term debt was $63.4 million in fiscal 2005 compared to $6.1 million in fiscal 2004, an increase of $57.3 million. This increase was primarily attributable to financing shares of our common stock repurchased during fiscal 2005 and 2004 and the purchase of Hayter. As of October 31, 2005, we had $264.1 million of unutilized availability under our credit agreements.</w:t>
      </w:r>
    </w:p>
    <w:p>
      <w:pPr>
        <w:spacing w:after="0" w:line="2" w:lineRule="exact"/>
        <w:rPr>
          <w:sz w:val="20"/>
          <w:szCs w:val="20"/>
          <w:color w:val="auto"/>
        </w:rPr>
      </w:pPr>
    </w:p>
    <w:p>
      <w:pPr>
        <w:ind w:firstLine="180"/>
        <w:spacing w:after="0" w:line="267" w:lineRule="auto"/>
        <w:rPr>
          <w:sz w:val="20"/>
          <w:szCs w:val="20"/>
          <w:color w:val="auto"/>
        </w:rPr>
      </w:pPr>
      <w:r>
        <w:rPr>
          <w:rFonts w:ascii="Arial" w:cs="Arial" w:eastAsia="Arial" w:hAnsi="Arial"/>
          <w:sz w:val="18"/>
          <w:szCs w:val="18"/>
          <w:color w:val="auto"/>
        </w:rPr>
        <w:t>Significant financial covenants in our credit agreements are interest coverage and debt to capitalization ratios. We were in compliance with all covenants related to our credit agreements as of October 31, 2005, and expect to be in compliance with all covenants during fiscal 2006. Our credit agreements require compliance with all of the covenants defined in the agreements. If we were out of compliance with any debt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under the credit agreements would increase, but the credit commitments could not be cancelled by the banks based only on a ratings downgrade. Our debt rating for long-term unsecured senior, non-credit enhanced debt is rated by Standard and Poor’s Ratings Group at BBB- and by Moody’s Investors Service at Baa3, which is unchanged from the past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Share Repurchase Plan</w:t>
      </w:r>
    </w:p>
    <w:p>
      <w:pPr>
        <w:spacing w:after="0" w:line="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fiscal 2005, we continued our emphasis on repurchasing shares of our common stock as a means of utilizing excess cash and reducing our shares outstanding. In addition, our repurchase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programs provide shares for use in connection with our equity compensation programs. In July 2005, the Board of Directors authorized the repurchase of up to an additional 2,000,000 shares of our common stock in open-market transactions or privately negotiated transactions. This repurchase authorization has no expiration date but may be terminated by our Board of Directors at any time. As of October 31, 2005, 1,846,189 shares remained authorized for repurchase.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with respect to repurchases of our common stock during the past three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143510</wp:posOffset>
            </wp:positionV>
            <wp:extent cx="32073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41" w:lineRule="exact"/>
        <w:rPr>
          <w:sz w:val="20"/>
          <w:szCs w:val="20"/>
          <w:color w:val="auto"/>
        </w:rPr>
      </w:pPr>
    </w:p>
    <w:tbl>
      <w:tblPr>
        <w:tblLayout w:type="fixed"/>
        <w:tblInd w:w="3160" w:type="dxa"/>
        <w:tblCellMar>
          <w:top w:w="0" w:type="dxa"/>
          <w:left w:w="0" w:type="dxa"/>
          <w:bottom w:w="0" w:type="dxa"/>
          <w:right w:w="0" w:type="dxa"/>
        </w:tblCellMar>
      </w:tblPr>
      <w:tr>
        <w:trPr>
          <w:trHeight w:val="152"/>
        </w:trPr>
        <w:tc>
          <w:tcPr>
            <w:tcW w:w="2440" w:type="dxa"/>
            <w:vAlign w:val="bottom"/>
          </w:tcPr>
          <w:p>
            <w:pPr>
              <w:spacing w:after="0"/>
              <w:rPr>
                <w:sz w:val="20"/>
                <w:szCs w:val="20"/>
                <w:color w:val="auto"/>
              </w:rPr>
            </w:pPr>
            <w:r>
              <w:rPr>
                <w:rFonts w:ascii="Arial" w:cs="Arial" w:eastAsia="Arial" w:hAnsi="Arial"/>
                <w:sz w:val="13"/>
                <w:szCs w:val="13"/>
                <w:color w:val="auto"/>
                <w:w w:val="99"/>
              </w:rPr>
              <w:t>(Dollars in millions, except per share data)</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2005</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2004</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Shares of common stock purchased</w:t>
            </w: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3,922,805</w:t>
            </w: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5,270,814</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866,690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20"/>
                <w:szCs w:val="20"/>
                <w:color w:val="auto"/>
              </w:rPr>
            </w:pPr>
            <w:r>
              <w:rPr>
                <w:rFonts w:ascii="Arial" w:cs="Arial" w:eastAsia="Arial" w:hAnsi="Arial"/>
                <w:sz w:val="13"/>
                <w:szCs w:val="13"/>
                <w:b w:val="1"/>
                <w:bCs w:val="1"/>
                <w:color w:val="auto"/>
              </w:rPr>
              <w:t>Cost to repurchase common stock</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157.0</w:t>
            </w: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169.8</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Average price paid per share</w:t>
            </w:r>
          </w:p>
        </w:tc>
        <w:tc>
          <w:tcPr>
            <w:tcW w:w="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40.02</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32.22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21.61</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Off-Balance Sheet Arrangements and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Contractual Obligations</w:t>
      </w:r>
    </w:p>
    <w:p>
      <w:pPr>
        <w:spacing w:after="0" w:line="1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It is not our usual business practice to enter into off-balance sheet arrangements, except for off-balance sheet arrangements related to our customer financing activities, inventory purchase commitments, operating lease commitments, and currency contracts disclosed in the contractual obligations table below. Moreover, it is not our normal policy to issue guarantees to third parties.</w:t>
      </w:r>
    </w:p>
    <w:p>
      <w:pPr>
        <w:spacing w:after="0" w:line="74"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4673B6"/>
        </w:rPr>
        <w:t xml:space="preserve">Wholesale Financing. </w:t>
      </w:r>
      <w:r>
        <w:rPr>
          <w:rFonts w:ascii="Arial" w:cs="Arial" w:eastAsia="Arial" w:hAnsi="Arial"/>
          <w:sz w:val="18"/>
          <w:szCs w:val="18"/>
          <w:color w:val="000000"/>
        </w:rPr>
        <w:t>Toro Credit Company (TCC), a wholly owned financing subsidiary, provides financing for our North American Toro</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distributors and approximately 200 of our domestic dealers for select products that we manufacture. Independent North American Toro and Exmark distributors and dealers that do not finance through TCC generally finance their inventories with third party financing companies. All outstanding receivables of TCC are reflected in the consolidated balance sheets of the company.</w:t>
      </w:r>
    </w:p>
    <w:p>
      <w:pPr>
        <w:spacing w:after="0" w:line="2" w:lineRule="exact"/>
        <w:rPr>
          <w:sz w:val="20"/>
          <w:szCs w:val="20"/>
          <w:color w:val="auto"/>
        </w:rPr>
      </w:pPr>
    </w:p>
    <w:p>
      <w:pPr>
        <w:ind w:firstLine="180"/>
        <w:spacing w:after="0" w:line="286" w:lineRule="auto"/>
        <w:rPr>
          <w:sz w:val="20"/>
          <w:szCs w:val="20"/>
          <w:color w:val="auto"/>
        </w:rPr>
      </w:pPr>
      <w:r>
        <w:rPr>
          <w:rFonts w:ascii="Arial" w:cs="Arial" w:eastAsia="Arial" w:hAnsi="Arial"/>
          <w:sz w:val="17"/>
          <w:szCs w:val="17"/>
          <w:color w:val="auto"/>
        </w:rPr>
        <w:t>TCC and other third party financing companies purchase selected receivables from us and our distributors and dealers for extended periods that assists our distributors and dealers in carrying representative inventories of products. Down payments are not required and, depending on the finance program for each product line, finance charges are incurred by us, shared between us and the distributor and/or the dealer, or paid by the distributor or dealer. We retain a security interest in the distributors’ and dealers’ inventories, and make periodic physical checks of those inventories. Under the sales terms to distributors and dealers, finance charges are applied to outstanding balances from the earlier of the date when product is sold to a customer, or the expiration of company-supported finance terms granted at the time of sale, until payment is received by TCC or the third party finance company. Rates are generally fixed or based on the prime rate plus a fixed percentage depending on whether</w:t>
      </w:r>
    </w:p>
    <w:p>
      <w:pPr>
        <w:sectPr>
          <w:pgSz w:w="11900" w:h="16838" w:orient="portrait"/>
          <w:cols w:equalWidth="0" w:num="1">
            <w:col w:w="11400"/>
          </w:cols>
          <w:pgMar w:left="240" w:top="152" w:right="259" w:bottom="0" w:gutter="0" w:footer="0" w:header="0"/>
        </w:sectPr>
      </w:pPr>
    </w:p>
    <w:bookmarkStart w:id="23" w:name="page24"/>
    <w:bookmarkEnd w:id="23"/>
    <w:p>
      <w:pPr>
        <w:ind w:right="320"/>
        <w:spacing w:after="0" w:line="266" w:lineRule="auto"/>
        <w:rPr>
          <w:sz w:val="20"/>
          <w:szCs w:val="20"/>
          <w:color w:val="auto"/>
        </w:rPr>
      </w:pPr>
      <w:r>
        <w:rPr>
          <w:rFonts w:ascii="Arial" w:cs="Arial" w:eastAsia="Arial" w:hAnsi="Arial"/>
          <w:sz w:val="18"/>
          <w:szCs w:val="18"/>
          <w:color w:val="auto"/>
        </w:rPr>
        <w:t>the financing is for a distributor or dealer. Rates may also vary based on the product that is financed. Distributors and dealers cannot cancel purchases after goods are shipped and are responsible for payment even if the equipment is not sold to retail customers.</w:t>
      </w:r>
    </w:p>
    <w:p>
      <w:pPr>
        <w:ind w:firstLine="180"/>
        <w:spacing w:after="0" w:line="268" w:lineRule="auto"/>
        <w:rPr>
          <w:sz w:val="20"/>
          <w:szCs w:val="20"/>
          <w:color w:val="auto"/>
        </w:rPr>
      </w:pPr>
      <w:r>
        <w:rPr>
          <w:rFonts w:ascii="Arial" w:cs="Arial" w:eastAsia="Arial" w:hAnsi="Arial"/>
          <w:sz w:val="18"/>
          <w:szCs w:val="18"/>
          <w:color w:val="auto"/>
        </w:rPr>
        <w:t>Third party financing companies purchased $451.2 million of receivables of our financed products during fiscal 2005. The outstanding receivable balance owed from our distributors and dealers to third party financing companies was $163.0 million as of October 31, 2005. Our maximum exposure for credit recourse with a third party financing company related to receivables under these financing arrangements was $0.6 million as of October 31, 2005. We also enter into limited inventory repurchase agreements with third party financing companies. As of October 31, 2005, we were contingently liable to repurchase up to $3.5 million of inventory related to receivables under these financing arrangements. We have repurchased immaterial amounts of inventory from third party financing companies over the past three years. However, a decline in retail sales could cause this situation to change and thereby require us to repurchase financed product.</w:t>
      </w:r>
    </w:p>
    <w:p>
      <w:pPr>
        <w:spacing w:after="0" w:line="7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i w:val="1"/>
          <w:iCs w:val="1"/>
          <w:color w:val="4673B6"/>
        </w:rPr>
        <w:t xml:space="preserve">End-User Financing. </w:t>
      </w:r>
      <w:r>
        <w:rPr>
          <w:rFonts w:ascii="Arial" w:cs="Arial" w:eastAsia="Arial" w:hAnsi="Arial"/>
          <w:sz w:val="18"/>
          <w:szCs w:val="18"/>
          <w:color w:val="000000"/>
        </w:rPr>
        <w:t>We have agreements with a third party financing company to provide lease-financing options to golf course and sports</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fields and grounds equipment customers in North America and Europe. The purpose of these agreements is to increase sales by giving buyers of our products alternative financing options when purchasing our products. Under the terms of these agreements, we could be contingently liable for a portion of the credit collection and residual value risk on the underlying equipment financed under this program. Our maximum exposure for credit collection and residual value as of October 31, 2005 was $10.8 million. We have established a reserve for our estimated exposure related to this program.</w:t>
      </w:r>
    </w:p>
    <w:p>
      <w:pPr>
        <w:spacing w:after="0" w:line="2" w:lineRule="exact"/>
        <w:rPr>
          <w:sz w:val="20"/>
          <w:szCs w:val="20"/>
          <w:color w:val="auto"/>
        </w:rPr>
      </w:pPr>
    </w:p>
    <w:p>
      <w:pPr>
        <w:jc w:val="both"/>
        <w:ind w:right="280" w:firstLine="180"/>
        <w:spacing w:after="0" w:line="266" w:lineRule="auto"/>
        <w:rPr>
          <w:sz w:val="20"/>
          <w:szCs w:val="20"/>
          <w:color w:val="auto"/>
        </w:rPr>
      </w:pPr>
      <w:r>
        <w:rPr>
          <w:rFonts w:ascii="Arial" w:cs="Arial" w:eastAsia="Arial" w:hAnsi="Arial"/>
          <w:sz w:val="18"/>
          <w:szCs w:val="18"/>
          <w:color w:val="auto"/>
        </w:rPr>
        <w:t>In fiscal 2005, we entered into an agreement to sell certain accounts receivable and notes to a third party. The total amount of receivables and notes outstanding under this agreement may not exceed $10.0 million at any time. As of October 31, 2005, the company had sold $0.5 million of receivables and notes under the terms of this agreement.</w:t>
      </w:r>
    </w:p>
    <w:p>
      <w:pPr>
        <w:spacing w:after="0" w:line="1" w:lineRule="exact"/>
        <w:rPr>
          <w:sz w:val="20"/>
          <w:szCs w:val="20"/>
          <w:color w:val="auto"/>
        </w:rPr>
      </w:pPr>
    </w:p>
    <w:p>
      <w:pPr>
        <w:jc w:val="both"/>
        <w:ind w:right="80" w:firstLine="180"/>
        <w:spacing w:after="0" w:line="266" w:lineRule="auto"/>
        <w:rPr>
          <w:sz w:val="20"/>
          <w:szCs w:val="20"/>
          <w:color w:val="auto"/>
        </w:rPr>
      </w:pPr>
      <w:r>
        <w:rPr>
          <w:rFonts w:ascii="Arial" w:cs="Arial" w:eastAsia="Arial" w:hAnsi="Arial"/>
          <w:sz w:val="18"/>
          <w:szCs w:val="18"/>
          <w:color w:val="auto"/>
        </w:rPr>
        <w:t>In the normal course of business, we have arrangements with other financial institutions to provide various forms of financing options to end-user customers. From time to time, our company-owned distributorships also guarantee the residual value at the end of leases with third-party financing companies for product sold to customers. The amount of this potential contingent liability as of October 31, 2005 was $3.0 million. None of these other arrangements require any additional material financial involvement by us.</w:t>
      </w:r>
    </w:p>
    <w:p>
      <w:pPr>
        <w:spacing w:after="0" w:line="1" w:lineRule="exact"/>
        <w:rPr>
          <w:sz w:val="20"/>
          <w:szCs w:val="20"/>
          <w:color w:val="auto"/>
        </w:rPr>
      </w:pPr>
    </w:p>
    <w:p>
      <w:pPr>
        <w:jc w:val="both"/>
        <w:ind w:right="80" w:firstLine="180"/>
        <w:spacing w:after="0" w:line="271" w:lineRule="auto"/>
        <w:rPr>
          <w:sz w:val="20"/>
          <w:szCs w:val="20"/>
          <w:color w:val="auto"/>
        </w:rPr>
      </w:pPr>
      <w:r>
        <w:rPr>
          <w:rFonts w:ascii="Arial" w:cs="Arial" w:eastAsia="Arial" w:hAnsi="Arial"/>
          <w:sz w:val="18"/>
          <w:szCs w:val="18"/>
          <w:color w:val="auto"/>
        </w:rPr>
        <w:t>Termination of our end-user financing arrangements, any material change to the terms in the financing arrangements, availability of credit for our customers, or any delay in securing replacement credit sources could have a material impact on our future operating results; however, we do not anticipate those events are likely to occur.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673B6"/>
        </w:rPr>
        <w:t xml:space="preserve">Distributor Financing. </w:t>
      </w:r>
      <w:r>
        <w:rPr>
          <w:rFonts w:ascii="Arial" w:cs="Arial" w:eastAsia="Arial" w:hAnsi="Arial"/>
          <w:sz w:val="18"/>
          <w:szCs w:val="18"/>
          <w:color w:val="000000"/>
        </w:rPr>
        <w:t>From time to time, we enter into long-term loan agreements with some distributors. These transactions are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60"/>
        <w:spacing w:after="0" w:line="270" w:lineRule="auto"/>
        <w:rPr>
          <w:sz w:val="20"/>
          <w:szCs w:val="20"/>
          <w:color w:val="auto"/>
        </w:rPr>
      </w:pPr>
      <w:r>
        <w:rPr>
          <w:rFonts w:ascii="Arial" w:cs="Arial" w:eastAsia="Arial" w:hAnsi="Arial"/>
          <w:sz w:val="18"/>
          <w:szCs w:val="18"/>
          <w:color w:val="auto"/>
        </w:rPr>
        <w:t>used for expansion of the distributors’ businesses, acquisitions, refinancing working capital agreements, or to facilitate ownership changes. As of October 31, 2005 and 2004, we had loaned $9.5 million and $11.8 million, respectively, to several distribution companies, which is included in other current and long-term assets on the consolidated balance sheets. The decrease of $2.3 million was mainly the result of repayments on these loans.</w:t>
      </w:r>
    </w:p>
    <w:p>
      <w:pPr>
        <w:spacing w:after="0" w:line="73"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4673B6"/>
        </w:rPr>
        <w:t xml:space="preserve">Purchase Commitments. </w:t>
      </w:r>
      <w:r>
        <w:rPr>
          <w:rFonts w:ascii="Arial" w:cs="Arial" w:eastAsia="Arial" w:hAnsi="Arial"/>
          <w:sz w:val="18"/>
          <w:szCs w:val="18"/>
          <w:color w:val="000000"/>
        </w:rPr>
        <w:t>We have purchase commitments with some suppliers for materials and supplies as part of the normal course of</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business. There are a limited number of supply contracts that contain penalty provisions for failure to purchase contracted quantities. We do not expect potential payments under these provisions to materially affect our results of operations or financial condition. This conclusion is based upon reasonably likely outcomes assumed by reference to historical experience and current business plans.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673B6"/>
        </w:rPr>
        <w:t xml:space="preserve">Contractual Obligations. </w:t>
      </w:r>
      <w:r>
        <w:rPr>
          <w:rFonts w:ascii="Arial" w:cs="Arial" w:eastAsia="Arial" w:hAnsi="Arial"/>
          <w:sz w:val="18"/>
          <w:szCs w:val="18"/>
          <w:color w:val="000000"/>
        </w:rPr>
        <w:t>The following table summarizes our contractual obligations as of October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157480</wp:posOffset>
            </wp:positionV>
            <wp:extent cx="31902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63" w:lineRule="exact"/>
        <w:rPr>
          <w:sz w:val="20"/>
          <w:szCs w:val="20"/>
          <w:color w:val="auto"/>
        </w:rPr>
      </w:pPr>
    </w:p>
    <w:tbl>
      <w:tblPr>
        <w:tblLayout w:type="fixed"/>
        <w:tblInd w:w="318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277"/>
              <w:spacing w:after="0"/>
              <w:rPr>
                <w:sz w:val="20"/>
                <w:szCs w:val="20"/>
                <w:color w:val="auto"/>
              </w:rPr>
            </w:pPr>
            <w:r>
              <w:rPr>
                <w:rFonts w:ascii="Arial" w:cs="Arial" w:eastAsia="Arial" w:hAnsi="Arial"/>
                <w:sz w:val="13"/>
                <w:szCs w:val="13"/>
                <w:color w:val="auto"/>
              </w:rPr>
              <w:t>Payments Due By Period</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20"/>
                <w:szCs w:val="20"/>
                <w:color w:val="auto"/>
              </w:rPr>
            </w:pPr>
            <w:r>
              <w:rPr>
                <w:rFonts w:ascii="Arial" w:cs="Arial" w:eastAsia="Arial" w:hAnsi="Arial"/>
                <w:sz w:val="13"/>
                <w:szCs w:val="13"/>
                <w:color w:val="auto"/>
              </w:rPr>
              <w:t>(Dollars in thousands)</w:t>
            </w:r>
          </w:p>
        </w:tc>
        <w:tc>
          <w:tcPr>
            <w:tcW w:w="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w w:val="98"/>
              </w:rPr>
              <w:t>Less Than</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9"/>
              </w:rPr>
              <w:t>More than</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340" w:type="dxa"/>
            <w:vAlign w:val="bottom"/>
          </w:tcPr>
          <w:p>
            <w:pPr>
              <w:spacing w:after="0"/>
              <w:rPr>
                <w:sz w:val="20"/>
                <w:szCs w:val="20"/>
                <w:color w:val="auto"/>
              </w:rPr>
            </w:pPr>
            <w:r>
              <w:rPr>
                <w:rFonts w:ascii="Arial" w:cs="Arial" w:eastAsia="Arial" w:hAnsi="Arial"/>
                <w:sz w:val="13"/>
                <w:szCs w:val="13"/>
                <w:color w:val="auto"/>
              </w:rPr>
              <w:t>Contractual Obligation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 Year</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Years</w:t>
            </w: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Years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 Years</w:t>
            </w:r>
          </w:p>
        </w:tc>
        <w:tc>
          <w:tcPr>
            <w:tcW w:w="220" w:type="dxa"/>
            <w:vAlign w:val="bottom"/>
          </w:tcPr>
          <w:p>
            <w:pPr>
              <w:spacing w:after="0"/>
              <w:rPr>
                <w:sz w:val="17"/>
                <w:szCs w:val="17"/>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9"/>
        </w:trPr>
        <w:tc>
          <w:tcPr>
            <w:tcW w:w="13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Long-term debt</w:t>
            </w:r>
          </w:p>
        </w:tc>
        <w:tc>
          <w:tcPr>
            <w:tcW w:w="20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46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75,000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100,000</w:t>
            </w:r>
          </w:p>
        </w:tc>
        <w:tc>
          <w:tcPr>
            <w:tcW w:w="2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175,046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20"/>
                <w:szCs w:val="20"/>
                <w:color w:val="auto"/>
              </w:rPr>
            </w:pPr>
            <w:r>
              <w:rPr>
                <w:rFonts w:ascii="Arial" w:cs="Arial" w:eastAsia="Arial" w:hAnsi="Arial"/>
                <w:sz w:val="13"/>
                <w:szCs w:val="13"/>
                <w:b w:val="1"/>
                <w:bCs w:val="1"/>
                <w:color w:val="auto"/>
              </w:rPr>
              <w:t>Purchase obligations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2,051</w:t>
            </w: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Operating leases</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13,808</w:t>
            </w:r>
          </w:p>
        </w:tc>
        <w:tc>
          <w:tcPr>
            <w:tcW w:w="2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17,762</w:t>
            </w:r>
          </w:p>
        </w:tc>
        <w:tc>
          <w:tcPr>
            <w:tcW w:w="1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3,831</w:t>
            </w: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396</w:t>
            </w:r>
          </w:p>
        </w:tc>
        <w:tc>
          <w:tcPr>
            <w:tcW w:w="2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35,797</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20"/>
                <w:szCs w:val="20"/>
                <w:color w:val="auto"/>
              </w:rPr>
            </w:pPr>
            <w:r>
              <w:rPr>
                <w:rFonts w:ascii="Arial" w:cs="Arial" w:eastAsia="Arial" w:hAnsi="Arial"/>
                <w:sz w:val="13"/>
                <w:szCs w:val="13"/>
                <w:b w:val="1"/>
                <w:bCs w:val="1"/>
                <w:color w:val="auto"/>
              </w:rPr>
              <w:t>Currency contracts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7,869</w:t>
            </w: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7,869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vMerge w:val="continue"/>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23,774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92,762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3,831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100,396</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220,763</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180"/>
        <w:spacing w:after="0" w:line="277" w:lineRule="auto"/>
        <w:rPr>
          <w:sz w:val="20"/>
          <w:szCs w:val="20"/>
          <w:color w:val="auto"/>
        </w:rPr>
      </w:pPr>
      <w:r>
        <w:rPr>
          <w:rFonts w:ascii="Arial" w:cs="Arial" w:eastAsia="Arial" w:hAnsi="Arial"/>
          <w:sz w:val="18"/>
          <w:szCs w:val="18"/>
          <w:color w:val="auto"/>
        </w:rPr>
        <w:t>As of October 31, 2005, we also had $10.1 million in outstanding letters of credit issued during the normal course of business, as required by some vendor contracts.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Market Risk</w:t>
      </w:r>
    </w:p>
    <w:p>
      <w:pPr>
        <w:spacing w:after="0" w:line="40"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Due to the nature and scope of our operations, we are subject to exposures that arise from fluctuations in interest rates, foreign currency exchange rates, and commodity prices. We are also exposed to equity market risk pertaining to the trading price of our stock. Additional information is presented in Item 7A, Quantitative and Qualitative Disclosures about Market Risk, and Note 14 of the notes to the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Inflation</w:t>
      </w:r>
    </w:p>
    <w:p>
      <w:pPr>
        <w:spacing w:after="0" w:line="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subject to the effects of inflation and changing prices. As previously mentioned, we experienced rising prices for steel, steel-based component parts, fuel, petroleum-based resins, and other commodities during fiscal 2005 and 2004 that had a negative impact on our gross margins and net earnings. In fiscal 2006, we expect average prices of steel to moderate; however, we anticipate average prices paid for fuel, petroleum-based resins, and other commodities to increase in fiscal 2006 compared to fiscal 2005. We will attempt to mitigate the impact of these anticipated increases in commodity costs and other inflationary pressures by actively pursuing internal cost reduction efforts, introducing price increases on some products, and vendor negotiations.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Acquisition, Investment in Affiliate, and Divestitures</w:t>
      </w:r>
    </w:p>
    <w:p>
      <w:pPr>
        <w:sectPr>
          <w:pgSz w:w="11900" w:h="16838" w:orient="portrait"/>
          <w:cols w:equalWidth="0" w:num="1">
            <w:col w:w="11420"/>
          </w:cols>
          <w:pgMar w:left="240" w:top="152" w:right="239" w:bottom="0" w:gutter="0" w:footer="0" w:header="0"/>
        </w:sectPr>
      </w:pPr>
    </w:p>
    <w:p>
      <w:pPr>
        <w:spacing w:after="0" w:line="4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fiscal 2005, we completed the acquisition of certain assets and assumed certain liabilities of Hayter. Hayter designs, manufactures, and markets residential and professional turf maintenance equipment primarily for the United Kingdom market, with annual sales of approximately</w:t>
      </w:r>
    </w:p>
    <w:p>
      <w:pPr>
        <w:sectPr>
          <w:pgSz w:w="11900" w:h="16838" w:orient="portrait"/>
          <w:cols w:equalWidth="0" w:num="1">
            <w:col w:w="11420"/>
          </w:cols>
          <w:pgMar w:left="240" w:top="152" w:right="239" w:bottom="0" w:gutter="0" w:footer="0" w:header="0"/>
          <w:type w:val="continuous"/>
        </w:sectPr>
      </w:pPr>
    </w:p>
    <w:bookmarkStart w:id="24" w:name="page25"/>
    <w:bookmarkEnd w:id="24"/>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$50 million.</w:t>
      </w:r>
    </w:p>
    <w:p>
      <w:pPr>
        <w:spacing w:after="0" w:line="23"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In fiscal 2004, we entered into a joint venture agreement with a leading engine manufacturer to source two-cycle snow thrower engines for us and other customers.</w:t>
      </w:r>
    </w:p>
    <w:p>
      <w:pPr>
        <w:ind w:right="520" w:firstLine="180"/>
        <w:spacing w:after="0" w:line="277" w:lineRule="auto"/>
        <w:rPr>
          <w:sz w:val="20"/>
          <w:szCs w:val="20"/>
          <w:color w:val="auto"/>
        </w:rPr>
      </w:pPr>
      <w:r>
        <w:rPr>
          <w:rFonts w:ascii="Arial" w:cs="Arial" w:eastAsia="Arial" w:hAnsi="Arial"/>
          <w:sz w:val="18"/>
          <w:szCs w:val="18"/>
          <w:color w:val="auto"/>
        </w:rPr>
        <w:t>In fiscal 2004, we completed the sale of our southeastern-based U.S. distributorship, which was acquired in fiscal 2003. During the first quarter of fiscal 2005, we also completed the sale of our southwestern-based U.S. distribution company.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Critical Accounting Policies and Estimates</w:t>
      </w:r>
    </w:p>
    <w:p>
      <w:pPr>
        <w:spacing w:after="0" w:line="4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In preparing our consolidated financial statements in conformity with accounting principles generally accepted in the United States of America,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 w:lineRule="exact"/>
        <w:rPr>
          <w:sz w:val="20"/>
          <w:szCs w:val="20"/>
          <w:color w:val="auto"/>
        </w:rPr>
      </w:pPr>
    </w:p>
    <w:p>
      <w:pPr>
        <w:ind w:right="140" w:firstLine="180"/>
        <w:spacing w:after="0" w:line="268" w:lineRule="auto"/>
        <w:rPr>
          <w:sz w:val="20"/>
          <w:szCs w:val="20"/>
          <w:color w:val="auto"/>
        </w:rPr>
      </w:pPr>
      <w:r>
        <w:rPr>
          <w:rFonts w:ascii="Arial" w:cs="Arial" w:eastAsia="Arial" w:hAnsi="Arial"/>
          <w:sz w:val="18"/>
          <w:szCs w:val="18"/>
          <w:color w:val="auto"/>
        </w:rPr>
        <w:t>Our significant accounting policies are described in Note 1 of the notes to the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7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4673B6"/>
        </w:rPr>
        <w:t xml:space="preserve">Warranty Reserve. </w:t>
      </w:r>
      <w:r>
        <w:rPr>
          <w:rFonts w:ascii="Arial" w:cs="Arial" w:eastAsia="Arial" w:hAnsi="Arial"/>
          <w:sz w:val="18"/>
          <w:szCs w:val="18"/>
          <w:color w:val="000000"/>
        </w:rPr>
        <w:t>Warranty coverage on our products ranges from a period of six months to seven years, and covers parts, labor, and other</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expenses for non-maintenance repairs, provided operator abuse, improper use or negligence did not necessitate the repair. At the time of sale, we accrue a warranty reserve by product line for estimated costs in connection with future warranty claims. We also establish reserves for major rework campaigns upon approval. The amount of our warranty reserves is based primarily on the estimated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 As of October 31, 2005, we had $61.4 million accrued related to future estimated warranty claims.</w:t>
      </w:r>
    </w:p>
    <w:p>
      <w:pPr>
        <w:spacing w:after="0" w:line="79"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i w:val="1"/>
          <w:iCs w:val="1"/>
          <w:color w:val="4673B6"/>
        </w:rPr>
        <w:t xml:space="preserve">Accounts and Notes Receivable Valuation. </w:t>
      </w:r>
      <w:r>
        <w:rPr>
          <w:rFonts w:ascii="Arial" w:cs="Arial" w:eastAsia="Arial" w:hAnsi="Arial"/>
          <w:sz w:val="18"/>
          <w:szCs w:val="18"/>
          <w:color w:val="000000"/>
        </w:rPr>
        <w:t>We value accounts and notes receivable, net of an allowance for doubtful accounts. Each</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quarter, we prepare an 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our actual future losses from uncollectible accounts may differ from our estimates. In the event we determined that a smaller or larger uncollectible accounts reserve is appropriate, we would record a credit or charge to selling, general, and administrative expense in the period that we made such a determination. As of October 31, 2005, we had $2.3 million reserved against our accounts and notes receivable.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New Accounting Pronouncements to be Adopted</w:t>
      </w:r>
    </w:p>
    <w:p>
      <w:pPr>
        <w:spacing w:after="0" w:line="2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March 2005, the FASB issued Interpretation No. 47, “Accounting for Conditional Asset Retirement Obligations,” an interpretation of FASB Statement No. 143. FASB Interpretation No. 47 clarifies the timing of liability recognition for legal obligations associated with the retirement of tangible long-lived assets when the timing and/or method of settlement are conditional on a future event. We adopted the provisions of FASB Interpretation No. 47 on November 1, 2005, as required, and the adoption of this Interpretation is not expected to have a material impact to our fiscal 2006 consolidated results of operations or financial condition.</w:t>
      </w:r>
    </w:p>
    <w:p>
      <w:pPr>
        <w:spacing w:after="0" w:line="2" w:lineRule="exact"/>
        <w:rPr>
          <w:sz w:val="20"/>
          <w:szCs w:val="20"/>
          <w:color w:val="auto"/>
        </w:rPr>
      </w:pPr>
    </w:p>
    <w:p>
      <w:pPr>
        <w:ind w:right="140" w:firstLine="180"/>
        <w:spacing w:after="0" w:line="250" w:lineRule="auto"/>
        <w:rPr>
          <w:sz w:val="20"/>
          <w:szCs w:val="20"/>
          <w:color w:val="auto"/>
        </w:rPr>
      </w:pPr>
      <w:r>
        <w:rPr>
          <w:rFonts w:ascii="Arial" w:cs="Arial" w:eastAsia="Arial" w:hAnsi="Arial"/>
          <w:sz w:val="18"/>
          <w:szCs w:val="18"/>
          <w:color w:val="auto"/>
        </w:rPr>
        <w:t>In November 2004, the FASB issued SFAS No. 151, “Inventory Costs,” which amends the guidance in ARB No. 43, Chapter 4, “Inventory Pricing,” to clarify the accounting for abnormal amounts of idle facility expense, freight, handling costs, and wasted material. This Statement requires that those items be recognized as current-period charges regardless of whether they meet the criterion of “so abnormal.” In addition, this Statement requires that the allocation of fixed production overheads to the costs of conversion be based on the normal capacity of the production facilities. We evaluated the provisions of SFAS No. 151 and adopted it on November 1, 2005, as required. The adoption of SFAS No. 151 is not expected to have an impact on our future fiscal year results; however, results between quarterly periods will be impacted due to a change in the timing of recording certain manufacturing costs.</w:t>
      </w:r>
    </w:p>
    <w:p>
      <w:pPr>
        <w:spacing w:after="0" w:line="3" w:lineRule="exact"/>
        <w:rPr>
          <w:sz w:val="20"/>
          <w:szCs w:val="20"/>
          <w:color w:val="auto"/>
        </w:rPr>
      </w:pPr>
    </w:p>
    <w:p>
      <w:pPr>
        <w:ind w:right="580" w:firstLine="180"/>
        <w:spacing w:after="0" w:line="262" w:lineRule="auto"/>
        <w:rPr>
          <w:sz w:val="20"/>
          <w:szCs w:val="20"/>
          <w:color w:val="auto"/>
        </w:rPr>
      </w:pPr>
      <w:r>
        <w:rPr>
          <w:rFonts w:ascii="Arial" w:cs="Arial" w:eastAsia="Arial" w:hAnsi="Arial"/>
          <w:sz w:val="18"/>
          <w:szCs w:val="18"/>
          <w:color w:val="auto"/>
        </w:rPr>
        <w:t>The following table illustrates the estimated impact on net earnings per diluted share by quarter in fiscal 2005 if we had adopted SFAS No. 151 in fiscal 2005:</w:t>
      </w:r>
    </w:p>
    <w:p>
      <w:pPr>
        <w:sectPr>
          <w:pgSz w:w="11900" w:h="16900" w:orient="portrait"/>
          <w:cols w:equalWidth="0" w:num="1">
            <w:col w:w="11420"/>
          </w:cols>
          <w:pgMar w:left="240" w:top="152" w:right="239" w:bottom="0" w:gutter="0" w:footer="0" w:header="0"/>
        </w:sectPr>
      </w:pPr>
    </w:p>
    <w:p>
      <w:pPr>
        <w:spacing w:after="0" w:line="177" w:lineRule="exact"/>
        <w:rPr>
          <w:sz w:val="20"/>
          <w:szCs w:val="20"/>
          <w:color w:val="auto"/>
        </w:rPr>
      </w:pPr>
    </w:p>
    <w:tbl>
      <w:tblPr>
        <w:tblLayout w:type="fixed"/>
        <w:tblInd w:w="3420" w:type="dxa"/>
        <w:tblCellMar>
          <w:top w:w="0" w:type="dxa"/>
          <w:left w:w="0" w:type="dxa"/>
          <w:bottom w:w="0" w:type="dxa"/>
          <w:right w:w="0" w:type="dxa"/>
        </w:tblCellMar>
      </w:tblPr>
      <w:tr>
        <w:trPr>
          <w:trHeight w:val="204"/>
        </w:trPr>
        <w:tc>
          <w:tcPr>
            <w:tcW w:w="232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Increase</w:t>
            </w:r>
          </w:p>
        </w:tc>
        <w:tc>
          <w:tcPr>
            <w:tcW w:w="80" w:type="dxa"/>
            <w:vAlign w:val="bottom"/>
          </w:tcPr>
          <w:p>
            <w:pPr>
              <w:spacing w:after="0"/>
              <w:rPr>
                <w:sz w:val="17"/>
                <w:szCs w:val="17"/>
                <w:color w:val="auto"/>
              </w:rPr>
            </w:pPr>
          </w:p>
        </w:tc>
      </w:tr>
      <w:tr>
        <w:trPr>
          <w:trHeight w:val="188"/>
        </w:trPr>
        <w:tc>
          <w:tcPr>
            <w:tcW w:w="2320" w:type="dxa"/>
            <w:vAlign w:val="bottom"/>
          </w:tcPr>
          <w:p>
            <w:pPr>
              <w:spacing w:after="0"/>
              <w:rPr>
                <w:sz w:val="20"/>
                <w:szCs w:val="20"/>
                <w:color w:val="auto"/>
              </w:rPr>
            </w:pPr>
            <w:r>
              <w:rPr>
                <w:rFonts w:ascii="Arial" w:cs="Arial" w:eastAsia="Arial" w:hAnsi="Arial"/>
                <w:sz w:val="14"/>
                <w:szCs w:val="14"/>
                <w:color w:val="auto"/>
              </w:rPr>
              <w:t>Fiscal quarter</w:t>
            </w:r>
          </w:p>
        </w:tc>
        <w:tc>
          <w:tcPr>
            <w:tcW w:w="2280" w:type="dxa"/>
            <w:vAlign w:val="bottom"/>
            <w:gridSpan w:val="2"/>
          </w:tcPr>
          <w:p>
            <w:pPr>
              <w:jc w:val="right"/>
              <w:ind w:right="100"/>
              <w:spacing w:after="0"/>
              <w:rPr>
                <w:sz w:val="20"/>
                <w:szCs w:val="20"/>
                <w:color w:val="auto"/>
              </w:rPr>
            </w:pPr>
            <w:r>
              <w:rPr>
                <w:rFonts w:ascii="Arial" w:cs="Arial" w:eastAsia="Arial" w:hAnsi="Arial"/>
                <w:sz w:val="14"/>
                <w:szCs w:val="14"/>
                <w:color w:val="auto"/>
              </w:rPr>
              <w:t>(Decrease)</w:t>
            </w:r>
          </w:p>
        </w:tc>
      </w:tr>
      <w:tr>
        <w:trPr>
          <w:trHeight w:val="64"/>
        </w:trPr>
        <w:tc>
          <w:tcPr>
            <w:tcW w:w="2320" w:type="dxa"/>
            <w:vAlign w:val="bottom"/>
            <w:tcBorders>
              <w:top w:val="single" w:sz="8" w:color="auto"/>
            </w:tcBorders>
            <w:shd w:val="clear" w:color="auto" w:fill="CCEEFF"/>
          </w:tcPr>
          <w:p>
            <w:pPr>
              <w:spacing w:after="0"/>
              <w:rPr>
                <w:sz w:val="5"/>
                <w:szCs w:val="5"/>
                <w:color w:val="auto"/>
              </w:rPr>
            </w:pPr>
          </w:p>
        </w:tc>
        <w:tc>
          <w:tcPr>
            <w:tcW w:w="22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bl>
    <w:p>
      <w:pPr>
        <w:sectPr>
          <w:pgSz w:w="11900" w:h="16900" w:orient="portrait"/>
          <w:cols w:equalWidth="0" w:num="1">
            <w:col w:w="11420"/>
          </w:cols>
          <w:pgMar w:left="240" w:top="152" w:right="239" w:bottom="0" w:gutter="0" w:footer="0" w:header="0"/>
          <w:type w:val="continuous"/>
        </w:sectPr>
      </w:pPr>
    </w:p>
    <w:bookmarkStart w:id="25" w:name="page26"/>
    <w:bookmarkEnd w:id="25"/>
    <w:p>
      <w:pPr>
        <w:spacing w:after="0" w:line="1"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$ 0.01</w:t>
            </w:r>
          </w:p>
        </w:tc>
        <w:tc>
          <w:tcPr>
            <w:tcW w:w="80" w:type="dxa"/>
            <w:vAlign w:val="bottom"/>
            <w:shd w:val="clear" w:color="auto" w:fill="CCEEFF"/>
          </w:tcPr>
          <w:p>
            <w:pPr>
              <w:spacing w:after="0"/>
              <w:rPr>
                <w:sz w:val="19"/>
                <w:szCs w:val="19"/>
                <w:color w:val="auto"/>
              </w:rPr>
            </w:pPr>
          </w:p>
        </w:tc>
      </w:tr>
      <w:tr>
        <w:trPr>
          <w:trHeight w:val="189"/>
        </w:trPr>
        <w:tc>
          <w:tcPr>
            <w:tcW w:w="2280" w:type="dxa"/>
            <w:vAlign w:val="bottom"/>
          </w:tcPr>
          <w:p>
            <w:pPr>
              <w:spacing w:after="0"/>
              <w:rPr>
                <w:sz w:val="20"/>
                <w:szCs w:val="20"/>
                <w:color w:val="auto"/>
              </w:rPr>
            </w:pPr>
            <w:r>
              <w:rPr>
                <w:rFonts w:ascii="Arial" w:cs="Arial" w:eastAsia="Arial" w:hAnsi="Arial"/>
                <w:sz w:val="14"/>
                <w:szCs w:val="14"/>
                <w:b w:val="1"/>
                <w:bCs w:val="1"/>
                <w:color w:val="auto"/>
              </w:rPr>
              <w:t>Second</w:t>
            </w:r>
          </w:p>
        </w:tc>
        <w:tc>
          <w:tcPr>
            <w:tcW w:w="2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(0.02)</w:t>
            </w:r>
          </w:p>
        </w:tc>
      </w:tr>
      <w:tr>
        <w:trPr>
          <w:trHeight w:val="189"/>
        </w:trPr>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Third</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(0.01)</w:t>
            </w:r>
          </w:p>
        </w:tc>
      </w:tr>
      <w:tr>
        <w:trPr>
          <w:trHeight w:val="189"/>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Fourth</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0.02</w:t>
            </w:r>
          </w:p>
        </w:tc>
        <w:tc>
          <w:tcPr>
            <w:tcW w:w="80" w:type="dxa"/>
            <w:vAlign w:val="bottom"/>
          </w:tcPr>
          <w:p>
            <w:pPr>
              <w:spacing w:after="0"/>
              <w:rPr>
                <w:sz w:val="16"/>
                <w:szCs w:val="16"/>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7A. QUANTITATIVE AND QUALITATIVE DISCLOSURES ABOUT MARKET RISK</w:t>
      </w:r>
    </w:p>
    <w:p>
      <w:pPr>
        <w:spacing w:after="0" w:line="27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net earnings and cash flows. See further discussions on these market risks below.</w:t>
      </w:r>
    </w:p>
    <w:p>
      <w:pPr>
        <w:spacing w:after="0" w:line="7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4673B6"/>
        </w:rPr>
        <w:t xml:space="preserve">Foreign Currency Exchange Rate Risk. </w:t>
      </w:r>
      <w:r>
        <w:rPr>
          <w:rFonts w:ascii="Arial" w:cs="Arial" w:eastAsia="Arial" w:hAnsi="Arial"/>
          <w:sz w:val="18"/>
          <w:szCs w:val="18"/>
          <w:color w:val="000000"/>
        </w:rPr>
        <w:t>In the normal course of business, we actively manage the exposure of our foreign currency market</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risk by entering into various hedging instruments, authorized under company policies that place controls on these activities, with counterparties that are highly rated financial institutions. Our hedging activities involve the use of a variety of derivative financial instruments. We use derivative instruments only in an attempt to limit underlying exposure from currency fluctuations and to minimize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earnings and cash flow volatility associated with foreign currency exchange rate changes, and not for trading purposes. We are exposed to foreign currency exchange rate risk arising from transactions in the normal course of business, such as sales and loans to wholly owned subsidiaries as well as sales to third party customers, purchases from suppliers, and bank lines of credit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Japanese yen, the Australian dollar, the Canadian dollar, the British pound, and the Mexican peso against the U.S. dollar.</w:t>
      </w:r>
    </w:p>
    <w:p>
      <w:pPr>
        <w:spacing w:after="0" w:line="3" w:lineRule="exact"/>
        <w:rPr>
          <w:sz w:val="20"/>
          <w:szCs w:val="20"/>
          <w:color w:val="auto"/>
        </w:rPr>
      </w:pPr>
    </w:p>
    <w:p>
      <w:pPr>
        <w:ind w:right="20" w:firstLine="180"/>
        <w:spacing w:after="0" w:line="250" w:lineRule="auto"/>
        <w:rPr>
          <w:sz w:val="20"/>
          <w:szCs w:val="20"/>
          <w:color w:val="auto"/>
        </w:rPr>
      </w:pPr>
      <w:r>
        <w:rPr>
          <w:rFonts w:ascii="Arial" w:cs="Arial" w:eastAsia="Arial" w:hAnsi="Arial"/>
          <w:sz w:val="18"/>
          <w:szCs w:val="18"/>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fiscal 2005, 2004, and 2003, the amount of losses treated as a reduction of net sales for contracts to hedge sales were $3.0 million, $7.1 million, and $4.3 million, respectively. The gain treated as a reduction to cost of sales for contracts to hedge inventory purchases was $1.3 million for fiscal 2005, and the loss treated as an increase to cost of sales for contracts to hedge inventory purchases was $0.3 million for fiscal 2003.</w:t>
      </w:r>
    </w:p>
    <w:p>
      <w:pPr>
        <w:spacing w:after="0" w:line="4" w:lineRule="exact"/>
        <w:rPr>
          <w:sz w:val="20"/>
          <w:szCs w:val="20"/>
          <w:color w:val="auto"/>
        </w:rPr>
      </w:pPr>
    </w:p>
    <w:p>
      <w:pPr>
        <w:ind w:right="100" w:firstLine="180"/>
        <w:spacing w:after="0" w:line="253" w:lineRule="auto"/>
        <w:rPr>
          <w:sz w:val="20"/>
          <w:szCs w:val="20"/>
          <w:color w:val="auto"/>
        </w:rPr>
      </w:pPr>
      <w:r>
        <w:rPr>
          <w:rFonts w:ascii="Arial" w:cs="Arial" w:eastAsia="Arial" w:hAnsi="Arial"/>
          <w:sz w:val="18"/>
          <w:szCs w:val="18"/>
          <w:color w:val="auto"/>
        </w:rPr>
        <w:t>The following foreign currency exchange contracts held by us have maturity dates in fiscal 2006. All items are non-trading and stated in U.S. dollars. Some derivative instruments we enter into do not meet the hedging criteria of SFAS No. 133, “Accounting for Derivative Instruments and Hedging Activities;” therefore, changes in fair value are recorded in other income, net. The average contracted rate, notional amount, pre-tax value of derivative instruments in accumulated other comprehensive loss (AOCL), and fair value impact of derivative instruments in other income, net as of October 31, 2005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130810</wp:posOffset>
            </wp:positionV>
            <wp:extent cx="30099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1" w:lineRule="exact"/>
        <w:rPr>
          <w:sz w:val="20"/>
          <w:szCs w:val="20"/>
          <w:color w:val="auto"/>
        </w:rPr>
      </w:pPr>
    </w:p>
    <w:tbl>
      <w:tblPr>
        <w:tblLayout w:type="fixed"/>
        <w:tblInd w:w="3320" w:type="dxa"/>
        <w:tblCellMar>
          <w:top w:w="0" w:type="dxa"/>
          <w:left w:w="0" w:type="dxa"/>
          <w:bottom w:w="0" w:type="dxa"/>
          <w:right w:w="0" w:type="dxa"/>
        </w:tblCellMar>
      </w:tblPr>
      <w:tr>
        <w:trPr>
          <w:trHeight w:val="152"/>
        </w:trPr>
        <w:tc>
          <w:tcPr>
            <w:tcW w:w="1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jc w:val="right"/>
              <w:ind w:right="177"/>
              <w:spacing w:after="0"/>
              <w:rPr>
                <w:sz w:val="20"/>
                <w:szCs w:val="20"/>
                <w:color w:val="auto"/>
              </w:rPr>
            </w:pPr>
            <w:r>
              <w:rPr>
                <w:rFonts w:ascii="Arial" w:cs="Arial" w:eastAsia="Arial" w:hAnsi="Arial"/>
                <w:sz w:val="13"/>
                <w:szCs w:val="13"/>
                <w:color w:val="auto"/>
              </w:rPr>
              <w:t>Value in</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19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Average</w:t>
            </w:r>
          </w:p>
        </w:tc>
        <w:tc>
          <w:tcPr>
            <w:tcW w:w="820" w:type="dxa"/>
            <w:vAlign w:val="bottom"/>
          </w:tcPr>
          <w:p>
            <w:pPr>
              <w:spacing w:after="0"/>
              <w:rPr>
                <w:sz w:val="16"/>
                <w:szCs w:val="16"/>
                <w:color w:val="auto"/>
              </w:rPr>
            </w:pPr>
          </w:p>
        </w:tc>
        <w:tc>
          <w:tcPr>
            <w:tcW w:w="800" w:type="dxa"/>
            <w:vAlign w:val="bottom"/>
          </w:tcPr>
          <w:p>
            <w:pPr>
              <w:jc w:val="right"/>
              <w:ind w:right="177"/>
              <w:spacing w:after="0"/>
              <w:rPr>
                <w:sz w:val="20"/>
                <w:szCs w:val="20"/>
                <w:color w:val="auto"/>
              </w:rPr>
            </w:pPr>
            <w:r>
              <w:rPr>
                <w:rFonts w:ascii="Arial" w:cs="Arial" w:eastAsia="Arial" w:hAnsi="Arial"/>
                <w:sz w:val="13"/>
                <w:szCs w:val="13"/>
                <w:color w:val="auto"/>
              </w:rPr>
              <w:t>AOCL</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Fair</w:t>
            </w:r>
          </w:p>
        </w:tc>
      </w:tr>
      <w:tr>
        <w:trPr>
          <w:trHeight w:val="189"/>
        </w:trPr>
        <w:tc>
          <w:tcPr>
            <w:tcW w:w="1980" w:type="dxa"/>
            <w:vAlign w:val="bottom"/>
          </w:tcPr>
          <w:p>
            <w:pPr>
              <w:spacing w:after="0"/>
              <w:rPr>
                <w:sz w:val="20"/>
                <w:szCs w:val="20"/>
                <w:color w:val="auto"/>
              </w:rPr>
            </w:pPr>
            <w:r>
              <w:rPr>
                <w:rFonts w:ascii="Arial" w:cs="Arial" w:eastAsia="Arial" w:hAnsi="Arial"/>
                <w:sz w:val="13"/>
                <w:szCs w:val="13"/>
                <w:color w:val="auto"/>
              </w:rPr>
              <w:t>Dollars in thousands</w:t>
            </w:r>
          </w:p>
        </w:tc>
        <w:tc>
          <w:tcPr>
            <w:tcW w:w="760" w:type="dxa"/>
            <w:vAlign w:val="bottom"/>
          </w:tcPr>
          <w:p>
            <w:pPr>
              <w:jc w:val="right"/>
              <w:spacing w:after="0"/>
              <w:rPr>
                <w:sz w:val="20"/>
                <w:szCs w:val="20"/>
                <w:color w:val="auto"/>
              </w:rPr>
            </w:pPr>
            <w:r>
              <w:rPr>
                <w:rFonts w:ascii="Arial" w:cs="Arial" w:eastAsia="Arial" w:hAnsi="Arial"/>
                <w:sz w:val="13"/>
                <w:szCs w:val="13"/>
                <w:color w:val="auto"/>
              </w:rPr>
              <w:t>Contracted</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Notional</w:t>
            </w:r>
          </w:p>
        </w:tc>
        <w:tc>
          <w:tcPr>
            <w:tcW w:w="800" w:type="dxa"/>
            <w:vAlign w:val="bottom"/>
          </w:tcPr>
          <w:p>
            <w:pPr>
              <w:jc w:val="right"/>
              <w:ind w:right="177"/>
              <w:spacing w:after="0"/>
              <w:rPr>
                <w:sz w:val="20"/>
                <w:szCs w:val="20"/>
                <w:color w:val="auto"/>
              </w:rPr>
            </w:pPr>
            <w:r>
              <w:rPr>
                <w:rFonts w:ascii="Arial" w:cs="Arial" w:eastAsia="Arial" w:hAnsi="Arial"/>
                <w:sz w:val="13"/>
                <w:szCs w:val="13"/>
                <w:color w:val="auto"/>
              </w:rPr>
              <w:t>Income</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Value</w:t>
            </w:r>
          </w:p>
        </w:tc>
      </w:tr>
      <w:tr>
        <w:trPr>
          <w:trHeight w:val="199"/>
        </w:trPr>
        <w:tc>
          <w:tcPr>
            <w:tcW w:w="1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(except average contracted rate)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Rate</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Amount</w:t>
            </w: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(Loss)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Gain</w:t>
            </w:r>
          </w:p>
        </w:tc>
        <w:tc>
          <w:tcPr>
            <w:tcW w:w="60" w:type="dxa"/>
            <w:vAlign w:val="bottom"/>
            <w:tcBorders>
              <w:bottom w:val="single" w:sz="8" w:color="CCEEFF"/>
            </w:tcBorders>
          </w:tcPr>
          <w:p>
            <w:pPr>
              <w:spacing w:after="0"/>
              <w:rPr>
                <w:sz w:val="17"/>
                <w:szCs w:val="17"/>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Buy U.S. $/Sell Canadian dollar</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0.8278</w:t>
            </w:r>
          </w:p>
        </w:tc>
        <w:tc>
          <w:tcPr>
            <w:tcW w:w="820" w:type="dxa"/>
            <w:vAlign w:val="bottom"/>
            <w:shd w:val="clear" w:color="auto" w:fill="CCEEFF"/>
          </w:tcPr>
          <w:p>
            <w:pPr>
              <w:jc w:val="right"/>
              <w:ind w:right="57"/>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2,897.5</w:t>
            </w:r>
          </w:p>
        </w:tc>
        <w:tc>
          <w:tcPr>
            <w:tcW w:w="800" w:type="dxa"/>
            <w:vAlign w:val="bottom"/>
            <w:shd w:val="clear" w:color="auto" w:fill="CCEEFF"/>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(75.6 </w:t>
            </w:r>
            <w:r>
              <w:rPr>
                <w:rFonts w:ascii="Arial" w:cs="Arial" w:eastAsia="Arial" w:hAnsi="Arial"/>
                <w:sz w:val="25"/>
                <w:szCs w:val="25"/>
                <w:b w:val="1"/>
                <w:bCs w:val="1"/>
                <w:color w:val="auto"/>
                <w:vertAlign w:val="subscript"/>
              </w:rPr>
              <w:t>) $</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r>
      <w:tr>
        <w:trPr>
          <w:trHeight w:val="181"/>
        </w:trPr>
        <w:tc>
          <w:tcPr>
            <w:tcW w:w="1980" w:type="dxa"/>
            <w:vAlign w:val="bottom"/>
          </w:tcPr>
          <w:p>
            <w:pPr>
              <w:spacing w:after="0"/>
              <w:rPr>
                <w:sz w:val="20"/>
                <w:szCs w:val="20"/>
                <w:color w:val="auto"/>
              </w:rPr>
            </w:pPr>
            <w:r>
              <w:rPr>
                <w:rFonts w:ascii="Arial" w:cs="Arial" w:eastAsia="Arial" w:hAnsi="Arial"/>
                <w:sz w:val="13"/>
                <w:szCs w:val="13"/>
                <w:b w:val="1"/>
                <w:bCs w:val="1"/>
                <w:color w:val="auto"/>
                <w:w w:val="99"/>
              </w:rPr>
              <w:t>Buy U.S. $/Sell Australian dollar</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0.7560</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37,169.8</w:t>
            </w:r>
          </w:p>
        </w:tc>
        <w:tc>
          <w:tcPr>
            <w:tcW w:w="800" w:type="dxa"/>
            <w:vAlign w:val="bottom"/>
          </w:tcPr>
          <w:p>
            <w:pPr>
              <w:jc w:val="right"/>
              <w:ind w:right="177"/>
              <w:spacing w:after="0"/>
              <w:rPr>
                <w:sz w:val="20"/>
                <w:szCs w:val="20"/>
                <w:color w:val="auto"/>
              </w:rPr>
            </w:pPr>
            <w:r>
              <w:rPr>
                <w:rFonts w:ascii="Arial" w:cs="Arial" w:eastAsia="Arial" w:hAnsi="Arial"/>
                <w:sz w:val="13"/>
                <w:szCs w:val="13"/>
                <w:b w:val="1"/>
                <w:bCs w:val="1"/>
                <w:color w:val="auto"/>
              </w:rPr>
              <w:t>107.4</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277.3</w:t>
            </w:r>
          </w:p>
        </w:tc>
        <w:tc>
          <w:tcPr>
            <w:tcW w:w="60" w:type="dxa"/>
            <w:vAlign w:val="bottom"/>
          </w:tcPr>
          <w:p>
            <w:pPr>
              <w:spacing w:after="0"/>
              <w:rPr>
                <w:sz w:val="15"/>
                <w:szCs w:val="15"/>
                <w:color w:val="auto"/>
              </w:rPr>
            </w:pPr>
          </w:p>
        </w:tc>
      </w:tr>
      <w:tr>
        <w:trPr>
          <w:trHeight w:val="197"/>
        </w:trPr>
        <w:tc>
          <w:tcPr>
            <w:tcW w:w="1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Buy U.S. $/Sell Euro</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1.2285</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63,164.0</w:t>
            </w:r>
          </w:p>
        </w:tc>
        <w:tc>
          <w:tcPr>
            <w:tcW w:w="800" w:type="dxa"/>
            <w:vAlign w:val="bottom"/>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730.4</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381.3</w:t>
            </w:r>
          </w:p>
        </w:tc>
        <w:tc>
          <w:tcPr>
            <w:tcW w:w="60" w:type="dxa"/>
            <w:vAlign w:val="bottom"/>
            <w:shd w:val="clear" w:color="auto" w:fill="CCEEFF"/>
          </w:tcPr>
          <w:p>
            <w:pPr>
              <w:spacing w:after="0"/>
              <w:rPr>
                <w:sz w:val="17"/>
                <w:szCs w:val="17"/>
                <w:color w:val="auto"/>
              </w:rPr>
            </w:pPr>
          </w:p>
        </w:tc>
      </w:tr>
      <w:tr>
        <w:trPr>
          <w:trHeight w:val="181"/>
        </w:trPr>
        <w:tc>
          <w:tcPr>
            <w:tcW w:w="1980" w:type="dxa"/>
            <w:vAlign w:val="bottom"/>
          </w:tcPr>
          <w:p>
            <w:pPr>
              <w:spacing w:after="0"/>
              <w:rPr>
                <w:sz w:val="20"/>
                <w:szCs w:val="20"/>
                <w:color w:val="auto"/>
              </w:rPr>
            </w:pPr>
            <w:r>
              <w:rPr>
                <w:rFonts w:ascii="Arial" w:cs="Arial" w:eastAsia="Arial" w:hAnsi="Arial"/>
                <w:sz w:val="13"/>
                <w:szCs w:val="13"/>
                <w:b w:val="1"/>
                <w:bCs w:val="1"/>
                <w:color w:val="auto"/>
              </w:rPr>
              <w:t>Buy U.S. $/Sell British pound</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1.7812</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14,427.7</w:t>
            </w:r>
          </w:p>
        </w:tc>
        <w:tc>
          <w:tcPr>
            <w:tcW w:w="80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87.0</w:t>
            </w:r>
          </w:p>
        </w:tc>
        <w:tc>
          <w:tcPr>
            <w:tcW w:w="60" w:type="dxa"/>
            <w:vAlign w:val="bottom"/>
          </w:tcPr>
          <w:p>
            <w:pPr>
              <w:spacing w:after="0"/>
              <w:rPr>
                <w:sz w:val="15"/>
                <w:szCs w:val="15"/>
                <w:color w:val="auto"/>
              </w:rPr>
            </w:pPr>
          </w:p>
        </w:tc>
      </w:tr>
      <w:tr>
        <w:trPr>
          <w:trHeight w:val="191"/>
        </w:trPr>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Buy Mexican peso/ Sell U.S.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11.0563</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7,868.8</w:t>
            </w:r>
          </w:p>
        </w:tc>
        <w:tc>
          <w:tcPr>
            <w:tcW w:w="8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69.1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EEFF"/>
          </w:tcPr>
          <w:p>
            <w:pPr>
              <w:spacing w:after="0"/>
              <w:rPr>
                <w:sz w:val="16"/>
                <w:szCs w:val="16"/>
                <w:color w:val="auto"/>
              </w:rPr>
            </w:pPr>
          </w:p>
        </w:tc>
      </w:tr>
    </w:tbl>
    <w:p>
      <w:pPr>
        <w:spacing w:after="0" w:line="175" w:lineRule="exact"/>
        <w:rPr>
          <w:sz w:val="20"/>
          <w:szCs w:val="20"/>
          <w:color w:val="auto"/>
        </w:rPr>
      </w:pPr>
    </w:p>
    <w:p>
      <w:pPr>
        <w:jc w:val="both"/>
        <w:ind w:right="160" w:firstLine="180"/>
        <w:spacing w:after="0" w:line="271"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74"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b w:val="1"/>
          <w:bCs w:val="1"/>
          <w:i w:val="1"/>
          <w:iCs w:val="1"/>
          <w:color w:val="4673B6"/>
        </w:rPr>
        <w:t xml:space="preserve">Interest Rate Risk. </w:t>
      </w:r>
      <w:r>
        <w:rPr>
          <w:rFonts w:ascii="Arial" w:cs="Arial" w:eastAsia="Arial" w:hAnsi="Arial"/>
          <w:sz w:val="18"/>
          <w:szCs w:val="18"/>
          <w:color w:val="000000"/>
        </w:rPr>
        <w:t>Our market risk on interest rates relates primarily to LIBOR-based short-term debt from commercial banks as well as the</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potential increase in fair value of long-term debt resulting from a potential decrease in interest rates. However, we do not have a cash flow or earnings exposure due to market risks on long-term debt. We currently do not use interest rate swaps to mitigate the impact of fluctuations in interest rates. As of October 31, 2005, our financial liabilities with exposure to changes in interest rates consisted mainly of $0.3 million of short-term debt outstanding. Assuming a hypothetical increase of one percent (100 basis points) in short-term interest rates, with all other variables remaining constant including the average balance of short-term debt outstanding during fiscal 2005, interest expense would have increased $0.6 million in fiscal 2005. Included in long-term debt is $175.0 million of fixed-rate debt that is not subject to variable interest rate fluctuations. As a result, we have no earnings or cash flow exposure due to market risks on our long-term debt obligations. As of October 31, 2005, the estimated fair value of long-term debt with fixed interest rates was $191.5 million compared to its carrying value of $175.0 million. The fair value is estimated by discounting the projected cash flows using the rate that similar amounts of debt could currently be borrowed.</w:t>
      </w:r>
    </w:p>
    <w:p>
      <w:pPr>
        <w:spacing w:after="0" w:line="75"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4673B6"/>
        </w:rPr>
        <w:t xml:space="preserve">Commodity Risk. </w:t>
      </w:r>
      <w:r>
        <w:rPr>
          <w:rFonts w:ascii="Arial" w:cs="Arial" w:eastAsia="Arial" w:hAnsi="Arial"/>
          <w:sz w:val="18"/>
          <w:szCs w:val="18"/>
          <w:color w:val="000000"/>
        </w:rPr>
        <w:t>Some raw materials used in our products are exposed to commodity price changes. We manage some of this risk by using a</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combination of short- and long-term agreements with some vendors. The primary commodity price exposures are with steel, aluminum, fuel, petroleum-based resin, and linerboard. Further information regarding rising prices for steel, fuel, and other commodities is presented in Item 7, section entitled “Inflation.”</w:t>
      </w:r>
    </w:p>
    <w:p>
      <w:pPr>
        <w:spacing w:after="0" w:line="2" w:lineRule="exact"/>
        <w:rPr>
          <w:sz w:val="20"/>
          <w:szCs w:val="20"/>
          <w:color w:val="auto"/>
        </w:rPr>
      </w:pPr>
    </w:p>
    <w:p>
      <w:pPr>
        <w:ind w:right="180" w:firstLine="180"/>
        <w:spacing w:after="0" w:line="270" w:lineRule="auto"/>
        <w:rPr>
          <w:sz w:val="20"/>
          <w:szCs w:val="20"/>
          <w:color w:val="auto"/>
        </w:rPr>
      </w:pPr>
      <w:r>
        <w:rPr>
          <w:rFonts w:ascii="Arial" w:cs="Arial" w:eastAsia="Arial" w:hAnsi="Arial"/>
          <w:sz w:val="18"/>
          <w:szCs w:val="18"/>
          <w:color w:val="auto"/>
        </w:rPr>
        <w:t>We utilize well-defined financial contracts in the normal course of operations as a means to manage certain commodity price risks. The majority of these contracts are fixed-price contracts for future purchases of natural gas, which meet the definition of “normal purchases or normal sales” and therefore, are not considered derivative instruments for accounting purposes. The company’s manufacturing facilities enter into these fixed-price contracts for approximately 70 to 80 percent of their monthly anticipated usage.</w:t>
      </w:r>
    </w:p>
    <w:p>
      <w:pPr>
        <w:sectPr>
          <w:pgSz w:w="11900" w:h="16838" w:orient="portrait"/>
          <w:cols w:equalWidth="0" w:num="1">
            <w:col w:w="11420"/>
          </w:cols>
          <w:pgMar w:left="240" w:top="140" w:right="239" w:bottom="0" w:gutter="0" w:footer="0" w:header="0"/>
        </w:sectPr>
      </w:pPr>
    </w:p>
    <w:bookmarkStart w:id="26" w:name="page27"/>
    <w:bookmarkEnd w:id="26"/>
    <w:p>
      <w:pPr>
        <w:ind w:right="100"/>
        <w:spacing w:after="0" w:line="284" w:lineRule="auto"/>
        <w:rPr>
          <w:sz w:val="20"/>
          <w:szCs w:val="20"/>
          <w:color w:val="auto"/>
        </w:rPr>
      </w:pPr>
      <w:r>
        <w:rPr>
          <w:rFonts w:ascii="Arial" w:cs="Arial" w:eastAsia="Arial" w:hAnsi="Arial"/>
          <w:sz w:val="18"/>
          <w:szCs w:val="18"/>
          <w:b w:val="1"/>
          <w:bCs w:val="1"/>
          <w:i w:val="1"/>
          <w:iCs w:val="1"/>
          <w:color w:val="4673B6"/>
        </w:rPr>
        <w:t xml:space="preserve">Equity Price Risk. </w:t>
      </w:r>
      <w:r>
        <w:rPr>
          <w:rFonts w:ascii="Arial" w:cs="Arial" w:eastAsia="Arial" w:hAnsi="Arial"/>
          <w:sz w:val="18"/>
          <w:szCs w:val="18"/>
          <w:color w:val="000000"/>
        </w:rPr>
        <w:t>The trading price volatility of Toro common stock impacts compensation expense related to our stock-based compensation</w:t>
      </w:r>
      <w:r>
        <w:rPr>
          <w:rFonts w:ascii="Arial" w:cs="Arial" w:eastAsia="Arial" w:hAnsi="Arial"/>
          <w:sz w:val="18"/>
          <w:szCs w:val="18"/>
          <w:b w:val="1"/>
          <w:bCs w:val="1"/>
          <w:i w:val="1"/>
          <w:iCs w:val="1"/>
          <w:color w:val="4673B6"/>
        </w:rPr>
        <w:t xml:space="preserve"> </w:t>
      </w:r>
      <w:r>
        <w:rPr>
          <w:rFonts w:ascii="Arial" w:cs="Arial" w:eastAsia="Arial" w:hAnsi="Arial"/>
          <w:sz w:val="18"/>
          <w:szCs w:val="18"/>
          <w:color w:val="000000"/>
        </w:rPr>
        <w:t>plans. Further information is presented in Note 10 of the notes to the consolidated financial statements regarding our stock-based compensation plans.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Management’s Report on 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Rules 13a-15(f) and 15d-15(f) under the Securities Exchange Act of 1934, as amended, for the Toro Company and its subsidiaries. This system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 w:lineRule="exact"/>
        <w:rPr>
          <w:sz w:val="20"/>
          <w:szCs w:val="20"/>
          <w:color w:val="auto"/>
        </w:rPr>
      </w:pPr>
    </w:p>
    <w:p>
      <w:pPr>
        <w:ind w:right="100" w:firstLine="180"/>
        <w:spacing w:after="0" w:line="266"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 w:lineRule="exact"/>
        <w:rPr>
          <w:sz w:val="20"/>
          <w:szCs w:val="20"/>
          <w:color w:val="auto"/>
        </w:rPr>
      </w:pPr>
    </w:p>
    <w:p>
      <w:pPr>
        <w:ind w:right="180" w:firstLine="180"/>
        <w:spacing w:after="0" w:line="26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 of any evaluation of the effectiveness of internal control over financial reporting to future periods is subject to the risk that controls may become inadequate because of changes in conditions, or that the degree or compliance with the policies or procedures may deteriorate.</w:t>
      </w:r>
    </w:p>
    <w:p>
      <w:pPr>
        <w:spacing w:after="0" w:line="1"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 xml:space="preserve">Management, with the participation of the Company’s Chief Executive Officer and Chief Financial Officer, evaluated the effectiveness of the Company’s internal control over financial reporting as of October 31, 2005. In making this evaluation,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Based on this assessment, management concluded that the Company’s internal control over financial reporting was effective as of October 31, 2005.</w:t>
      </w:r>
    </w:p>
    <w:p>
      <w:pPr>
        <w:spacing w:after="0" w:line="1" w:lineRule="exact"/>
        <w:rPr>
          <w:sz w:val="20"/>
          <w:szCs w:val="20"/>
          <w:color w:val="auto"/>
        </w:rPr>
      </w:pPr>
    </w:p>
    <w:p>
      <w:pPr>
        <w:ind w:right="620" w:firstLine="180"/>
        <w:spacing w:after="0" w:line="266" w:lineRule="auto"/>
        <w:rPr>
          <w:sz w:val="20"/>
          <w:szCs w:val="20"/>
          <w:color w:val="auto"/>
        </w:rPr>
      </w:pPr>
      <w:r>
        <w:rPr>
          <w:rFonts w:ascii="Arial" w:cs="Arial" w:eastAsia="Arial" w:hAnsi="Arial"/>
          <w:sz w:val="18"/>
          <w:szCs w:val="18"/>
          <w:color w:val="auto"/>
        </w:rPr>
        <w:t>The scope of management’s assessment of the effectiveness of internal control over financial reporting did not include Hayter Limited (Hayter), a business acquired on February 8, 2005. Hayter constituted approximately 4.0 percent of the Company’s total assets as of October 31, 2005, and approximately 2.0 percent of the Company’s net sales for the fiscal year ended October 31, 2005.</w:t>
      </w:r>
    </w:p>
    <w:p>
      <w:pPr>
        <w:spacing w:after="0" w:line="1" w:lineRule="exact"/>
        <w:rPr>
          <w:sz w:val="20"/>
          <w:szCs w:val="20"/>
          <w:color w:val="auto"/>
        </w:rPr>
      </w:pPr>
    </w:p>
    <w:p>
      <w:pPr>
        <w:ind w:right="320" w:firstLine="180"/>
        <w:spacing w:after="0" w:line="277" w:lineRule="auto"/>
        <w:rPr>
          <w:sz w:val="20"/>
          <w:szCs w:val="20"/>
          <w:color w:val="auto"/>
        </w:rPr>
      </w:pPr>
      <w:r>
        <w:rPr>
          <w:rFonts w:ascii="Arial" w:cs="Arial" w:eastAsia="Arial" w:hAnsi="Arial"/>
          <w:sz w:val="18"/>
          <w:szCs w:val="18"/>
          <w:color w:val="auto"/>
        </w:rPr>
        <w:t>KPMG LLP, the Company’s independent registered public accounting firm, audited management’s assessment of the effectiveness of the Company’s internal control over financial reporting and, based on that audit, issued the report which is included herein.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994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994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Further discussion of the Company’s internal controls and procedures is included in Item 9A of this report, under the caption “Controls and Procedures.”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Report of Independent Registered Public Accounting Firm on Internal Control over Financial Reporting</w:t>
      </w:r>
    </w:p>
    <w:p>
      <w:pPr>
        <w:sectPr>
          <w:pgSz w:w="11900" w:h="16838" w:orient="portrait"/>
          <w:cols w:equalWidth="0" w:num="1">
            <w:col w:w="11400"/>
          </w:cols>
          <w:pgMar w:left="240" w:top="130" w:right="259" w:bottom="19"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ectPr>
          <w:pgSz w:w="11900" w:h="16838" w:orient="portrait"/>
          <w:cols w:equalWidth="0" w:num="1">
            <w:col w:w="11400"/>
          </w:cols>
          <w:pgMar w:left="240" w:top="130" w:right="259" w:bottom="19" w:gutter="0" w:footer="0" w:header="0"/>
          <w:type w:val="continuous"/>
        </w:sectPr>
      </w:pPr>
    </w:p>
    <w:bookmarkStart w:id="27" w:name="page28"/>
    <w:bookmarkEnd w:id="27"/>
    <w:p>
      <w:pPr>
        <w:ind w:right="100"/>
        <w:spacing w:after="0" w:line="266" w:lineRule="auto"/>
        <w:rPr>
          <w:sz w:val="20"/>
          <w:szCs w:val="20"/>
          <w:color w:val="auto"/>
        </w:rPr>
      </w:pPr>
      <w:r>
        <w:rPr>
          <w:rFonts w:ascii="Arial" w:cs="Arial" w:eastAsia="Arial" w:hAnsi="Arial"/>
          <w:sz w:val="18"/>
          <w:szCs w:val="18"/>
          <w:color w:val="auto"/>
        </w:rPr>
        <w:t xml:space="preserve">We have audited management’s assessment, included in the accompanying Management’s Report on Internal Control over Financial Reporting, that The Toro Company and its subsidiaries (the Company) maintained effective internal control over financial reporting as of October 31, 2005,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COSO criteria). The Toro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 w:lineRule="exact"/>
        <w:rPr>
          <w:sz w:val="20"/>
          <w:szCs w:val="20"/>
          <w:color w:val="auto"/>
        </w:rPr>
      </w:pPr>
    </w:p>
    <w:p>
      <w:pPr>
        <w:ind w:right="180" w:firstLine="180"/>
        <w:spacing w:after="0" w:line="266"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 w:lineRule="exact"/>
        <w:rPr>
          <w:sz w:val="20"/>
          <w:szCs w:val="20"/>
          <w:color w:val="auto"/>
        </w:rPr>
      </w:pPr>
    </w:p>
    <w:p>
      <w:pPr>
        <w:ind w:right="200" w:firstLine="180"/>
        <w:spacing w:after="0" w:line="26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 w:lineRule="exact"/>
        <w:rPr>
          <w:sz w:val="20"/>
          <w:szCs w:val="20"/>
          <w:color w:val="auto"/>
        </w:rPr>
      </w:pPr>
    </w:p>
    <w:p>
      <w:pPr>
        <w:jc w:val="both"/>
        <w:ind w:right="120" w:firstLine="180"/>
        <w:spacing w:after="0" w:line="26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 w:lineRule="exact"/>
        <w:rPr>
          <w:sz w:val="20"/>
          <w:szCs w:val="20"/>
          <w:color w:val="auto"/>
        </w:rPr>
      </w:pPr>
    </w:p>
    <w:p>
      <w:pPr>
        <w:ind w:right="140" w:firstLine="180"/>
        <w:spacing w:after="0" w:line="266" w:lineRule="auto"/>
        <w:rPr>
          <w:sz w:val="20"/>
          <w:szCs w:val="20"/>
          <w:color w:val="auto"/>
        </w:rPr>
      </w:pPr>
      <w:r>
        <w:rPr>
          <w:rFonts w:ascii="Arial" w:cs="Arial" w:eastAsia="Arial" w:hAnsi="Arial"/>
          <w:sz w:val="18"/>
          <w:szCs w:val="18"/>
          <w:color w:val="auto"/>
        </w:rPr>
        <w:t>In our opinion, management’s assessment that The Toro Company and its subsidiaries maintained effective internal control over financial reporting as of October 31, 2005, is fairly stated, in all material respects, based on the COSO criteria. Also, in our opinion, The Toro Company and its subsidiaries maintained, in all material respects, effective internal control over financial reporting as of October 31, 2005, based on the COSO criteria.</w:t>
      </w:r>
    </w:p>
    <w:p>
      <w:pPr>
        <w:spacing w:after="0" w:line="1" w:lineRule="exact"/>
        <w:rPr>
          <w:sz w:val="20"/>
          <w:szCs w:val="20"/>
          <w:color w:val="auto"/>
        </w:rPr>
      </w:pPr>
    </w:p>
    <w:p>
      <w:pPr>
        <w:ind w:right="40" w:firstLine="180"/>
        <w:spacing w:after="0" w:line="266" w:lineRule="auto"/>
        <w:rPr>
          <w:sz w:val="20"/>
          <w:szCs w:val="20"/>
          <w:color w:val="auto"/>
        </w:rPr>
      </w:pPr>
      <w:r>
        <w:rPr>
          <w:rFonts w:ascii="Arial" w:cs="Arial" w:eastAsia="Arial" w:hAnsi="Arial"/>
          <w:sz w:val="18"/>
          <w:szCs w:val="18"/>
          <w:color w:val="auto"/>
        </w:rPr>
        <w:t>The Toro Company acquired Hayter Limited (Hayter) during fiscal 2005, and management excluded from its assessment of the effectiveness of The Toro Company’s internal control over financial reporting as of October 31, 2005, Hayter’s internal control over financial reporting associated with total assets of $36.8 million and total revenues of $34.7 million included in the consolidated financial statements of The Toro Company and subsidiaries as of and for the fiscal year ended October 31, 2005. Our audit of internal control over financial reporting of The Toro Company also excluded an evaluation of the internal control over financial reporting of Hayter.</w:t>
      </w:r>
    </w:p>
    <w:p>
      <w:pPr>
        <w:spacing w:after="0" w:line="1" w:lineRule="exact"/>
        <w:rPr>
          <w:sz w:val="20"/>
          <w:szCs w:val="20"/>
          <w:color w:val="auto"/>
        </w:rPr>
      </w:pPr>
    </w:p>
    <w:p>
      <w:pPr>
        <w:ind w:right="300" w:firstLine="180"/>
        <w:spacing w:after="0" w:line="270"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sheets of The Toro Company and its subsidiaries as of October 31, 2005 and 2004, and the related consolidated statements of earnings, cash flows, and stockholders’ equity for each of the years in the three year period ended October 31, 2005, and our report dated December 22, 2005,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157605"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5760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2005</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have audited the accompanying consolidated balance sheets of The Toro Company and subsidiaries as of October 31, 2005 and 2004, and the related consolidated statements of earnings, cash flows, and stockholders’ equity for each of the years in the three year period ended October 31, 2005. Our audits also included the financial statement schedule listed in Item 15(a) 2. These consolidated financial statements and schedule are the responsibility of the company’s management. Our responsibility is to express an opinion on these consolidated financial statements and schedule based on our audits.</w:t>
      </w:r>
    </w:p>
    <w:p>
      <w:pPr>
        <w:spacing w:after="0" w:line="1" w:lineRule="exact"/>
        <w:rPr>
          <w:sz w:val="20"/>
          <w:szCs w:val="20"/>
          <w:color w:val="auto"/>
        </w:rPr>
      </w:pPr>
    </w:p>
    <w:p>
      <w:pPr>
        <w:ind w:right="540" w:firstLine="180"/>
        <w:spacing w:after="0" w:line="26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Toro Company and subsidiaries as of October 31, 2005 and 2004, and the results of their operations and their cash flows for each of the years in the three year period ended October 31, 2005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1" w:lineRule="exact"/>
        <w:rPr>
          <w:sz w:val="20"/>
          <w:szCs w:val="20"/>
          <w:color w:val="auto"/>
        </w:rPr>
      </w:pPr>
    </w:p>
    <w:p>
      <w:pPr>
        <w:ind w:right="220" w:firstLine="180"/>
        <w:spacing w:after="0" w:line="266" w:lineRule="auto"/>
        <w:rPr>
          <w:sz w:val="20"/>
          <w:szCs w:val="20"/>
          <w:color w:val="auto"/>
        </w:rPr>
      </w:pPr>
      <w:r>
        <w:rPr>
          <w:rFonts w:ascii="Arial" w:cs="Arial" w:eastAsia="Arial" w:hAnsi="Arial"/>
          <w:sz w:val="18"/>
          <w:szCs w:val="18"/>
          <w:color w:val="auto"/>
        </w:rPr>
        <w:t>As discussed in Note 1 to the consolidated financial statements, the company adopted the provisions of Statement of Financial Accounting Standards No. 123 (revised 2004), “Share-Based Payment,” on November 1, 2004.</w:t>
      </w:r>
    </w:p>
    <w:p>
      <w:pPr>
        <w:ind w:right="580" w:firstLine="180"/>
        <w:spacing w:after="0" w:line="308"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effectiveness of The Toro Company’s internal control over financial reporting as of October 31, 2005, based on the criteria established in</w:t>
      </w:r>
    </w:p>
    <w:p>
      <w:pPr>
        <w:sectPr>
          <w:pgSz w:w="11900" w:h="16838" w:orient="portrait"/>
          <w:cols w:equalWidth="0" w:num="1">
            <w:col w:w="11400"/>
          </w:cols>
          <w:pgMar w:left="240" w:top="152" w:right="259" w:bottom="0" w:gutter="0" w:footer="0" w:header="0"/>
        </w:sectPr>
      </w:pPr>
    </w:p>
    <w:bookmarkStart w:id="28" w:name="page29"/>
    <w:bookmarkEnd w:id="28"/>
    <w:p>
      <w:pPr>
        <w:spacing w:after="0" w:line="62"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(COSO),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 dated December 22, 2005, expressed an unqualified opinion on management’s assessment of, and the effective operation of,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157605"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5760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2005</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4673B6"/>
        </w:rPr>
        <w:t>CONSOLIDATED STATEMENTS OF EARNINGS</w:t>
      </w:r>
    </w:p>
    <w:p>
      <w:pPr>
        <w:spacing w:after="0" w:line="344"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6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(Dollars and shares in thousands, except per share data) Fiscal years ended October 31</w:t>
            </w: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2005</w:t>
            </w: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6"/>
                <w:szCs w:val="16"/>
                <w:color w:val="auto"/>
              </w:rPr>
              <w:t>2004</w:t>
            </w: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2003</w:t>
            </w:r>
          </w:p>
        </w:tc>
        <w:tc>
          <w:tcPr>
            <w:tcW w:w="100" w:type="dxa"/>
            <w:vAlign w:val="bottom"/>
            <w:tcBorders>
              <w:bottom w:val="single" w:sz="8" w:color="CCEEFF"/>
            </w:tcBorders>
          </w:tcPr>
          <w:p>
            <w:pPr>
              <w:spacing w:after="0"/>
              <w:rPr>
                <w:sz w:val="17"/>
                <w:szCs w:val="17"/>
                <w:color w:val="auto"/>
              </w:rPr>
            </w:pPr>
          </w:p>
        </w:tc>
      </w:tr>
      <w:tr>
        <w:trPr>
          <w:trHeight w:val="304"/>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1,779,387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1,652,508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1,496,588</w:t>
            </w:r>
          </w:p>
        </w:tc>
        <w:tc>
          <w:tcPr>
            <w:tcW w:w="100" w:type="dxa"/>
            <w:vAlign w:val="bottom"/>
            <w:shd w:val="clear" w:color="auto" w:fill="CCEEFF"/>
          </w:tcPr>
          <w:p>
            <w:pPr>
              <w:spacing w:after="0"/>
              <w:rPr>
                <w:sz w:val="24"/>
                <w:szCs w:val="24"/>
                <w:color w:val="auto"/>
              </w:rPr>
            </w:pPr>
          </w:p>
        </w:tc>
      </w:tr>
      <w:tr>
        <w:trPr>
          <w:trHeight w:val="264"/>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 of sales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1,164,021</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1,059,438</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961,129</w:t>
            </w:r>
          </w:p>
        </w:tc>
        <w:tc>
          <w:tcPr>
            <w:tcW w:w="100" w:type="dxa"/>
            <w:vAlign w:val="bottom"/>
            <w:tcBorders>
              <w:bottom w:val="single" w:sz="8" w:color="CCEEFF"/>
            </w:tcBorders>
          </w:tcPr>
          <w:p>
            <w:pPr>
              <w:spacing w:after="0"/>
              <w:rPr>
                <w:sz w:val="22"/>
                <w:szCs w:val="22"/>
                <w:color w:val="auto"/>
              </w:rPr>
            </w:pPr>
          </w:p>
        </w:tc>
      </w:tr>
      <w:tr>
        <w:trPr>
          <w:trHeight w:val="27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615,366</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593,070</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535,459</w:t>
            </w:r>
          </w:p>
        </w:tc>
        <w:tc>
          <w:tcPr>
            <w:tcW w:w="100" w:type="dxa"/>
            <w:vAlign w:val="bottom"/>
            <w:shd w:val="clear" w:color="auto" w:fill="CCEEFF"/>
          </w:tcPr>
          <w:p>
            <w:pPr>
              <w:spacing w:after="0"/>
              <w:rPr>
                <w:sz w:val="23"/>
                <w:szCs w:val="23"/>
                <w:color w:val="auto"/>
              </w:rPr>
            </w:pPr>
          </w:p>
        </w:tc>
      </w:tr>
      <w:tr>
        <w:trPr>
          <w:trHeight w:val="264"/>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432,640</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427,845</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408,465</w:t>
            </w:r>
          </w:p>
        </w:tc>
        <w:tc>
          <w:tcPr>
            <w:tcW w:w="100" w:type="dxa"/>
            <w:vAlign w:val="bottom"/>
            <w:tcBorders>
              <w:bottom w:val="single" w:sz="8" w:color="CCEEFF"/>
            </w:tcBorders>
          </w:tcPr>
          <w:p>
            <w:pPr>
              <w:spacing w:after="0"/>
              <w:rPr>
                <w:sz w:val="22"/>
                <w:szCs w:val="22"/>
                <w:color w:val="auto"/>
              </w:rPr>
            </w:pPr>
          </w:p>
        </w:tc>
      </w:tr>
      <w:tr>
        <w:trPr>
          <w:trHeight w:val="27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Earnings from operations</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182,726</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165,225</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126,994</w:t>
            </w:r>
          </w:p>
        </w:tc>
        <w:tc>
          <w:tcPr>
            <w:tcW w:w="100" w:type="dxa"/>
            <w:vAlign w:val="bottom"/>
            <w:shd w:val="clear" w:color="auto" w:fill="CCEEFF"/>
          </w:tcPr>
          <w:p>
            <w:pPr>
              <w:spacing w:after="0"/>
              <w:rPr>
                <w:sz w:val="23"/>
                <w:szCs w:val="23"/>
                <w:color w:val="auto"/>
              </w:rPr>
            </w:pPr>
          </w:p>
        </w:tc>
      </w:tr>
      <w:tr>
        <w:trPr>
          <w:trHeight w:val="263"/>
        </w:trPr>
        <w:tc>
          <w:tcPr>
            <w:tcW w:w="63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(17,733)</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(15,523)</w:t>
            </w:r>
          </w:p>
        </w:tc>
        <w:tc>
          <w:tcPr>
            <w:tcW w:w="2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(16,285)</w:t>
            </w:r>
          </w:p>
        </w:tc>
      </w:tr>
      <w:tr>
        <w:trPr>
          <w:trHeight w:val="270"/>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net</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5,279</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3,531</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100" w:type="dxa"/>
            <w:vAlign w:val="bottom"/>
            <w:shd w:val="clear" w:color="auto" w:fill="CCEEFF"/>
          </w:tcPr>
          <w:p>
            <w:pPr>
              <w:spacing w:after="0"/>
              <w:rPr>
                <w:sz w:val="23"/>
                <w:szCs w:val="23"/>
                <w:color w:val="auto"/>
              </w:rPr>
            </w:pPr>
          </w:p>
        </w:tc>
      </w:tr>
      <w:tr>
        <w:trPr>
          <w:trHeight w:val="263"/>
        </w:trPr>
        <w:tc>
          <w:tcPr>
            <w:tcW w:w="6380" w:type="dxa"/>
            <w:vAlign w:val="bottom"/>
          </w:tcPr>
          <w:p>
            <w:pPr>
              <w:ind w:left="180"/>
              <w:spacing w:after="0"/>
              <w:rPr>
                <w:sz w:val="20"/>
                <w:szCs w:val="20"/>
                <w:color w:val="auto"/>
              </w:rPr>
            </w:pPr>
            <w:r>
              <w:rPr>
                <w:rFonts w:ascii="Arial" w:cs="Arial" w:eastAsia="Arial" w:hAnsi="Arial"/>
                <w:sz w:val="18"/>
                <w:szCs w:val="18"/>
                <w:b w:val="1"/>
                <w:bCs w:val="1"/>
                <w:color w:val="auto"/>
              </w:rPr>
              <w:t>Earnings before income taxes</w:t>
            </w:r>
          </w:p>
        </w:tc>
        <w:tc>
          <w:tcPr>
            <w:tcW w:w="180" w:type="dxa"/>
            <w:vAlign w:val="bottom"/>
          </w:tcPr>
          <w:p>
            <w:pPr>
              <w:spacing w:after="0"/>
              <w:rPr>
                <w:sz w:val="22"/>
                <w:szCs w:val="22"/>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b w:val="1"/>
                <w:bCs w:val="1"/>
                <w:color w:val="auto"/>
              </w:rPr>
              <w:t>170,272</w:t>
            </w:r>
          </w:p>
        </w:tc>
        <w:tc>
          <w:tcPr>
            <w:tcW w:w="200" w:type="dxa"/>
            <w:vAlign w:val="bottom"/>
          </w:tcPr>
          <w:p>
            <w:pPr>
              <w:spacing w:after="0"/>
              <w:rPr>
                <w:sz w:val="22"/>
                <w:szCs w:val="22"/>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153,233</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120,918</w:t>
            </w:r>
          </w:p>
        </w:tc>
        <w:tc>
          <w:tcPr>
            <w:tcW w:w="100" w:type="dxa"/>
            <w:vAlign w:val="bottom"/>
          </w:tcPr>
          <w:p>
            <w:pPr>
              <w:spacing w:after="0"/>
              <w:rPr>
                <w:sz w:val="22"/>
                <w:szCs w:val="22"/>
                <w:color w:val="auto"/>
              </w:rPr>
            </w:pPr>
          </w:p>
        </w:tc>
      </w:tr>
      <w:tr>
        <w:trPr>
          <w:trHeight w:val="270"/>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56,190</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50,567</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39,298</w:t>
            </w:r>
          </w:p>
        </w:tc>
        <w:tc>
          <w:tcPr>
            <w:tcW w:w="100" w:type="dxa"/>
            <w:vAlign w:val="bottom"/>
            <w:shd w:val="clear" w:color="auto" w:fill="CCEEFF"/>
          </w:tcPr>
          <w:p>
            <w:pPr>
              <w:spacing w:after="0"/>
              <w:rPr>
                <w:sz w:val="23"/>
                <w:szCs w:val="23"/>
                <w:color w:val="auto"/>
              </w:rPr>
            </w:pPr>
          </w:p>
        </w:tc>
      </w:tr>
      <w:tr>
        <w:trPr>
          <w:trHeight w:val="304"/>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earnings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114,082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102,666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81,620</w:t>
            </w:r>
          </w:p>
        </w:tc>
        <w:tc>
          <w:tcPr>
            <w:tcW w:w="100" w:type="dxa"/>
            <w:vAlign w:val="bottom"/>
            <w:tcBorders>
              <w:bottom w:val="single" w:sz="8" w:color="CCEEFF"/>
            </w:tcBorders>
          </w:tcPr>
          <w:p>
            <w:pPr>
              <w:spacing w:after="0"/>
              <w:rPr>
                <w:sz w:val="24"/>
                <w:szCs w:val="24"/>
                <w:color w:val="auto"/>
              </w:rPr>
            </w:pPr>
          </w:p>
        </w:tc>
      </w:tr>
      <w:tr>
        <w:trPr>
          <w:trHeight w:val="304"/>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Basic net earnings per share of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4"/>
                <w:szCs w:val="24"/>
                <w:color w:val="auto"/>
              </w:rPr>
            </w:pPr>
          </w:p>
        </w:tc>
      </w:tr>
      <w:tr>
        <w:trPr>
          <w:trHeight w:val="304"/>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net earnings per share of common stock</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24"/>
                <w:szCs w:val="24"/>
                <w:color w:val="auto"/>
              </w:rPr>
            </w:pPr>
          </w:p>
        </w:tc>
      </w:tr>
      <w:tr>
        <w:trPr>
          <w:trHeight w:val="247"/>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of common stock outstanding –</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2"/>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44,714</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48,728</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49,997</w:t>
            </w:r>
          </w:p>
        </w:tc>
        <w:tc>
          <w:tcPr>
            <w:tcW w:w="100" w:type="dxa"/>
            <w:vAlign w:val="bottom"/>
            <w:shd w:val="clear" w:color="auto" w:fill="CCEEFF"/>
          </w:tcPr>
          <w:p>
            <w:pPr>
              <w:spacing w:after="0"/>
              <w:rPr>
                <w:sz w:val="21"/>
                <w:szCs w:val="21"/>
                <w:color w:val="auto"/>
              </w:rPr>
            </w:pPr>
          </w:p>
        </w:tc>
      </w:tr>
      <w:tr>
        <w:trPr>
          <w:trHeight w:val="247"/>
        </w:trPr>
        <w:tc>
          <w:tcPr>
            <w:tcW w:w="638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 of common stock outstanding –</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63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Dilutive</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46,539</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50,766</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52,298</w:t>
            </w:r>
          </w:p>
        </w:tc>
        <w:tc>
          <w:tcPr>
            <w:tcW w:w="100" w:type="dxa"/>
            <w:vAlign w:val="bottom"/>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4673B6"/>
        </w:rPr>
        <w:t>CONSOLIDATED BALANCE SHEETS</w:t>
      </w:r>
    </w:p>
    <w:p>
      <w:pPr>
        <w:spacing w:after="0" w:line="331"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6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(Dollars in thousands, except per share data) October 31</w:t>
            </w:r>
          </w:p>
        </w:tc>
        <w:tc>
          <w:tcPr>
            <w:tcW w:w="7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2005</w:t>
            </w:r>
          </w:p>
        </w:tc>
        <w:tc>
          <w:tcPr>
            <w:tcW w:w="2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2004</w:t>
            </w:r>
          </w:p>
        </w:tc>
        <w:tc>
          <w:tcPr>
            <w:tcW w:w="100" w:type="dxa"/>
            <w:vAlign w:val="bottom"/>
            <w:tcBorders>
              <w:bottom w:val="single" w:sz="8" w:color="CCEEFF"/>
            </w:tcBorders>
          </w:tcPr>
          <w:p>
            <w:pPr>
              <w:spacing w:after="0"/>
              <w:rPr>
                <w:sz w:val="17"/>
                <w:szCs w:val="17"/>
                <w:color w:val="auto"/>
              </w:rPr>
            </w:pPr>
          </w:p>
        </w:tc>
      </w:tr>
      <w:tr>
        <w:trPr>
          <w:trHeight w:val="237"/>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b w:val="1"/>
                <w:bCs w:val="1"/>
                <w:color w:val="auto"/>
              </w:rPr>
              <w:t>Cash and cash equivalents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b w:val="1"/>
                <w:bCs w:val="1"/>
                <w:color w:val="auto"/>
              </w:rPr>
              <w:t>41,402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90,756</w:t>
            </w:r>
          </w:p>
        </w:tc>
        <w:tc>
          <w:tcPr>
            <w:tcW w:w="100" w:type="dxa"/>
            <w:vAlign w:val="bottom"/>
          </w:tcPr>
          <w:p>
            <w:pPr>
              <w:spacing w:after="0"/>
              <w:rPr>
                <w:sz w:val="21"/>
                <w:szCs w:val="21"/>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Receivables, net:</w:t>
            </w:r>
          </w:p>
        </w:tc>
        <w:tc>
          <w:tcPr>
            <w:tcW w:w="7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0"/>
        </w:trPr>
        <w:tc>
          <w:tcPr>
            <w:tcW w:w="6980" w:type="dxa"/>
            <w:vAlign w:val="bottom"/>
          </w:tcPr>
          <w:p>
            <w:pPr>
              <w:ind w:left="360"/>
              <w:spacing w:after="0"/>
              <w:rPr>
                <w:sz w:val="20"/>
                <w:szCs w:val="20"/>
                <w:color w:val="auto"/>
              </w:rPr>
            </w:pPr>
            <w:r>
              <w:rPr>
                <w:rFonts w:ascii="Arial" w:cs="Arial" w:eastAsia="Arial" w:hAnsi="Arial"/>
                <w:sz w:val="18"/>
                <w:szCs w:val="18"/>
                <w:b w:val="1"/>
                <w:bCs w:val="1"/>
                <w:color w:val="auto"/>
              </w:rPr>
              <w:t>Customers (net of $1,849 and $2,195 as of October 31, 2005 and 2004,</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6980" w:type="dxa"/>
            <w:vAlign w:val="bottom"/>
          </w:tcPr>
          <w:p>
            <w:pPr>
              <w:ind w:left="540"/>
              <w:spacing w:after="0"/>
              <w:rPr>
                <w:sz w:val="20"/>
                <w:szCs w:val="20"/>
                <w:color w:val="auto"/>
              </w:rPr>
            </w:pPr>
            <w:r>
              <w:rPr>
                <w:rFonts w:ascii="Arial" w:cs="Arial" w:eastAsia="Arial" w:hAnsi="Arial"/>
                <w:sz w:val="18"/>
                <w:szCs w:val="18"/>
                <w:b w:val="1"/>
                <w:bCs w:val="1"/>
                <w:color w:val="auto"/>
              </w:rPr>
              <w:t>respectively, for allowance for doubtful accounts)</w:t>
            </w:r>
          </w:p>
        </w:tc>
        <w:tc>
          <w:tcPr>
            <w:tcW w:w="78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rPr>
              <w:t>288,599</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275,810</w:t>
            </w:r>
          </w:p>
        </w:tc>
        <w:tc>
          <w:tcPr>
            <w:tcW w:w="100" w:type="dxa"/>
            <w:vAlign w:val="bottom"/>
          </w:tcPr>
          <w:p>
            <w:pPr>
              <w:spacing w:after="0"/>
              <w:rPr>
                <w:sz w:val="19"/>
                <w:szCs w:val="19"/>
                <w:color w:val="auto"/>
              </w:rPr>
            </w:pPr>
          </w:p>
        </w:tc>
      </w:tr>
      <w:tr>
        <w:trPr>
          <w:trHeight w:val="243"/>
        </w:trPr>
        <w:tc>
          <w:tcPr>
            <w:tcW w:w="69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Other</w:t>
            </w:r>
          </w:p>
        </w:tc>
        <w:tc>
          <w:tcPr>
            <w:tcW w:w="7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7,084</w:t>
            </w: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100" w:type="dxa"/>
            <w:vAlign w:val="bottom"/>
            <w:shd w:val="clear" w:color="auto" w:fill="CCEEFF"/>
          </w:tcPr>
          <w:p>
            <w:pPr>
              <w:spacing w:after="0"/>
              <w:rPr>
                <w:sz w:val="21"/>
                <w:szCs w:val="21"/>
                <w:color w:val="auto"/>
              </w:rPr>
            </w:pPr>
          </w:p>
        </w:tc>
      </w:tr>
      <w:tr>
        <w:trPr>
          <w:trHeight w:val="237"/>
        </w:trPr>
        <w:tc>
          <w:tcPr>
            <w:tcW w:w="69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 receivables, net</w:t>
            </w:r>
          </w:p>
        </w:tc>
        <w:tc>
          <w:tcPr>
            <w:tcW w:w="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295,683</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280,577</w:t>
            </w:r>
          </w:p>
        </w:tc>
        <w:tc>
          <w:tcPr>
            <w:tcW w:w="100" w:type="dxa"/>
            <w:vAlign w:val="bottom"/>
            <w:tcBorders>
              <w:bottom w:val="single" w:sz="8" w:color="CCEEFF"/>
            </w:tcBorders>
          </w:tcPr>
          <w:p>
            <w:pPr>
              <w:spacing w:after="0"/>
              <w:rPr>
                <w:sz w:val="20"/>
                <w:szCs w:val="20"/>
                <w:color w:val="auto"/>
              </w:rPr>
            </w:pPr>
          </w:p>
        </w:tc>
      </w:tr>
      <w:tr>
        <w:trPr>
          <w:trHeight w:val="237"/>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Inventories, net</w:t>
            </w:r>
          </w:p>
        </w:tc>
        <w:tc>
          <w:tcPr>
            <w:tcW w:w="7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235,347</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227,200</w:t>
            </w:r>
          </w:p>
        </w:tc>
        <w:tc>
          <w:tcPr>
            <w:tcW w:w="100" w:type="dxa"/>
            <w:vAlign w:val="bottom"/>
            <w:shd w:val="clear" w:color="auto" w:fill="CCEEFF"/>
          </w:tcPr>
          <w:p>
            <w:pPr>
              <w:spacing w:after="0"/>
              <w:rPr>
                <w:sz w:val="20"/>
                <w:szCs w:val="20"/>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b w:val="1"/>
                <w:bCs w:val="1"/>
                <w:color w:val="auto"/>
              </w:rPr>
              <w:t>Prepaid expenses and other current assets</w:t>
            </w:r>
          </w:p>
        </w:tc>
        <w:tc>
          <w:tcPr>
            <w:tcW w:w="7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rPr>
              <w:t>16,084</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16,931</w:t>
            </w:r>
          </w:p>
        </w:tc>
        <w:tc>
          <w:tcPr>
            <w:tcW w:w="100" w:type="dxa"/>
            <w:vAlign w:val="bottom"/>
          </w:tcPr>
          <w:p>
            <w:pPr>
              <w:spacing w:after="0"/>
              <w:rPr>
                <w:sz w:val="21"/>
                <w:szCs w:val="21"/>
                <w:color w:val="auto"/>
              </w:rPr>
            </w:pPr>
          </w:p>
        </w:tc>
      </w:tr>
      <w:tr>
        <w:trPr>
          <w:trHeight w:val="243"/>
        </w:trPr>
        <w:tc>
          <w:tcPr>
            <w:tcW w:w="6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Deferred income taxes</w:t>
            </w:r>
          </w:p>
        </w:tc>
        <w:tc>
          <w:tcPr>
            <w:tcW w:w="7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58,558</w:t>
            </w: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53,064</w:t>
            </w:r>
          </w:p>
        </w:tc>
        <w:tc>
          <w:tcPr>
            <w:tcW w:w="100" w:type="dxa"/>
            <w:vAlign w:val="bottom"/>
            <w:shd w:val="clear" w:color="auto" w:fill="CCEEFF"/>
          </w:tcPr>
          <w:p>
            <w:pPr>
              <w:spacing w:after="0"/>
              <w:rPr>
                <w:sz w:val="21"/>
                <w:szCs w:val="21"/>
                <w:color w:val="auto"/>
              </w:rPr>
            </w:pPr>
          </w:p>
        </w:tc>
      </w:tr>
      <w:tr>
        <w:trPr>
          <w:trHeight w:val="237"/>
        </w:trPr>
        <w:tc>
          <w:tcPr>
            <w:tcW w:w="69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 current assets</w:t>
            </w:r>
          </w:p>
        </w:tc>
        <w:tc>
          <w:tcPr>
            <w:tcW w:w="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647,074</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668,528</w:t>
            </w:r>
          </w:p>
        </w:tc>
        <w:tc>
          <w:tcPr>
            <w:tcW w:w="100" w:type="dxa"/>
            <w:vAlign w:val="bottom"/>
            <w:tcBorders>
              <w:bottom w:val="single" w:sz="8" w:color="CCEEFF"/>
            </w:tcBorders>
          </w:tcPr>
          <w:p>
            <w:pPr>
              <w:spacing w:after="0"/>
              <w:rPr>
                <w:sz w:val="20"/>
                <w:szCs w:val="20"/>
                <w:color w:val="auto"/>
              </w:rPr>
            </w:pPr>
          </w:p>
        </w:tc>
      </w:tr>
      <w:tr>
        <w:trPr>
          <w:trHeight w:val="237"/>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Property, plant, and equipment, net</w:t>
            </w:r>
          </w:p>
        </w:tc>
        <w:tc>
          <w:tcPr>
            <w:tcW w:w="7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167,277</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164,665</w:t>
            </w:r>
          </w:p>
        </w:tc>
        <w:tc>
          <w:tcPr>
            <w:tcW w:w="100" w:type="dxa"/>
            <w:vAlign w:val="bottom"/>
            <w:shd w:val="clear" w:color="auto" w:fill="CCEEFF"/>
          </w:tcPr>
          <w:p>
            <w:pPr>
              <w:spacing w:after="0"/>
              <w:rPr>
                <w:sz w:val="20"/>
                <w:szCs w:val="20"/>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b w:val="1"/>
                <w:bCs w:val="1"/>
                <w:color w:val="auto"/>
              </w:rPr>
              <w:t>Other assets</w:t>
            </w:r>
          </w:p>
        </w:tc>
        <w:tc>
          <w:tcPr>
            <w:tcW w:w="7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rPr>
              <w:t>15,737</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18,652</w:t>
            </w:r>
          </w:p>
        </w:tc>
        <w:tc>
          <w:tcPr>
            <w:tcW w:w="100" w:type="dxa"/>
            <w:vAlign w:val="bottom"/>
          </w:tcPr>
          <w:p>
            <w:pPr>
              <w:spacing w:after="0"/>
              <w:rPr>
                <w:sz w:val="21"/>
                <w:szCs w:val="21"/>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Goodwill</w:t>
            </w:r>
          </w:p>
        </w:tc>
        <w:tc>
          <w:tcPr>
            <w:tcW w:w="7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81,197</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78,055</w:t>
            </w:r>
          </w:p>
        </w:tc>
        <w:tc>
          <w:tcPr>
            <w:tcW w:w="100" w:type="dxa"/>
            <w:vAlign w:val="bottom"/>
            <w:shd w:val="clear" w:color="auto" w:fill="CCEEFF"/>
          </w:tcPr>
          <w:p>
            <w:pPr>
              <w:spacing w:after="0"/>
              <w:rPr>
                <w:sz w:val="21"/>
                <w:szCs w:val="21"/>
                <w:color w:val="auto"/>
              </w:rPr>
            </w:pPr>
          </w:p>
        </w:tc>
      </w:tr>
      <w:tr>
        <w:trPr>
          <w:trHeight w:val="243"/>
        </w:trPr>
        <w:tc>
          <w:tcPr>
            <w:tcW w:w="6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Other intangible assets, net</w:t>
            </w:r>
          </w:p>
        </w:tc>
        <w:tc>
          <w:tcPr>
            <w:tcW w:w="7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5,452</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tcPr>
          <w:p>
            <w:pPr>
              <w:spacing w:after="0"/>
              <w:rPr>
                <w:sz w:val="21"/>
                <w:szCs w:val="21"/>
                <w:color w:val="auto"/>
              </w:rPr>
            </w:pPr>
          </w:p>
        </w:tc>
      </w:tr>
      <w:tr>
        <w:trPr>
          <w:trHeight w:val="237"/>
        </w:trPr>
        <w:tc>
          <w:tcPr>
            <w:tcW w:w="69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8"/>
              </w:rPr>
              <w:t>916,737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932,100</w:t>
            </w:r>
          </w:p>
        </w:tc>
        <w:tc>
          <w:tcPr>
            <w:tcW w:w="100" w:type="dxa"/>
            <w:vAlign w:val="bottom"/>
            <w:shd w:val="clear" w:color="auto" w:fill="CCEEFF"/>
          </w:tcPr>
          <w:p>
            <w:pPr>
              <w:spacing w:after="0"/>
              <w:rPr>
                <w:sz w:val="20"/>
                <w:szCs w:val="20"/>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portion of long-term debt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b w:val="1"/>
                <w:bCs w:val="1"/>
                <w:color w:val="auto"/>
              </w:rPr>
              <w:t>Short-term debt</w:t>
            </w:r>
          </w:p>
        </w:tc>
        <w:tc>
          <w:tcPr>
            <w:tcW w:w="7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rPr>
              <w:t>325</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Accounts payable</w:t>
            </w:r>
          </w:p>
        </w:tc>
        <w:tc>
          <w:tcPr>
            <w:tcW w:w="7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87,952</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87,147</w:t>
            </w:r>
          </w:p>
        </w:tc>
        <w:tc>
          <w:tcPr>
            <w:tcW w:w="100" w:type="dxa"/>
            <w:vAlign w:val="bottom"/>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b w:val="1"/>
                <w:bCs w:val="1"/>
                <w:color w:val="auto"/>
              </w:rPr>
              <w:t>Accrued liabilities:</w:t>
            </w: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8"/>
        </w:trPr>
        <w:tc>
          <w:tcPr>
            <w:tcW w:w="69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340"/>
          </w:cols>
          <w:pgMar w:left="240" w:top="134" w:right="319" w:bottom="0" w:gutter="0" w:footer="0" w:header="0"/>
        </w:sectPr>
      </w:pPr>
    </w:p>
    <w:bookmarkStart w:id="29" w:name="page30"/>
    <w:bookmarkEnd w:id="29"/>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Warranty</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61,385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60,988</w:t>
            </w:r>
          </w:p>
        </w:tc>
        <w:tc>
          <w:tcPr>
            <w:tcW w:w="100" w:type="dxa"/>
            <w:vAlign w:val="bottom"/>
            <w:shd w:val="clear" w:color="auto" w:fill="CCEEFF"/>
          </w:tcPr>
          <w:p>
            <w:pPr>
              <w:spacing w:after="0"/>
              <w:rPr>
                <w:sz w:val="17"/>
                <w:szCs w:val="17"/>
                <w:color w:val="auto"/>
              </w:rPr>
            </w:pPr>
          </w:p>
        </w:tc>
      </w:tr>
      <w:tr>
        <w:trPr>
          <w:trHeight w:val="243"/>
        </w:trPr>
        <w:tc>
          <w:tcPr>
            <w:tcW w:w="7480" w:type="dxa"/>
            <w:vAlign w:val="bottom"/>
          </w:tcPr>
          <w:p>
            <w:pPr>
              <w:ind w:left="360"/>
              <w:spacing w:after="0"/>
              <w:rPr>
                <w:sz w:val="20"/>
                <w:szCs w:val="20"/>
                <w:color w:val="auto"/>
              </w:rPr>
            </w:pPr>
            <w:r>
              <w:rPr>
                <w:rFonts w:ascii="Arial" w:cs="Arial" w:eastAsia="Arial" w:hAnsi="Arial"/>
                <w:sz w:val="18"/>
                <w:szCs w:val="18"/>
                <w:b w:val="1"/>
                <w:bCs w:val="1"/>
                <w:color w:val="auto"/>
              </w:rPr>
              <w:t>Advertising and marketing programs</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48,367</w:t>
            </w:r>
          </w:p>
        </w:tc>
        <w:tc>
          <w:tcPr>
            <w:tcW w:w="900" w:type="dxa"/>
            <w:vAlign w:val="bottom"/>
          </w:tcPr>
          <w:p>
            <w:pPr>
              <w:jc w:val="right"/>
              <w:spacing w:after="0"/>
              <w:rPr>
                <w:sz w:val="20"/>
                <w:szCs w:val="20"/>
                <w:color w:val="auto"/>
              </w:rPr>
            </w:pPr>
            <w:r>
              <w:rPr>
                <w:rFonts w:ascii="Arial" w:cs="Arial" w:eastAsia="Arial" w:hAnsi="Arial"/>
                <w:sz w:val="18"/>
                <w:szCs w:val="18"/>
                <w:color w:val="auto"/>
              </w:rPr>
              <w:t>41,973</w:t>
            </w:r>
          </w:p>
        </w:tc>
        <w:tc>
          <w:tcPr>
            <w:tcW w:w="100" w:type="dxa"/>
            <w:vAlign w:val="bottom"/>
          </w:tcPr>
          <w:p>
            <w:pPr>
              <w:spacing w:after="0"/>
              <w:rPr>
                <w:sz w:val="21"/>
                <w:szCs w:val="21"/>
                <w:color w:val="auto"/>
              </w:rPr>
            </w:pPr>
          </w:p>
        </w:tc>
      </w:tr>
      <w:tr>
        <w:trPr>
          <w:trHeight w:val="243"/>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Compensation and benefit costs</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80,798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75,101</w:t>
            </w:r>
          </w:p>
        </w:tc>
        <w:tc>
          <w:tcPr>
            <w:tcW w:w="100" w:type="dxa"/>
            <w:vAlign w:val="bottom"/>
            <w:shd w:val="clear" w:color="auto" w:fill="CCEEFF"/>
          </w:tcPr>
          <w:p>
            <w:pPr>
              <w:spacing w:after="0"/>
              <w:rPr>
                <w:sz w:val="21"/>
                <w:szCs w:val="21"/>
                <w:color w:val="auto"/>
              </w:rPr>
            </w:pPr>
          </w:p>
        </w:tc>
      </w:tr>
      <w:tr>
        <w:trPr>
          <w:trHeight w:val="243"/>
        </w:trPr>
        <w:tc>
          <w:tcPr>
            <w:tcW w:w="7480" w:type="dxa"/>
            <w:vAlign w:val="bottom"/>
          </w:tcPr>
          <w:p>
            <w:pPr>
              <w:ind w:left="360"/>
              <w:spacing w:after="0"/>
              <w:rPr>
                <w:sz w:val="20"/>
                <w:szCs w:val="20"/>
                <w:color w:val="auto"/>
              </w:rPr>
            </w:pPr>
            <w:r>
              <w:rPr>
                <w:rFonts w:ascii="Arial" w:cs="Arial" w:eastAsia="Arial" w:hAnsi="Arial"/>
                <w:sz w:val="18"/>
                <w:szCs w:val="18"/>
                <w:b w:val="1"/>
                <w:bCs w:val="1"/>
                <w:color w:val="auto"/>
              </w:rPr>
              <w:t>Income taxes</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14,462</w:t>
            </w:r>
          </w:p>
        </w:tc>
        <w:tc>
          <w:tcPr>
            <w:tcW w:w="900" w:type="dxa"/>
            <w:vAlign w:val="bottom"/>
          </w:tcPr>
          <w:p>
            <w:pPr>
              <w:jc w:val="right"/>
              <w:spacing w:after="0"/>
              <w:rPr>
                <w:sz w:val="20"/>
                <w:szCs w:val="20"/>
                <w:color w:val="auto"/>
              </w:rPr>
            </w:pPr>
            <w:r>
              <w:rPr>
                <w:rFonts w:ascii="Arial" w:cs="Arial" w:eastAsia="Arial" w:hAnsi="Arial"/>
                <w:sz w:val="18"/>
                <w:szCs w:val="18"/>
                <w:color w:val="auto"/>
              </w:rPr>
              <w:t>8,512</w:t>
            </w:r>
          </w:p>
        </w:tc>
        <w:tc>
          <w:tcPr>
            <w:tcW w:w="100" w:type="dxa"/>
            <w:vAlign w:val="bottom"/>
          </w:tcPr>
          <w:p>
            <w:pPr>
              <w:spacing w:after="0"/>
              <w:rPr>
                <w:sz w:val="21"/>
                <w:szCs w:val="21"/>
                <w:color w:val="auto"/>
              </w:rPr>
            </w:pPr>
          </w:p>
        </w:tc>
      </w:tr>
      <w:tr>
        <w:trPr>
          <w:trHeight w:val="243"/>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Other</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47,867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49,217</w:t>
            </w:r>
          </w:p>
        </w:tc>
        <w:tc>
          <w:tcPr>
            <w:tcW w:w="100" w:type="dxa"/>
            <w:vAlign w:val="bottom"/>
            <w:shd w:val="clear" w:color="auto" w:fill="CCEEFF"/>
          </w:tcPr>
          <w:p>
            <w:pPr>
              <w:spacing w:after="0"/>
              <w:rPr>
                <w:sz w:val="21"/>
                <w:szCs w:val="21"/>
                <w:color w:val="auto"/>
              </w:rPr>
            </w:pPr>
          </w:p>
        </w:tc>
      </w:tr>
      <w:tr>
        <w:trPr>
          <w:trHeight w:val="237"/>
        </w:trPr>
        <w:tc>
          <w:tcPr>
            <w:tcW w:w="74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 current liabilities</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341,202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324,082</w:t>
            </w:r>
          </w:p>
        </w:tc>
        <w:tc>
          <w:tcPr>
            <w:tcW w:w="100" w:type="dxa"/>
            <w:vAlign w:val="bottom"/>
            <w:tcBorders>
              <w:bottom w:val="single" w:sz="8" w:color="CCEEFF"/>
            </w:tcBorders>
          </w:tcPr>
          <w:p>
            <w:pPr>
              <w:spacing w:after="0"/>
              <w:rPr>
                <w:sz w:val="20"/>
                <w:szCs w:val="20"/>
                <w:color w:val="auto"/>
              </w:rPr>
            </w:pPr>
          </w:p>
        </w:tc>
      </w:tr>
      <w:tr>
        <w:trPr>
          <w:trHeight w:val="237"/>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 less current portion</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175,000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175,046</w:t>
            </w:r>
          </w:p>
        </w:tc>
        <w:tc>
          <w:tcPr>
            <w:tcW w:w="100" w:type="dxa"/>
            <w:vAlign w:val="bottom"/>
            <w:shd w:val="clear" w:color="auto" w:fill="CCEEFF"/>
          </w:tcPr>
          <w:p>
            <w:pPr>
              <w:spacing w:after="0"/>
              <w:rPr>
                <w:sz w:val="20"/>
                <w:szCs w:val="20"/>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b w:val="1"/>
                <w:bCs w:val="1"/>
                <w:color w:val="auto"/>
              </w:rPr>
              <w:t>Long-term deferred income taxes</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872</w:t>
            </w:r>
          </w:p>
        </w:tc>
        <w:tc>
          <w:tcPr>
            <w:tcW w:w="900" w:type="dxa"/>
            <w:vAlign w:val="bottom"/>
          </w:tcPr>
          <w:p>
            <w:pPr>
              <w:jc w:val="right"/>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r>
      <w:tr>
        <w:trPr>
          <w:trHeight w:val="243"/>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Deferred revenue and other long-term liabilities</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9,629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100" w:type="dxa"/>
            <w:vAlign w:val="bottom"/>
            <w:shd w:val="clear" w:color="auto" w:fill="CCEEFF"/>
          </w:tcPr>
          <w:p>
            <w:pPr>
              <w:spacing w:after="0"/>
              <w:rPr>
                <w:sz w:val="21"/>
                <w:szCs w:val="21"/>
                <w:color w:val="auto"/>
              </w:rPr>
            </w:pP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Preferred stock, par value $1.00, authorized 1,000,000 voting and 850,000 non-</w:t>
            </w: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5"/>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voting shares, none issued and outstanding</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0"/>
        </w:trPr>
        <w:tc>
          <w:tcPr>
            <w:tcW w:w="7480" w:type="dxa"/>
            <w:vAlign w:val="bottom"/>
          </w:tcPr>
          <w:p>
            <w:pPr>
              <w:ind w:left="360"/>
              <w:spacing w:after="0"/>
              <w:rPr>
                <w:sz w:val="20"/>
                <w:szCs w:val="20"/>
                <w:color w:val="auto"/>
              </w:rPr>
            </w:pPr>
            <w:r>
              <w:rPr>
                <w:rFonts w:ascii="Arial" w:cs="Arial" w:eastAsia="Arial" w:hAnsi="Arial"/>
                <w:sz w:val="18"/>
                <w:szCs w:val="18"/>
                <w:b w:val="1"/>
                <w:bCs w:val="1"/>
                <w:color w:val="auto"/>
              </w:rPr>
              <w:t>Common stock, par value $1.00, authorized 100,000,000 shares, issued and</w:t>
            </w: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48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outstanding 41,898,463 shares as of October 31, 2005 (net of 12,133,757</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8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treasury shares) and 45,036,658 shares as of October 31, 2004 (net of 8,995,562</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7480" w:type="dxa"/>
            <w:vAlign w:val="bottom"/>
          </w:tcPr>
          <w:p>
            <w:pPr>
              <w:ind w:left="540"/>
              <w:spacing w:after="0"/>
              <w:rPr>
                <w:sz w:val="20"/>
                <w:szCs w:val="20"/>
                <w:color w:val="auto"/>
              </w:rPr>
            </w:pPr>
            <w:r>
              <w:rPr>
                <w:rFonts w:ascii="Arial" w:cs="Arial" w:eastAsia="Arial" w:hAnsi="Arial"/>
                <w:sz w:val="18"/>
                <w:szCs w:val="18"/>
                <w:b w:val="1"/>
                <w:bCs w:val="1"/>
                <w:color w:val="auto"/>
              </w:rPr>
              <w:t>treasury shares)</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41,899</w:t>
            </w:r>
          </w:p>
        </w:tc>
        <w:tc>
          <w:tcPr>
            <w:tcW w:w="900" w:type="dxa"/>
            <w:vAlign w:val="bottom"/>
          </w:tcPr>
          <w:p>
            <w:pPr>
              <w:jc w:val="right"/>
              <w:spacing w:after="0"/>
              <w:rPr>
                <w:sz w:val="20"/>
                <w:szCs w:val="20"/>
                <w:color w:val="auto"/>
              </w:rPr>
            </w:pPr>
            <w:r>
              <w:rPr>
                <w:rFonts w:ascii="Arial" w:cs="Arial" w:eastAsia="Arial" w:hAnsi="Arial"/>
                <w:sz w:val="18"/>
                <w:szCs w:val="18"/>
                <w:color w:val="auto"/>
              </w:rPr>
              <w:t>45,036</w:t>
            </w:r>
          </w:p>
        </w:tc>
        <w:tc>
          <w:tcPr>
            <w:tcW w:w="100" w:type="dxa"/>
            <w:vAlign w:val="bottom"/>
          </w:tcPr>
          <w:p>
            <w:pPr>
              <w:spacing w:after="0"/>
              <w:rPr>
                <w:sz w:val="19"/>
                <w:szCs w:val="19"/>
                <w:color w:val="auto"/>
              </w:rPr>
            </w:pPr>
          </w:p>
        </w:tc>
      </w:tr>
      <w:tr>
        <w:trPr>
          <w:trHeight w:val="243"/>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Retained earnings</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359,716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386,925</w:t>
            </w:r>
          </w:p>
        </w:tc>
        <w:tc>
          <w:tcPr>
            <w:tcW w:w="100" w:type="dxa"/>
            <w:vAlign w:val="bottom"/>
            <w:shd w:val="clear" w:color="auto" w:fill="CCEEFF"/>
          </w:tcPr>
          <w:p>
            <w:pPr>
              <w:spacing w:after="0"/>
              <w:rPr>
                <w:sz w:val="21"/>
                <w:szCs w:val="21"/>
                <w:color w:val="auto"/>
              </w:rPr>
            </w:pPr>
          </w:p>
        </w:tc>
      </w:tr>
      <w:tr>
        <w:trPr>
          <w:trHeight w:val="243"/>
        </w:trPr>
        <w:tc>
          <w:tcPr>
            <w:tcW w:w="7480" w:type="dxa"/>
            <w:vAlign w:val="bottom"/>
          </w:tcPr>
          <w:p>
            <w:pPr>
              <w:ind w:left="360"/>
              <w:spacing w:after="0"/>
              <w:rPr>
                <w:sz w:val="20"/>
                <w:szCs w:val="20"/>
                <w:color w:val="auto"/>
              </w:rPr>
            </w:pPr>
            <w:r>
              <w:rPr>
                <w:rFonts w:ascii="Arial" w:cs="Arial" w:eastAsia="Arial" w:hAnsi="Arial"/>
                <w:sz w:val="18"/>
                <w:szCs w:val="18"/>
                <w:b w:val="1"/>
                <w:bCs w:val="1"/>
                <w:color w:val="auto"/>
              </w:rPr>
              <w:t>Accumulated other comprehensive loss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(11,581)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(11,142)</w:t>
            </w:r>
          </w:p>
        </w:tc>
      </w:tr>
      <w:tr>
        <w:trPr>
          <w:trHeight w:val="237"/>
        </w:trPr>
        <w:tc>
          <w:tcPr>
            <w:tcW w:w="74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stockholders’ equity</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390,034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420,819</w:t>
            </w:r>
          </w:p>
        </w:tc>
        <w:tc>
          <w:tcPr>
            <w:tcW w:w="100" w:type="dxa"/>
            <w:vAlign w:val="bottom"/>
            <w:tcBorders>
              <w:top w:val="single" w:sz="8" w:color="CCEEFF"/>
            </w:tcBorders>
            <w:shd w:val="clear" w:color="auto" w:fill="CCEEFF"/>
          </w:tcPr>
          <w:p>
            <w:pPr>
              <w:spacing w:after="0"/>
              <w:rPr>
                <w:sz w:val="20"/>
                <w:szCs w:val="20"/>
                <w:color w:val="auto"/>
              </w:rPr>
            </w:pPr>
          </w:p>
        </w:tc>
      </w:tr>
      <w:tr>
        <w:trPr>
          <w:trHeight w:val="237"/>
        </w:trPr>
        <w:tc>
          <w:tcPr>
            <w:tcW w:w="74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Total liabilities and stockholders’ equity</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$ 916,737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$ 932,100</w:t>
            </w:r>
          </w:p>
        </w:tc>
        <w:tc>
          <w:tcPr>
            <w:tcW w:w="100" w:type="dxa"/>
            <w:vAlign w:val="bottom"/>
          </w:tcPr>
          <w:p>
            <w:pPr>
              <w:spacing w:after="0"/>
              <w:rPr>
                <w:sz w:val="20"/>
                <w:szCs w:val="20"/>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740"/>
        <w:spacing w:after="0"/>
        <w:rPr>
          <w:sz w:val="20"/>
          <w:szCs w:val="20"/>
          <w:color w:val="auto"/>
        </w:rPr>
      </w:pPr>
      <w:r>
        <w:rPr>
          <w:rFonts w:ascii="Arial" w:cs="Arial" w:eastAsia="Arial" w:hAnsi="Arial"/>
          <w:sz w:val="25"/>
          <w:szCs w:val="25"/>
          <w:b w:val="1"/>
          <w:bCs w:val="1"/>
          <w:color w:val="4673B6"/>
        </w:rPr>
        <w:t>CONSOLIDATED STATEMENTS OF CASH FLOWS</w:t>
      </w:r>
    </w:p>
    <w:p>
      <w:pPr>
        <w:spacing w:after="0" w:line="344" w:lineRule="exact"/>
        <w:rPr>
          <w:sz w:val="20"/>
          <w:szCs w:val="20"/>
          <w:color w:val="auto"/>
        </w:rPr>
      </w:pPr>
    </w:p>
    <w:tbl>
      <w:tblPr>
        <w:tblLayout w:type="fixed"/>
        <w:tblInd w:w="900" w:type="dxa"/>
        <w:tblCellMar>
          <w:top w:w="0" w:type="dxa"/>
          <w:left w:w="0" w:type="dxa"/>
          <w:bottom w:w="0" w:type="dxa"/>
          <w:right w:w="0" w:type="dxa"/>
        </w:tblCellMar>
      </w:tblPr>
      <w:tr>
        <w:trPr>
          <w:trHeight w:val="203"/>
        </w:trPr>
        <w:tc>
          <w:tcPr>
            <w:tcW w:w="60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(Dollars in thousands) Fiscal years ended October 31</w:t>
            </w:r>
          </w:p>
        </w:tc>
        <w:tc>
          <w:tcPr>
            <w:tcW w:w="6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6"/>
                <w:szCs w:val="16"/>
                <w:b w:val="1"/>
                <w:bCs w:val="1"/>
                <w:color w:val="auto"/>
              </w:rPr>
              <w:t>2005</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6"/>
                <w:szCs w:val="16"/>
                <w:color w:val="auto"/>
              </w:rPr>
              <w:t>2004</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2003</w:t>
            </w:r>
          </w:p>
        </w:tc>
        <w:tc>
          <w:tcPr>
            <w:tcW w:w="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b w:val="1"/>
                <w:bCs w:val="1"/>
                <w:color w:val="auto"/>
              </w:rPr>
              <w:t>Net earnings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114,082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102,666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81,620</w:t>
            </w:r>
          </w:p>
        </w:tc>
        <w:tc>
          <w:tcPr>
            <w:tcW w:w="8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600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b w:val="1"/>
                <w:bCs w:val="1"/>
                <w:color w:val="auto"/>
              </w:rPr>
              <w:t>Adjustments to reconcile net earnings to net cash provided by</w:t>
            </w: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activities:</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b w:val="1"/>
                <w:bCs w:val="1"/>
                <w:color w:val="auto"/>
              </w:rPr>
              <w:t>Non-cash asset impairment (recovery)</w:t>
            </w:r>
          </w:p>
        </w:tc>
        <w:tc>
          <w:tcPr>
            <w:tcW w:w="6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Provision for depreciation and amortization</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42,829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36,093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b w:val="1"/>
                <w:bCs w:val="1"/>
                <w:color w:val="auto"/>
              </w:rPr>
              <w:t>Equity losses from investments</w:t>
            </w:r>
          </w:p>
        </w:tc>
        <w:tc>
          <w:tcPr>
            <w:tcW w:w="6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1,468</w:t>
            </w:r>
          </w:p>
        </w:tc>
        <w:tc>
          <w:tcPr>
            <w:tcW w:w="2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(Gain) loss on disposal of property, plant, and equipment</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b w:val="1"/>
                <w:bCs w:val="1"/>
                <w:color w:val="auto"/>
              </w:rPr>
              <w:t>(Increase) decrease in deferred income taxes</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(8,635)</w:t>
            </w:r>
          </w:p>
        </w:tc>
        <w:tc>
          <w:tcPr>
            <w:tcW w:w="2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(1,455)</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Stock-based compensation expense</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9,312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17,128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b w:val="1"/>
                <w:bCs w:val="1"/>
                <w:color w:val="auto"/>
              </w:rPr>
              <w:t>Changes in operating assets and liabilities:</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Receivables, net</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7,381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(27,953)</w:t>
            </w: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b w:val="1"/>
                <w:bCs w:val="1"/>
                <w:color w:val="auto"/>
              </w:rPr>
              <w:t>Inventories, net</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(1,210)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Prepaid expenses and other assets</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w:t>
            </w:r>
          </w:p>
        </w:tc>
      </w:tr>
      <w:tr>
        <w:trPr>
          <w:trHeight w:val="216"/>
        </w:trPr>
        <w:tc>
          <w:tcPr>
            <w:tcW w:w="20" w:type="dxa"/>
            <w:vAlign w:val="bottom"/>
          </w:tcPr>
          <w:p>
            <w:pPr>
              <w:spacing w:after="0"/>
              <w:rPr>
                <w:sz w:val="18"/>
                <w:szCs w:val="18"/>
                <w:color w:val="auto"/>
              </w:rPr>
            </w:pPr>
          </w:p>
        </w:tc>
        <w:tc>
          <w:tcPr>
            <w:tcW w:w="60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Accounts payable, accrued expenses, and deferred revenue</w:t>
            </w: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8,631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34,274</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10,172</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operating activities</w:t>
            </w:r>
          </w:p>
        </w:tc>
        <w:tc>
          <w:tcPr>
            <w:tcW w:w="6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174,083</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175,292</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115,984</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Purchases of property, plant, and equipment</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(37,432)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(43,265)</w:t>
            </w: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b w:val="1"/>
                <w:bCs w:val="1"/>
                <w:color w:val="auto"/>
              </w:rPr>
              <w:t>Proceeds from disposal of property, plant, and equipment</w:t>
            </w:r>
          </w:p>
        </w:tc>
        <w:tc>
          <w:tcPr>
            <w:tcW w:w="6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2,740</w:t>
            </w:r>
          </w:p>
        </w:tc>
        <w:tc>
          <w:tcPr>
            <w:tcW w:w="2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2,098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(Increase) decrease in investments in affiliates</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b w:val="1"/>
                <w:bCs w:val="1"/>
                <w:color w:val="auto"/>
              </w:rPr>
              <w:t>Decrease in other assets</w:t>
            </w:r>
          </w:p>
        </w:tc>
        <w:tc>
          <w:tcPr>
            <w:tcW w:w="6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1,550</w:t>
            </w:r>
          </w:p>
        </w:tc>
        <w:tc>
          <w:tcPr>
            <w:tcW w:w="2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sale of businesses</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765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b w:val="1"/>
                <w:bCs w:val="1"/>
                <w:color w:val="auto"/>
              </w:rPr>
              <w:t>Acquisitions, net of cash acquired</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(35,285)</w:t>
            </w:r>
          </w:p>
        </w:tc>
        <w:tc>
          <w:tcPr>
            <w:tcW w:w="2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(1,244)</w:t>
            </w: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(68,419)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(40,483)</w:t>
            </w:r>
          </w:p>
        </w:tc>
      </w:tr>
      <w:tr>
        <w:trPr>
          <w:trHeight w:val="210"/>
        </w:trPr>
        <w:tc>
          <w:tcPr>
            <w:tcW w:w="20" w:type="dxa"/>
            <w:vAlign w:val="bottom"/>
          </w:tcPr>
          <w:p>
            <w:pPr>
              <w:spacing w:after="0"/>
              <w:rPr>
                <w:sz w:val="18"/>
                <w:szCs w:val="18"/>
                <w:color w:val="auto"/>
              </w:rPr>
            </w:pPr>
          </w:p>
        </w:tc>
        <w:tc>
          <w:tcPr>
            <w:tcW w:w="6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(Repayments) increase in short-term debt, net</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b w:val="1"/>
                <w:bCs w:val="1"/>
                <w:color w:val="auto"/>
              </w:rPr>
              <w:t>Repayments of long-term debt</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(15,846)</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Excess tax benefits from stock options</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5,989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9,857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b w:val="1"/>
                <w:bCs w:val="1"/>
                <w:color w:val="auto"/>
              </w:rPr>
              <w:t>Proceeds from exercise of stock options</w:t>
            </w:r>
          </w:p>
        </w:tc>
        <w:tc>
          <w:tcPr>
            <w:tcW w:w="6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8,164</w:t>
            </w:r>
          </w:p>
        </w:tc>
        <w:tc>
          <w:tcPr>
            <w:tcW w:w="2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14,307</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8,923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Purchases of Toro common stock</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(156,972)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(18,726)</w:t>
            </w: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b w:val="1"/>
                <w:bCs w:val="1"/>
                <w:color w:val="auto"/>
              </w:rPr>
              <w:t>Dividends paid on Toro common stock</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(10,755)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(5,839)</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financing activities</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(154,393)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(156,365)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(28,129)</w:t>
            </w:r>
          </w:p>
        </w:tc>
      </w:tr>
      <w:tr>
        <w:trPr>
          <w:trHeight w:val="210"/>
        </w:trPr>
        <w:tc>
          <w:tcPr>
            <w:tcW w:w="20" w:type="dxa"/>
            <w:vAlign w:val="bottom"/>
          </w:tcPr>
          <w:p>
            <w:pPr>
              <w:spacing w:after="0"/>
              <w:rPr>
                <w:sz w:val="18"/>
                <w:szCs w:val="18"/>
                <w:color w:val="auto"/>
              </w:rPr>
            </w:pPr>
          </w:p>
        </w:tc>
        <w:tc>
          <w:tcPr>
            <w:tcW w:w="6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Effect of exchange rates on cash</w:t>
            </w:r>
          </w:p>
        </w:tc>
        <w:tc>
          <w:tcPr>
            <w:tcW w:w="6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(49,354)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as of the beginning of the fiscal year</w:t>
            </w: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90,756</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110,287</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62,816</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as of the end of the fiscal year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41,402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90,756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110,287</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 paid during the fiscal year for:</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b w:val="1"/>
                <w:bCs w:val="1"/>
                <w:color w:val="auto"/>
              </w:rPr>
              <w:t>Interest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18,310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15,714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17,176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taxes</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46,761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46,933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b w:val="1"/>
                <w:bCs w:val="1"/>
                <w:color w:val="auto"/>
              </w:rPr>
              <w:t>Stock issued in connection with stock compensation plans</w:t>
            </w:r>
          </w:p>
        </w:tc>
        <w:tc>
          <w:tcPr>
            <w:tcW w:w="6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4,284</w:t>
            </w:r>
          </w:p>
        </w:tc>
        <w:tc>
          <w:tcPr>
            <w:tcW w:w="2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5,567</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Accounts receivable converted to long-term notes receivable</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6,439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884" w:orient="portrait"/>
          <w:cols w:equalWidth="0" w:num="1">
            <w:col w:w="10520"/>
          </w:cols>
          <w:pgMar w:left="240" w:top="135" w:right="1139" w:bottom="0" w:gutter="0" w:footer="0" w:header="0"/>
        </w:sectPr>
      </w:pPr>
    </w:p>
    <w:bookmarkStart w:id="30" w:name="page31"/>
    <w:bookmarkEnd w:id="30"/>
    <w:p>
      <w:pPr>
        <w:spacing w:after="0" w:line="49" w:lineRule="exact"/>
        <w:rPr>
          <w:sz w:val="20"/>
          <w:szCs w:val="20"/>
          <w:color w:val="auto"/>
        </w:rPr>
      </w:pPr>
    </w:p>
    <w:p>
      <w:pPr>
        <w:ind w:left="1080"/>
        <w:spacing w:after="0"/>
        <w:tabs>
          <w:tab w:leader="none" w:pos="8140" w:val="left"/>
          <w:tab w:leader="none" w:pos="9260" w:val="left"/>
          <w:tab w:leader="none" w:pos="10100" w:val="left"/>
        </w:tabs>
        <w:rPr>
          <w:sz w:val="20"/>
          <w:szCs w:val="20"/>
          <w:color w:val="auto"/>
        </w:rPr>
      </w:pPr>
      <w:r>
        <w:rPr>
          <w:rFonts w:ascii="Arial" w:cs="Arial" w:eastAsia="Arial" w:hAnsi="Arial"/>
          <w:sz w:val="18"/>
          <w:szCs w:val="18"/>
          <w:b w:val="1"/>
          <w:bCs w:val="1"/>
          <w:color w:val="auto"/>
        </w:rPr>
        <w:t>Debt issued in connection with an acquisition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11430</wp:posOffset>
            </wp:positionV>
            <wp:extent cx="6045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45835"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4673B6"/>
        </w:rPr>
        <w:t>CONSOLIDATED STATEMENTS OF STOCKHOLDERS’ EQUITY</w:t>
      </w:r>
    </w:p>
    <w:p>
      <w:pPr>
        <w:spacing w:after="0" w:line="344" w:lineRule="exact"/>
        <w:rPr>
          <w:sz w:val="20"/>
          <w:szCs w:val="20"/>
          <w:color w:val="auto"/>
        </w:rPr>
      </w:pPr>
    </w:p>
    <w:tbl>
      <w:tblPr>
        <w:tblLayout w:type="fixed"/>
        <w:tblInd w:w="800" w:type="dxa"/>
        <w:tblCellMar>
          <w:top w:w="0" w:type="dxa"/>
          <w:left w:w="0" w:type="dxa"/>
          <w:bottom w:w="0" w:type="dxa"/>
          <w:right w:w="0" w:type="dxa"/>
        </w:tblCellMar>
      </w:tblPr>
      <w:tr>
        <w:trPr>
          <w:trHeight w:val="204"/>
        </w:trPr>
        <w:tc>
          <w:tcPr>
            <w:tcW w:w="37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Accumulated</w:t>
            </w: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3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Other</w:t>
            </w:r>
          </w:p>
        </w:tc>
        <w:tc>
          <w:tcPr>
            <w:tcW w:w="4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Total</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70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Common</w:t>
            </w:r>
          </w:p>
        </w:tc>
        <w:tc>
          <w:tcPr>
            <w:tcW w:w="200" w:type="dxa"/>
            <w:vAlign w:val="bottom"/>
          </w:tcPr>
          <w:p>
            <w:pPr>
              <w:spacing w:after="0"/>
              <w:rPr>
                <w:sz w:val="16"/>
                <w:szCs w:val="16"/>
                <w:color w:val="auto"/>
              </w:rPr>
            </w:pPr>
          </w:p>
        </w:tc>
        <w:tc>
          <w:tcPr>
            <w:tcW w:w="860" w:type="dxa"/>
            <w:vAlign w:val="bottom"/>
          </w:tcPr>
          <w:p>
            <w:pPr>
              <w:jc w:val="center"/>
              <w:ind w:right="79"/>
              <w:spacing w:after="0"/>
              <w:rPr>
                <w:sz w:val="20"/>
                <w:szCs w:val="20"/>
                <w:color w:val="auto"/>
              </w:rPr>
            </w:pPr>
            <w:r>
              <w:rPr>
                <w:rFonts w:ascii="Arial" w:cs="Arial" w:eastAsia="Arial" w:hAnsi="Arial"/>
                <w:sz w:val="16"/>
                <w:szCs w:val="16"/>
                <w:color w:val="auto"/>
              </w:rPr>
              <w:t>Retained</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Comprehensive</w:t>
            </w:r>
          </w:p>
        </w:tc>
        <w:tc>
          <w:tcPr>
            <w:tcW w:w="1300" w:type="dxa"/>
            <w:vAlign w:val="bottom"/>
            <w:gridSpan w:val="3"/>
          </w:tcPr>
          <w:p>
            <w:pPr>
              <w:jc w:val="right"/>
              <w:ind w:right="200"/>
              <w:spacing w:after="0"/>
              <w:rPr>
                <w:sz w:val="20"/>
                <w:szCs w:val="20"/>
                <w:color w:val="auto"/>
              </w:rPr>
            </w:pPr>
            <w:r>
              <w:rPr>
                <w:rFonts w:ascii="Arial" w:cs="Arial" w:eastAsia="Arial" w:hAnsi="Arial"/>
                <w:sz w:val="16"/>
                <w:szCs w:val="16"/>
                <w:color w:val="auto"/>
              </w:rPr>
              <w:t>Stockholders’</w:t>
            </w:r>
          </w:p>
        </w:tc>
        <w:tc>
          <w:tcPr>
            <w:tcW w:w="1360" w:type="dxa"/>
            <w:vAlign w:val="bottom"/>
            <w:gridSpan w:val="4"/>
          </w:tcPr>
          <w:p>
            <w:pPr>
              <w:jc w:val="right"/>
              <w:ind w:right="80"/>
              <w:spacing w:after="0"/>
              <w:rPr>
                <w:sz w:val="20"/>
                <w:szCs w:val="20"/>
                <w:color w:val="auto"/>
              </w:rPr>
            </w:pPr>
            <w:r>
              <w:rPr>
                <w:rFonts w:ascii="Arial" w:cs="Arial" w:eastAsia="Arial" w:hAnsi="Arial"/>
                <w:sz w:val="16"/>
                <w:szCs w:val="16"/>
                <w:color w:val="auto"/>
              </w:rPr>
              <w:t>Comprehensive</w:t>
            </w:r>
          </w:p>
        </w:tc>
      </w:tr>
      <w:tr>
        <w:trPr>
          <w:trHeight w:val="187"/>
        </w:trPr>
        <w:tc>
          <w:tcPr>
            <w:tcW w:w="3700" w:type="dxa"/>
            <w:vAlign w:val="bottom"/>
          </w:tcPr>
          <w:p>
            <w:pPr>
              <w:spacing w:after="0"/>
              <w:rPr>
                <w:sz w:val="20"/>
                <w:szCs w:val="20"/>
                <w:color w:val="auto"/>
              </w:rPr>
            </w:pPr>
            <w:r>
              <w:rPr>
                <w:rFonts w:ascii="Arial" w:cs="Arial" w:eastAsia="Arial" w:hAnsi="Arial"/>
                <w:sz w:val="16"/>
                <w:szCs w:val="16"/>
                <w:color w:val="auto"/>
              </w:rPr>
              <w:t>(Dollars in thousands)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Stock</w:t>
            </w:r>
          </w:p>
        </w:tc>
        <w:tc>
          <w:tcPr>
            <w:tcW w:w="200" w:type="dxa"/>
            <w:vAlign w:val="bottom"/>
          </w:tcPr>
          <w:p>
            <w:pPr>
              <w:spacing w:after="0"/>
              <w:rPr>
                <w:sz w:val="16"/>
                <w:szCs w:val="16"/>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rPr>
              <w:t>Earnings</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Loss</w:t>
            </w:r>
          </w:p>
        </w:tc>
        <w:tc>
          <w:tcPr>
            <w:tcW w:w="4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Equity</w:t>
            </w:r>
          </w:p>
        </w:tc>
        <w:tc>
          <w:tcPr>
            <w:tcW w:w="1360" w:type="dxa"/>
            <w:vAlign w:val="bottom"/>
            <w:gridSpan w:val="4"/>
          </w:tcPr>
          <w:p>
            <w:pPr>
              <w:jc w:val="right"/>
              <w:ind w:right="80"/>
              <w:spacing w:after="0"/>
              <w:rPr>
                <w:sz w:val="20"/>
                <w:szCs w:val="20"/>
                <w:color w:val="auto"/>
              </w:rPr>
            </w:pPr>
            <w:r>
              <w:rPr>
                <w:rFonts w:ascii="Arial" w:cs="Arial" w:eastAsia="Arial" w:hAnsi="Arial"/>
                <w:sz w:val="16"/>
                <w:szCs w:val="16"/>
                <w:color w:val="auto"/>
              </w:rPr>
              <w:t>Income (Loss)</w:t>
            </w:r>
          </w:p>
        </w:tc>
      </w:tr>
      <w:tr>
        <w:trPr>
          <w:trHeight w:val="223"/>
        </w:trPr>
        <w:tc>
          <w:tcPr>
            <w:tcW w:w="3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as of October 31, 2002</w:t>
            </w:r>
          </w:p>
        </w:tc>
        <w:tc>
          <w:tcPr>
            <w:tcW w:w="980" w:type="dxa"/>
            <w:vAlign w:val="bottom"/>
            <w:tcBorders>
              <w:top w:val="single" w:sz="8" w:color="auto"/>
              <w:bottom w:val="single" w:sz="8" w:color="auto"/>
            </w:tcBorders>
            <w:shd w:val="clear" w:color="auto" w:fill="CCEEFF"/>
          </w:tcPr>
          <w:p>
            <w:pPr>
              <w:jc w:val="right"/>
              <w:ind w:righ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 xml:space="preserve"> 48,684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rPr>
              <w:t>337,445</w:t>
            </w:r>
          </w:p>
        </w:tc>
        <w:tc>
          <w:tcPr>
            <w:tcW w:w="14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(12,603 )</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373,526</w:t>
            </w:r>
          </w:p>
        </w:tc>
        <w:tc>
          <w:tcPr>
            <w:tcW w:w="1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6"/>
                <w:szCs w:val="16"/>
                <w:color w:val="auto"/>
              </w:rPr>
              <w:t>Cash dividends paid on common stock</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(6,005)</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(6,005)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Issuance of 960,440 shares under stock</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1"/>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 plans</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960</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15,038</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15,998</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8"/>
        </w:trPr>
        <w:tc>
          <w:tcPr>
            <w:tcW w:w="3700" w:type="dxa"/>
            <w:vAlign w:val="bottom"/>
          </w:tcPr>
          <w:p>
            <w:pPr>
              <w:spacing w:after="0"/>
              <w:rPr>
                <w:sz w:val="20"/>
                <w:szCs w:val="20"/>
                <w:color w:val="auto"/>
              </w:rPr>
            </w:pPr>
            <w:r>
              <w:rPr>
                <w:rFonts w:ascii="Arial" w:cs="Arial" w:eastAsia="Arial" w:hAnsi="Arial"/>
                <w:sz w:val="16"/>
                <w:szCs w:val="16"/>
                <w:color w:val="auto"/>
              </w:rPr>
              <w:t>Contribution of stock to a deferred compensation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3700" w:type="dxa"/>
            <w:vAlign w:val="bottom"/>
          </w:tcPr>
          <w:p>
            <w:pPr>
              <w:ind w:left="180"/>
              <w:spacing w:after="0"/>
              <w:rPr>
                <w:sz w:val="20"/>
                <w:szCs w:val="20"/>
                <w:color w:val="auto"/>
              </w:rPr>
            </w:pPr>
            <w:r>
              <w:rPr>
                <w:rFonts w:ascii="Arial" w:cs="Arial" w:eastAsia="Arial" w:hAnsi="Arial"/>
                <w:sz w:val="16"/>
                <w:szCs w:val="16"/>
                <w:color w:val="auto"/>
              </w:rPr>
              <w:t>trust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2,683</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2,683</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Purchase of 866,690 shares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(17,860)</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(18,726)</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6"/>
                <w:szCs w:val="16"/>
                <w:color w:val="auto"/>
              </w:rPr>
              <w:t>Excess tax benefits from stock options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2,642</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2,642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Minimum pension liability adjustment, net of tax</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(730)</w:t>
            </w: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(730)</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(730)</w:t>
            </w:r>
          </w:p>
        </w:tc>
      </w:tr>
      <w:tr>
        <w:trPr>
          <w:trHeight w:val="230"/>
        </w:trPr>
        <w:tc>
          <w:tcPr>
            <w:tcW w:w="370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2,342</w:t>
            </w:r>
          </w:p>
        </w:tc>
        <w:tc>
          <w:tcPr>
            <w:tcW w:w="4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2,342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2,342</w:t>
            </w: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derivative instruments, net of</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1"/>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(1,827)</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(1,827)</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(1,827)</w:t>
            </w:r>
          </w:p>
        </w:tc>
      </w:tr>
      <w:tr>
        <w:trPr>
          <w:trHeight w:val="230"/>
        </w:trPr>
        <w:tc>
          <w:tcPr>
            <w:tcW w:w="3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81,620</w:t>
            </w:r>
          </w:p>
        </w:tc>
        <w:tc>
          <w:tcPr>
            <w:tcW w:w="144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81,620</w:t>
            </w:r>
          </w:p>
        </w:tc>
        <w:tc>
          <w:tcPr>
            <w:tcW w:w="1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81,620</w:t>
            </w:r>
          </w:p>
        </w:tc>
        <w:tc>
          <w:tcPr>
            <w:tcW w:w="80" w:type="dxa"/>
            <w:vAlign w:val="bottom"/>
            <w:tcBorders>
              <w:bottom w:val="single" w:sz="8" w:color="CCEEFF"/>
            </w:tcBorders>
          </w:tcPr>
          <w:p>
            <w:pPr>
              <w:spacing w:after="0"/>
              <w:rPr>
                <w:sz w:val="19"/>
                <w:szCs w:val="19"/>
                <w:color w:val="auto"/>
              </w:rPr>
            </w:pPr>
          </w:p>
        </w:tc>
      </w:tr>
      <w:tr>
        <w:trPr>
          <w:trHeight w:val="220"/>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81,405</w:t>
            </w:r>
          </w:p>
        </w:tc>
        <w:tc>
          <w:tcPr>
            <w:tcW w:w="80" w:type="dxa"/>
            <w:vAlign w:val="bottom"/>
            <w:shd w:val="clear" w:color="auto" w:fill="CCEEFF"/>
          </w:tcPr>
          <w:p>
            <w:pPr>
              <w:spacing w:after="0"/>
              <w:rPr>
                <w:sz w:val="19"/>
                <w:szCs w:val="19"/>
                <w:color w:val="auto"/>
              </w:rPr>
            </w:pPr>
          </w:p>
        </w:tc>
      </w:tr>
      <w:tr>
        <w:trPr>
          <w:trHeight w:val="226"/>
        </w:trPr>
        <w:tc>
          <w:tcPr>
            <w:tcW w:w="3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Balance as of October 31, 2003</w:t>
            </w:r>
          </w:p>
        </w:tc>
        <w:tc>
          <w:tcPr>
            <w:tcW w:w="980" w:type="dxa"/>
            <w:vAlign w:val="bottom"/>
            <w:tcBorders>
              <w:top w:val="single" w:sz="8" w:color="auto"/>
              <w:bottom w:val="single" w:sz="8" w:color="auto"/>
            </w:tcBorders>
          </w:tcPr>
          <w:p>
            <w:pPr>
              <w:jc w:val="right"/>
              <w:ind w:right="80"/>
              <w:spacing w:after="0" w:line="226"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48,778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color w:val="auto"/>
              </w:rPr>
              <w:t>415,563</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 (12,818 )</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451,523</w:t>
            </w:r>
          </w:p>
        </w:tc>
        <w:tc>
          <w:tcPr>
            <w:tcW w:w="1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paid on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(5,807)</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(5,839)</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8"/>
        </w:trPr>
        <w:tc>
          <w:tcPr>
            <w:tcW w:w="3700" w:type="dxa"/>
            <w:vAlign w:val="bottom"/>
          </w:tcPr>
          <w:p>
            <w:pPr>
              <w:spacing w:after="0"/>
              <w:rPr>
                <w:sz w:val="20"/>
                <w:szCs w:val="20"/>
                <w:color w:val="auto"/>
              </w:rPr>
            </w:pPr>
            <w:r>
              <w:rPr>
                <w:rFonts w:ascii="Arial" w:cs="Arial" w:eastAsia="Arial" w:hAnsi="Arial"/>
                <w:sz w:val="16"/>
                <w:szCs w:val="16"/>
                <w:color w:val="auto"/>
              </w:rPr>
              <w:t>Issuance of 1,560,128 shares under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3700" w:type="dxa"/>
            <w:vAlign w:val="bottom"/>
          </w:tcPr>
          <w:p>
            <w:pPr>
              <w:ind w:left="180"/>
              <w:spacing w:after="0"/>
              <w:rPr>
                <w:sz w:val="20"/>
                <w:szCs w:val="20"/>
                <w:color w:val="auto"/>
              </w:rPr>
            </w:pPr>
            <w:r>
              <w:rPr>
                <w:rFonts w:ascii="Arial" w:cs="Arial" w:eastAsia="Arial" w:hAnsi="Arial"/>
                <w:sz w:val="16"/>
                <w:szCs w:val="16"/>
                <w:color w:val="auto"/>
              </w:rPr>
              <w:t>compensation plans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1,560</w:t>
            </w:r>
          </w:p>
        </w:tc>
        <w:tc>
          <w:tcPr>
            <w:tcW w:w="20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25,701</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27,261</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Contribution of stock to a deferred compensation</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1"/>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trust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3,496</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3,496</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6"/>
                <w:szCs w:val="16"/>
                <w:color w:val="auto"/>
              </w:rPr>
              <w:t>Purchase of 5,270,814 shares of common stock</w:t>
            </w:r>
          </w:p>
        </w:tc>
        <w:tc>
          <w:tcPr>
            <w:tcW w:w="980" w:type="dxa"/>
            <w:vAlign w:val="bottom"/>
          </w:tcPr>
          <w:p>
            <w:pPr>
              <w:jc w:val="right"/>
              <w:spacing w:after="0"/>
              <w:rPr>
                <w:sz w:val="20"/>
                <w:szCs w:val="20"/>
                <w:color w:val="auto"/>
              </w:rPr>
            </w:pPr>
            <w:r>
              <w:rPr>
                <w:rFonts w:ascii="Arial" w:cs="Arial" w:eastAsia="Arial" w:hAnsi="Arial"/>
                <w:sz w:val="16"/>
                <w:szCs w:val="16"/>
                <w:color w:val="auto"/>
              </w:rPr>
              <w:t>(5,270)</w:t>
            </w:r>
          </w:p>
        </w:tc>
        <w:tc>
          <w:tcPr>
            <w:tcW w:w="2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(164,551)</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(169,821)</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Excess tax benefits from stock options</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9,857</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9,857</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6"/>
                <w:szCs w:val="16"/>
                <w:color w:val="auto"/>
              </w:rPr>
              <w:t>Minimum pension liability adjustment, net of tax</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156</w:t>
            </w: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771</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771</w:t>
            </w:r>
          </w:p>
        </w:tc>
      </w:tr>
      <w:tr>
        <w:trPr>
          <w:trHeight w:val="218"/>
        </w:trPr>
        <w:tc>
          <w:tcPr>
            <w:tcW w:w="3700" w:type="dxa"/>
            <w:vAlign w:val="bottom"/>
          </w:tcPr>
          <w:p>
            <w:pPr>
              <w:spacing w:after="0"/>
              <w:rPr>
                <w:sz w:val="20"/>
                <w:szCs w:val="20"/>
                <w:color w:val="auto"/>
              </w:rPr>
            </w:pPr>
            <w:r>
              <w:rPr>
                <w:rFonts w:ascii="Arial" w:cs="Arial" w:eastAsia="Arial" w:hAnsi="Arial"/>
                <w:sz w:val="16"/>
                <w:szCs w:val="16"/>
                <w:color w:val="auto"/>
              </w:rPr>
              <w:t>Unrealized gain on derivative instruments, net of</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3700" w:type="dxa"/>
            <w:vAlign w:val="bottom"/>
          </w:tcPr>
          <w:p>
            <w:pPr>
              <w:ind w:left="180"/>
              <w:spacing w:after="0"/>
              <w:rPr>
                <w:sz w:val="20"/>
                <w:szCs w:val="20"/>
                <w:color w:val="auto"/>
              </w:rPr>
            </w:pPr>
            <w:r>
              <w:rPr>
                <w:rFonts w:ascii="Arial" w:cs="Arial" w:eastAsia="Arial" w:hAnsi="Arial"/>
                <w:sz w:val="16"/>
                <w:szCs w:val="16"/>
                <w:color w:val="auto"/>
              </w:rPr>
              <w:t>tax</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749</w:t>
            </w:r>
          </w:p>
        </w:tc>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749</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749</w:t>
            </w: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102,666</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102,666</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102,666</w:t>
            </w:r>
          </w:p>
        </w:tc>
        <w:tc>
          <w:tcPr>
            <w:tcW w:w="80" w:type="dxa"/>
            <w:vAlign w:val="bottom"/>
            <w:shd w:val="clear" w:color="auto" w:fill="CCEEFF"/>
          </w:tcPr>
          <w:p>
            <w:pPr>
              <w:spacing w:after="0"/>
              <w:rPr>
                <w:sz w:val="19"/>
                <w:szCs w:val="19"/>
                <w:color w:val="auto"/>
              </w:rPr>
            </w:pPr>
          </w:p>
        </w:tc>
      </w:tr>
      <w:tr>
        <w:trPr>
          <w:trHeight w:val="220"/>
        </w:trPr>
        <w:tc>
          <w:tcPr>
            <w:tcW w:w="370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104,342</w:t>
            </w:r>
          </w:p>
        </w:tc>
        <w:tc>
          <w:tcPr>
            <w:tcW w:w="80" w:type="dxa"/>
            <w:vAlign w:val="bottom"/>
          </w:tcPr>
          <w:p>
            <w:pPr>
              <w:spacing w:after="0"/>
              <w:rPr>
                <w:sz w:val="19"/>
                <w:szCs w:val="19"/>
                <w:color w:val="auto"/>
              </w:rPr>
            </w:pPr>
          </w:p>
        </w:tc>
      </w:tr>
      <w:tr>
        <w:trPr>
          <w:trHeight w:val="226"/>
        </w:trPr>
        <w:tc>
          <w:tcPr>
            <w:tcW w:w="3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as of October 31, 2004</w:t>
            </w:r>
          </w:p>
        </w:tc>
        <w:tc>
          <w:tcPr>
            <w:tcW w:w="980" w:type="dxa"/>
            <w:vAlign w:val="bottom"/>
            <w:tcBorders>
              <w:top w:val="single" w:sz="8" w:color="auto"/>
              <w:bottom w:val="single" w:sz="8" w:color="auto"/>
            </w:tcBorders>
            <w:shd w:val="clear" w:color="auto" w:fill="CCEEFF"/>
          </w:tcPr>
          <w:p>
            <w:pPr>
              <w:jc w:val="right"/>
              <w:ind w:right="80"/>
              <w:spacing w:after="0" w:line="226"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45,036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rPr>
              <w:t>386,925</w:t>
            </w:r>
          </w:p>
        </w:tc>
        <w:tc>
          <w:tcPr>
            <w:tcW w:w="14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(11,142 )</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420,819</w:t>
            </w:r>
          </w:p>
        </w:tc>
        <w:tc>
          <w:tcPr>
            <w:tcW w:w="1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6"/>
                <w:szCs w:val="16"/>
                <w:b w:val="1"/>
                <w:bCs w:val="1"/>
                <w:color w:val="auto"/>
              </w:rPr>
              <w:t>Cash dividends paid on common stock</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(10,755)</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(10,755)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Issuance of 784,610 shares under stock</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compensation plans</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785</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13,374</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14,159</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8"/>
        </w:trPr>
        <w:tc>
          <w:tcPr>
            <w:tcW w:w="3700" w:type="dxa"/>
            <w:vAlign w:val="bottom"/>
          </w:tcPr>
          <w:p>
            <w:pPr>
              <w:spacing w:after="0"/>
              <w:rPr>
                <w:sz w:val="20"/>
                <w:szCs w:val="20"/>
                <w:color w:val="auto"/>
              </w:rPr>
            </w:pPr>
            <w:r>
              <w:rPr>
                <w:rFonts w:ascii="Arial" w:cs="Arial" w:eastAsia="Arial" w:hAnsi="Arial"/>
                <w:sz w:val="16"/>
                <w:szCs w:val="16"/>
                <w:b w:val="1"/>
                <w:bCs w:val="1"/>
                <w:color w:val="auto"/>
              </w:rPr>
              <w:t>Contribution of stock to a deferred</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3700" w:type="dxa"/>
            <w:vAlign w:val="bottom"/>
          </w:tcPr>
          <w:p>
            <w:pPr>
              <w:ind w:left="180"/>
              <w:spacing w:after="0"/>
              <w:rPr>
                <w:sz w:val="20"/>
                <w:szCs w:val="20"/>
                <w:color w:val="auto"/>
              </w:rPr>
            </w:pPr>
            <w:r>
              <w:rPr>
                <w:rFonts w:ascii="Arial" w:cs="Arial" w:eastAsia="Arial" w:hAnsi="Arial"/>
                <w:sz w:val="16"/>
                <w:szCs w:val="16"/>
                <w:b w:val="1"/>
                <w:bCs w:val="1"/>
                <w:color w:val="auto"/>
              </w:rPr>
              <w:t>compensation trust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rPr>
              <w:t>3,151</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3,151</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Purchase of 3,922,805 shares of common</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stock</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(3,922)</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(153,050)</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(156,972)</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6"/>
                <w:szCs w:val="16"/>
                <w:b w:val="1"/>
                <w:bCs w:val="1"/>
                <w:color w:val="auto"/>
              </w:rPr>
              <w:t>Excess tax benefits from stock options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rPr>
              <w:t>5,989</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5,989</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Minimum pension liability adjustment, net of</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tax</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w:t>
            </w: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(43)</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(43)</w:t>
            </w:r>
          </w:p>
        </w:tc>
      </w:tr>
      <w:tr>
        <w:trPr>
          <w:trHeight w:val="230"/>
        </w:trPr>
        <w:tc>
          <w:tcPr>
            <w:tcW w:w="3700" w:type="dxa"/>
            <w:vAlign w:val="bottom"/>
          </w:tcPr>
          <w:p>
            <w:pPr>
              <w:spacing w:after="0"/>
              <w:rPr>
                <w:sz w:val="20"/>
                <w:szCs w:val="20"/>
                <w:color w:val="auto"/>
              </w:rPr>
            </w:pPr>
            <w:r>
              <w:rPr>
                <w:rFonts w:ascii="Arial" w:cs="Arial" w:eastAsia="Arial" w:hAnsi="Arial"/>
                <w:sz w:val="16"/>
                <w:szCs w:val="16"/>
                <w:b w:val="1"/>
                <w:bCs w:val="1"/>
                <w:color w:val="auto"/>
              </w:rPr>
              <w:t>Foreign currency translation adjustments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b w:val="1"/>
                <w:bCs w:val="1"/>
                <w:color w:val="auto"/>
              </w:rPr>
              <w:t>(2,395)</w:t>
            </w:r>
          </w:p>
        </w:tc>
        <w:tc>
          <w:tcPr>
            <w:tcW w:w="4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(2,395)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(2,395)</w:t>
            </w:r>
          </w:p>
        </w:tc>
      </w:tr>
      <w:tr>
        <w:trPr>
          <w:trHeight w:val="198"/>
        </w:trPr>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Unrealized gain on derivative instruments, net</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of tax</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1,999</w:t>
            </w: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1,999</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1,999</w:t>
            </w:r>
          </w:p>
        </w:tc>
      </w:tr>
      <w:tr>
        <w:trPr>
          <w:trHeight w:val="230"/>
        </w:trPr>
        <w:tc>
          <w:tcPr>
            <w:tcW w:w="37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earnings</w:t>
            </w:r>
          </w:p>
        </w:tc>
        <w:tc>
          <w:tcPr>
            <w:tcW w:w="98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114,082</w:t>
            </w:r>
          </w:p>
        </w:tc>
        <w:tc>
          <w:tcPr>
            <w:tcW w:w="144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114,082</w:t>
            </w:r>
          </w:p>
        </w:tc>
        <w:tc>
          <w:tcPr>
            <w:tcW w:w="1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114,082</w:t>
            </w:r>
          </w:p>
        </w:tc>
        <w:tc>
          <w:tcPr>
            <w:tcW w:w="80" w:type="dxa"/>
            <w:vAlign w:val="bottom"/>
            <w:tcBorders>
              <w:bottom w:val="single" w:sz="8" w:color="CCEEFF"/>
            </w:tcBorders>
          </w:tcPr>
          <w:p>
            <w:pPr>
              <w:spacing w:after="0"/>
              <w:rPr>
                <w:sz w:val="19"/>
                <w:szCs w:val="19"/>
                <w:color w:val="auto"/>
              </w:rPr>
            </w:pPr>
          </w:p>
        </w:tc>
      </w:tr>
      <w:tr>
        <w:trPr>
          <w:trHeight w:val="220"/>
        </w:trPr>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113,643</w:t>
            </w:r>
          </w:p>
        </w:tc>
        <w:tc>
          <w:tcPr>
            <w:tcW w:w="80" w:type="dxa"/>
            <w:vAlign w:val="bottom"/>
            <w:shd w:val="clear" w:color="auto" w:fill="CCEEFF"/>
          </w:tcPr>
          <w:p>
            <w:pPr>
              <w:spacing w:after="0"/>
              <w:rPr>
                <w:sz w:val="19"/>
                <w:szCs w:val="19"/>
                <w:color w:val="auto"/>
              </w:rPr>
            </w:pPr>
          </w:p>
        </w:tc>
      </w:tr>
      <w:tr>
        <w:trPr>
          <w:trHeight w:val="226"/>
        </w:trPr>
        <w:tc>
          <w:tcPr>
            <w:tcW w:w="3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Balance as of October 31, 2005</w:t>
            </w:r>
          </w:p>
        </w:tc>
        <w:tc>
          <w:tcPr>
            <w:tcW w:w="980" w:type="dxa"/>
            <w:vAlign w:val="bottom"/>
            <w:tcBorders>
              <w:top w:val="single" w:sz="8" w:color="auto"/>
              <w:bottom w:val="single" w:sz="8" w:color="auto"/>
            </w:tcBorders>
          </w:tcPr>
          <w:p>
            <w:pPr>
              <w:jc w:val="right"/>
              <w:ind w:right="80"/>
              <w:spacing w:after="0" w:line="226"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41,899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359,716</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(11,581 )</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390,034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40"/>
        <w:spacing w:after="0"/>
        <w:rPr>
          <w:sz w:val="20"/>
          <w:szCs w:val="20"/>
          <w:color w:val="auto"/>
        </w:rPr>
      </w:pPr>
      <w:r>
        <w:rPr>
          <w:rFonts w:ascii="Arial" w:cs="Arial" w:eastAsia="Arial" w:hAnsi="Arial"/>
          <w:sz w:val="25"/>
          <w:szCs w:val="25"/>
          <w:b w:val="1"/>
          <w:bCs w:val="1"/>
          <w:color w:val="4673B6"/>
        </w:rPr>
        <w:t>NOTES TO CONSOLIDATED FINANCIAL STATEMENTS</w:t>
      </w:r>
    </w:p>
    <w:p>
      <w:pPr>
        <w:sectPr>
          <w:pgSz w:w="11900" w:h="16887" w:orient="portrait"/>
          <w:cols w:equalWidth="0" w:num="1">
            <w:col w:w="10640"/>
          </w:cols>
          <w:pgMar w:left="240" w:top="118" w:right="101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4673B6"/>
        </w:rPr>
        <w:t>SUMMARY OF SIGNIFICANT</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4673B6"/>
        </w:rPr>
        <w:t>ACCOUNTING POLICIES</w:t>
      </w:r>
    </w:p>
    <w:p>
      <w:pPr>
        <w:sectPr>
          <w:pgSz w:w="11900" w:h="16887" w:orient="portrait"/>
          <w:cols w:equalWidth="0" w:num="1">
            <w:col w:w="10640"/>
          </w:cols>
          <w:pgMar w:left="240" w:top="118" w:right="1019" w:bottom="0" w:gutter="0" w:footer="0" w:header="0"/>
          <w:type w:val="continuous"/>
        </w:sectPr>
      </w:pPr>
    </w:p>
    <w:bookmarkStart w:id="31" w:name="page32"/>
    <w:bookmarkEnd w:id="31"/>
    <w:p>
      <w:pPr>
        <w:ind w:left="540" w:hanging="532"/>
        <w:spacing w:after="0" w:line="182" w:lineRule="auto"/>
        <w:tabs>
          <w:tab w:leader="none" w:pos="540" w:val="left"/>
        </w:tabs>
        <w:numPr>
          <w:ilvl w:val="0"/>
          <w:numId w:val="50"/>
        </w:numPr>
        <w:rPr>
          <w:rFonts w:ascii="Arial" w:cs="Arial" w:eastAsia="Arial" w:hAnsi="Arial"/>
          <w:sz w:val="45"/>
          <w:szCs w:val="45"/>
          <w:b w:val="1"/>
          <w:bCs w:val="1"/>
          <w:color w:val="4673B6"/>
          <w:vertAlign w:val="subscript"/>
        </w:rPr>
      </w:pPr>
      <w:r>
        <w:rPr>
          <w:rFonts w:ascii="Arial" w:cs="Arial" w:eastAsia="Arial" w:hAnsi="Arial"/>
          <w:sz w:val="17"/>
          <w:szCs w:val="17"/>
          <w:b w:val="1"/>
          <w:bCs w:val="1"/>
          <w:color w:val="4673B6"/>
        </w:rPr>
        <w:t>AND RELATED DATA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Basis of Presentation and Consolidation</w:t>
      </w:r>
    </w:p>
    <w:p>
      <w:pPr>
        <w:spacing w:after="0" w:line="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The company uses the equity method to account for investments for which it has the ability to exercise significant influence over operating and financial policies. Consolidated net earnings include the company’s share of the net earnings (losses) of these companies. The cost method is used to account for investments in companies that the company does not control and for which it does not have the ability to exercise significant influence over operating and financial policies. In accordance with the cost method, these investments are recorded at cost or fair value, as appropriate. All material intercompany accounts and transactions have been eliminated from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Accounting Estimates</w:t>
      </w:r>
    </w:p>
    <w:p>
      <w:pPr>
        <w:spacing w:after="0" w:line="40"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Reclassifications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prior years’ financial statements have been reclassified to conform to the current year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Cash and Cash Equivalents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 maturity of three months or less to be cash equivalents.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Receivables</w:t>
      </w:r>
    </w:p>
    <w:p>
      <w:pPr>
        <w:spacing w:after="0" w:line="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grants credit to customers in the normal course of business. Management performs on-going credit evaluations of customers and maintains allowances for potential credit losses. Receivables are recorded at original carrying value less reserves for estimated uncollectible accounts.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Inventories</w:t>
      </w:r>
    </w:p>
    <w:p>
      <w:pPr>
        <w:spacing w:after="0" w:line="4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Inventories are valued at the lower of cost or net realizable value with cost determined by the last-in, first-out (LIFO) method for most inventories and the first-in, first-out (FIFO) for other inventories constituting approximately 32 percent and 28 percent of total inventories as of October 31, 2005 and 2004, respectively. The company establishes a reserve for excess, slow-moving, and obsolete inventory that is based on the difference between the cost and estimated market value for that inventory. These reserves are based on a review and comparison of current inventory levels to the planned production as well as planned and historical sales of the inventory.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 as of October 31 were as follows:</w:t>
      </w:r>
    </w:p>
    <w:p>
      <w:pPr>
        <w:spacing w:after="0" w:line="206" w:lineRule="exact"/>
        <w:rPr>
          <w:sz w:val="20"/>
          <w:szCs w:val="20"/>
          <w:color w:val="auto"/>
        </w:rPr>
      </w:pPr>
    </w:p>
    <w:tbl>
      <w:tblPr>
        <w:tblLayout w:type="fixed"/>
        <w:tblInd w:w="3400" w:type="dxa"/>
        <w:tblCellMar>
          <w:top w:w="0" w:type="dxa"/>
          <w:left w:w="0" w:type="dxa"/>
          <w:bottom w:w="0" w:type="dxa"/>
          <w:right w:w="0" w:type="dxa"/>
        </w:tblCellMar>
      </w:tblPr>
      <w:tr>
        <w:trPr>
          <w:trHeight w:val="203"/>
        </w:trPr>
        <w:tc>
          <w:tcPr>
            <w:tcW w:w="2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2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60" w:type="dxa"/>
            <w:vAlign w:val="bottom"/>
            <w:tcBorders>
              <w:bottom w:val="single" w:sz="8" w:color="CCEEFF"/>
            </w:tcBorders>
          </w:tcPr>
          <w:p>
            <w:pPr>
              <w:spacing w:after="0"/>
              <w:rPr>
                <w:sz w:val="17"/>
                <w:szCs w:val="17"/>
                <w:color w:val="auto"/>
              </w:rPr>
            </w:pPr>
          </w:p>
        </w:tc>
      </w:tr>
      <w:tr>
        <w:trPr>
          <w:trHeight w:val="223"/>
        </w:trPr>
        <w:tc>
          <w:tcPr>
            <w:tcW w:w="2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Raw materials and work in progress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61,824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64,169</w:t>
            </w:r>
          </w:p>
        </w:tc>
        <w:tc>
          <w:tcPr>
            <w:tcW w:w="60" w:type="dxa"/>
            <w:vAlign w:val="bottom"/>
            <w:shd w:val="clear" w:color="auto" w:fill="CCEEFF"/>
          </w:tcPr>
          <w:p>
            <w:pPr>
              <w:spacing w:after="0"/>
              <w:rPr>
                <w:sz w:val="19"/>
                <w:szCs w:val="19"/>
                <w:color w:val="auto"/>
              </w:rPr>
            </w:pPr>
          </w:p>
        </w:tc>
      </w:tr>
      <w:tr>
        <w:trPr>
          <w:trHeight w:val="189"/>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Finished goods and service parts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231,772</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210,141</w:t>
            </w:r>
          </w:p>
        </w:tc>
        <w:tc>
          <w:tcPr>
            <w:tcW w:w="60" w:type="dxa"/>
            <w:vAlign w:val="bottom"/>
            <w:tcBorders>
              <w:bottom w:val="single" w:sz="8" w:color="CCEEFF"/>
            </w:tcBorders>
          </w:tcPr>
          <w:p>
            <w:pPr>
              <w:spacing w:after="0"/>
              <w:rPr>
                <w:sz w:val="16"/>
                <w:szCs w:val="16"/>
                <w:color w:val="auto"/>
              </w:rPr>
            </w:pPr>
          </w:p>
        </w:tc>
      </w:tr>
      <w:tr>
        <w:trPr>
          <w:trHeight w:val="183"/>
        </w:trPr>
        <w:tc>
          <w:tcPr>
            <w:tcW w:w="2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293,596</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274,310</w:t>
            </w:r>
          </w:p>
        </w:tc>
        <w:tc>
          <w:tcPr>
            <w:tcW w:w="60" w:type="dxa"/>
            <w:vAlign w:val="bottom"/>
            <w:shd w:val="clear" w:color="auto" w:fill="CCEEFF"/>
          </w:tcPr>
          <w:p>
            <w:pPr>
              <w:spacing w:after="0"/>
              <w:rPr>
                <w:sz w:val="15"/>
                <w:szCs w:val="15"/>
                <w:color w:val="auto"/>
              </w:rPr>
            </w:pPr>
          </w:p>
        </w:tc>
      </w:tr>
      <w:tr>
        <w:trPr>
          <w:trHeight w:val="189"/>
        </w:trPr>
        <w:tc>
          <w:tcPr>
            <w:tcW w:w="2880" w:type="dxa"/>
            <w:vAlign w:val="bottom"/>
          </w:tcPr>
          <w:p>
            <w:pPr>
              <w:spacing w:after="0"/>
              <w:rPr>
                <w:sz w:val="20"/>
                <w:szCs w:val="20"/>
                <w:color w:val="auto"/>
              </w:rPr>
            </w:pPr>
            <w:r>
              <w:rPr>
                <w:rFonts w:ascii="Arial" w:cs="Arial" w:eastAsia="Arial" w:hAnsi="Arial"/>
                <w:sz w:val="14"/>
                <w:szCs w:val="14"/>
                <w:b w:val="1"/>
                <w:bCs w:val="1"/>
                <w:color w:val="auto"/>
              </w:rPr>
              <w:t>Less:  LIFO reserve</w:t>
            </w:r>
          </w:p>
        </w:tc>
        <w:tc>
          <w:tcPr>
            <w:tcW w:w="2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40,011</w:t>
            </w: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30,227</w:t>
            </w:r>
          </w:p>
        </w:tc>
        <w:tc>
          <w:tcPr>
            <w:tcW w:w="60" w:type="dxa"/>
            <w:vAlign w:val="bottom"/>
          </w:tcPr>
          <w:p>
            <w:pPr>
              <w:spacing w:after="0"/>
              <w:rPr>
                <w:sz w:val="16"/>
                <w:szCs w:val="16"/>
                <w:color w:val="auto"/>
              </w:rPr>
            </w:pPr>
          </w:p>
        </w:tc>
      </w:tr>
      <w:tr>
        <w:trPr>
          <w:trHeight w:val="189"/>
        </w:trPr>
        <w:tc>
          <w:tcPr>
            <w:tcW w:w="288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Reserves for excess and obsolete</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b w:val="1"/>
                <w:bCs w:val="1"/>
                <w:color w:val="auto"/>
              </w:rPr>
              <w:t>inventory</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18,238</w:t>
            </w: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16,883</w:t>
            </w:r>
          </w:p>
        </w:tc>
        <w:tc>
          <w:tcPr>
            <w:tcW w:w="60" w:type="dxa"/>
            <w:vAlign w:val="bottom"/>
            <w:shd w:val="clear" w:color="auto" w:fill="CCEEFF"/>
          </w:tcPr>
          <w:p>
            <w:pPr>
              <w:spacing w:after="0"/>
              <w:rPr>
                <w:sz w:val="16"/>
                <w:szCs w:val="16"/>
                <w:color w:val="auto"/>
              </w:rPr>
            </w:pPr>
          </w:p>
        </w:tc>
      </w:tr>
      <w:tr>
        <w:trPr>
          <w:trHeight w:val="223"/>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235,347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227,200</w:t>
            </w:r>
          </w:p>
        </w:tc>
        <w:tc>
          <w:tcPr>
            <w:tcW w:w="60" w:type="dxa"/>
            <w:vAlign w:val="bottom"/>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Property and Depreciation</w:t>
      </w:r>
    </w:p>
    <w:p>
      <w:pPr>
        <w:spacing w:after="0" w:line="40" w:lineRule="exact"/>
        <w:rPr>
          <w:sz w:val="20"/>
          <w:szCs w:val="20"/>
          <w:color w:val="auto"/>
        </w:rPr>
      </w:pPr>
    </w:p>
    <w:p>
      <w:pPr>
        <w:ind w:right="460"/>
        <w:spacing w:after="0" w:line="281" w:lineRule="auto"/>
        <w:rPr>
          <w:sz w:val="20"/>
          <w:szCs w:val="20"/>
          <w:color w:val="auto"/>
        </w:rPr>
      </w:pPr>
      <w:r>
        <w:rPr>
          <w:rFonts w:ascii="Arial" w:cs="Arial" w:eastAsia="Arial" w:hAnsi="Arial"/>
          <w:sz w:val="17"/>
          <w:szCs w:val="17"/>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45 years, and equipment over 3 to 7 years. Tooling costs are generally amortized over 3 to 5 years using the straight-line method. Software and web site development costs are generally amortized over 2 to 5 years utilizing the straight-line method. Expenditures for major renewals and improvements,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2005, 2004, and 2003, the company capitalized $408,000, $446,000, and $493,000 of interest, respectively.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 as of October 31 was as follows:</w:t>
      </w:r>
    </w:p>
    <w:p>
      <w:pPr>
        <w:spacing w:after="0" w:line="206" w:lineRule="exact"/>
        <w:rPr>
          <w:sz w:val="20"/>
          <w:szCs w:val="20"/>
          <w:color w:val="auto"/>
        </w:rPr>
      </w:pPr>
    </w:p>
    <w:tbl>
      <w:tblPr>
        <w:tblLayout w:type="fixed"/>
        <w:tblInd w:w="3400" w:type="dxa"/>
        <w:tblCellMar>
          <w:top w:w="0" w:type="dxa"/>
          <w:left w:w="0" w:type="dxa"/>
          <w:bottom w:w="0" w:type="dxa"/>
          <w:right w:w="0" w:type="dxa"/>
        </w:tblCellMar>
      </w:tblPr>
      <w:tr>
        <w:trPr>
          <w:trHeight w:val="203"/>
        </w:trPr>
        <w:tc>
          <w:tcPr>
            <w:tcW w:w="2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4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60" w:type="dxa"/>
            <w:vAlign w:val="bottom"/>
            <w:tcBorders>
              <w:bottom w:val="single" w:sz="8" w:color="CCEEFF"/>
            </w:tcBorders>
          </w:tcPr>
          <w:p>
            <w:pPr>
              <w:spacing w:after="0"/>
              <w:rPr>
                <w:sz w:val="17"/>
                <w:szCs w:val="17"/>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Land and land improvements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22,445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16,936</w:t>
            </w:r>
          </w:p>
        </w:tc>
        <w:tc>
          <w:tcPr>
            <w:tcW w:w="60" w:type="dxa"/>
            <w:vAlign w:val="bottom"/>
            <w:shd w:val="clear" w:color="auto" w:fill="CCEEFF"/>
          </w:tcPr>
          <w:p>
            <w:pPr>
              <w:spacing w:after="0"/>
              <w:rPr>
                <w:sz w:val="18"/>
                <w:szCs w:val="18"/>
                <w:color w:val="auto"/>
              </w:rPr>
            </w:pPr>
          </w:p>
        </w:tc>
      </w:tr>
      <w:tr>
        <w:trPr>
          <w:trHeight w:val="181"/>
        </w:trPr>
        <w:tc>
          <w:tcPr>
            <w:tcW w:w="2780" w:type="dxa"/>
            <w:vAlign w:val="bottom"/>
          </w:tcPr>
          <w:p>
            <w:pPr>
              <w:spacing w:after="0"/>
              <w:rPr>
                <w:sz w:val="20"/>
                <w:szCs w:val="20"/>
                <w:color w:val="auto"/>
              </w:rPr>
            </w:pPr>
            <w:r>
              <w:rPr>
                <w:rFonts w:ascii="Arial" w:cs="Arial" w:eastAsia="Arial" w:hAnsi="Arial"/>
                <w:sz w:val="13"/>
                <w:szCs w:val="13"/>
                <w:b w:val="1"/>
                <w:bCs w:val="1"/>
                <w:color w:val="auto"/>
              </w:rPr>
              <w:t>Buildings and leasehold improvements</w:t>
            </w:r>
          </w:p>
        </w:tc>
        <w:tc>
          <w:tcPr>
            <w:tcW w:w="460" w:type="dxa"/>
            <w:vAlign w:val="bottom"/>
          </w:tcPr>
          <w:p>
            <w:pPr>
              <w:spacing w:after="0"/>
              <w:rPr>
                <w:sz w:val="15"/>
                <w:szCs w:val="15"/>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b w:val="1"/>
                <w:bCs w:val="1"/>
                <w:color w:val="auto"/>
              </w:rPr>
              <w:t>108,033</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105,655</w:t>
            </w:r>
          </w:p>
        </w:tc>
        <w:tc>
          <w:tcPr>
            <w:tcW w:w="60" w:type="dxa"/>
            <w:vAlign w:val="bottom"/>
          </w:tcPr>
          <w:p>
            <w:pPr>
              <w:spacing w:after="0"/>
              <w:rPr>
                <w:sz w:val="15"/>
                <w:szCs w:val="15"/>
                <w:color w:val="auto"/>
              </w:rPr>
            </w:pPr>
          </w:p>
        </w:tc>
      </w:tr>
      <w:tr>
        <w:trPr>
          <w:trHeight w:val="191"/>
        </w:trPr>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Equipment</w:t>
            </w:r>
          </w:p>
        </w:tc>
        <w:tc>
          <w:tcPr>
            <w:tcW w:w="4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376,406</w:t>
            </w: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353,526</w:t>
            </w:r>
          </w:p>
        </w:tc>
        <w:tc>
          <w:tcPr>
            <w:tcW w:w="60" w:type="dxa"/>
            <w:vAlign w:val="bottom"/>
            <w:shd w:val="clear" w:color="auto" w:fill="CCEEFF"/>
          </w:tcPr>
          <w:p>
            <w:pPr>
              <w:spacing w:after="0"/>
              <w:rPr>
                <w:sz w:val="16"/>
                <w:szCs w:val="16"/>
                <w:color w:val="auto"/>
              </w:rPr>
            </w:pPr>
          </w:p>
        </w:tc>
      </w:tr>
      <w:tr>
        <w:trPr>
          <w:trHeight w:val="181"/>
        </w:trPr>
        <w:tc>
          <w:tcPr>
            <w:tcW w:w="2780" w:type="dxa"/>
            <w:vAlign w:val="bottom"/>
          </w:tcPr>
          <w:p>
            <w:pPr>
              <w:spacing w:after="0"/>
              <w:rPr>
                <w:sz w:val="20"/>
                <w:szCs w:val="20"/>
                <w:color w:val="auto"/>
              </w:rPr>
            </w:pPr>
            <w:r>
              <w:rPr>
                <w:rFonts w:ascii="Arial" w:cs="Arial" w:eastAsia="Arial" w:hAnsi="Arial"/>
                <w:sz w:val="13"/>
                <w:szCs w:val="13"/>
                <w:b w:val="1"/>
                <w:bCs w:val="1"/>
                <w:color w:val="auto"/>
              </w:rPr>
              <w:t>Subtotal</w:t>
            </w:r>
          </w:p>
        </w:tc>
        <w:tc>
          <w:tcPr>
            <w:tcW w:w="460" w:type="dxa"/>
            <w:vAlign w:val="bottom"/>
          </w:tcPr>
          <w:p>
            <w:pPr>
              <w:spacing w:after="0"/>
              <w:rPr>
                <w:sz w:val="15"/>
                <w:szCs w:val="15"/>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b w:val="1"/>
                <w:bCs w:val="1"/>
                <w:color w:val="auto"/>
              </w:rPr>
              <w:t>506,884</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476,117</w:t>
            </w:r>
          </w:p>
        </w:tc>
        <w:tc>
          <w:tcPr>
            <w:tcW w:w="60" w:type="dxa"/>
            <w:vAlign w:val="bottom"/>
          </w:tcPr>
          <w:p>
            <w:pPr>
              <w:spacing w:after="0"/>
              <w:rPr>
                <w:sz w:val="15"/>
                <w:szCs w:val="15"/>
                <w:color w:val="auto"/>
              </w:rPr>
            </w:pPr>
          </w:p>
        </w:tc>
      </w:tr>
      <w:tr>
        <w:trPr>
          <w:trHeight w:val="191"/>
        </w:trPr>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Less: accumulated depreciation</w:t>
            </w:r>
          </w:p>
        </w:tc>
        <w:tc>
          <w:tcPr>
            <w:tcW w:w="4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339,607</w:t>
            </w: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311,452</w:t>
            </w:r>
          </w:p>
        </w:tc>
        <w:tc>
          <w:tcPr>
            <w:tcW w:w="60" w:type="dxa"/>
            <w:vAlign w:val="bottom"/>
            <w:shd w:val="clear" w:color="auto" w:fill="CCEEFF"/>
          </w:tcPr>
          <w:p>
            <w:pPr>
              <w:spacing w:after="0"/>
              <w:rPr>
                <w:sz w:val="16"/>
                <w:szCs w:val="16"/>
                <w:color w:val="auto"/>
              </w:rPr>
            </w:pPr>
          </w:p>
        </w:tc>
      </w:tr>
      <w:tr>
        <w:trPr>
          <w:trHeight w:val="210"/>
        </w:trPr>
        <w:tc>
          <w:tcPr>
            <w:tcW w:w="2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Total property, plant, and equipment, net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167,277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164,665</w:t>
            </w:r>
          </w:p>
        </w:tc>
        <w:tc>
          <w:tcPr>
            <w:tcW w:w="60" w:type="dxa"/>
            <w:vAlign w:val="bottom"/>
          </w:tcPr>
          <w:p>
            <w:pPr>
              <w:spacing w:after="0"/>
              <w:rPr>
                <w:sz w:val="18"/>
                <w:szCs w:val="18"/>
                <w:color w:val="auto"/>
              </w:rPr>
            </w:pPr>
          </w:p>
        </w:tc>
      </w:tr>
    </w:tbl>
    <w:p>
      <w:pPr>
        <w:spacing w:after="0" w:line="175" w:lineRule="exact"/>
        <w:rPr>
          <w:sz w:val="20"/>
          <w:szCs w:val="20"/>
          <w:color w:val="auto"/>
        </w:rPr>
      </w:pPr>
    </w:p>
    <w:p>
      <w:pPr>
        <w:ind w:right="440" w:firstLine="180"/>
        <w:spacing w:after="0" w:line="277" w:lineRule="auto"/>
        <w:rPr>
          <w:sz w:val="20"/>
          <w:szCs w:val="20"/>
          <w:color w:val="auto"/>
        </w:rPr>
      </w:pPr>
      <w:r>
        <w:rPr>
          <w:rFonts w:ascii="Arial" w:cs="Arial" w:eastAsia="Arial" w:hAnsi="Arial"/>
          <w:sz w:val="18"/>
          <w:szCs w:val="18"/>
          <w:color w:val="auto"/>
        </w:rPr>
        <w:t>During fiscal years 2005, 2004, and 2003, the company recorded depreciation expense of $41,579,000, $34,959,000, and $33,054,000,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Goodwill and Other Intangible Assets</w:t>
      </w:r>
    </w:p>
    <w:p>
      <w:pPr>
        <w:spacing w:after="0" w:line="40" w:lineRule="exact"/>
        <w:rPr>
          <w:sz w:val="20"/>
          <w:szCs w:val="20"/>
          <w:color w:val="auto"/>
        </w:rPr>
      </w:pPr>
    </w:p>
    <w:p>
      <w:pPr>
        <w:jc w:val="both"/>
        <w:ind w:right="660"/>
        <w:spacing w:after="0" w:line="308" w:lineRule="auto"/>
        <w:rPr>
          <w:sz w:val="20"/>
          <w:szCs w:val="20"/>
          <w:color w:val="auto"/>
        </w:rPr>
      </w:pPr>
      <w:r>
        <w:rPr>
          <w:rFonts w:ascii="Arial" w:cs="Arial" w:eastAsia="Arial" w:hAnsi="Arial"/>
          <w:sz w:val="17"/>
          <w:szCs w:val="17"/>
          <w:color w:val="auto"/>
        </w:rPr>
        <w:t>Goodwill represents the excess of the purchase price over the fair value of net assets of businesses acquired and accounted for by the purchase method of accounting. Statement of Financial Accounting Standards (SFAS) No. 142, “Goodwill and Other Intangible Assets,”</w:t>
      </w:r>
    </w:p>
    <w:p>
      <w:pPr>
        <w:sectPr>
          <w:pgSz w:w="11900" w:h="16838" w:orient="portrait"/>
          <w:cols w:equalWidth="0" w:num="1">
            <w:col w:w="11420"/>
          </w:cols>
          <w:pgMar w:left="240" w:top="0" w:right="239" w:bottom="111"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0" w:right="239" w:bottom="111" w:gutter="0" w:footer="0" w:header="0"/>
          <w:type w:val="continuous"/>
        </w:sectPr>
      </w:pPr>
    </w:p>
    <w:bookmarkStart w:id="32" w:name="page33"/>
    <w:bookmarkEnd w:id="32"/>
    <w:p>
      <w:pPr>
        <w:ind w:right="660"/>
        <w:spacing w:after="0" w:line="266" w:lineRule="auto"/>
        <w:rPr>
          <w:sz w:val="20"/>
          <w:szCs w:val="20"/>
          <w:color w:val="auto"/>
        </w:rPr>
      </w:pPr>
      <w:r>
        <w:rPr>
          <w:rFonts w:ascii="Arial" w:cs="Arial" w:eastAsia="Arial" w:hAnsi="Arial"/>
          <w:sz w:val="18"/>
          <w:szCs w:val="18"/>
          <w:color w:val="auto"/>
        </w:rPr>
        <w:t>requires that goodwill and certain other tangible assets having indefinite lives no longer be amortized, but instead be tested annually for impairment or more frequently if events suggest the remaining value may not be recoverable.</w:t>
      </w:r>
    </w:p>
    <w:p>
      <w:pPr>
        <w:ind w:firstLine="180"/>
        <w:spacing w:after="0" w:line="277" w:lineRule="auto"/>
        <w:rPr>
          <w:sz w:val="20"/>
          <w:szCs w:val="20"/>
          <w:color w:val="auto"/>
        </w:rPr>
      </w:pPr>
      <w:r>
        <w:rPr>
          <w:rFonts w:ascii="Arial" w:cs="Arial" w:eastAsia="Arial" w:hAnsi="Arial"/>
          <w:sz w:val="18"/>
          <w:szCs w:val="18"/>
          <w:color w:val="auto"/>
        </w:rPr>
        <w:t>Other intangible assets with determinable lives consist primarily of patents and non-compete agreements that are amortized on a straight-line basis over periods ranging from two to 12 years.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Impairment of Long-Lived and Intangible Assets</w:t>
      </w:r>
    </w:p>
    <w:p>
      <w:pPr>
        <w:spacing w:after="0" w:line="40" w:lineRule="exact"/>
        <w:rPr>
          <w:sz w:val="20"/>
          <w:szCs w:val="20"/>
          <w:color w:val="auto"/>
        </w:rPr>
      </w:pPr>
    </w:p>
    <w:p>
      <w:pPr>
        <w:jc w:val="both"/>
        <w:ind w:right="400"/>
        <w:spacing w:after="0" w:line="270" w:lineRule="auto"/>
        <w:rPr>
          <w:sz w:val="20"/>
          <w:szCs w:val="20"/>
          <w:color w:val="auto"/>
        </w:rPr>
      </w:pPr>
      <w:r>
        <w:rPr>
          <w:rFonts w:ascii="Arial" w:cs="Arial" w:eastAsia="Arial" w:hAnsi="Arial"/>
          <w:sz w:val="18"/>
          <w:szCs w:val="18"/>
          <w:color w:val="auto"/>
        </w:rPr>
        <w:t>The company reviews long-lived assets, including intangible assets and goodwill, for impairment annually or more frequently if changes in circumstances or the occurrence of events suggest the remaining value may not be recoverable. An asset is deemed impaired and written down to its fair value if estimated related future cash flows are less than its carrying value. Based on the company’s annual analysis during fiscal 2005, no long-lived assets, goodwill, or other intangible assets were deemed impaired.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Accrued Warranties</w:t>
      </w:r>
    </w:p>
    <w:p>
      <w:pPr>
        <w:spacing w:after="0" w:line="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provides an accrual for estimated future warranty costs at the time of sale. The amount of the liability is based upon the historical relationship of warranty claims to sales by product line and major rework campaigns. The changes in warranty reserves were as follows:</w:t>
      </w:r>
    </w:p>
    <w:p>
      <w:pPr>
        <w:spacing w:after="0" w:line="165" w:lineRule="exact"/>
        <w:rPr>
          <w:sz w:val="20"/>
          <w:szCs w:val="20"/>
          <w:color w:val="auto"/>
        </w:rPr>
      </w:pPr>
    </w:p>
    <w:tbl>
      <w:tblPr>
        <w:tblLayout w:type="fixed"/>
        <w:tblInd w:w="3400" w:type="dxa"/>
        <w:tblCellMar>
          <w:top w:w="0" w:type="dxa"/>
          <w:left w:w="0" w:type="dxa"/>
          <w:bottom w:w="0" w:type="dxa"/>
          <w:right w:w="0" w:type="dxa"/>
        </w:tblCellMar>
      </w:tblPr>
      <w:tr>
        <w:trPr>
          <w:trHeight w:val="204"/>
        </w:trPr>
        <w:tc>
          <w:tcPr>
            <w:tcW w:w="25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32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3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Beginning Balance</w:t>
            </w:r>
          </w:p>
        </w:tc>
        <w:tc>
          <w:tcPr>
            <w:tcW w:w="1320" w:type="dxa"/>
            <w:vAlign w:val="bottom"/>
            <w:shd w:val="clear" w:color="auto" w:fill="CCEEFF"/>
          </w:tcPr>
          <w:p>
            <w:pPr>
              <w:jc w:val="right"/>
              <w:ind w:right="9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60,988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20" w:type="dxa"/>
            <w:vAlign w:val="bottom"/>
          </w:tcPr>
          <w:p>
            <w:pPr>
              <w:spacing w:after="0"/>
              <w:rPr>
                <w:sz w:val="20"/>
                <w:szCs w:val="20"/>
                <w:color w:val="auto"/>
              </w:rPr>
            </w:pPr>
            <w:r>
              <w:rPr>
                <w:rFonts w:ascii="Arial" w:cs="Arial" w:eastAsia="Arial" w:hAnsi="Arial"/>
                <w:sz w:val="14"/>
                <w:szCs w:val="14"/>
                <w:b w:val="1"/>
                <w:bCs w:val="1"/>
                <w:color w:val="auto"/>
              </w:rPr>
              <w:t>Warranty provisions</w:t>
            </w:r>
          </w:p>
        </w:tc>
        <w:tc>
          <w:tcPr>
            <w:tcW w:w="1320" w:type="dxa"/>
            <w:vAlign w:val="bottom"/>
          </w:tcPr>
          <w:p>
            <w:pPr>
              <w:jc w:val="right"/>
              <w:ind w:right="90"/>
              <w:spacing w:after="0"/>
              <w:rPr>
                <w:sz w:val="20"/>
                <w:szCs w:val="20"/>
                <w:color w:val="auto"/>
              </w:rPr>
            </w:pPr>
            <w:r>
              <w:rPr>
                <w:rFonts w:ascii="Arial" w:cs="Arial" w:eastAsia="Arial" w:hAnsi="Arial"/>
                <w:sz w:val="14"/>
                <w:szCs w:val="14"/>
                <w:b w:val="1"/>
                <w:bCs w:val="1"/>
                <w:color w:val="auto"/>
              </w:rPr>
              <w:t>40,494</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42,304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Warranty claims</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(39,984)</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(42,494)</w:t>
            </w:r>
          </w:p>
        </w:tc>
        <w:tc>
          <w:tcPr>
            <w:tcW w:w="0" w:type="dxa"/>
            <w:vAlign w:val="bottom"/>
          </w:tcPr>
          <w:p>
            <w:pPr>
              <w:spacing w:after="0"/>
              <w:rPr>
                <w:sz w:val="1"/>
                <w:szCs w:val="1"/>
                <w:color w:val="auto"/>
              </w:rPr>
            </w:pPr>
          </w:p>
        </w:tc>
      </w:tr>
      <w:tr>
        <w:trPr>
          <w:trHeight w:val="189"/>
        </w:trPr>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Changes in estimates</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(113)</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Ending Balance</w:t>
            </w:r>
          </w:p>
        </w:tc>
        <w:tc>
          <w:tcPr>
            <w:tcW w:w="1320" w:type="dxa"/>
            <w:vAlign w:val="bottom"/>
            <w:tcBorders>
              <w:bottom w:val="single" w:sz="8" w:color="auto"/>
            </w:tcBorders>
            <w:shd w:val="clear" w:color="auto" w:fill="CCEEFF"/>
          </w:tcPr>
          <w:p>
            <w:pPr>
              <w:jc w:val="right"/>
              <w:ind w:right="9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61,385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60,988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Insurance</w:t>
      </w:r>
    </w:p>
    <w:p>
      <w:pPr>
        <w:spacing w:after="0" w:line="4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company is self-insured for certain losses relating to medical, dental, workers’ compensation, and product liability claims. Specific stop loss coverages are provided for catastrophic claims in order to limit exposure to significant claims. Losses and claims are charged to operations when it is probable a loss has been incurred and the amount can be reasonably estimated. Accrued insurance liabilities are based on claims filed and estimates of claims incurred but not reported.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Derivatives</w:t>
      </w:r>
    </w:p>
    <w:p>
      <w:pPr>
        <w:spacing w:after="0" w:line="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Derivatives, consisting mainly of foreign currency exchange contracts, are used to hedge most foreign currency transactions and forecasted sales and purchases denominated in foreign currencies. Derivatives are recognized on the balance sheet at fair value. If the derivative is designated as a cash flow hedge, the effective portion of the change in the fair value of the derivative is recorded to a separate component of stockholders’ equity, captioned accumulated other comprehensive loss, and recognized in earnings when the hedged item affects earnings. Derivatives that do not meet the requirements for hedge accounting are adjusted to fair value through other income, net on the consolidated statements of earnings.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Foreign Currency Translation and Transactions</w:t>
      </w:r>
    </w:p>
    <w:p>
      <w:pPr>
        <w:spacing w:after="0" w:line="40"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functional currency of the company’s foreign operations is the applicable local currency. The functional currency is translated into U.S. dollars for balance sheet accounts using current exchange rates in effect as of the balance sheet date and for revenue and expense accounts using a weighted average exchange rate during the fiscal year. The translation adjustments are deferred as a separate component of stockholders’ equity, captioned accumulated other comprehensive loss. Gains or losses resulting from transactions denominated in foreign currencies are included in other income, net on the consolidated statements of earnings.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Income Taxes</w:t>
      </w:r>
    </w:p>
    <w:p>
      <w:pPr>
        <w:spacing w:after="0" w:line="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in the period that includes the enactment date. The company has reflected the necessary deferred tax assets and liabilities in the accompanying consolidated balance sheets. Management believes the future tax deductions will be realized principally through carryback to taxable income in prior years, future reversals of existing taxable temporary differences, and future taxable income.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Revenue Recognition</w:t>
      </w:r>
    </w:p>
    <w:p>
      <w:pPr>
        <w:spacing w:after="0" w:line="4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Toro recognizes revenue when persuasive evidence of an arrangement exists, title and risk of ownership passes, the sales price is fixed or determinable, and collectibility is probable. Generally, these criteria are met at the time product is shipped. A provision is made at the time the related revenue is recognized for estimated product returns, cost of product warranties, floor plan costs, price protection, and other sales promotional expenses.</w:t>
      </w:r>
    </w:p>
    <w:p>
      <w:pPr>
        <w:spacing w:after="0" w:line="1" w:lineRule="exact"/>
        <w:rPr>
          <w:sz w:val="20"/>
          <w:szCs w:val="20"/>
          <w:color w:val="auto"/>
        </w:rPr>
      </w:pPr>
    </w:p>
    <w:p>
      <w:pPr>
        <w:ind w:right="40" w:firstLine="180"/>
        <w:spacing w:after="0" w:line="269" w:lineRule="auto"/>
        <w:rPr>
          <w:sz w:val="20"/>
          <w:szCs w:val="20"/>
          <w:color w:val="auto"/>
        </w:rPr>
      </w:pPr>
      <w:r>
        <w:rPr>
          <w:rFonts w:ascii="Arial" w:cs="Arial" w:eastAsia="Arial" w:hAnsi="Arial"/>
          <w:sz w:val="18"/>
          <w:szCs w:val="18"/>
          <w:color w:val="auto"/>
        </w:rPr>
        <w:t>Retail customers may obtain financing through a third-party financing company to assist in their purchase of the company’s products. Most of these leases are classified as sales-type leases. However, based on the terms and conditions of the financing agreements, some transactions are classified as operating leases, which results in recognition of revenue over the lease term on a straight-line basis. Revenue earned from services and maintenance contracts is recognized ratably over the contractual period. Revenue from extended warranty programs is deferred at the time the contract is sold and amortized into net sales using the straight-line method over the extended warranty period.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Shipping and Handling</w:t>
      </w:r>
    </w:p>
    <w:p>
      <w:pPr>
        <w:sectPr>
          <w:pgSz w:w="11900" w:h="16838" w:orient="portrait"/>
          <w:cols w:equalWidth="0" w:num="1">
            <w:col w:w="11420"/>
          </w:cols>
          <w:pgMar w:left="240" w:top="395" w:right="239" w:bottom="0" w:gutter="0" w:footer="0" w:header="0"/>
        </w:sectPr>
      </w:pPr>
    </w:p>
    <w:p>
      <w:pPr>
        <w:spacing w:after="0" w:line="4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Freight revenue billed to customers is included in net sales, and expenses incurred for shipping products to customers are included in cost of sales.</w:t>
      </w:r>
    </w:p>
    <w:p>
      <w:pPr>
        <w:sectPr>
          <w:pgSz w:w="11900" w:h="16838" w:orient="portrait"/>
          <w:cols w:equalWidth="0" w:num="1">
            <w:col w:w="11420"/>
          </w:cols>
          <w:pgMar w:left="240" w:top="395" w:right="239" w:bottom="0" w:gutter="0" w:footer="0" w:header="0"/>
          <w:type w:val="continuous"/>
        </w:sectPr>
      </w:pPr>
    </w:p>
    <w:bookmarkStart w:id="33" w:name="page34"/>
    <w:bookmarkEnd w:id="33"/>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Sales Promotions and Incentives</w:t>
      </w:r>
    </w:p>
    <w:p>
      <w:pPr>
        <w:spacing w:after="0" w:line="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the time of sale, the company records an estimate for sales promotion and incentive costs. Examples of sales promotion and incentive programs include limited price protection on certain professional products sold to distributors based on the ultimate resale price to the end-user customer, volume discounts, retail financing support, cooperative advertising, commissions, and other sales discounts and promotional programs. The estimates of sales promotion and incentive costs are based on the terms of the arrangements with customers, historical payment experience, field inventory levels, volume purchases, and expectations for changes in relevant trends in the future. The expense of each program is either classified as a reduction of net sales or as a component of selling, general, and administrative expense.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Cost of Financing Distributor/Dealer Inventory</w:t>
      </w:r>
    </w:p>
    <w:p>
      <w:pPr>
        <w:spacing w:after="0" w:line="40"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color w:val="auto"/>
        </w:rPr>
        <w:t>The company enters into inventory repurchase agreements with third party financing companies. The company has repurchased immaterial amounts of inventory from third party financing companies over the last three fiscal years. However, an adverse change in retail sales could cause this situation to change and thereby require Toro to repurchase financed product. See Note 13 for additional information regarding the company’s repurchase arrangements.</w:t>
      </w:r>
    </w:p>
    <w:p>
      <w:pPr>
        <w:spacing w:after="0" w:line="1" w:lineRule="exact"/>
        <w:rPr>
          <w:sz w:val="20"/>
          <w:szCs w:val="20"/>
          <w:color w:val="auto"/>
        </w:rPr>
      </w:pPr>
    </w:p>
    <w:p>
      <w:pPr>
        <w:ind w:right="140" w:firstLine="180"/>
        <w:spacing w:after="0" w:line="269" w:lineRule="auto"/>
        <w:rPr>
          <w:sz w:val="20"/>
          <w:szCs w:val="20"/>
          <w:color w:val="auto"/>
        </w:rPr>
      </w:pPr>
      <w:r>
        <w:rPr>
          <w:rFonts w:ascii="Arial" w:cs="Arial" w:eastAsia="Arial" w:hAnsi="Arial"/>
          <w:sz w:val="18"/>
          <w:szCs w:val="18"/>
          <w:color w:val="auto"/>
        </w:rPr>
        <w:t>Included in net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a third party financing source to finance distributor and dealer inventory purchases. These financing arrangements are used by the company as a marketing tool to assist customers to buy inventory. The financing costs for distributor and dealer inventories were $11,866,000, $10,521,000, and $9,405,000 for the fiscal years ended October 31, 2005, 2004, and 2003,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Advertising</w:t>
      </w:r>
    </w:p>
    <w:p>
      <w:pPr>
        <w:spacing w:after="0" w:line="4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General advertising expenditures and the related production costs are expensed in the period incurred or the first time advertising takes place. Cooperative advertising represents expenditures for shared advertising costs that the company reimburses to customers. These obligations are accrued and expensed when the related revenues are recognized in accordance with the programs established for various product lines. Advertising costs were $42,827,000, $38,115,000, and $37,279,000 for the fiscal years ended October 31, 2005, 2004, and 2003,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Stock-Based Compensation</w:t>
      </w:r>
    </w:p>
    <w:p>
      <w:pPr>
        <w:spacing w:after="0" w:line="4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Effective November 1, 2004, the company adopted the provisions of SFAS No. 123 (Revised 2004), “Share-Based Payment.” The company adopted the provisions of SFAS No. 123R using the modified prospective application, which applies to new awards granted, unvested awards as of the date of adoption, and to awards modified, repurchased or cancelled after the date of adoption. SFAS No. 123R focuses primarily on accounting for transactions in which an entity obtains employee services through stock-based payment transactions. SFAS No. 123R requires measurement of the cost of employee services received in exchange for the award of equity instruments based on the fair value of the award as of the date of grant. The company’s stock- based compensation awards include performance shares issued to key employees that are contingent on the achievement of performance goals of the company as well as non-qualified options.</w:t>
      </w:r>
    </w:p>
    <w:p>
      <w:pPr>
        <w:spacing w:after="0" w:line="1"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The company had previously accounted for these stock-based compensation awards under the recognition and measurement principles of Accounting Principles Board Opinion No. 25, “Accounting for Stock Issued to Employees,” (APB No. 25), and related Interpretations. This method defined the cost for stock-based awards as the excess of the stock’s market value at the time of grant over the amount that the employee is required to pay. Since the company’s stock option awards were granted based on the underlying stock’s market value as of the date of grant, no compensation expense was recognized under the provisions of APB No. 25. However, the change in value of the performance shares (based on the change in Toro’s stock price) was recognized in the consolidated financial statements and the cost of the award was expensed over the vesting period under the provisions of APB No. 25.</w:t>
      </w:r>
    </w:p>
    <w:p>
      <w:pPr>
        <w:spacing w:after="0" w:line="1" w:lineRule="exact"/>
        <w:rPr>
          <w:sz w:val="20"/>
          <w:szCs w:val="20"/>
          <w:color w:val="auto"/>
        </w:rPr>
      </w:pPr>
    </w:p>
    <w:p>
      <w:pPr>
        <w:ind w:right="380" w:firstLine="180"/>
        <w:spacing w:after="0" w:line="277" w:lineRule="auto"/>
        <w:rPr>
          <w:sz w:val="20"/>
          <w:szCs w:val="20"/>
          <w:color w:val="auto"/>
        </w:rPr>
      </w:pPr>
      <w:r>
        <w:rPr>
          <w:rFonts w:ascii="Arial" w:cs="Arial" w:eastAsia="Arial" w:hAnsi="Arial"/>
          <w:sz w:val="18"/>
          <w:szCs w:val="18"/>
          <w:color w:val="auto"/>
        </w:rPr>
        <w:t>Had stock-based compensation costs been recorded at fair value consistent with the provisions of SFAS No. 123R, net earnings and net earnings per share would have been the following pro forma amounts:</w:t>
      </w:r>
    </w:p>
    <w:p>
      <w:pPr>
        <w:spacing w:after="0" w:line="165" w:lineRule="exact"/>
        <w:rPr>
          <w:sz w:val="20"/>
          <w:szCs w:val="20"/>
          <w:color w:val="auto"/>
        </w:rPr>
      </w:pPr>
    </w:p>
    <w:tbl>
      <w:tblPr>
        <w:tblLayout w:type="fixed"/>
        <w:tblInd w:w="3080" w:type="dxa"/>
        <w:tblCellMar>
          <w:top w:w="0" w:type="dxa"/>
          <w:left w:w="0" w:type="dxa"/>
          <w:bottom w:w="0" w:type="dxa"/>
          <w:right w:w="0" w:type="dxa"/>
        </w:tblCellMar>
      </w:tblPr>
      <w:tr>
        <w:trPr>
          <w:trHeight w:val="204"/>
        </w:trPr>
        <w:tc>
          <w:tcPr>
            <w:tcW w:w="29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 except per share data)</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2004</w:t>
            </w: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earnings, as reported</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114,082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102,666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4"/>
                <w:szCs w:val="14"/>
                <w:b w:val="1"/>
                <w:bCs w:val="1"/>
                <w:color w:val="auto"/>
              </w:rPr>
              <w:t>Stock-based compensation cost, net of</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tax, included in net earnings</w:t>
            </w:r>
          </w:p>
        </w:tc>
        <w:tc>
          <w:tcPr>
            <w:tcW w:w="18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9,311</w:t>
            </w:r>
          </w:p>
        </w:tc>
        <w:tc>
          <w:tcPr>
            <w:tcW w:w="14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10,791</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6,644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Stock-based compensation cost, net of</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tax, if fair value method had been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applied</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(9,311)</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(8,582)</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(6,892)</w:t>
            </w:r>
          </w:p>
        </w:tc>
        <w:tc>
          <w:tcPr>
            <w:tcW w:w="0" w:type="dxa"/>
            <w:vAlign w:val="bottom"/>
          </w:tcPr>
          <w:p>
            <w:pPr>
              <w:spacing w:after="0"/>
              <w:rPr>
                <w:sz w:val="1"/>
                <w:szCs w:val="1"/>
                <w:color w:val="auto"/>
              </w:rPr>
            </w:pPr>
          </w:p>
        </w:tc>
      </w:tr>
      <w:tr>
        <w:trPr>
          <w:trHeight w:val="183"/>
        </w:trPr>
        <w:tc>
          <w:tcPr>
            <w:tcW w:w="29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Pro forma net earnings as if fair value</w:t>
            </w: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114,082</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104,875</w:t>
            </w: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81,372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method had been applied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earnings per share data:</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As reported – Basic</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2.55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Pro forma – Basic</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2.55</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As reported – Diluted</w:t>
            </w:r>
          </w:p>
        </w:tc>
        <w:tc>
          <w:tcPr>
            <w:tcW w:w="18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2.45</w:t>
            </w:r>
          </w:p>
        </w:tc>
        <w:tc>
          <w:tcPr>
            <w:tcW w:w="14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2.02</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Pro forma – Diluted</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2.45</w:t>
            </w: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80" w:firstLine="180"/>
        <w:spacing w:after="0" w:line="271" w:lineRule="auto"/>
        <w:rPr>
          <w:sz w:val="20"/>
          <w:szCs w:val="20"/>
          <w:color w:val="auto"/>
        </w:rPr>
      </w:pPr>
      <w:r>
        <w:rPr>
          <w:rFonts w:ascii="Arial" w:cs="Arial" w:eastAsia="Arial" w:hAnsi="Arial"/>
          <w:sz w:val="18"/>
          <w:szCs w:val="18"/>
          <w:color w:val="auto"/>
        </w:rPr>
        <w:t>The following table illustrates the effect on the company’s earnings, net earnings, and basic and diluted net earnings per share if the company had applied the original provisions of APB No. 25 and related interpretations on the company’s financial statements for fiscal 2005 instead of SFAS No. 123R.</w:t>
      </w:r>
    </w:p>
    <w:p>
      <w:pPr>
        <w:spacing w:after="0" w:line="171" w:lineRule="exact"/>
        <w:rPr>
          <w:sz w:val="20"/>
          <w:szCs w:val="20"/>
          <w:color w:val="auto"/>
        </w:rPr>
      </w:pPr>
    </w:p>
    <w:tbl>
      <w:tblPr>
        <w:tblLayout w:type="fixed"/>
        <w:tblInd w:w="3020" w:type="dxa"/>
        <w:tblCellMar>
          <w:top w:w="0" w:type="dxa"/>
          <w:left w:w="0" w:type="dxa"/>
          <w:bottom w:w="0" w:type="dxa"/>
          <w:right w:w="0" w:type="dxa"/>
        </w:tblCellMar>
      </w:tblPr>
      <w:tr>
        <w:trPr>
          <w:trHeight w:val="204"/>
        </w:trPr>
        <w:tc>
          <w:tcPr>
            <w:tcW w:w="28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Increase</w:t>
            </w:r>
          </w:p>
        </w:tc>
        <w:tc>
          <w:tcPr>
            <w:tcW w:w="80" w:type="dxa"/>
            <w:vAlign w:val="bottom"/>
          </w:tcPr>
          <w:p>
            <w:pPr>
              <w:spacing w:after="0"/>
              <w:rPr>
                <w:sz w:val="17"/>
                <w:szCs w:val="17"/>
                <w:color w:val="auto"/>
              </w:rPr>
            </w:pPr>
          </w:p>
        </w:tc>
      </w:tr>
      <w:tr>
        <w:trPr>
          <w:trHeight w:val="189"/>
        </w:trPr>
        <w:tc>
          <w:tcPr>
            <w:tcW w:w="2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(Decrease)</w:t>
            </w:r>
          </w:p>
        </w:tc>
      </w:tr>
      <w:tr>
        <w:trPr>
          <w:trHeight w:val="189"/>
        </w:trPr>
        <w:tc>
          <w:tcPr>
            <w:tcW w:w="2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Impact of</w:t>
            </w:r>
          </w:p>
        </w:tc>
      </w:tr>
      <w:tr>
        <w:trPr>
          <w:trHeight w:val="189"/>
        </w:trPr>
        <w:tc>
          <w:tcPr>
            <w:tcW w:w="2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Adopting</w:t>
            </w:r>
          </w:p>
        </w:tc>
      </w:tr>
      <w:tr>
        <w:trPr>
          <w:trHeight w:val="189"/>
        </w:trPr>
        <w:tc>
          <w:tcPr>
            <w:tcW w:w="2860" w:type="dxa"/>
            <w:vAlign w:val="bottom"/>
          </w:tcPr>
          <w:p>
            <w:pPr>
              <w:spacing w:after="0"/>
              <w:rPr>
                <w:sz w:val="20"/>
                <w:szCs w:val="20"/>
                <w:color w:val="auto"/>
              </w:rPr>
            </w:pPr>
            <w:r>
              <w:rPr>
                <w:rFonts w:ascii="Arial" w:cs="Arial" w:eastAsia="Arial" w:hAnsi="Arial"/>
                <w:sz w:val="14"/>
                <w:szCs w:val="14"/>
                <w:color w:val="auto"/>
              </w:rPr>
              <w:t>(Dollars in thousands, except per share data)</w:t>
            </w:r>
          </w:p>
        </w:tc>
        <w:tc>
          <w:tcPr>
            <w:tcW w:w="820" w:type="dxa"/>
            <w:vAlign w:val="bottom"/>
          </w:tcPr>
          <w:p>
            <w:pPr>
              <w:jc w:val="right"/>
              <w:spacing w:after="0"/>
              <w:rPr>
                <w:sz w:val="20"/>
                <w:szCs w:val="20"/>
                <w:color w:val="auto"/>
              </w:rPr>
            </w:pPr>
            <w:r>
              <w:rPr>
                <w:rFonts w:ascii="Arial" w:cs="Arial" w:eastAsia="Arial" w:hAnsi="Arial"/>
                <w:sz w:val="14"/>
                <w:szCs w:val="14"/>
                <w:color w:val="auto"/>
              </w:rPr>
              <w:t>As</w:t>
            </w:r>
          </w:p>
        </w:tc>
        <w:tc>
          <w:tcPr>
            <w:tcW w:w="840" w:type="dxa"/>
            <w:vAlign w:val="bottom"/>
          </w:tcPr>
          <w:p>
            <w:pPr>
              <w:jc w:val="right"/>
              <w:spacing w:after="0"/>
              <w:rPr>
                <w:sz w:val="20"/>
                <w:szCs w:val="20"/>
                <w:color w:val="auto"/>
              </w:rPr>
            </w:pPr>
            <w:r>
              <w:rPr>
                <w:rFonts w:ascii="Arial" w:cs="Arial" w:eastAsia="Arial" w:hAnsi="Arial"/>
                <w:sz w:val="14"/>
                <w:szCs w:val="14"/>
                <w:color w:val="auto"/>
              </w:rPr>
              <w:t>Pro</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SFAS</w:t>
            </w:r>
          </w:p>
        </w:tc>
      </w:tr>
      <w:tr>
        <w:trPr>
          <w:trHeight w:val="188"/>
        </w:trPr>
        <w:tc>
          <w:tcPr>
            <w:tcW w:w="2860" w:type="dxa"/>
            <w:vAlign w:val="bottom"/>
          </w:tcPr>
          <w:p>
            <w:pPr>
              <w:spacing w:after="0"/>
              <w:rPr>
                <w:sz w:val="20"/>
                <w:szCs w:val="20"/>
                <w:color w:val="auto"/>
              </w:rPr>
            </w:pPr>
            <w:r>
              <w:rPr>
                <w:rFonts w:ascii="Arial" w:cs="Arial" w:eastAsia="Arial" w:hAnsi="Arial"/>
                <w:sz w:val="14"/>
                <w:szCs w:val="14"/>
                <w:color w:val="auto"/>
              </w:rPr>
              <w:t>Fiscal year ended October 31, 2005</w:t>
            </w:r>
          </w:p>
        </w:tc>
        <w:tc>
          <w:tcPr>
            <w:tcW w:w="820" w:type="dxa"/>
            <w:vAlign w:val="bottom"/>
          </w:tcPr>
          <w:p>
            <w:pPr>
              <w:jc w:val="right"/>
              <w:spacing w:after="0"/>
              <w:rPr>
                <w:sz w:val="20"/>
                <w:szCs w:val="20"/>
                <w:color w:val="auto"/>
              </w:rPr>
            </w:pPr>
            <w:r>
              <w:rPr>
                <w:rFonts w:ascii="Arial" w:cs="Arial" w:eastAsia="Arial" w:hAnsi="Arial"/>
                <w:sz w:val="14"/>
                <w:szCs w:val="14"/>
                <w:color w:val="auto"/>
              </w:rPr>
              <w:t>Reported</w:t>
            </w:r>
          </w:p>
        </w:tc>
        <w:tc>
          <w:tcPr>
            <w:tcW w:w="840" w:type="dxa"/>
            <w:vAlign w:val="bottom"/>
          </w:tcPr>
          <w:p>
            <w:pPr>
              <w:jc w:val="right"/>
              <w:spacing w:after="0"/>
              <w:rPr>
                <w:sz w:val="20"/>
                <w:szCs w:val="20"/>
                <w:color w:val="auto"/>
              </w:rPr>
            </w:pPr>
            <w:r>
              <w:rPr>
                <w:rFonts w:ascii="Arial" w:cs="Arial" w:eastAsia="Arial" w:hAnsi="Arial"/>
                <w:sz w:val="14"/>
                <w:szCs w:val="14"/>
                <w:color w:val="auto"/>
              </w:rPr>
              <w:t>Forma</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No. 123R</w:t>
            </w:r>
          </w:p>
        </w:tc>
      </w:tr>
      <w:tr>
        <w:trPr>
          <w:trHeight w:val="223"/>
        </w:trPr>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Earnings from operations</w:t>
            </w: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182,726</w:t>
            </w:r>
          </w:p>
        </w:tc>
        <w:tc>
          <w:tcPr>
            <w:tcW w:w="840" w:type="dxa"/>
            <w:vAlign w:val="bottom"/>
            <w:tcBorders>
              <w:top w:val="single" w:sz="8" w:color="auto"/>
            </w:tcBorders>
            <w:shd w:val="clear" w:color="auto" w:fill="CCEEFF"/>
          </w:tcPr>
          <w:p>
            <w:pPr>
              <w:jc w:val="right"/>
              <w:ind w:right="9"/>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180,599</w:t>
            </w:r>
          </w:p>
        </w:tc>
        <w:tc>
          <w:tcPr>
            <w:tcW w:w="8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2,127</w:t>
            </w:r>
          </w:p>
        </w:tc>
        <w:tc>
          <w:tcPr>
            <w:tcW w:w="80" w:type="dxa"/>
            <w:vAlign w:val="bottom"/>
            <w:tcBorders>
              <w:top w:val="single" w:sz="8" w:color="CCEEFF"/>
            </w:tcBorders>
            <w:shd w:val="clear" w:color="auto" w:fill="CCEEFF"/>
          </w:tcPr>
          <w:p>
            <w:pPr>
              <w:spacing w:after="0"/>
              <w:rPr>
                <w:sz w:val="19"/>
                <w:szCs w:val="19"/>
                <w:color w:val="auto"/>
              </w:rPr>
            </w:pPr>
          </w:p>
        </w:tc>
      </w:tr>
      <w:tr>
        <w:trPr>
          <w:trHeight w:val="199"/>
        </w:trPr>
        <w:tc>
          <w:tcPr>
            <w:tcW w:w="28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Earnings before income taxes</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170,272</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168,145</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2,127</w:t>
            </w:r>
          </w:p>
        </w:tc>
        <w:tc>
          <w:tcPr>
            <w:tcW w:w="80" w:type="dxa"/>
            <w:vAlign w:val="bottom"/>
            <w:tcBorders>
              <w:bottom w:val="single" w:sz="8" w:color="CCEEFF"/>
            </w:tcBorders>
          </w:tcPr>
          <w:p>
            <w:pPr>
              <w:spacing w:after="0"/>
              <w:rPr>
                <w:sz w:val="17"/>
                <w:szCs w:val="17"/>
                <w:color w:val="auto"/>
              </w:rPr>
            </w:pPr>
          </w:p>
        </w:tc>
      </w:tr>
    </w:tbl>
    <w:p>
      <w:pPr>
        <w:sectPr>
          <w:pgSz w:w="11900" w:h="16900" w:orient="portrait"/>
          <w:cols w:equalWidth="0" w:num="1">
            <w:col w:w="11400"/>
          </w:cols>
          <w:pgMar w:left="240" w:top="111" w:right="259" w:bottom="0" w:gutter="0" w:footer="0" w:header="0"/>
        </w:sectPr>
      </w:pPr>
    </w:p>
    <w:bookmarkStart w:id="34" w:name="page35"/>
    <w:bookmarkEnd w:id="34"/>
    <w:p>
      <w:pPr>
        <w:spacing w:after="0" w:line="1" w:lineRule="exact"/>
        <w:rPr>
          <w:sz w:val="20"/>
          <w:szCs w:val="20"/>
          <w:color w:val="auto"/>
        </w:rPr>
      </w:pPr>
    </w:p>
    <w:tbl>
      <w:tblPr>
        <w:tblLayout w:type="fixed"/>
        <w:tblInd w:w="3020" w:type="dxa"/>
        <w:tblCellMar>
          <w:top w:w="0" w:type="dxa"/>
          <w:left w:w="0" w:type="dxa"/>
          <w:bottom w:w="0" w:type="dxa"/>
          <w:right w:w="0" w:type="dxa"/>
        </w:tblCellMar>
      </w:tblP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114,082</w:t>
            </w: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112,657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80" w:type="dxa"/>
            <w:vAlign w:val="bottom"/>
            <w:shd w:val="clear" w:color="auto" w:fill="CCEEFF"/>
          </w:tcPr>
          <w:p>
            <w:pPr>
              <w:spacing w:after="0"/>
              <w:rPr>
                <w:sz w:val="16"/>
                <w:szCs w:val="16"/>
                <w:color w:val="auto"/>
              </w:rPr>
            </w:pPr>
          </w:p>
        </w:tc>
      </w:tr>
      <w:tr>
        <w:trPr>
          <w:trHeight w:val="189"/>
        </w:trPr>
        <w:tc>
          <w:tcPr>
            <w:tcW w:w="2540" w:type="dxa"/>
            <w:vAlign w:val="bottom"/>
          </w:tcPr>
          <w:p>
            <w:pPr>
              <w:spacing w:after="0"/>
              <w:rPr>
                <w:sz w:val="20"/>
                <w:szCs w:val="20"/>
                <w:color w:val="auto"/>
              </w:rPr>
            </w:pPr>
            <w:r>
              <w:rPr>
                <w:rFonts w:ascii="Arial" w:cs="Arial" w:eastAsia="Arial" w:hAnsi="Arial"/>
                <w:sz w:val="14"/>
                <w:szCs w:val="14"/>
                <w:b w:val="1"/>
                <w:bCs w:val="1"/>
                <w:color w:val="auto"/>
              </w:rPr>
              <w:t>Basic net earnings per share</w:t>
            </w:r>
          </w:p>
        </w:tc>
        <w:tc>
          <w:tcPr>
            <w:tcW w:w="1180" w:type="dxa"/>
            <w:vAlign w:val="bottom"/>
          </w:tcPr>
          <w:p>
            <w:pPr>
              <w:jc w:val="right"/>
              <w:ind w:right="29"/>
              <w:spacing w:after="0"/>
              <w:rPr>
                <w:sz w:val="20"/>
                <w:szCs w:val="20"/>
                <w:color w:val="auto"/>
              </w:rPr>
            </w:pPr>
            <w:r>
              <w:rPr>
                <w:rFonts w:ascii="Arial" w:cs="Arial" w:eastAsia="Arial" w:hAnsi="Arial"/>
                <w:sz w:val="14"/>
                <w:szCs w:val="14"/>
                <w:b w:val="1"/>
                <w:bCs w:val="1"/>
                <w:color w:val="auto"/>
              </w:rPr>
              <w:t>2.55</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2.52</w:t>
            </w:r>
          </w:p>
        </w:tc>
        <w:tc>
          <w:tcPr>
            <w:tcW w:w="720" w:type="dxa"/>
            <w:vAlign w:val="bottom"/>
          </w:tcPr>
          <w:p>
            <w:pPr>
              <w:jc w:val="right"/>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16"/>
                <w:szCs w:val="16"/>
                <w:color w:val="auto"/>
              </w:rPr>
            </w:pPr>
          </w:p>
        </w:tc>
      </w:tr>
      <w:tr>
        <w:trPr>
          <w:trHeight w:val="189"/>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Diluted net earnings per share</w:t>
            </w: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2.45</w:t>
            </w: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2.41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80" w:type="dxa"/>
            <w:vAlign w:val="bottom"/>
            <w:shd w:val="clear" w:color="auto" w:fill="CCEEFF"/>
          </w:tcPr>
          <w:p>
            <w:pPr>
              <w:spacing w:after="0"/>
              <w:rPr>
                <w:sz w:val="16"/>
                <w:szCs w:val="16"/>
                <w:color w:val="auto"/>
              </w:rPr>
            </w:pPr>
          </w:p>
        </w:tc>
      </w:tr>
      <w:tr>
        <w:trPr>
          <w:trHeight w:val="183"/>
        </w:trPr>
        <w:tc>
          <w:tcPr>
            <w:tcW w:w="2540" w:type="dxa"/>
            <w:vAlign w:val="bottom"/>
          </w:tcPr>
          <w:p>
            <w:pPr>
              <w:spacing w:after="0"/>
              <w:rPr>
                <w:sz w:val="20"/>
                <w:szCs w:val="20"/>
                <w:color w:val="auto"/>
              </w:rPr>
            </w:pPr>
            <w:r>
              <w:rPr>
                <w:rFonts w:ascii="Arial" w:cs="Arial" w:eastAsia="Arial" w:hAnsi="Arial"/>
                <w:sz w:val="14"/>
                <w:szCs w:val="14"/>
                <w:b w:val="1"/>
                <w:bCs w:val="1"/>
                <w:color w:val="auto"/>
              </w:rPr>
              <w:t>Net cash provided by (used in):</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25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Operating activities</w:t>
            </w:r>
          </w:p>
        </w:tc>
        <w:tc>
          <w:tcPr>
            <w:tcW w:w="1180" w:type="dxa"/>
            <w:vAlign w:val="bottom"/>
            <w:shd w:val="clear" w:color="auto" w:fill="CCEEFF"/>
          </w:tcPr>
          <w:p>
            <w:pPr>
              <w:jc w:val="right"/>
              <w:ind w:right="29"/>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174,083</w:t>
            </w:r>
          </w:p>
        </w:tc>
        <w:tc>
          <w:tcPr>
            <w:tcW w:w="880" w:type="dxa"/>
            <w:vAlign w:val="bottom"/>
            <w:shd w:val="clear" w:color="auto" w:fill="CCEEFF"/>
          </w:tcPr>
          <w:p>
            <w:pPr>
              <w:jc w:val="right"/>
              <w:ind w:right="89"/>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180,072</w:t>
            </w:r>
          </w:p>
        </w:tc>
        <w:tc>
          <w:tcPr>
            <w:tcW w:w="800" w:type="dxa"/>
            <w:vAlign w:val="bottom"/>
            <w:gridSpan w:val="2"/>
            <w:shd w:val="clear" w:color="auto" w:fill="CCEEFF"/>
          </w:tcPr>
          <w:p>
            <w:pPr>
              <w:jc w:val="right"/>
              <w:ind w:right="4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(5,989 </w:t>
            </w:r>
            <w:r>
              <w:rPr>
                <w:rFonts w:ascii="Arial" w:cs="Arial" w:eastAsia="Arial" w:hAnsi="Arial"/>
                <w:sz w:val="26"/>
                <w:szCs w:val="26"/>
                <w:color w:val="auto"/>
                <w:vertAlign w:val="subscript"/>
              </w:rPr>
              <w:t>)</w:t>
            </w:r>
          </w:p>
        </w:tc>
      </w:tr>
      <w:tr>
        <w:trPr>
          <w:trHeight w:val="203"/>
        </w:trPr>
        <w:tc>
          <w:tcPr>
            <w:tcW w:w="2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Financing activities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(154,393)</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(160,382)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5,989</w:t>
            </w:r>
          </w:p>
        </w:tc>
        <w:tc>
          <w:tcPr>
            <w:tcW w:w="80" w:type="dxa"/>
            <w:vAlign w:val="bottom"/>
          </w:tcPr>
          <w:p>
            <w:pPr>
              <w:spacing w:after="0"/>
              <w:rPr>
                <w:sz w:val="17"/>
                <w:szCs w:val="17"/>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Note 10 for additional information regarding stock-based compensation plans.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Net Earnings Per Share</w:t>
      </w:r>
    </w:p>
    <w:p>
      <w:pPr>
        <w:spacing w:after="0" w:line="4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Basic net earnings per share is calculated using net earnings available to common stockholders divided by the weighted average number of shares of common stock outstanding during the year plus the assumed issuance of contingent shares. Diluted net earnings per share is similar to basic net earnings per share except that the weighted 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non-vested restricted shares.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Reconciliations of basic and dilutive weighted average shares of common stock are as follows:</w:t>
      </w:r>
    </w:p>
    <w:p>
      <w:pPr>
        <w:spacing w:after="0" w:line="226"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BASIC</w:t>
      </w:r>
    </w:p>
    <w:p>
      <w:pPr>
        <w:spacing w:after="0" w:line="28" w:lineRule="exact"/>
        <w:rPr>
          <w:sz w:val="20"/>
          <w:szCs w:val="20"/>
          <w:color w:val="auto"/>
        </w:rPr>
      </w:pPr>
    </w:p>
    <w:tbl>
      <w:tblPr>
        <w:tblLayout w:type="fixed"/>
        <w:tblInd w:w="3400" w:type="dxa"/>
        <w:tblCellMar>
          <w:top w:w="0" w:type="dxa"/>
          <w:left w:w="0" w:type="dxa"/>
          <w:bottom w:w="0" w:type="dxa"/>
          <w:right w:w="0" w:type="dxa"/>
        </w:tblCellMar>
      </w:tblPr>
      <w:tr>
        <w:trPr>
          <w:trHeight w:val="184"/>
        </w:trPr>
        <w:tc>
          <w:tcPr>
            <w:tcW w:w="25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(Shares in thousands)</w:t>
            </w:r>
          </w:p>
        </w:tc>
        <w:tc>
          <w:tcPr>
            <w:tcW w:w="74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b w:val="1"/>
                <w:bCs w:val="1"/>
                <w:color w:val="auto"/>
              </w:rPr>
              <w:t>2005</w:t>
            </w:r>
          </w:p>
        </w:tc>
        <w:tc>
          <w:tcPr>
            <w:tcW w:w="7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4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740" w:type="dxa"/>
            <w:vAlign w:val="bottom"/>
            <w:vMerge w:val="continue"/>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2004</w:t>
            </w:r>
          </w:p>
        </w:tc>
        <w:tc>
          <w:tcPr>
            <w:tcW w:w="600" w:type="dxa"/>
            <w:vAlign w:val="bottom"/>
          </w:tcPr>
          <w:p>
            <w:pPr>
              <w:jc w:val="right"/>
              <w:spacing w:after="0"/>
              <w:rPr>
                <w:sz w:val="20"/>
                <w:szCs w:val="20"/>
                <w:color w:val="auto"/>
              </w:rPr>
            </w:pPr>
            <w:r>
              <w:rPr>
                <w:rFonts w:ascii="Arial" w:cs="Arial" w:eastAsia="Arial" w:hAnsi="Arial"/>
                <w:sz w:val="14"/>
                <w:szCs w:val="14"/>
                <w:color w:val="auto"/>
              </w:rPr>
              <w:t>2003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Weighted average number of</w:t>
            </w:r>
          </w:p>
        </w:tc>
        <w:tc>
          <w:tcPr>
            <w:tcW w:w="7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shares of common stock</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44,679</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48,706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49,976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Assumed issuance of contingent</w:t>
            </w: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35</w:t>
            </w: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 average number of</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shares of common stock and</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assumed issuance of contingent</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44,714</w:t>
            </w:r>
          </w:p>
        </w:tc>
        <w:tc>
          <w:tcPr>
            <w:tcW w:w="7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48,728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49,997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DILUTIVE</w:t>
            </w:r>
          </w:p>
        </w:tc>
        <w:tc>
          <w:tcPr>
            <w:tcW w:w="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spacing w:after="0"/>
              <w:rPr>
                <w:sz w:val="20"/>
                <w:szCs w:val="20"/>
                <w:color w:val="auto"/>
              </w:rPr>
            </w:pPr>
            <w:r>
              <w:rPr>
                <w:rFonts w:ascii="Arial" w:cs="Arial" w:eastAsia="Arial" w:hAnsi="Arial"/>
                <w:sz w:val="14"/>
                <w:szCs w:val="14"/>
                <w:color w:val="auto"/>
              </w:rPr>
              <w:t>(Shares in thousands)</w:t>
            </w:r>
          </w:p>
        </w:tc>
        <w:tc>
          <w:tcPr>
            <w:tcW w:w="7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4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740" w:type="dxa"/>
            <w:vAlign w:val="bottom"/>
            <w:vMerge w:val="continue"/>
          </w:tcPr>
          <w:p>
            <w:pPr>
              <w:spacing w:after="0"/>
              <w:rPr>
                <w:sz w:val="15"/>
                <w:szCs w:val="15"/>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2004</w:t>
            </w:r>
          </w:p>
        </w:tc>
        <w:tc>
          <w:tcPr>
            <w:tcW w:w="600" w:type="dxa"/>
            <w:vAlign w:val="bottom"/>
          </w:tcPr>
          <w:p>
            <w:pPr>
              <w:jc w:val="right"/>
              <w:spacing w:after="0"/>
              <w:rPr>
                <w:sz w:val="20"/>
                <w:szCs w:val="20"/>
                <w:color w:val="auto"/>
              </w:rPr>
            </w:pPr>
            <w:r>
              <w:rPr>
                <w:rFonts w:ascii="Arial" w:cs="Arial" w:eastAsia="Arial" w:hAnsi="Arial"/>
                <w:sz w:val="14"/>
                <w:szCs w:val="14"/>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Weighted average number of</w:t>
            </w:r>
          </w:p>
        </w:tc>
        <w:tc>
          <w:tcPr>
            <w:tcW w:w="7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shares of common stock and</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assumed issuance of contingent</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shares</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44,714</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48,728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Effect of dilutive securities</w:t>
            </w: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auto"/>
              </w:rPr>
              <w:t>1,825</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2,038</w:t>
            </w:r>
          </w:p>
        </w:tc>
        <w:tc>
          <w:tcPr>
            <w:tcW w:w="600" w:type="dxa"/>
            <w:vAlign w:val="bottom"/>
          </w:tcPr>
          <w:p>
            <w:pPr>
              <w:jc w:val="right"/>
              <w:spacing w:after="0"/>
              <w:rPr>
                <w:sz w:val="20"/>
                <w:szCs w:val="20"/>
                <w:color w:val="auto"/>
              </w:rPr>
            </w:pPr>
            <w:r>
              <w:rPr>
                <w:rFonts w:ascii="Arial" w:cs="Arial" w:eastAsia="Arial" w:hAnsi="Arial"/>
                <w:sz w:val="14"/>
                <w:szCs w:val="14"/>
                <w:color w:val="auto"/>
              </w:rPr>
              <w:t>2,301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Weighted average number of</w:t>
            </w:r>
          </w:p>
        </w:tc>
        <w:tc>
          <w:tcPr>
            <w:tcW w:w="7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shares of common stock,</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assumed issuance of contingent</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and restricted shares, and effect</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of dilutive securities</w:t>
            </w: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46,539</w:t>
            </w:r>
          </w:p>
        </w:tc>
        <w:tc>
          <w:tcPr>
            <w:tcW w:w="7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50,766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52,298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New Accounting Pronouncements</w:t>
      </w:r>
    </w:p>
    <w:p>
      <w:pPr>
        <w:spacing w:after="0" w:line="4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December 2004, the FASB issued SFAS No. 123R, which requires a public entity to measure the cost of employee services received in exchange for the award of equity instruments based on the fair value of the award as of the date of grant. The company adopted the provisions of SFAS No. 123R effective November 1, 2004 using the modified prospective application. See section “Stock-Based Compensation” previously presented in this Note 1 for further details and the effects of adopting this standard.</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right="7500" w:hanging="612"/>
        <w:spacing w:after="0" w:line="180" w:lineRule="auto"/>
        <w:tabs>
          <w:tab w:leader="none" w:pos="620" w:val="left"/>
        </w:tabs>
        <w:numPr>
          <w:ilvl w:val="0"/>
          <w:numId w:val="51"/>
        </w:numPr>
        <w:rPr>
          <w:rFonts w:ascii="Arial" w:cs="Arial" w:eastAsia="Arial" w:hAnsi="Arial"/>
          <w:sz w:val="40"/>
          <w:szCs w:val="40"/>
          <w:b w:val="1"/>
          <w:bCs w:val="1"/>
          <w:color w:val="4673B6"/>
        </w:rPr>
      </w:pPr>
      <w:r>
        <w:rPr>
          <w:rFonts w:ascii="Arial" w:cs="Arial" w:eastAsia="Arial" w:hAnsi="Arial"/>
          <w:sz w:val="18"/>
          <w:szCs w:val="18"/>
          <w:b w:val="1"/>
          <w:bCs w:val="1"/>
          <w:color w:val="4673B6"/>
        </w:rPr>
        <w:t>BUSINESS ACQUISITIONS AND DIVESTITURES</w:t>
      </w:r>
    </w:p>
    <w:p>
      <w:pPr>
        <w:spacing w:after="0" w:line="24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On February 8, 2005, the company completed the acquisition of certain assets and assumed certain liabilities of Hayter Limited (Hayter). Hayter designs, manufactures, and markets residential and professional turf maintenance equipment primarily for the United Kingdom market, with annual sales of approximately $50 million. The purchase price was $35.3 million, which was paid in cash, and included $31.0 million of current assets; $10.6 million of property, plant, and equipment; $7.2 million of intangible assets; and $13.5 million of assumed liabilities. The purchase price was allocated to the identifiable assets acquired and liabilities assumed based on estimates of their fair value, with the excess purchase price recorded as goodwill. See Note 5 entitled “Goodwill and Other Intangible Assets” for further details related to the acquired intangible assets.</w:t>
      </w:r>
    </w:p>
    <w:p>
      <w:pPr>
        <w:spacing w:after="0" w:line="1" w:lineRule="exact"/>
        <w:rPr>
          <w:sz w:val="20"/>
          <w:szCs w:val="20"/>
          <w:color w:val="auto"/>
        </w:rPr>
      </w:pPr>
    </w:p>
    <w:p>
      <w:pPr>
        <w:ind w:right="20" w:firstLine="180"/>
        <w:spacing w:after="0" w:line="268" w:lineRule="auto"/>
        <w:rPr>
          <w:sz w:val="20"/>
          <w:szCs w:val="20"/>
          <w:color w:val="auto"/>
        </w:rPr>
      </w:pPr>
      <w:r>
        <w:rPr>
          <w:rFonts w:ascii="Arial" w:cs="Arial" w:eastAsia="Arial" w:hAnsi="Arial"/>
          <w:sz w:val="18"/>
          <w:szCs w:val="18"/>
          <w:color w:val="auto"/>
        </w:rPr>
        <w:t>During the first quarter of fiscal 2005, the company completed the sale of its southwestern-based distribution company. In fiscal 2004, Toro made an equity investment in a start-up technology company that produces innovative irrigation controllers designed to conserve water usage. In fiscal 2003, Toro completed the purchase of R &amp; D Engineering, a company in the business of designing patented wireless rain and freeze switches for residential irrigation systems. The company also acquired a southeastern-based U.S. distributing company during fiscal 2003, and subsequently sold it during fiscal 2004. Effective December 31, 2002, the company also sold a previously owned distributorship. These acquisitions, investment, and divestitures were not material to the company’s consolidated financial position and results of operations.</w:t>
      </w:r>
    </w:p>
    <w:p>
      <w:pPr>
        <w:spacing w:after="0" w:line="24" w:lineRule="exact"/>
        <w:rPr>
          <w:sz w:val="20"/>
          <w:szCs w:val="20"/>
          <w:color w:val="auto"/>
        </w:rPr>
      </w:pPr>
    </w:p>
    <w:p>
      <w:pPr>
        <w:ind w:left="620" w:hanging="612"/>
        <w:spacing w:after="0"/>
        <w:tabs>
          <w:tab w:leader="none" w:pos="620" w:val="left"/>
        </w:tabs>
        <w:numPr>
          <w:ilvl w:val="0"/>
          <w:numId w:val="52"/>
        </w:numPr>
        <w:rPr>
          <w:rFonts w:ascii="Arial" w:cs="Arial" w:eastAsia="Arial" w:hAnsi="Arial"/>
          <w:sz w:val="65"/>
          <w:szCs w:val="65"/>
          <w:b w:val="1"/>
          <w:bCs w:val="1"/>
          <w:color w:val="4673B6"/>
        </w:rPr>
      </w:pPr>
      <w:r>
        <w:rPr>
          <w:rFonts w:ascii="Arial" w:cs="Arial" w:eastAsia="Arial" w:hAnsi="Arial"/>
          <w:sz w:val="22"/>
          <w:szCs w:val="22"/>
          <w:b w:val="1"/>
          <w:bCs w:val="1"/>
          <w:color w:val="4673B6"/>
        </w:rPr>
        <w:t>RESTRUCTURING ACTIVITIES</w:t>
      </w:r>
    </w:p>
    <w:p>
      <w:pPr>
        <w:sectPr>
          <w:pgSz w:w="11900" w:h="16838" w:orient="portrait"/>
          <w:cols w:equalWidth="0" w:num="1">
            <w:col w:w="11360"/>
          </w:cols>
          <w:pgMar w:left="240" w:top="140" w:right="299" w:bottom="0" w:gutter="0" w:footer="0" w:header="0"/>
        </w:sectPr>
      </w:pPr>
    </w:p>
    <w:bookmarkStart w:id="35" w:name="page36"/>
    <w:bookmarkEnd w:id="35"/>
    <w:p>
      <w:pPr>
        <w:spacing w:after="0" w:line="268" w:lineRule="auto"/>
        <w:rPr>
          <w:sz w:val="20"/>
          <w:szCs w:val="20"/>
          <w:color w:val="auto"/>
        </w:rPr>
      </w:pPr>
      <w:r>
        <w:rPr>
          <w:rFonts w:ascii="Arial" w:cs="Arial" w:eastAsia="Arial" w:hAnsi="Arial"/>
          <w:sz w:val="18"/>
          <w:szCs w:val="18"/>
          <w:color w:val="auto"/>
        </w:rPr>
        <w:t>In fiscal 2003, the company announced plans to close its two-cycle engine manufacturing facility located in Oxford, Mississippi, which ceased operations on April 30, 2004. Approximately 115 manufacturing positions and related staff positions were eliminated in connection with closing this facility. In fiscal 2002, the company announced plans to close its Riverside, California manufacturing operations and its Evansville, Indiana and Madera, California manufacturing facilities. Approximately 550 manufacturing job positions and related office staff positions were eliminated in connection with closing these operations. These actions are part of Toro’s overall long-term strategy to reduce production costs and improve long-term competitiveness. The company has included the restructuring and other costs with selling, general, and administrative expense for all fiscal years presented on the consolidated statements of earnings.</w:t>
      </w:r>
    </w:p>
    <w:p>
      <w:pPr>
        <w:spacing w:after="0" w:line="22" w:lineRule="exact"/>
        <w:rPr>
          <w:sz w:val="20"/>
          <w:szCs w:val="20"/>
          <w:color w:val="auto"/>
        </w:rPr>
      </w:pPr>
    </w:p>
    <w:p>
      <w:pPr>
        <w:ind w:left="620" w:hanging="612"/>
        <w:spacing w:after="0"/>
        <w:tabs>
          <w:tab w:leader="none" w:pos="620" w:val="left"/>
        </w:tabs>
        <w:numPr>
          <w:ilvl w:val="0"/>
          <w:numId w:val="53"/>
        </w:numPr>
        <w:rPr>
          <w:rFonts w:ascii="Arial" w:cs="Arial" w:eastAsia="Arial" w:hAnsi="Arial"/>
          <w:sz w:val="65"/>
          <w:szCs w:val="65"/>
          <w:b w:val="1"/>
          <w:bCs w:val="1"/>
          <w:color w:val="4673B6"/>
        </w:rPr>
      </w:pPr>
      <w:r>
        <w:rPr>
          <w:rFonts w:ascii="Arial" w:cs="Arial" w:eastAsia="Arial" w:hAnsi="Arial"/>
          <w:sz w:val="22"/>
          <w:szCs w:val="22"/>
          <w:b w:val="1"/>
          <w:bCs w:val="1"/>
          <w:color w:val="4673B6"/>
        </w:rPr>
        <w:t>OTHER INCOME, NET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is as follows:</w:t>
      </w:r>
    </w:p>
    <w:p>
      <w:pPr>
        <w:spacing w:after="0" w:line="206" w:lineRule="exact"/>
        <w:rPr>
          <w:sz w:val="20"/>
          <w:szCs w:val="20"/>
          <w:color w:val="auto"/>
        </w:rPr>
      </w:pPr>
    </w:p>
    <w:tbl>
      <w:tblPr>
        <w:tblLayout w:type="fixed"/>
        <w:tblInd w:w="3380" w:type="dxa"/>
        <w:tblCellMar>
          <w:top w:w="0" w:type="dxa"/>
          <w:left w:w="0" w:type="dxa"/>
          <w:bottom w:w="0" w:type="dxa"/>
          <w:right w:w="0" w:type="dxa"/>
        </w:tblCellMar>
      </w:tblPr>
      <w:tr>
        <w:trPr>
          <w:trHeight w:val="204"/>
        </w:trPr>
        <w:tc>
          <w:tcPr>
            <w:tcW w:w="2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2004</w:t>
            </w: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1,519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20"/>
                <w:szCs w:val="20"/>
                <w:color w:val="auto"/>
              </w:rPr>
            </w:pPr>
            <w:r>
              <w:rPr>
                <w:rFonts w:ascii="Arial" w:cs="Arial" w:eastAsia="Arial" w:hAnsi="Arial"/>
                <w:sz w:val="14"/>
                <w:szCs w:val="14"/>
                <w:b w:val="1"/>
                <w:bCs w:val="1"/>
                <w:color w:val="auto"/>
              </w:rPr>
              <w:t>Gross finance charge revenue</w:t>
            </w:r>
          </w:p>
        </w:tc>
        <w:tc>
          <w:tcPr>
            <w:tcW w:w="2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2,991</w:t>
            </w:r>
          </w:p>
        </w:tc>
        <w:tc>
          <w:tcPr>
            <w:tcW w:w="20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3,266</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Retail financing revenue</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2,275</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1,770</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20"/>
                <w:szCs w:val="20"/>
                <w:color w:val="auto"/>
              </w:rPr>
            </w:pPr>
            <w:r>
              <w:rPr>
                <w:rFonts w:ascii="Arial" w:cs="Arial" w:eastAsia="Arial" w:hAnsi="Arial"/>
                <w:sz w:val="14"/>
                <w:szCs w:val="14"/>
                <w:b w:val="1"/>
                <w:bCs w:val="1"/>
                <w:color w:val="auto"/>
              </w:rPr>
              <w:t>Royalty and licensing income</w:t>
            </w:r>
          </w:p>
        </w:tc>
        <w:tc>
          <w:tcPr>
            <w:tcW w:w="2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743</w:t>
            </w:r>
          </w:p>
        </w:tc>
        <w:tc>
          <w:tcPr>
            <w:tcW w:w="20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992</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1,243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Foreign currency exchange rate</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loss</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(791)</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(1,198)</w:t>
            </w: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20"/>
                <w:szCs w:val="20"/>
                <w:color w:val="auto"/>
              </w:rPr>
            </w:pPr>
            <w:r>
              <w:rPr>
                <w:rFonts w:ascii="Arial" w:cs="Arial" w:eastAsia="Arial" w:hAnsi="Arial"/>
                <w:sz w:val="14"/>
                <w:szCs w:val="14"/>
                <w:b w:val="1"/>
                <w:bCs w:val="1"/>
                <w:color w:val="auto"/>
              </w:rPr>
              <w:t>Insurance recovery, net</w:t>
            </w:r>
          </w:p>
        </w:tc>
        <w:tc>
          <w:tcPr>
            <w:tcW w:w="2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gain on sale of</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businesses</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(775)</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(853)</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20"/>
                <w:szCs w:val="20"/>
                <w:color w:val="auto"/>
              </w:rPr>
            </w:pPr>
            <w:r>
              <w:rPr>
                <w:rFonts w:ascii="Arial" w:cs="Arial" w:eastAsia="Arial" w:hAnsi="Arial"/>
                <w:sz w:val="14"/>
                <w:szCs w:val="14"/>
                <w:b w:val="1"/>
                <w:bCs w:val="1"/>
                <w:color w:val="auto"/>
              </w:rPr>
              <w:t>Equity losses from investments</w:t>
            </w:r>
          </w:p>
        </w:tc>
        <w:tc>
          <w:tcPr>
            <w:tcW w:w="2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(1,468)</w:t>
            </w:r>
          </w:p>
        </w:tc>
        <w:tc>
          <w:tcPr>
            <w:tcW w:w="20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(781)</w:t>
            </w:r>
          </w:p>
        </w:tc>
        <w:tc>
          <w:tcPr>
            <w:tcW w:w="20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Litigation recovery (settlement)</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(1,400)</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Miscellaneous</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720</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603</w:t>
            </w: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5,279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620" w:right="8180" w:hanging="612"/>
        <w:spacing w:after="0" w:line="180" w:lineRule="auto"/>
        <w:tabs>
          <w:tab w:leader="none" w:pos="620" w:val="left"/>
        </w:tabs>
        <w:numPr>
          <w:ilvl w:val="0"/>
          <w:numId w:val="54"/>
        </w:numPr>
        <w:rPr>
          <w:rFonts w:ascii="Arial" w:cs="Arial" w:eastAsia="Arial" w:hAnsi="Arial"/>
          <w:sz w:val="40"/>
          <w:szCs w:val="40"/>
          <w:b w:val="1"/>
          <w:bCs w:val="1"/>
          <w:color w:val="4673B6"/>
        </w:rPr>
      </w:pPr>
      <w:r>
        <w:rPr>
          <w:rFonts w:ascii="Arial" w:cs="Arial" w:eastAsia="Arial" w:hAnsi="Arial"/>
          <w:sz w:val="18"/>
          <w:szCs w:val="18"/>
          <w:b w:val="1"/>
          <w:bCs w:val="1"/>
          <w:color w:val="4673B6"/>
        </w:rPr>
        <w:t>GOODWILL AND OTHER INTANGIBLE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4673B6"/>
        </w:rPr>
        <w:t xml:space="preserve">Goodwill – </w:t>
      </w:r>
      <w:r>
        <w:rPr>
          <w:rFonts w:ascii="Arial" w:cs="Arial" w:eastAsia="Arial" w:hAnsi="Arial"/>
          <w:sz w:val="18"/>
          <w:szCs w:val="18"/>
          <w:color w:val="000000"/>
        </w:rPr>
        <w:t>The changes in the net carrying amount of goodwill for fiscal 2005 were as follows:</w:t>
      </w:r>
    </w:p>
    <w:p>
      <w:pPr>
        <w:spacing w:after="0" w:line="228" w:lineRule="exact"/>
        <w:rPr>
          <w:sz w:val="20"/>
          <w:szCs w:val="20"/>
          <w:color w:val="auto"/>
        </w:rPr>
      </w:pPr>
    </w:p>
    <w:tbl>
      <w:tblPr>
        <w:tblLayout w:type="fixed"/>
        <w:tblInd w:w="3280" w:type="dxa"/>
        <w:tblCellMar>
          <w:top w:w="0" w:type="dxa"/>
          <w:left w:w="0" w:type="dxa"/>
          <w:bottom w:w="0" w:type="dxa"/>
          <w:right w:w="0" w:type="dxa"/>
        </w:tblCellMar>
      </w:tblPr>
      <w:tr>
        <w:trPr>
          <w:trHeight w:val="204"/>
        </w:trPr>
        <w:tc>
          <w:tcPr>
            <w:tcW w:w="19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Professional</w:t>
            </w:r>
          </w:p>
        </w:tc>
        <w:tc>
          <w:tcPr>
            <w:tcW w:w="96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Residential</w:t>
            </w: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980" w:type="dxa"/>
            <w:vAlign w:val="bottom"/>
          </w:tcPr>
          <w:p>
            <w:pPr>
              <w:spacing w:after="0"/>
              <w:rPr>
                <w:sz w:val="20"/>
                <w:szCs w:val="20"/>
                <w:color w:val="auto"/>
              </w:rPr>
            </w:pPr>
            <w:r>
              <w:rPr>
                <w:rFonts w:ascii="Arial" w:cs="Arial" w:eastAsia="Arial" w:hAnsi="Arial"/>
                <w:sz w:val="14"/>
                <w:szCs w:val="14"/>
                <w:color w:val="auto"/>
              </w:rPr>
              <w:t>(Dollars in thousands)</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color w:val="auto"/>
              </w:rPr>
              <w:t>Segment</w:t>
            </w:r>
          </w:p>
        </w:tc>
        <w:tc>
          <w:tcPr>
            <w:tcW w:w="22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w w:val="99"/>
              </w:rPr>
              <w:t>Segment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4"/>
        </w:trPr>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October 31,</w:t>
            </w:r>
          </w:p>
        </w:tc>
        <w:tc>
          <w:tcPr>
            <w:tcW w:w="5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68,996</w:t>
            </w: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9,059</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78,055</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2004</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4"/>
                <w:szCs w:val="14"/>
                <w:color w:val="auto"/>
              </w:rPr>
              <w:t>Goodwill acquired</w:t>
            </w:r>
          </w:p>
        </w:tc>
        <w:tc>
          <w:tcPr>
            <w:tcW w:w="5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1,891</w:t>
            </w:r>
          </w:p>
        </w:tc>
        <w:tc>
          <w:tcPr>
            <w:tcW w:w="22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1,401</w:t>
            </w:r>
          </w:p>
        </w:tc>
        <w:tc>
          <w:tcPr>
            <w:tcW w:w="680" w:type="dxa"/>
            <w:vAlign w:val="bottom"/>
          </w:tcPr>
          <w:p>
            <w:pPr>
              <w:jc w:val="right"/>
              <w:spacing w:after="0"/>
              <w:rPr>
                <w:sz w:val="20"/>
                <w:szCs w:val="20"/>
                <w:color w:val="auto"/>
              </w:rPr>
            </w:pPr>
            <w:r>
              <w:rPr>
                <w:rFonts w:ascii="Arial" w:cs="Arial" w:eastAsia="Arial" w:hAnsi="Arial"/>
                <w:sz w:val="14"/>
                <w:szCs w:val="14"/>
                <w:color w:val="auto"/>
              </w:rPr>
              <w:t>3,292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Translation adjustment</w:t>
            </w:r>
          </w:p>
        </w:tc>
        <w:tc>
          <w:tcPr>
            <w:tcW w:w="5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3"/>
        </w:trPr>
        <w:tc>
          <w:tcPr>
            <w:tcW w:w="19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Balance as of October 31,</w:t>
            </w:r>
          </w:p>
        </w:tc>
        <w:tc>
          <w:tcPr>
            <w:tcW w:w="5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70,801</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10,396</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81,197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2005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net carrying amount of goodwill for fiscal 2004 was an increase of $42,000 for translation adjustments.</w:t>
      </w:r>
    </w:p>
    <w:p>
      <w:pPr>
        <w:spacing w:after="0" w:line="10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4673B6"/>
        </w:rPr>
        <w:t xml:space="preserve">Other Intangible Assets – </w:t>
      </w:r>
      <w:r>
        <w:rPr>
          <w:rFonts w:ascii="Arial" w:cs="Arial" w:eastAsia="Arial" w:hAnsi="Arial"/>
          <w:sz w:val="18"/>
          <w:szCs w:val="18"/>
          <w:color w:val="000000"/>
        </w:rPr>
        <w:t>Total other intangible assets, net as of October 31, 2005 and 2004 were $5,452,000 and $2,200,000, respectively.</w:t>
      </w:r>
      <w:r>
        <w:rPr>
          <w:rFonts w:ascii="Arial" w:cs="Arial" w:eastAsia="Arial" w:hAnsi="Arial"/>
          <w:sz w:val="18"/>
          <w:szCs w:val="18"/>
          <w:b w:val="1"/>
          <w:bCs w:val="1"/>
          <w:color w:val="4673B6"/>
        </w:rPr>
        <w:t xml:space="preserve"> </w:t>
      </w:r>
      <w:r>
        <w:rPr>
          <w:rFonts w:ascii="Arial" w:cs="Arial" w:eastAsia="Arial" w:hAnsi="Arial"/>
          <w:sz w:val="18"/>
          <w:szCs w:val="18"/>
          <w:color w:val="000000"/>
        </w:rPr>
        <w:t>During fiscal 2005 and 2003, the company recorded some amortizable intangible assets related to the acquisition of R &amp; D Engineering, previously mentioned. In addition, as a result of the company’s acquisition of Hayter, the company acquired $2.5 million of non-amortizable intangible assets related to the Hayter brand name, and $1.2 million of amortizable customer-related intangible assets with an estimated life of 10 years.</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152" w:lineRule="exact"/>
        <w:rPr>
          <w:sz w:val="20"/>
          <w:szCs w:val="20"/>
          <w:color w:val="auto"/>
        </w:rPr>
      </w:pPr>
    </w:p>
    <w:tbl>
      <w:tblPr>
        <w:tblLayout w:type="fixed"/>
        <w:tblInd w:w="3300" w:type="dxa"/>
        <w:tblCellMar>
          <w:top w:w="0" w:type="dxa"/>
          <w:left w:w="0" w:type="dxa"/>
          <w:bottom w:w="0" w:type="dxa"/>
          <w:right w:w="0" w:type="dxa"/>
        </w:tblCellMar>
      </w:tblPr>
      <w:tr>
        <w:trPr>
          <w:trHeight w:val="204"/>
        </w:trPr>
        <w:tc>
          <w:tcPr>
            <w:tcW w:w="22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56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Gross Carrying</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7"/>
                <w:szCs w:val="17"/>
                <w:color w:val="auto"/>
              </w:rPr>
            </w:pPr>
          </w:p>
        </w:tc>
      </w:tr>
      <w:tr>
        <w:trPr>
          <w:trHeight w:val="188"/>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October 31, 2005</w:t>
            </w:r>
          </w:p>
        </w:tc>
        <w:tc>
          <w:tcPr>
            <w:tcW w:w="15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Amount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Amortization</w:t>
            </w:r>
          </w:p>
        </w:tc>
        <w:tc>
          <w:tcPr>
            <w:tcW w:w="80" w:type="dxa"/>
            <w:vAlign w:val="bottom"/>
            <w:tcBorders>
              <w:bottom w:val="single" w:sz="8" w:color="CCEEFF"/>
            </w:tcBorders>
          </w:tcPr>
          <w:p>
            <w:pPr>
              <w:spacing w:after="0"/>
              <w:rPr>
                <w:sz w:val="16"/>
                <w:szCs w:val="16"/>
                <w:color w:val="auto"/>
              </w:rPr>
            </w:pPr>
          </w:p>
        </w:tc>
      </w:tr>
      <w:tr>
        <w:trPr>
          <w:trHeight w:val="223"/>
        </w:trPr>
        <w:tc>
          <w:tcPr>
            <w:tcW w:w="2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Patents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6,553</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40"/>
              <w:spacing w:after="0" w:line="223" w:lineRule="exact"/>
              <w:rPr>
                <w:sz w:val="20"/>
                <w:szCs w:val="20"/>
                <w:color w:val="auto"/>
              </w:rPr>
            </w:pPr>
            <w:r>
              <w:rPr>
                <w:rFonts w:ascii="Arial" w:cs="Arial" w:eastAsia="Arial" w:hAnsi="Arial"/>
                <w:sz w:val="13"/>
                <w:szCs w:val="13"/>
                <w:b w:val="1"/>
                <w:bCs w:val="1"/>
                <w:color w:val="auto"/>
              </w:rPr>
              <w:t xml:space="preserve">(5,620 </w:t>
            </w:r>
            <w:r>
              <w:rPr>
                <w:rFonts w:ascii="Arial" w:cs="Arial" w:eastAsia="Arial" w:hAnsi="Arial"/>
                <w:sz w:val="25"/>
                <w:szCs w:val="25"/>
                <w:b w:val="1"/>
                <w:bCs w:val="1"/>
                <w:color w:val="auto"/>
                <w:vertAlign w:val="subscript"/>
              </w:rPr>
              <w:t>)</w:t>
            </w:r>
          </w:p>
        </w:tc>
      </w:tr>
      <w:tr>
        <w:trPr>
          <w:trHeight w:val="189"/>
        </w:trPr>
        <w:tc>
          <w:tcPr>
            <w:tcW w:w="2220" w:type="dxa"/>
            <w:vAlign w:val="bottom"/>
          </w:tcPr>
          <w:p>
            <w:pPr>
              <w:spacing w:after="0"/>
              <w:rPr>
                <w:sz w:val="20"/>
                <w:szCs w:val="20"/>
                <w:color w:val="auto"/>
              </w:rPr>
            </w:pPr>
            <w:r>
              <w:rPr>
                <w:rFonts w:ascii="Arial" w:cs="Arial" w:eastAsia="Arial" w:hAnsi="Arial"/>
                <w:sz w:val="14"/>
                <w:szCs w:val="14"/>
                <w:b w:val="1"/>
                <w:bCs w:val="1"/>
                <w:color w:val="auto"/>
              </w:rPr>
              <w:t>Non-compete agreements</w:t>
            </w:r>
          </w:p>
        </w:tc>
        <w:tc>
          <w:tcPr>
            <w:tcW w:w="98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1,000</w:t>
            </w:r>
          </w:p>
        </w:tc>
        <w:tc>
          <w:tcPr>
            <w:tcW w:w="4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(821)</w:t>
            </w:r>
          </w:p>
        </w:tc>
      </w:tr>
      <w:tr>
        <w:trPr>
          <w:trHeight w:val="189"/>
        </w:trPr>
        <w:tc>
          <w:tcPr>
            <w:tcW w:w="2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Customer-related</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1,239</w:t>
            </w:r>
          </w:p>
        </w:tc>
        <w:tc>
          <w:tcPr>
            <w:tcW w:w="4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(93)</w:t>
            </w:r>
          </w:p>
        </w:tc>
      </w:tr>
      <w:tr>
        <w:trPr>
          <w:trHeight w:val="189"/>
        </w:trPr>
        <w:tc>
          <w:tcPr>
            <w:tcW w:w="222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98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2,000</w:t>
            </w:r>
          </w:p>
        </w:tc>
        <w:tc>
          <w:tcPr>
            <w:tcW w:w="4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(1,285)</w:t>
            </w:r>
          </w:p>
        </w:tc>
      </w:tr>
      <w:tr>
        <w:trPr>
          <w:trHeight w:val="20"/>
        </w:trPr>
        <w:tc>
          <w:tcPr>
            <w:tcW w:w="2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3"/>
        </w:trPr>
        <w:tc>
          <w:tcPr>
            <w:tcW w:w="2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97"/>
              </w:rPr>
              <w:t>10,792</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40"/>
              <w:spacing w:after="0" w:line="223" w:lineRule="exact"/>
              <w:rPr>
                <w:sz w:val="20"/>
                <w:szCs w:val="20"/>
                <w:color w:val="auto"/>
              </w:rPr>
            </w:pPr>
            <w:r>
              <w:rPr>
                <w:rFonts w:ascii="Arial" w:cs="Arial" w:eastAsia="Arial" w:hAnsi="Arial"/>
                <w:sz w:val="13"/>
                <w:szCs w:val="13"/>
                <w:b w:val="1"/>
                <w:bCs w:val="1"/>
                <w:color w:val="auto"/>
              </w:rPr>
              <w:t xml:space="preserve">(7,819 </w:t>
            </w:r>
            <w:r>
              <w:rPr>
                <w:rFonts w:ascii="Arial" w:cs="Arial" w:eastAsia="Arial" w:hAnsi="Arial"/>
                <w:sz w:val="25"/>
                <w:szCs w:val="25"/>
                <w:b w:val="1"/>
                <w:bCs w:val="1"/>
                <w:color w:val="auto"/>
                <w:vertAlign w:val="subscript"/>
              </w:rPr>
              <w:t>)</w:t>
            </w:r>
          </w:p>
        </w:tc>
      </w:tr>
      <w:tr>
        <w:trPr>
          <w:trHeight w:val="264"/>
        </w:trPr>
        <w:tc>
          <w:tcPr>
            <w:tcW w:w="222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2"/>
          </w:tcPr>
          <w:p>
            <w:pPr>
              <w:spacing w:after="0"/>
              <w:rPr>
                <w:sz w:val="22"/>
                <w:szCs w:val="22"/>
                <w:color w:val="auto"/>
              </w:rPr>
            </w:pPr>
          </w:p>
        </w:tc>
        <w:tc>
          <w:tcPr>
            <w:tcW w:w="980" w:type="dxa"/>
            <w:vAlign w:val="bottom"/>
            <w:tcBorders>
              <w:top w:val="single" w:sz="8" w:color="auto"/>
              <w:bottom w:val="single" w:sz="8" w:color="auto"/>
            </w:tcBorders>
            <w:gridSpan w:val="2"/>
          </w:tcPr>
          <w:p>
            <w:pPr>
              <w:spacing w:after="0"/>
              <w:rPr>
                <w:sz w:val="22"/>
                <w:szCs w:val="22"/>
                <w:color w:val="auto"/>
              </w:rPr>
            </w:pPr>
          </w:p>
        </w:tc>
        <w:tc>
          <w:tcPr>
            <w:tcW w:w="80" w:type="dxa"/>
            <w:vAlign w:val="bottom"/>
          </w:tcPr>
          <w:p>
            <w:pPr>
              <w:spacing w:after="0"/>
              <w:rPr>
                <w:sz w:val="22"/>
                <w:szCs w:val="22"/>
                <w:color w:val="auto"/>
              </w:rPr>
            </w:pPr>
          </w:p>
        </w:tc>
      </w:tr>
      <w:tr>
        <w:trPr>
          <w:trHeight w:val="184"/>
        </w:trPr>
        <w:tc>
          <w:tcPr>
            <w:tcW w:w="2220" w:type="dxa"/>
            <w:vAlign w:val="bottom"/>
          </w:tcPr>
          <w:p>
            <w:pPr>
              <w:spacing w:after="0"/>
              <w:rPr>
                <w:sz w:val="20"/>
                <w:szCs w:val="20"/>
                <w:color w:val="auto"/>
              </w:rPr>
            </w:pPr>
            <w:r>
              <w:rPr>
                <w:rFonts w:ascii="Arial" w:cs="Arial" w:eastAsia="Arial" w:hAnsi="Arial"/>
                <w:sz w:val="14"/>
                <w:szCs w:val="14"/>
                <w:color w:val="auto"/>
              </w:rPr>
              <w:t>(Dollars in thousands)</w:t>
            </w:r>
          </w:p>
        </w:tc>
        <w:tc>
          <w:tcPr>
            <w:tcW w:w="1560" w:type="dxa"/>
            <w:vAlign w:val="bottom"/>
            <w:gridSpan w:val="2"/>
          </w:tcPr>
          <w:p>
            <w:pPr>
              <w:jc w:val="right"/>
              <w:ind w:right="48"/>
              <w:spacing w:after="0"/>
              <w:rPr>
                <w:sz w:val="20"/>
                <w:szCs w:val="20"/>
                <w:color w:val="auto"/>
              </w:rPr>
            </w:pPr>
            <w:r>
              <w:rPr>
                <w:rFonts w:ascii="Arial" w:cs="Arial" w:eastAsia="Arial" w:hAnsi="Arial"/>
                <w:sz w:val="14"/>
                <w:szCs w:val="14"/>
                <w:color w:val="auto"/>
              </w:rPr>
              <w:t>Gross Carrying</w:t>
            </w:r>
          </w:p>
        </w:tc>
        <w:tc>
          <w:tcPr>
            <w:tcW w:w="1060" w:type="dxa"/>
            <w:vAlign w:val="bottom"/>
            <w:gridSpan w:val="3"/>
          </w:tcPr>
          <w:p>
            <w:pPr>
              <w:jc w:val="right"/>
              <w:ind w:right="100"/>
              <w:spacing w:after="0"/>
              <w:rPr>
                <w:sz w:val="20"/>
                <w:szCs w:val="20"/>
                <w:color w:val="auto"/>
              </w:rPr>
            </w:pPr>
            <w:r>
              <w:rPr>
                <w:rFonts w:ascii="Arial" w:cs="Arial" w:eastAsia="Arial" w:hAnsi="Arial"/>
                <w:sz w:val="14"/>
                <w:szCs w:val="14"/>
                <w:color w:val="auto"/>
              </w:rPr>
              <w:t>Accumulated</w:t>
            </w:r>
          </w:p>
        </w:tc>
      </w:tr>
      <w:tr>
        <w:trPr>
          <w:trHeight w:val="188"/>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October 31, 2004</w:t>
            </w:r>
          </w:p>
        </w:tc>
        <w:tc>
          <w:tcPr>
            <w:tcW w:w="15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Amount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Amortization</w:t>
            </w:r>
          </w:p>
        </w:tc>
        <w:tc>
          <w:tcPr>
            <w:tcW w:w="80" w:type="dxa"/>
            <w:vAlign w:val="bottom"/>
            <w:tcBorders>
              <w:bottom w:val="single" w:sz="8" w:color="CCEEFF"/>
            </w:tcBorders>
          </w:tcPr>
          <w:p>
            <w:pPr>
              <w:spacing w:after="0"/>
              <w:rPr>
                <w:sz w:val="16"/>
                <w:szCs w:val="16"/>
                <w:color w:val="auto"/>
              </w:rPr>
            </w:pPr>
          </w:p>
        </w:tc>
      </w:tr>
      <w:tr>
        <w:trPr>
          <w:trHeight w:val="223"/>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Patents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6,553</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223" w:lineRule="exact"/>
              <w:rPr>
                <w:sz w:val="20"/>
                <w:szCs w:val="20"/>
                <w:color w:val="auto"/>
              </w:rPr>
            </w:pPr>
            <w:r>
              <w:rPr>
                <w:rFonts w:ascii="Arial" w:cs="Arial" w:eastAsia="Arial" w:hAnsi="Arial"/>
                <w:sz w:val="13"/>
                <w:szCs w:val="13"/>
                <w:color w:val="auto"/>
              </w:rPr>
              <w:t xml:space="preserve">(5,275 </w:t>
            </w:r>
            <w:r>
              <w:rPr>
                <w:rFonts w:ascii="Arial" w:cs="Arial" w:eastAsia="Arial" w:hAnsi="Arial"/>
                <w:sz w:val="25"/>
                <w:szCs w:val="25"/>
                <w:color w:val="auto"/>
                <w:vertAlign w:val="subscript"/>
              </w:rPr>
              <w:t>)</w:t>
            </w: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Non-compete agreements</w:t>
            </w:r>
          </w:p>
        </w:tc>
        <w:tc>
          <w:tcPr>
            <w:tcW w:w="98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4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(723)</w:t>
            </w:r>
          </w:p>
        </w:tc>
      </w:tr>
      <w:tr>
        <w:trPr>
          <w:trHeight w:val="189"/>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1,700</w:t>
            </w:r>
          </w:p>
        </w:tc>
        <w:tc>
          <w:tcPr>
            <w:tcW w:w="4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(1,055)</w:t>
            </w:r>
          </w:p>
        </w:tc>
      </w:tr>
      <w:tr>
        <w:trPr>
          <w:trHeight w:val="20"/>
        </w:trPr>
        <w:tc>
          <w:tcPr>
            <w:tcW w:w="2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4"/>
                <w:szCs w:val="14"/>
                <w:color w:val="auto"/>
              </w:rPr>
              <w:t>Total</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9,253</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223" w:lineRule="exact"/>
              <w:rPr>
                <w:sz w:val="20"/>
                <w:szCs w:val="20"/>
                <w:color w:val="auto"/>
              </w:rPr>
            </w:pPr>
            <w:r>
              <w:rPr>
                <w:rFonts w:ascii="Arial" w:cs="Arial" w:eastAsia="Arial" w:hAnsi="Arial"/>
                <w:sz w:val="13"/>
                <w:szCs w:val="13"/>
                <w:color w:val="auto"/>
              </w:rPr>
              <w:t xml:space="preserve">(7,053 </w:t>
            </w:r>
            <w:r>
              <w:rPr>
                <w:rFonts w:ascii="Arial" w:cs="Arial" w:eastAsia="Arial" w:hAnsi="Arial"/>
                <w:sz w:val="25"/>
                <w:szCs w:val="25"/>
                <w:color w:val="auto"/>
                <w:vertAlign w:val="subscript"/>
              </w:rPr>
              <w:t>)</w:t>
            </w:r>
          </w:p>
        </w:tc>
      </w:tr>
      <w:tr>
        <w:trPr>
          <w:trHeight w:val="20"/>
        </w:trPr>
        <w:tc>
          <w:tcPr>
            <w:tcW w:w="2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320"/>
          </w:cols>
          <w:pgMar w:left="240" w:top="152" w:right="339" w:bottom="0" w:gutter="0" w:footer="0" w:header="0"/>
        </w:sectPr>
      </w:pPr>
    </w:p>
    <w:p>
      <w:pPr>
        <w:ind w:left="180"/>
        <w:spacing w:after="0"/>
        <w:rPr>
          <w:sz w:val="20"/>
          <w:szCs w:val="20"/>
          <w:color w:val="auto"/>
        </w:rPr>
      </w:pPr>
      <w:r>
        <w:rPr>
          <w:rFonts w:ascii="Arial" w:cs="Arial" w:eastAsia="Arial" w:hAnsi="Arial"/>
          <w:sz w:val="18"/>
          <w:szCs w:val="18"/>
          <w:color w:val="auto"/>
        </w:rPr>
        <w:t>Amortization expense for intangible assets for the fiscal years ended October 31, 2005, 2004, and 2003 was $770,000, $653,000,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$601,000, respectively. Estimated amortization expense for the succeeding fiscal years is as follows: 2006, $830,000; 2007, $637,000; 2008,</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$461,000; 2009, $251,000; 2010, $174,000; and after 2010, $620,000.</w:t>
      </w:r>
    </w:p>
    <w:p>
      <w:pPr>
        <w:sectPr>
          <w:pgSz w:w="11900" w:h="16838" w:orient="portrait"/>
          <w:cols w:equalWidth="0" w:num="1">
            <w:col w:w="11320"/>
          </w:cols>
          <w:pgMar w:left="240" w:top="152" w:right="339" w:bottom="0" w:gutter="0" w:footer="0" w:header="0"/>
          <w:type w:val="continuous"/>
        </w:sectPr>
      </w:pPr>
    </w:p>
    <w:bookmarkStart w:id="36" w:name="page37"/>
    <w:bookmarkEnd w:id="36"/>
    <w:p>
      <w:pPr>
        <w:spacing w:after="0" w:line="52" w:lineRule="exact"/>
        <w:rPr>
          <w:sz w:val="20"/>
          <w:szCs w:val="20"/>
          <w:color w:val="auto"/>
        </w:rPr>
      </w:pPr>
    </w:p>
    <w:p>
      <w:pPr>
        <w:spacing w:after="0"/>
        <w:tabs>
          <w:tab w:leader="none" w:pos="700" w:val="left"/>
        </w:tabs>
        <w:rPr>
          <w:sz w:val="20"/>
          <w:szCs w:val="20"/>
          <w:color w:val="auto"/>
        </w:rPr>
      </w:pPr>
      <w:r>
        <w:rPr>
          <w:rFonts w:ascii="Arial" w:cs="Arial" w:eastAsia="Arial" w:hAnsi="Arial"/>
          <w:sz w:val="43"/>
          <w:szCs w:val="43"/>
          <w:b w:val="1"/>
          <w:bCs w:val="1"/>
          <w:color w:val="4673B6"/>
          <w:vertAlign w:val="subscript"/>
        </w:rPr>
        <w:t>6</w:t>
      </w:r>
      <w:r>
        <w:rPr>
          <w:sz w:val="20"/>
          <w:szCs w:val="20"/>
          <w:color w:val="auto"/>
        </w:rPr>
        <w:tab/>
      </w:r>
      <w:r>
        <w:rPr>
          <w:rFonts w:ascii="Arial" w:cs="Arial" w:eastAsia="Arial" w:hAnsi="Arial"/>
          <w:sz w:val="21"/>
          <w:szCs w:val="21"/>
          <w:b w:val="1"/>
          <w:bCs w:val="1"/>
          <w:color w:val="4673B6"/>
        </w:rPr>
        <w:t>SHORT-TERM CAPITAL</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4673B6"/>
        </w:rPr>
        <w:t>RESOURCES</w:t>
      </w:r>
    </w:p>
    <w:p>
      <w:pPr>
        <w:spacing w:after="0" w:line="333"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 xml:space="preserve">As of October 31, 2005, the company had available </w:t>
      </w:r>
      <w:r>
        <w:rPr>
          <w:rFonts w:ascii="Arial" w:cs="Arial" w:eastAsia="Arial" w:hAnsi="Arial"/>
          <w:sz w:val="17"/>
          <w:szCs w:val="17"/>
          <w:color w:val="auto"/>
        </w:rPr>
        <w:t>a $175.0 million unsecured senior five-year revolving credit facility, which expires in</w:t>
      </w:r>
      <w:r>
        <w:rPr>
          <w:rFonts w:ascii="Arial" w:cs="Arial" w:eastAsia="Arial" w:hAnsi="Arial"/>
          <w:sz w:val="18"/>
          <w:szCs w:val="18"/>
          <w:color w:val="auto"/>
        </w:rPr>
        <w:t xml:space="preserve"> </w:t>
      </w:r>
      <w:r>
        <w:rPr>
          <w:rFonts w:ascii="Arial" w:cs="Arial" w:eastAsia="Arial" w:hAnsi="Arial"/>
          <w:sz w:val="17"/>
          <w:szCs w:val="17"/>
          <w:color w:val="auto"/>
        </w:rPr>
        <w:t xml:space="preserve">October 2010. </w:t>
      </w:r>
      <w:r>
        <w:rPr>
          <w:rFonts w:ascii="Arial" w:cs="Arial" w:eastAsia="Arial" w:hAnsi="Arial"/>
          <w:sz w:val="18"/>
          <w:szCs w:val="18"/>
          <w:color w:val="auto"/>
        </w:rPr>
        <w:t>The company also has a $75.0 million secured credit line backed by a multi-year credit agreement, expiring in July 2006, which</w:t>
      </w:r>
      <w:r>
        <w:rPr>
          <w:rFonts w:ascii="Arial" w:cs="Arial" w:eastAsia="Arial" w:hAnsi="Arial"/>
          <w:sz w:val="17"/>
          <w:szCs w:val="17"/>
          <w:color w:val="auto"/>
        </w:rPr>
        <w:t xml:space="preserve"> </w:t>
      </w:r>
      <w:r>
        <w:rPr>
          <w:rFonts w:ascii="Arial" w:cs="Arial" w:eastAsia="Arial" w:hAnsi="Arial"/>
          <w:sz w:val="18"/>
          <w:szCs w:val="18"/>
          <w:color w:val="auto"/>
        </w:rPr>
        <w:t>is renewable annually. This credit line is secured by certain domestic receivables. Interest expense on these credit lines is determined based on a LIBOR or commercial paper rate plus a basis point spread defined in the credit agreements. The company’s non-U.S. operations and a domestic subsidiary maintain unsecured short-term lines of credit of $16.4 million. These facilities bear interest at various rates depending on the rates in their respective countries of operation. The company had $325,000 and $1,099,000 outstanding as of October 31, 2005 and 2004, respectively, under these lines of credit. The weighted average interest rate on short-term debt outstanding as of October 31, 2005 and 2004 was 4.65 percent and 2.10 percent, respectively. The company was in compliance with all covenants related to the lines of credit described above as of October 31, 2005.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669"/>
        </w:trPr>
        <w:tc>
          <w:tcPr>
            <w:tcW w:w="540" w:type="dxa"/>
            <w:vAlign w:val="bottom"/>
            <w:vMerge w:val="restart"/>
          </w:tcPr>
          <w:p>
            <w:pPr>
              <w:spacing w:after="0"/>
              <w:rPr>
                <w:sz w:val="20"/>
                <w:szCs w:val="20"/>
                <w:color w:val="auto"/>
              </w:rPr>
            </w:pPr>
            <w:r>
              <w:rPr>
                <w:rFonts w:ascii="Arial" w:cs="Arial" w:eastAsia="Arial" w:hAnsi="Arial"/>
                <w:sz w:val="65"/>
                <w:szCs w:val="65"/>
                <w:b w:val="1"/>
                <w:bCs w:val="1"/>
                <w:color w:val="4673B6"/>
              </w:rPr>
              <w:t>7</w:t>
            </w:r>
          </w:p>
        </w:tc>
        <w:tc>
          <w:tcPr>
            <w:tcW w:w="5680" w:type="dxa"/>
            <w:vAlign w:val="bottom"/>
            <w:gridSpan w:val="2"/>
          </w:tcPr>
          <w:p>
            <w:pPr>
              <w:ind w:left="180"/>
              <w:spacing w:after="0"/>
              <w:rPr>
                <w:sz w:val="20"/>
                <w:szCs w:val="20"/>
                <w:color w:val="auto"/>
              </w:rPr>
            </w:pPr>
            <w:r>
              <w:rPr>
                <w:rFonts w:ascii="Arial" w:cs="Arial" w:eastAsia="Arial" w:hAnsi="Arial"/>
                <w:sz w:val="22"/>
                <w:szCs w:val="22"/>
                <w:b w:val="1"/>
                <w:bCs w:val="1"/>
                <w:color w:val="4673B6"/>
              </w:rPr>
              <w:t>LONG-TERM DEBT</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0" w:type="dxa"/>
            <w:vAlign w:val="bottom"/>
            <w:vMerge w:val="continue"/>
          </w:tcPr>
          <w:p>
            <w:pPr>
              <w:spacing w:after="0"/>
              <w:rPr>
                <w:sz w:val="16"/>
                <w:szCs w:val="16"/>
                <w:color w:val="auto"/>
              </w:rPr>
            </w:pPr>
          </w:p>
        </w:tc>
        <w:tc>
          <w:tcPr>
            <w:tcW w:w="28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6220" w:type="dxa"/>
            <w:vAlign w:val="bottom"/>
            <w:gridSpan w:val="3"/>
          </w:tcPr>
          <w:p>
            <w:pPr>
              <w:spacing w:after="0"/>
              <w:rPr>
                <w:sz w:val="20"/>
                <w:szCs w:val="20"/>
                <w:color w:val="auto"/>
              </w:rPr>
            </w:pPr>
            <w:r>
              <w:rPr>
                <w:rFonts w:ascii="Arial" w:cs="Arial" w:eastAsia="Arial" w:hAnsi="Arial"/>
                <w:sz w:val="18"/>
                <w:szCs w:val="18"/>
                <w:color w:val="auto"/>
              </w:rPr>
              <w:t>A summary of long-term debt as of October 31 is as follows: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7.125% Notes, due June 15, 2007</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75,000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4"/>
                <w:szCs w:val="14"/>
                <w:b w:val="1"/>
                <w:bCs w:val="1"/>
                <w:color w:val="auto"/>
              </w:rPr>
              <w:t>7.800% Debentures, due June 15, 2027</w:t>
            </w:r>
          </w:p>
        </w:tc>
        <w:tc>
          <w:tcPr>
            <w:tcW w:w="3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100,000</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w:t>
            </w: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175,046</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175,091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Less current portion</w:t>
            </w:r>
          </w:p>
        </w:tc>
        <w:tc>
          <w:tcPr>
            <w:tcW w:w="3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w:t>
            </w: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Long-term debt, less current portion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175,000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180"/>
        <w:spacing w:after="0" w:line="266" w:lineRule="auto"/>
        <w:rPr>
          <w:sz w:val="20"/>
          <w:szCs w:val="20"/>
          <w:color w:val="auto"/>
        </w:rPr>
      </w:pPr>
      <w:r>
        <w:rPr>
          <w:rFonts w:ascii="Arial" w:cs="Arial" w:eastAsia="Arial" w:hAnsi="Arial"/>
          <w:sz w:val="18"/>
          <w:szCs w:val="18"/>
          <w:color w:val="auto"/>
        </w:rPr>
        <w:t>In connection with the issuance in June 1997 of the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has been deferred and is being recognized as an adjustment to interest expense over the term of the new debt securities issued.</w:t>
      </w:r>
    </w:p>
    <w:p>
      <w:pPr>
        <w:spacing w:after="0" w:line="1" w:lineRule="exact"/>
        <w:rPr>
          <w:sz w:val="20"/>
          <w:szCs w:val="20"/>
          <w:color w:val="auto"/>
        </w:rPr>
      </w:pPr>
    </w:p>
    <w:p>
      <w:pPr>
        <w:ind w:right="240" w:firstLine="180"/>
        <w:spacing w:after="0" w:line="277" w:lineRule="auto"/>
        <w:rPr>
          <w:sz w:val="20"/>
          <w:szCs w:val="20"/>
          <w:color w:val="auto"/>
        </w:rPr>
      </w:pPr>
      <w:r>
        <w:rPr>
          <w:rFonts w:ascii="Arial" w:cs="Arial" w:eastAsia="Arial" w:hAnsi="Arial"/>
          <w:sz w:val="18"/>
          <w:szCs w:val="18"/>
          <w:color w:val="auto"/>
        </w:rPr>
        <w:t>Principal payments required on long-term debt in each of the next five fiscal years ending October 31 are as follows: 2006, $46,000; 2007, $75,000,000; 2008, $0; 2009, $0; 2010, $0; and after 2010, $100,000,000.</w:t>
      </w:r>
    </w:p>
    <w:p>
      <w:pPr>
        <w:spacing w:after="0" w:line="15" w:lineRule="exact"/>
        <w:rPr>
          <w:sz w:val="20"/>
          <w:szCs w:val="20"/>
          <w:color w:val="auto"/>
        </w:rPr>
      </w:pPr>
    </w:p>
    <w:p>
      <w:pPr>
        <w:ind w:left="720" w:hanging="712"/>
        <w:spacing w:after="0"/>
        <w:tabs>
          <w:tab w:leader="none" w:pos="720" w:val="left"/>
        </w:tabs>
        <w:numPr>
          <w:ilvl w:val="0"/>
          <w:numId w:val="55"/>
        </w:numPr>
        <w:rPr>
          <w:rFonts w:ascii="Arial" w:cs="Arial" w:eastAsia="Arial" w:hAnsi="Arial"/>
          <w:sz w:val="65"/>
          <w:szCs w:val="65"/>
          <w:b w:val="1"/>
          <w:bCs w:val="1"/>
          <w:color w:val="4673B6"/>
        </w:rPr>
      </w:pPr>
      <w:r>
        <w:rPr>
          <w:rFonts w:ascii="Arial" w:cs="Arial" w:eastAsia="Arial" w:hAnsi="Arial"/>
          <w:sz w:val="22"/>
          <w:szCs w:val="22"/>
          <w:b w:val="1"/>
          <w:bCs w:val="1"/>
          <w:color w:val="4673B6"/>
        </w:rPr>
        <w:t>STOCKHOLDERS’ EQUITY</w:t>
      </w:r>
    </w:p>
    <w:p>
      <w:pPr>
        <w:spacing w:after="0" w:line="224"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4673B6"/>
        </w:rPr>
        <w:t xml:space="preserve">Stock repurchase program – </w:t>
      </w:r>
      <w:r>
        <w:rPr>
          <w:rFonts w:ascii="Arial" w:cs="Arial" w:eastAsia="Arial" w:hAnsi="Arial"/>
          <w:sz w:val="18"/>
          <w:szCs w:val="18"/>
          <w:color w:val="000000"/>
        </w:rPr>
        <w:t>In March 2004, the company’s Board of Directors authorized the repurchase of 1,000,000 shares of the</w:t>
      </w:r>
      <w:r>
        <w:rPr>
          <w:rFonts w:ascii="Arial" w:cs="Arial" w:eastAsia="Arial" w:hAnsi="Arial"/>
          <w:sz w:val="18"/>
          <w:szCs w:val="18"/>
          <w:b w:val="1"/>
          <w:bCs w:val="1"/>
          <w:color w:val="4673B6"/>
        </w:rPr>
        <w:t xml:space="preserve"> </w:t>
      </w:r>
      <w:r>
        <w:rPr>
          <w:rFonts w:ascii="Arial" w:cs="Arial" w:eastAsia="Arial" w:hAnsi="Arial"/>
          <w:sz w:val="18"/>
          <w:szCs w:val="18"/>
          <w:color w:val="000000"/>
        </w:rPr>
        <w:t>company’s common stock. In May 2004, the Board of Directors authorized an additional 2,000,000 shares for repurchase. In September 2004, the Board of Directors authorized an additional 1,000,000 shares for repurchase, which was doubled to 2,000,000 shares as a result of the stock split effective March 28, 2005. In July 2005, the Board of Directors authorized the repurchase of an additional 2,000,000 shares. During fiscal 2005 and 2004, Toro paid $157.0 million and $169.8 million to repurchase 3,922,805 shares and 5,270,814 shares, respectively. As of October 31, 2005, 1,846,189 shares remained authorized for repurchase.</w:t>
      </w:r>
    </w:p>
    <w:p>
      <w:pPr>
        <w:spacing w:after="0" w:line="73"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4673B6"/>
        </w:rPr>
        <w:t xml:space="preserve">Shareholder rights plan – </w:t>
      </w:r>
      <w:r>
        <w:rPr>
          <w:rFonts w:ascii="Arial" w:cs="Arial" w:eastAsia="Arial" w:hAnsi="Arial"/>
          <w:sz w:val="18"/>
          <w:szCs w:val="18"/>
          <w:color w:val="000000"/>
        </w:rPr>
        <w:t>Under the terms of a Rights Agreement dated as of May 20, 1998 between Toro and Wells Fargo Bank, National</w:t>
      </w:r>
      <w:r>
        <w:rPr>
          <w:rFonts w:ascii="Arial" w:cs="Arial" w:eastAsia="Arial" w:hAnsi="Arial"/>
          <w:sz w:val="18"/>
          <w:szCs w:val="18"/>
          <w:b w:val="1"/>
          <w:bCs w:val="1"/>
          <w:color w:val="4673B6"/>
        </w:rPr>
        <w:t xml:space="preserve"> </w:t>
      </w:r>
      <w:r>
        <w:rPr>
          <w:rFonts w:ascii="Arial" w:cs="Arial" w:eastAsia="Arial" w:hAnsi="Arial"/>
          <w:sz w:val="18"/>
          <w:szCs w:val="18"/>
          <w:color w:val="000000"/>
        </w:rPr>
        <w:t>Association (the successor to Norwest Bank Minnesota, National Association), each share of the company’s common stock entitles its holder to one preferred share purchase right. These rights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become exercisable only if a person or group acquires, or announces a tender offer that would result in, ownership of 15 percent or more of Toro’s common stock. Each right will then entitle the holder to buy a one four-hundredth interest in a share of a series of preferred stock, at a price of $180 per one one-hundredth of a preferred share. Among other things under the plan, if a person or group acquires 15 percent or more of Toro’s outstanding common stock, each right entitles its holder (other than the acquiring person or group) to purchase the number of shares of common stock of Toro having a market value of twice the exercise price of the right. The Board of Directors may redeem the rights for $0.0025 per right at any time before a person or group acquires beneficial ownership of 15 percent or more of the common stock.</w:t>
      </w:r>
    </w:p>
    <w:p>
      <w:pPr>
        <w:spacing w:after="0" w:line="77"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color w:val="4673B6"/>
        </w:rPr>
        <w:t xml:space="preserve">Stock splits – </w:t>
      </w:r>
      <w:r>
        <w:rPr>
          <w:rFonts w:ascii="Arial" w:cs="Arial" w:eastAsia="Arial" w:hAnsi="Arial"/>
          <w:sz w:val="18"/>
          <w:szCs w:val="18"/>
          <w:color w:val="000000"/>
        </w:rPr>
        <w:t>On March 15, 2005, the company’s Board of Directors declared a two-for-one split of the company’s common stock, effected in</w:t>
      </w:r>
      <w:r>
        <w:rPr>
          <w:rFonts w:ascii="Arial" w:cs="Arial" w:eastAsia="Arial" w:hAnsi="Arial"/>
          <w:sz w:val="18"/>
          <w:szCs w:val="18"/>
          <w:b w:val="1"/>
          <w:bCs w:val="1"/>
          <w:color w:val="4673B6"/>
        </w:rPr>
        <w:t xml:space="preserve"> </w:t>
      </w:r>
      <w:r>
        <w:rPr>
          <w:rFonts w:ascii="Arial" w:cs="Arial" w:eastAsia="Arial" w:hAnsi="Arial"/>
          <w:sz w:val="18"/>
          <w:szCs w:val="18"/>
          <w:color w:val="000000"/>
        </w:rPr>
        <w:t>the form of a 100 percent stock dividend issued to stockholders of record as of March 28, 2005 and paid on April 12, 2005. As a result of this action, approximately 21.7 million shares were issued. Par value of the common stock remains at $1.00 per share and accordingly, approximately $21.7 million was transferred from retained earnings to common stock for all periods presented.</w:t>
      </w:r>
    </w:p>
    <w:p>
      <w:pPr>
        <w:spacing w:after="0" w:line="2" w:lineRule="exact"/>
        <w:rPr>
          <w:sz w:val="20"/>
          <w:szCs w:val="20"/>
          <w:color w:val="auto"/>
        </w:rPr>
      </w:pPr>
    </w:p>
    <w:p>
      <w:pPr>
        <w:ind w:right="80" w:firstLine="180"/>
        <w:spacing w:after="0" w:line="266" w:lineRule="auto"/>
        <w:rPr>
          <w:sz w:val="20"/>
          <w:szCs w:val="20"/>
          <w:color w:val="auto"/>
        </w:rPr>
      </w:pPr>
      <w:r>
        <w:rPr>
          <w:rFonts w:ascii="Arial" w:cs="Arial" w:eastAsia="Arial" w:hAnsi="Arial"/>
          <w:sz w:val="18"/>
          <w:szCs w:val="18"/>
          <w:color w:val="auto"/>
        </w:rPr>
        <w:t>On March 20, 2003, the company’s Board of Directors declared a two-for-one split of the company’s common stock, effected in the form of a 100 percent stock dividend issued to stockholders of record as of April 1, 2003 and paid on April 14, 2003. As a result of this action, approximately 12.5 million shares were issued. Par value of the common stock remained at $1.00 per share and accordingly, approximately $12.5 million was transferred from retained earnings to common stock for all periods presented.</w:t>
      </w:r>
    </w:p>
    <w:p>
      <w:pPr>
        <w:spacing w:after="0" w:line="1" w:lineRule="exact"/>
        <w:rPr>
          <w:sz w:val="20"/>
          <w:szCs w:val="20"/>
          <w:color w:val="auto"/>
        </w:rPr>
      </w:pPr>
    </w:p>
    <w:p>
      <w:pPr>
        <w:ind w:right="220" w:firstLine="180"/>
        <w:spacing w:after="0" w:line="277" w:lineRule="auto"/>
        <w:rPr>
          <w:sz w:val="20"/>
          <w:szCs w:val="20"/>
          <w:color w:val="auto"/>
        </w:rPr>
      </w:pPr>
      <w:r>
        <w:rPr>
          <w:rFonts w:ascii="Arial" w:cs="Arial" w:eastAsia="Arial" w:hAnsi="Arial"/>
          <w:sz w:val="18"/>
          <w:szCs w:val="18"/>
          <w:color w:val="auto"/>
        </w:rPr>
        <w:t>All references to the number of common shares and per common share amounts have been adjusted to give retroactive effect to the stock splits for all periods presented.</w:t>
      </w:r>
    </w:p>
    <w:p>
      <w:pPr>
        <w:sectPr>
          <w:pgSz w:w="11900" w:h="16890" w:orient="portrait"/>
          <w:cols w:equalWidth="0" w:num="1">
            <w:col w:w="11400"/>
          </w:cols>
          <w:pgMar w:left="240" w:top="0" w:right="259" w:bottom="0" w:gutter="0" w:footer="0" w:header="0"/>
        </w:sectPr>
      </w:pPr>
    </w:p>
    <w:p>
      <w:pPr>
        <w:spacing w:after="0" w:line="139" w:lineRule="exact"/>
        <w:rPr>
          <w:sz w:val="20"/>
          <w:szCs w:val="20"/>
          <w:color w:val="auto"/>
        </w:rPr>
      </w:pPr>
    </w:p>
    <w:p>
      <w:pPr>
        <w:ind w:left="720"/>
        <w:spacing w:after="0"/>
        <w:rPr>
          <w:sz w:val="20"/>
          <w:szCs w:val="20"/>
          <w:color w:val="auto"/>
        </w:rPr>
      </w:pPr>
      <w:r>
        <w:rPr>
          <w:rFonts w:ascii="Arial" w:cs="Arial" w:eastAsia="Arial" w:hAnsi="Arial"/>
          <w:sz w:val="21"/>
          <w:szCs w:val="21"/>
          <w:b w:val="1"/>
          <w:bCs w:val="1"/>
          <w:color w:val="4673B6"/>
        </w:rPr>
        <w:t>INCOME TAXES</w:t>
      </w:r>
    </w:p>
    <w:p>
      <w:pPr>
        <w:sectPr>
          <w:pgSz w:w="11900" w:h="16890" w:orient="portrait"/>
          <w:cols w:equalWidth="0" w:num="1">
            <w:col w:w="11400"/>
          </w:cols>
          <w:pgMar w:left="240" w:top="0" w:right="259" w:bottom="0" w:gutter="0" w:footer="0" w:header="0"/>
          <w:type w:val="continuous"/>
        </w:sectPr>
      </w:pPr>
    </w:p>
    <w:bookmarkStart w:id="37" w:name="page38"/>
    <w:bookmarkEnd w:id="37"/>
    <w:p>
      <w:pPr>
        <w:spacing w:after="0" w:line="70"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company’s consolidated effective tax rate is summarized as follows:</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7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gridSpan w:val="2"/>
          </w:tcPr>
          <w:p>
            <w:pPr>
              <w:jc w:val="right"/>
              <w:ind w:right="129"/>
              <w:spacing w:after="0"/>
              <w:rPr>
                <w:sz w:val="20"/>
                <w:szCs w:val="20"/>
                <w:color w:val="auto"/>
              </w:rPr>
            </w:pPr>
            <w:r>
              <w:rPr>
                <w:rFonts w:ascii="Arial" w:cs="Arial" w:eastAsia="Arial" w:hAnsi="Arial"/>
                <w:sz w:val="14"/>
                <w:szCs w:val="14"/>
                <w:b w:val="1"/>
                <w:bCs w:val="1"/>
                <w:color w:val="auto"/>
                <w:w w:val="96"/>
              </w:rPr>
              <w:t>2005</w:t>
            </w: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2004</w:t>
            </w:r>
          </w:p>
        </w:tc>
        <w:tc>
          <w:tcPr>
            <w:tcW w:w="1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16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Statutory federal income tax rate</w:t>
            </w:r>
          </w:p>
        </w:tc>
        <w:tc>
          <w:tcPr>
            <w:tcW w:w="7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Increase (reduction) in income taxes</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resulting from:</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Benefits from export incentives</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(1.7)</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State and local income taxes, net of</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federal income tax benefit</w:t>
            </w:r>
          </w:p>
        </w:tc>
        <w:tc>
          <w:tcPr>
            <w:tcW w:w="720" w:type="dxa"/>
            <w:vAlign w:val="bottom"/>
          </w:tcPr>
          <w:p>
            <w:pPr>
              <w:spacing w:after="0"/>
              <w:rPr>
                <w:sz w:val="16"/>
                <w:szCs w:val="16"/>
                <w:color w:val="auto"/>
              </w:rPr>
            </w:pPr>
          </w:p>
        </w:tc>
        <w:tc>
          <w:tcPr>
            <w:tcW w:w="5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0.8</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Effect of foreign source income</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(0.3)</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4"/>
                <w:szCs w:val="14"/>
                <w:b w:val="1"/>
                <w:bCs w:val="1"/>
                <w:color w:val="auto"/>
              </w:rPr>
              <w:t>Other, net</w:t>
            </w:r>
          </w:p>
        </w:tc>
        <w:tc>
          <w:tcPr>
            <w:tcW w:w="720" w:type="dxa"/>
            <w:vAlign w:val="bottom"/>
          </w:tcPr>
          <w:p>
            <w:pPr>
              <w:spacing w:after="0"/>
              <w:rPr>
                <w:sz w:val="16"/>
                <w:szCs w:val="16"/>
                <w:color w:val="auto"/>
              </w:rPr>
            </w:pPr>
          </w:p>
        </w:tc>
        <w:tc>
          <w:tcPr>
            <w:tcW w:w="52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rPr>
              <w:t>(0.8)</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effective tax rate</w:t>
            </w:r>
          </w:p>
        </w:tc>
        <w:tc>
          <w:tcPr>
            <w:tcW w:w="7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520" w:type="dxa"/>
            <w:vAlign w:val="bottom"/>
            <w:gridSpan w:val="2"/>
          </w:tcPr>
          <w:p>
            <w:pPr>
              <w:spacing w:after="0"/>
              <w:rPr>
                <w:sz w:val="20"/>
                <w:szCs w:val="20"/>
                <w:color w:val="auto"/>
              </w:rPr>
            </w:pPr>
            <w:r>
              <w:rPr>
                <w:rFonts w:ascii="Arial" w:cs="Arial" w:eastAsia="Arial" w:hAnsi="Arial"/>
                <w:sz w:val="18"/>
                <w:szCs w:val="18"/>
                <w:color w:val="auto"/>
              </w:rPr>
              <w:t>Components of the provision for income taxes were as follows: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(Dollars in thousands)</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2004</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2003</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00" w:type="dxa"/>
            <w:vAlign w:val="bottom"/>
            <w:tcBorders>
              <w:right w:val="single" w:sz="8" w:color="CCEEFF"/>
            </w:tcBorders>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Provision for income taxes:</w:t>
            </w: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4"/>
                <w:szCs w:val="14"/>
                <w:b w:val="1"/>
                <w:bCs w:val="1"/>
                <w:color w:val="auto"/>
              </w:rPr>
              <w:t>Current –</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tcBorders>
              <w:right w:val="single" w:sz="8" w:color="CCEEFF"/>
            </w:tcBorders>
          </w:tcPr>
          <w:p>
            <w:pPr>
              <w:spacing w:after="0"/>
              <w:rPr>
                <w:sz w:val="19"/>
                <w:szCs w:val="19"/>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Federal</w:t>
            </w:r>
          </w:p>
        </w:tc>
        <w:tc>
          <w:tcPr>
            <w:tcW w:w="720" w:type="dxa"/>
            <w:vAlign w:val="bottom"/>
            <w:shd w:val="clear" w:color="auto" w:fill="CCEEFF"/>
          </w:tcPr>
          <w:p>
            <w:pPr>
              <w:ind w:left="8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58,906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47,894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34,470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320" w:type="dxa"/>
            <w:vAlign w:val="bottom"/>
          </w:tcPr>
          <w:p>
            <w:pPr>
              <w:ind w:left="120"/>
              <w:spacing w:after="0"/>
              <w:rPr>
                <w:sz w:val="20"/>
                <w:szCs w:val="20"/>
                <w:color w:val="auto"/>
              </w:rPr>
            </w:pPr>
            <w:r>
              <w:rPr>
                <w:rFonts w:ascii="Arial" w:cs="Arial" w:eastAsia="Arial" w:hAnsi="Arial"/>
                <w:sz w:val="14"/>
                <w:szCs w:val="14"/>
                <w:b w:val="1"/>
                <w:bCs w:val="1"/>
                <w:color w:val="auto"/>
              </w:rPr>
              <w:t>State</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2,843</w:t>
            </w:r>
          </w:p>
        </w:tc>
        <w:tc>
          <w:tcPr>
            <w:tcW w:w="260" w:type="dxa"/>
            <w:vAlign w:val="bottom"/>
          </w:tcPr>
          <w:p>
            <w:pPr>
              <w:spacing w:after="0"/>
              <w:rPr>
                <w:sz w:val="16"/>
                <w:szCs w:val="16"/>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color w:val="auto"/>
              </w:rPr>
              <w:t>2,401</w:t>
            </w:r>
          </w:p>
        </w:tc>
        <w:tc>
          <w:tcPr>
            <w:tcW w:w="12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1,812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Borders>
              <w:right w:val="single" w:sz="8" w:color="CCEEFF"/>
            </w:tcBorders>
          </w:tcPr>
          <w:p>
            <w:pPr>
              <w:spacing w:after="0"/>
              <w:rPr>
                <w:sz w:val="16"/>
                <w:szCs w:val="16"/>
                <w:color w:val="auto"/>
              </w:rPr>
            </w:pPr>
          </w:p>
        </w:tc>
        <w:tc>
          <w:tcPr>
            <w:tcW w:w="2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Non-U.S.</w:t>
            </w: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1,209</w:t>
            </w: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1,287</w:t>
            </w: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1,449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2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Current provision</w:t>
            </w:r>
          </w:p>
        </w:tc>
        <w:tc>
          <w:tcPr>
            <w:tcW w:w="72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62,958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51,582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37,731</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200" w:type="dxa"/>
            <w:vAlign w:val="bottom"/>
            <w:tcBorders>
              <w:right w:val="single" w:sz="8" w:color="CCEEFF"/>
            </w:tcBorders>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w:t>
            </w: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19"/>
                <w:szCs w:val="19"/>
                <w:color w:val="auto"/>
              </w:rPr>
            </w:pPr>
          </w:p>
        </w:tc>
        <w:tc>
          <w:tcPr>
            <w:tcW w:w="2320" w:type="dxa"/>
            <w:vAlign w:val="bottom"/>
          </w:tcPr>
          <w:p>
            <w:pPr>
              <w:ind w:left="120"/>
              <w:spacing w:after="0"/>
              <w:rPr>
                <w:sz w:val="20"/>
                <w:szCs w:val="20"/>
                <w:color w:val="auto"/>
              </w:rPr>
            </w:pPr>
            <w:r>
              <w:rPr>
                <w:rFonts w:ascii="Arial" w:cs="Arial" w:eastAsia="Arial" w:hAnsi="Arial"/>
                <w:sz w:val="14"/>
                <w:szCs w:val="14"/>
                <w:b w:val="1"/>
                <w:bCs w:val="1"/>
                <w:color w:val="auto"/>
              </w:rPr>
              <w:t>Federal</w:t>
            </w:r>
          </w:p>
        </w:tc>
        <w:tc>
          <w:tcPr>
            <w:tcW w:w="720" w:type="dxa"/>
            <w:vAlign w:val="bottom"/>
          </w:tcPr>
          <w:p>
            <w:pPr>
              <w:ind w:left="80"/>
              <w:spacing w:after="0" w:line="230" w:lineRule="exact"/>
              <w:rPr>
                <w:sz w:val="20"/>
                <w:szCs w:val="20"/>
                <w:color w:val="auto"/>
              </w:rPr>
            </w:pPr>
            <w:r>
              <w:rPr>
                <w:rFonts w:ascii="Arial" w:cs="Arial" w:eastAsia="Arial" w:hAnsi="Arial"/>
                <w:sz w:val="26"/>
                <w:szCs w:val="26"/>
                <w:b w:val="1"/>
                <w:bCs w:val="1"/>
                <w:color w:val="auto"/>
                <w:w w:val="98"/>
                <w:vertAlign w:val="subscript"/>
              </w:rPr>
              <w:t>$</w:t>
            </w:r>
            <w:r>
              <w:rPr>
                <w:rFonts w:ascii="Arial" w:cs="Arial" w:eastAsia="Arial" w:hAnsi="Arial"/>
                <w:sz w:val="14"/>
                <w:szCs w:val="14"/>
                <w:b w:val="1"/>
                <w:bCs w:val="1"/>
                <w:color w:val="auto"/>
                <w:w w:val="98"/>
              </w:rPr>
              <w:t xml:space="preserve"> (5,953 </w:t>
            </w:r>
            <w:r>
              <w:rPr>
                <w:rFonts w:ascii="Arial" w:cs="Arial" w:eastAsia="Arial" w:hAnsi="Arial"/>
                <w:sz w:val="26"/>
                <w:szCs w:val="26"/>
                <w:b w:val="1"/>
                <w:bCs w:val="1"/>
                <w:color w:val="auto"/>
                <w:w w:val="98"/>
                <w:vertAlign w:val="subscript"/>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8"/>
              <w:spacing w:after="0" w:line="230" w:lineRule="exact"/>
              <w:rPr>
                <w:sz w:val="20"/>
                <w:szCs w:val="20"/>
                <w:color w:val="auto"/>
              </w:rPr>
            </w:pPr>
            <w:r>
              <w:rPr>
                <w:rFonts w:ascii="Arial" w:cs="Arial" w:eastAsia="Arial" w:hAnsi="Arial"/>
                <w:sz w:val="14"/>
                <w:szCs w:val="14"/>
                <w:color w:val="auto"/>
              </w:rPr>
              <w:t xml:space="preserve">(106 </w:t>
            </w:r>
            <w:r>
              <w:rPr>
                <w:rFonts w:ascii="Arial" w:cs="Arial" w:eastAsia="Arial" w:hAnsi="Arial"/>
                <w:sz w:val="26"/>
                <w:szCs w:val="26"/>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1,719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0" w:type="dxa"/>
            <w:vAlign w:val="bottom"/>
            <w:tcBorders>
              <w:right w:val="single" w:sz="8" w:color="CCEEFF"/>
            </w:tcBorders>
          </w:tcPr>
          <w:p>
            <w:pPr>
              <w:spacing w:after="0"/>
              <w:rPr>
                <w:sz w:val="16"/>
                <w:szCs w:val="16"/>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State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(671)</w:t>
            </w:r>
          </w:p>
        </w:tc>
        <w:tc>
          <w:tcPr>
            <w:tcW w:w="2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320" w:type="dxa"/>
            <w:vAlign w:val="bottom"/>
          </w:tcPr>
          <w:p>
            <w:pPr>
              <w:ind w:left="120"/>
              <w:spacing w:after="0"/>
              <w:rPr>
                <w:sz w:val="20"/>
                <w:szCs w:val="20"/>
                <w:color w:val="auto"/>
              </w:rPr>
            </w:pPr>
            <w:r>
              <w:rPr>
                <w:rFonts w:ascii="Arial" w:cs="Arial" w:eastAsia="Arial" w:hAnsi="Arial"/>
                <w:sz w:val="14"/>
                <w:szCs w:val="14"/>
                <w:b w:val="1"/>
                <w:bCs w:val="1"/>
                <w:color w:val="auto"/>
              </w:rPr>
              <w:t>Non-U.S.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(144)</w:t>
            </w:r>
          </w:p>
        </w:tc>
        <w:tc>
          <w:tcPr>
            <w:tcW w:w="260" w:type="dxa"/>
            <w:vAlign w:val="bottom"/>
          </w:tcPr>
          <w:p>
            <w:pPr>
              <w:spacing w:after="0"/>
              <w:rPr>
                <w:sz w:val="16"/>
                <w:szCs w:val="16"/>
                <w:color w:val="auto"/>
              </w:rPr>
            </w:pPr>
          </w:p>
        </w:tc>
        <w:tc>
          <w:tcPr>
            <w:tcW w:w="700" w:type="dxa"/>
            <w:vAlign w:val="bottom"/>
            <w:gridSpan w:val="2"/>
          </w:tcPr>
          <w:p>
            <w:pPr>
              <w:jc w:val="right"/>
              <w:ind w:right="88"/>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00" w:type="dxa"/>
            <w:vAlign w:val="bottom"/>
            <w:tcBorders>
              <w:right w:val="single" w:sz="8" w:color="CCEEFF"/>
            </w:tcBorders>
          </w:tcPr>
          <w:p>
            <w:pPr>
              <w:spacing w:after="0"/>
              <w:rPr>
                <w:sz w:val="15"/>
                <w:szCs w:val="15"/>
                <w:color w:val="auto"/>
              </w:rPr>
            </w:pPr>
          </w:p>
        </w:tc>
        <w:tc>
          <w:tcPr>
            <w:tcW w:w="2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Deferred provision</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(6,768)</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(1,015)</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1,567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2320" w:type="dxa"/>
            <w:vAlign w:val="bottom"/>
          </w:tcPr>
          <w:p>
            <w:pPr>
              <w:spacing w:after="0"/>
              <w:rPr>
                <w:sz w:val="20"/>
                <w:szCs w:val="20"/>
                <w:color w:val="auto"/>
              </w:rPr>
            </w:pPr>
            <w:r>
              <w:rPr>
                <w:rFonts w:ascii="Arial" w:cs="Arial" w:eastAsia="Arial" w:hAnsi="Arial"/>
                <w:sz w:val="14"/>
                <w:szCs w:val="14"/>
                <w:b w:val="1"/>
                <w:bCs w:val="1"/>
                <w:color w:val="auto"/>
              </w:rPr>
              <w:t>Total provision for income</w:t>
            </w:r>
          </w:p>
        </w:tc>
        <w:tc>
          <w:tcPr>
            <w:tcW w:w="720" w:type="dxa"/>
            <w:vAlign w:val="bottom"/>
            <w:vMerge w:val="restart"/>
          </w:tcPr>
          <w:p>
            <w:pPr>
              <w:ind w:left="8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56,190</w:t>
            </w:r>
          </w:p>
        </w:tc>
        <w:tc>
          <w:tcPr>
            <w:tcW w:w="260" w:type="dxa"/>
            <w:vAlign w:val="bottom"/>
          </w:tcPr>
          <w:p>
            <w:pPr>
              <w:spacing w:after="0"/>
              <w:rPr>
                <w:sz w:val="15"/>
                <w:szCs w:val="15"/>
                <w:color w:val="auto"/>
              </w:rPr>
            </w:pPr>
          </w:p>
        </w:tc>
        <w:tc>
          <w:tcPr>
            <w:tcW w:w="70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50,567</w:t>
            </w:r>
          </w:p>
        </w:tc>
        <w:tc>
          <w:tcPr>
            <w:tcW w:w="120" w:type="dxa"/>
            <w:vAlign w:val="bottom"/>
          </w:tcPr>
          <w:p>
            <w:pPr>
              <w:spacing w:after="0"/>
              <w:rPr>
                <w:sz w:val="15"/>
                <w:szCs w:val="15"/>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39,298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3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taxes</w:t>
            </w: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has net operating loss carryforwards of approximately $1.5 million in foreign jurisdictions with unlimited expiration.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before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109220</wp:posOffset>
            </wp:positionV>
            <wp:extent cx="29502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84" w:lineRule="exact"/>
        <w:rPr>
          <w:sz w:val="20"/>
          <w:szCs w:val="20"/>
          <w:color w:val="auto"/>
        </w:rPr>
      </w:pPr>
    </w:p>
    <w:p>
      <w:pPr>
        <w:ind w:left="3360"/>
        <w:spacing w:after="0"/>
        <w:rPr>
          <w:sz w:val="20"/>
          <w:szCs w:val="20"/>
          <w:color w:val="auto"/>
        </w:rPr>
      </w:pPr>
      <w:r>
        <w:rPr>
          <w:rFonts w:ascii="Arial" w:cs="Arial" w:eastAsia="Arial" w:hAnsi="Arial"/>
          <w:sz w:val="14"/>
          <w:szCs w:val="14"/>
          <w:color w:val="auto"/>
        </w:rPr>
        <w:t>(Dollars in thousands)</w:t>
      </w:r>
    </w:p>
    <w:p>
      <w:pPr>
        <w:spacing w:after="0" w:line="11" w:lineRule="exact"/>
        <w:rPr>
          <w:sz w:val="20"/>
          <w:szCs w:val="20"/>
          <w:color w:val="auto"/>
        </w:rPr>
      </w:pPr>
    </w:p>
    <w:tbl>
      <w:tblPr>
        <w:tblLayout w:type="fixed"/>
        <w:tblInd w:w="3360" w:type="dxa"/>
        <w:tblCellMar>
          <w:top w:w="0" w:type="dxa"/>
          <w:left w:w="0" w:type="dxa"/>
          <w:bottom w:w="0" w:type="dxa"/>
          <w:right w:w="0" w:type="dxa"/>
        </w:tblCellMar>
      </w:tblPr>
      <w:tr>
        <w:trPr>
          <w:trHeight w:val="183"/>
        </w:trPr>
        <w:tc>
          <w:tcPr>
            <w:tcW w:w="20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940" w:type="dxa"/>
            <w:vAlign w:val="bottom"/>
          </w:tcPr>
          <w:p>
            <w:pPr>
              <w:jc w:val="right"/>
              <w:ind w:right="51"/>
              <w:spacing w:after="0"/>
              <w:rPr>
                <w:sz w:val="20"/>
                <w:szCs w:val="20"/>
                <w:color w:val="auto"/>
              </w:rPr>
            </w:pPr>
            <w:r>
              <w:rPr>
                <w:rFonts w:ascii="Arial" w:cs="Arial" w:eastAsia="Arial" w:hAnsi="Arial"/>
                <w:sz w:val="14"/>
                <w:szCs w:val="14"/>
                <w:b w:val="1"/>
                <w:bCs w:val="1"/>
                <w:color w:val="auto"/>
              </w:rPr>
              <w:t>2005</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2004</w:t>
            </w:r>
          </w:p>
        </w:tc>
        <w:tc>
          <w:tcPr>
            <w:tcW w:w="820" w:type="dxa"/>
            <w:vAlign w:val="bottom"/>
          </w:tcPr>
          <w:p>
            <w:pPr>
              <w:jc w:val="right"/>
              <w:spacing w:after="0"/>
              <w:rPr>
                <w:sz w:val="20"/>
                <w:szCs w:val="20"/>
                <w:color w:val="auto"/>
              </w:rPr>
            </w:pPr>
            <w:r>
              <w:rPr>
                <w:rFonts w:ascii="Arial" w:cs="Arial" w:eastAsia="Arial" w:hAnsi="Arial"/>
                <w:sz w:val="14"/>
                <w:szCs w:val="14"/>
                <w:color w:val="auto"/>
              </w:rPr>
              <w:t>2003</w:t>
            </w:r>
          </w:p>
        </w:tc>
        <w:tc>
          <w:tcPr>
            <w:tcW w:w="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Earnings before income</w:t>
            </w:r>
          </w:p>
        </w:tc>
        <w:tc>
          <w:tcPr>
            <w:tcW w:w="9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taxes:</w:t>
            </w:r>
          </w:p>
        </w:tc>
        <w:tc>
          <w:tcPr>
            <w:tcW w:w="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2000" w:type="dxa"/>
            <w:vAlign w:val="bottom"/>
          </w:tcPr>
          <w:p>
            <w:pPr>
              <w:ind w:left="120"/>
              <w:spacing w:after="0"/>
              <w:rPr>
                <w:sz w:val="20"/>
                <w:szCs w:val="20"/>
                <w:color w:val="auto"/>
              </w:rPr>
            </w:pPr>
            <w:r>
              <w:rPr>
                <w:rFonts w:ascii="Arial" w:cs="Arial" w:eastAsia="Arial" w:hAnsi="Arial"/>
                <w:sz w:val="14"/>
                <w:szCs w:val="14"/>
                <w:b w:val="1"/>
                <w:bCs w:val="1"/>
                <w:color w:val="auto"/>
              </w:rPr>
              <w:t>U.S.</w:t>
            </w:r>
          </w:p>
        </w:tc>
        <w:tc>
          <w:tcPr>
            <w:tcW w:w="940" w:type="dxa"/>
            <w:vAlign w:val="bottom"/>
          </w:tcPr>
          <w:p>
            <w:pPr>
              <w:jc w:val="right"/>
              <w:ind w:right="71"/>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165,536</w:t>
            </w:r>
          </w:p>
        </w:tc>
        <w:tc>
          <w:tcPr>
            <w:tcW w:w="880" w:type="dxa"/>
            <w:vAlign w:val="bottom"/>
          </w:tcPr>
          <w:p>
            <w:pPr>
              <w:jc w:val="right"/>
              <w:ind w:right="51"/>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142,982</w:t>
            </w:r>
          </w:p>
        </w:tc>
        <w:tc>
          <w:tcPr>
            <w:tcW w:w="820" w:type="dxa"/>
            <w:vAlign w:val="bottom"/>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116,442</w:t>
            </w:r>
          </w:p>
        </w:tc>
        <w:tc>
          <w:tcPr>
            <w:tcW w:w="6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2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Non-U.S.</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4,736</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10,251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4,476</w:t>
            </w:r>
          </w:p>
        </w:tc>
        <w:tc>
          <w:tcPr>
            <w:tcW w:w="60" w:type="dxa"/>
            <w:vAlign w:val="bottom"/>
            <w:shd w:val="clear" w:color="auto" w:fill="CCEEFF"/>
          </w:tcPr>
          <w:p>
            <w:pPr>
              <w:spacing w:after="0"/>
              <w:rPr>
                <w:sz w:val="16"/>
                <w:szCs w:val="16"/>
                <w:color w:val="auto"/>
              </w:rPr>
            </w:pPr>
          </w:p>
        </w:tc>
      </w:tr>
      <w:tr>
        <w:trPr>
          <w:trHeight w:val="223"/>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940" w:type="dxa"/>
            <w:vAlign w:val="bottom"/>
            <w:tcBorders>
              <w:bottom w:val="single" w:sz="8" w:color="auto"/>
            </w:tcBorders>
          </w:tcPr>
          <w:p>
            <w:pPr>
              <w:jc w:val="right"/>
              <w:ind w:right="71"/>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170,272</w:t>
            </w:r>
          </w:p>
        </w:tc>
        <w:tc>
          <w:tcPr>
            <w:tcW w:w="880" w:type="dxa"/>
            <w:vAlign w:val="bottom"/>
            <w:tcBorders>
              <w:bottom w:val="single" w:sz="8" w:color="auto"/>
            </w:tcBorders>
          </w:tcPr>
          <w:p>
            <w:pPr>
              <w:jc w:val="right"/>
              <w:ind w:right="51"/>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153,233</w:t>
            </w:r>
          </w:p>
        </w:tc>
        <w:tc>
          <w:tcPr>
            <w:tcW w:w="8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120,918</w:t>
            </w:r>
          </w:p>
        </w:tc>
        <w:tc>
          <w:tcPr>
            <w:tcW w:w="60" w:type="dxa"/>
            <w:vAlign w:val="bottom"/>
          </w:tcPr>
          <w:p>
            <w:pPr>
              <w:spacing w:after="0"/>
              <w:rPr>
                <w:sz w:val="19"/>
                <w:szCs w:val="19"/>
                <w:color w:val="auto"/>
              </w:rPr>
            </w:pPr>
          </w:p>
        </w:tc>
      </w:tr>
    </w:tbl>
    <w:p>
      <w:pPr>
        <w:spacing w:after="0" w:line="175"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During the fiscal years ended October 31, 2005, 2004, and 2003, respectively, $5,989,000, $9,857,000, and $2,642,000 was added to stockholders’ equity reflecting the permanent book to tax difference in accounting for tax benefits related to employee stock option transactions.</w:t>
      </w:r>
    </w:p>
    <w:p>
      <w:pPr>
        <w:ind w:left="180"/>
        <w:spacing w:after="0"/>
        <w:rPr>
          <w:sz w:val="20"/>
          <w:szCs w:val="20"/>
          <w:color w:val="auto"/>
        </w:rPr>
      </w:pPr>
      <w:r>
        <w:rPr>
          <w:rFonts w:ascii="Arial" w:cs="Arial" w:eastAsia="Arial" w:hAnsi="Arial"/>
          <w:sz w:val="18"/>
          <w:szCs w:val="18"/>
          <w:color w:val="auto"/>
        </w:rPr>
        <w:t>The tax effects of temporary differences that give rise to the net deferred income tax assets (liabilities)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143510</wp:posOffset>
            </wp:positionV>
            <wp:extent cx="29070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38"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(Dollars in thousands)</w:t>
      </w:r>
    </w:p>
    <w:p>
      <w:pPr>
        <w:spacing w:after="0" w:line="11" w:lineRule="exact"/>
        <w:rPr>
          <w:sz w:val="20"/>
          <w:szCs w:val="20"/>
          <w:color w:val="auto"/>
        </w:rPr>
      </w:pPr>
    </w:p>
    <w:tbl>
      <w:tblPr>
        <w:tblLayout w:type="fixed"/>
        <w:tblInd w:w="3380" w:type="dxa"/>
        <w:tblCellMar>
          <w:top w:w="0" w:type="dxa"/>
          <w:left w:w="0" w:type="dxa"/>
          <w:bottom w:w="0" w:type="dxa"/>
          <w:right w:w="0" w:type="dxa"/>
        </w:tblCellMar>
      </w:tblPr>
      <w:tr>
        <w:trPr>
          <w:trHeight w:val="183"/>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80" w:type="dxa"/>
            <w:vAlign w:val="bottom"/>
            <w:tcBorders>
              <w:bottom w:val="single" w:sz="8" w:color="CCEEFF"/>
            </w:tcBorders>
          </w:tcPr>
          <w:p>
            <w:pPr>
              <w:spacing w:after="0"/>
              <w:rPr>
                <w:sz w:val="15"/>
                <w:szCs w:val="15"/>
                <w:color w:val="auto"/>
              </w:rPr>
            </w:pPr>
          </w:p>
        </w:tc>
      </w:tr>
      <w:tr>
        <w:trPr>
          <w:trHeight w:val="187"/>
        </w:trPr>
        <w:tc>
          <w:tcPr>
            <w:tcW w:w="2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Assets:</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Allowance for doubtful accounts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b w:val="1"/>
                <w:bCs w:val="1"/>
                <w:color w:val="auto"/>
              </w:rPr>
              <w:t>2,033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1,697</w:t>
            </w:r>
          </w:p>
        </w:tc>
        <w:tc>
          <w:tcPr>
            <w:tcW w:w="80" w:type="dxa"/>
            <w:vAlign w:val="bottom"/>
          </w:tcPr>
          <w:p>
            <w:pPr>
              <w:spacing w:after="0"/>
              <w:rPr>
                <w:sz w:val="19"/>
                <w:szCs w:val="19"/>
                <w:color w:val="auto"/>
              </w:rPr>
            </w:pPr>
          </w:p>
        </w:tc>
      </w:tr>
      <w:tr>
        <w:trPr>
          <w:trHeight w:val="189"/>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Inventory items</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2,209</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(1,062)</w:t>
            </w:r>
          </w:p>
        </w:tc>
      </w:tr>
      <w:tr>
        <w:trPr>
          <w:trHeight w:val="189"/>
        </w:trPr>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Warranty reserves and other accruals</w:t>
            </w:r>
          </w:p>
        </w:tc>
        <w:tc>
          <w:tcPr>
            <w:tcW w:w="320" w:type="dxa"/>
            <w:vAlign w:val="bottom"/>
          </w:tcPr>
          <w:p>
            <w:pPr>
              <w:spacing w:after="0"/>
              <w:rPr>
                <w:sz w:val="16"/>
                <w:szCs w:val="16"/>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b w:val="1"/>
                <w:bCs w:val="1"/>
                <w:color w:val="auto"/>
              </w:rPr>
              <w:t>25,559</w:t>
            </w: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28,935</w:t>
            </w:r>
          </w:p>
        </w:tc>
        <w:tc>
          <w:tcPr>
            <w:tcW w:w="80" w:type="dxa"/>
            <w:vAlign w:val="bottom"/>
          </w:tcPr>
          <w:p>
            <w:pPr>
              <w:spacing w:after="0"/>
              <w:rPr>
                <w:sz w:val="16"/>
                <w:szCs w:val="16"/>
                <w:color w:val="auto"/>
              </w:rPr>
            </w:pPr>
          </w:p>
        </w:tc>
      </w:tr>
      <w:tr>
        <w:trPr>
          <w:trHeight w:val="189"/>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Employee benefits</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22,240</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16,773</w:t>
            </w:r>
          </w:p>
        </w:tc>
        <w:tc>
          <w:tcPr>
            <w:tcW w:w="80" w:type="dxa"/>
            <w:vAlign w:val="bottom"/>
            <w:shd w:val="clear" w:color="auto" w:fill="CCEEFF"/>
          </w:tcPr>
          <w:p>
            <w:pPr>
              <w:spacing w:after="0"/>
              <w:rPr>
                <w:sz w:val="16"/>
                <w:szCs w:val="16"/>
                <w:color w:val="auto"/>
              </w:rPr>
            </w:pPr>
          </w:p>
        </w:tc>
      </w:tr>
      <w:tr>
        <w:trPr>
          <w:trHeight w:val="189"/>
        </w:trPr>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6,517</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6,721</w:t>
            </w:r>
          </w:p>
        </w:tc>
        <w:tc>
          <w:tcPr>
            <w:tcW w:w="80" w:type="dxa"/>
            <w:vAlign w:val="bottom"/>
            <w:tcBorders>
              <w:bottom w:val="single" w:sz="8" w:color="CCEEFF"/>
            </w:tcBorders>
          </w:tcPr>
          <w:p>
            <w:pPr>
              <w:spacing w:after="0"/>
              <w:rPr>
                <w:sz w:val="16"/>
                <w:szCs w:val="16"/>
                <w:color w:val="auto"/>
              </w:rPr>
            </w:pPr>
          </w:p>
        </w:tc>
      </w:tr>
      <w:tr>
        <w:trPr>
          <w:trHeight w:val="223"/>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deferred tax assets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58,558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53,064</w:t>
            </w:r>
          </w:p>
        </w:tc>
        <w:tc>
          <w:tcPr>
            <w:tcW w:w="80" w:type="dxa"/>
            <w:vAlign w:val="bottom"/>
            <w:shd w:val="clear" w:color="auto" w:fill="CCEEFF"/>
          </w:tcPr>
          <w:p>
            <w:pPr>
              <w:spacing w:after="0"/>
              <w:rPr>
                <w:sz w:val="19"/>
                <w:szCs w:val="19"/>
                <w:color w:val="auto"/>
              </w:rPr>
            </w:pPr>
          </w:p>
        </w:tc>
      </w:tr>
      <w:tr>
        <w:trPr>
          <w:trHeight w:val="183"/>
        </w:trPr>
        <w:tc>
          <w:tcPr>
            <w:tcW w:w="2960" w:type="dxa"/>
            <w:vAlign w:val="bottom"/>
          </w:tcPr>
          <w:p>
            <w:pPr>
              <w:spacing w:after="0"/>
              <w:rPr>
                <w:sz w:val="20"/>
                <w:szCs w:val="20"/>
                <w:color w:val="auto"/>
              </w:rPr>
            </w:pPr>
            <w:r>
              <w:rPr>
                <w:rFonts w:ascii="Arial" w:cs="Arial" w:eastAsia="Arial" w:hAnsi="Arial"/>
                <w:sz w:val="14"/>
                <w:szCs w:val="14"/>
                <w:b w:val="1"/>
                <w:bCs w:val="1"/>
                <w:color w:val="auto"/>
              </w:rPr>
              <w:t>Deferred Tax Liabilities:</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Depreciation</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9"/>
              <w:spacing w:after="0" w:line="230" w:lineRule="exact"/>
              <w:rPr>
                <w:sz w:val="20"/>
                <w:szCs w:val="20"/>
                <w:color w:val="auto"/>
              </w:rPr>
            </w:pPr>
            <w:r>
              <w:rPr>
                <w:rFonts w:ascii="Arial" w:cs="Arial" w:eastAsia="Arial" w:hAnsi="Arial"/>
                <w:sz w:val="14"/>
                <w:szCs w:val="14"/>
                <w:b w:val="1"/>
                <w:bCs w:val="1"/>
                <w:color w:val="auto"/>
              </w:rPr>
              <w:t xml:space="preserve">(872 </w:t>
            </w:r>
            <w:r>
              <w:rPr>
                <w:rFonts w:ascii="Arial" w:cs="Arial" w:eastAsia="Arial" w:hAnsi="Arial"/>
                <w:sz w:val="26"/>
                <w:szCs w:val="26"/>
                <w:b w:val="1"/>
                <w:bCs w:val="1"/>
                <w:color w:val="auto"/>
                <w:vertAlign w:val="sub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line="230" w:lineRule="exact"/>
              <w:rPr>
                <w:sz w:val="20"/>
                <w:szCs w:val="20"/>
                <w:color w:val="auto"/>
              </w:rPr>
            </w:pPr>
            <w:r>
              <w:rPr>
                <w:rFonts w:ascii="Arial" w:cs="Arial" w:eastAsia="Arial" w:hAnsi="Arial"/>
                <w:sz w:val="14"/>
                <w:szCs w:val="14"/>
                <w:color w:val="auto"/>
              </w:rPr>
              <w:t xml:space="preserve">(3,837 </w:t>
            </w:r>
            <w:r>
              <w:rPr>
                <w:rFonts w:ascii="Arial" w:cs="Arial" w:eastAsia="Arial" w:hAnsi="Arial"/>
                <w:sz w:val="26"/>
                <w:szCs w:val="26"/>
                <w:color w:val="auto"/>
                <w:vertAlign w:val="subscript"/>
              </w:rPr>
              <w:t>)</w:t>
            </w:r>
          </w:p>
        </w:tc>
      </w:tr>
      <w:tr>
        <w:trPr>
          <w:trHeight w:val="20"/>
        </w:trPr>
        <w:tc>
          <w:tcPr>
            <w:tcW w:w="2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4"/>
                <w:szCs w:val="14"/>
                <w:b w:val="1"/>
                <w:bCs w:val="1"/>
                <w:color w:val="auto"/>
              </w:rPr>
              <w:t>Net deferred tax liabilities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9"/>
              <w:spacing w:after="0" w:line="223" w:lineRule="exact"/>
              <w:rPr>
                <w:sz w:val="20"/>
                <w:szCs w:val="20"/>
                <w:color w:val="auto"/>
              </w:rPr>
            </w:pPr>
            <w:r>
              <w:rPr>
                <w:rFonts w:ascii="Arial" w:cs="Arial" w:eastAsia="Arial" w:hAnsi="Arial"/>
                <w:sz w:val="13"/>
                <w:szCs w:val="13"/>
                <w:b w:val="1"/>
                <w:bCs w:val="1"/>
                <w:color w:val="auto"/>
              </w:rPr>
              <w:t xml:space="preserve">(872 </w:t>
            </w:r>
            <w:r>
              <w:rPr>
                <w:rFonts w:ascii="Arial" w:cs="Arial" w:eastAsia="Arial" w:hAnsi="Arial"/>
                <w:sz w:val="25"/>
                <w:szCs w:val="25"/>
                <w:b w:val="1"/>
                <w:bCs w:val="1"/>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223" w:lineRule="exact"/>
              <w:rPr>
                <w:sz w:val="20"/>
                <w:szCs w:val="20"/>
                <w:color w:val="auto"/>
              </w:rPr>
            </w:pPr>
            <w:r>
              <w:rPr>
                <w:rFonts w:ascii="Arial" w:cs="Arial" w:eastAsia="Arial" w:hAnsi="Arial"/>
                <w:sz w:val="13"/>
                <w:szCs w:val="13"/>
                <w:color w:val="auto"/>
              </w:rPr>
              <w:t xml:space="preserve">(3,837 </w:t>
            </w:r>
            <w:r>
              <w:rPr>
                <w:rFonts w:ascii="Arial" w:cs="Arial" w:eastAsia="Arial" w:hAnsi="Arial"/>
                <w:sz w:val="25"/>
                <w:szCs w:val="25"/>
                <w:color w:val="auto"/>
                <w:vertAlign w:val="subscript"/>
              </w:rPr>
              <w:t>)</w:t>
            </w:r>
          </w:p>
        </w:tc>
      </w:tr>
      <w:tr>
        <w:trPr>
          <w:trHeight w:val="20"/>
        </w:trPr>
        <w:tc>
          <w:tcPr>
            <w:tcW w:w="2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20" w:firstLine="180"/>
        <w:spacing w:after="0" w:line="277" w:lineRule="auto"/>
        <w:rPr>
          <w:sz w:val="20"/>
          <w:szCs w:val="20"/>
          <w:color w:val="auto"/>
        </w:rPr>
      </w:pPr>
      <w:r>
        <w:rPr>
          <w:rFonts w:ascii="Arial" w:cs="Arial" w:eastAsia="Arial" w:hAnsi="Arial"/>
          <w:sz w:val="18"/>
          <w:szCs w:val="18"/>
          <w:color w:val="auto"/>
        </w:rPr>
        <w:t>As of October 31, 2005, the company had approximately $22.6 million of accumulated undistributed earnings of subsidiaries outside of the United States that are considered to be reinvested indefinitely. No deferred tax liability has been provided for such earnings.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10</w:t>
      </w:r>
      <w:r>
        <w:rPr>
          <w:rFonts w:ascii="Arial" w:cs="Arial" w:eastAsia="Arial" w:hAnsi="Arial"/>
          <w:sz w:val="21"/>
          <w:szCs w:val="21"/>
          <w:b w:val="1"/>
          <w:bCs w:val="1"/>
          <w:color w:val="4673B6"/>
        </w:rPr>
        <w:t>STOCK-BASED COMPENSATION</w:t>
      </w:r>
    </w:p>
    <w:p>
      <w:pPr>
        <w:ind w:left="760"/>
        <w:spacing w:after="0"/>
        <w:rPr>
          <w:sz w:val="20"/>
          <w:szCs w:val="20"/>
          <w:color w:val="auto"/>
        </w:rPr>
      </w:pPr>
      <w:r>
        <w:rPr>
          <w:rFonts w:ascii="Arial" w:cs="Arial" w:eastAsia="Arial" w:hAnsi="Arial"/>
          <w:sz w:val="22"/>
          <w:szCs w:val="22"/>
          <w:b w:val="1"/>
          <w:bCs w:val="1"/>
          <w:color w:val="4673B6"/>
        </w:rPr>
        <w:t>PLANS</w:t>
      </w:r>
    </w:p>
    <w:p>
      <w:pPr>
        <w:spacing w:after="0" w:line="252"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Under the company’s stock option plans, certain employees and non-employee directors have been granted options to purchase shares of common stock at prices equal to the fair market value of the company’s common stock on the date the option was granted. A majority of these awards are non-qualified options, and for certain non-officer employees, the 2005 options vest after two years from the date of grant and have a five-year contractual term. This was the first time the two-year vesting was required for options granted to the non-officer employee group. Other options granted during the first quarter of fiscal 2005 vest one-third each year over a three-year period and have a ten-year contractual</w:t>
      </w:r>
    </w:p>
    <w:p>
      <w:pPr>
        <w:sectPr>
          <w:pgSz w:w="11900" w:h="16909" w:orient="portrait"/>
          <w:cols w:equalWidth="0" w:num="1">
            <w:col w:w="11400"/>
          </w:cols>
          <w:pgMar w:left="240" w:top="12" w:right="259" w:bottom="0" w:gutter="0" w:footer="0" w:header="0"/>
        </w:sectPr>
      </w:pPr>
    </w:p>
    <w:bookmarkStart w:id="38" w:name="page39"/>
    <w:bookmarkEnd w:id="38"/>
    <w:p>
      <w:pPr>
        <w:spacing w:after="0" w:line="71"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term. Compensation expense is recognized for these awards over the vesting period. The number of unissued common shares available for future grants under the company’s stock-based compensation plans was 954,645 as of October 31, 2005.</w:t>
      </w:r>
    </w:p>
    <w:p>
      <w:pPr>
        <w:ind w:right="140" w:firstLine="180"/>
        <w:spacing w:after="0" w:line="266" w:lineRule="auto"/>
        <w:rPr>
          <w:sz w:val="20"/>
          <w:szCs w:val="20"/>
          <w:color w:val="auto"/>
        </w:rPr>
      </w:pPr>
      <w:r>
        <w:rPr>
          <w:rFonts w:ascii="Arial" w:cs="Arial" w:eastAsia="Arial" w:hAnsi="Arial"/>
          <w:sz w:val="18"/>
          <w:szCs w:val="18"/>
          <w:color w:val="auto"/>
        </w:rPr>
        <w:t>In 1999, the company’s stockholders approved a long-term incentive plan called The Toro Company Performance Share Plan. Under this plan, key employees are granted the right to receive shares of common stock or deferred common stock units,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vest over one- to three-year periods. Compensation expense is recognized for these awards on a straight-line basis over the vesting period based on the fair value as of the date of grant and the probability of achieving performance goals. The number of unissued common shares available for future grants under the company’s Performance Share Plan was 1,788,492 as of October 31, 2005.</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summary of activity under the plans previously described is presented below:</w:t>
      </w:r>
    </w:p>
    <w:p>
      <w:pPr>
        <w:spacing w:after="0" w:line="206" w:lineRule="exact"/>
        <w:rPr>
          <w:sz w:val="20"/>
          <w:szCs w:val="20"/>
          <w:color w:val="auto"/>
        </w:rPr>
      </w:pPr>
    </w:p>
    <w:tbl>
      <w:tblPr>
        <w:tblLayout w:type="fixed"/>
        <w:tblInd w:w="33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Performance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color w:val="auto"/>
              </w:rPr>
              <w:t>Options</w:t>
            </w: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Average</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Average</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Potentially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color w:val="auto"/>
              </w:rPr>
              <w:t>Outstanding</w:t>
            </w:r>
          </w:p>
        </w:tc>
        <w:tc>
          <w:tcPr>
            <w:tcW w:w="18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Price</w:t>
            </w:r>
            <w:r>
              <w:rPr>
                <w:rFonts w:ascii="Arial" w:cs="Arial" w:eastAsia="Arial" w:hAnsi="Arial"/>
                <w:sz w:val="17"/>
                <w:szCs w:val="17"/>
                <w:color w:val="auto"/>
                <w:vertAlign w:val="superscript"/>
              </w:rPr>
              <w:t>1</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Life</w:t>
            </w:r>
            <w:r>
              <w:rPr>
                <w:rFonts w:ascii="Arial" w:cs="Arial" w:eastAsia="Arial" w:hAnsi="Arial"/>
                <w:sz w:val="17"/>
                <w:szCs w:val="17"/>
                <w:color w:val="auto"/>
                <w:vertAlign w:val="superscript"/>
              </w:rPr>
              <w:t>2</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Issuable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00" w:type="dxa"/>
            <w:vAlign w:val="bottom"/>
            <w:tcBorders>
              <w:top w:val="single" w:sz="8" w:color="auto"/>
              <w:bottom w:val="single" w:sz="8" w:color="CCEEFF"/>
            </w:tcBorders>
            <w:shd w:val="clear" w:color="auto" w:fill="CCEEFF"/>
          </w:tcPr>
          <w:p>
            <w:pPr>
              <w:spacing w:after="0" w:line="156" w:lineRule="exact"/>
              <w:rPr>
                <w:sz w:val="20"/>
                <w:szCs w:val="20"/>
                <w:color w:val="auto"/>
              </w:rPr>
            </w:pPr>
            <w:r>
              <w:rPr>
                <w:rFonts w:ascii="Arial" w:cs="Arial" w:eastAsia="Arial" w:hAnsi="Arial"/>
                <w:sz w:val="14"/>
                <w:szCs w:val="14"/>
                <w:color w:val="auto"/>
              </w:rPr>
              <w:t>Fiscal 2003</w:t>
            </w: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spacing w:after="0" w:line="148" w:lineRule="exact"/>
              <w:rPr>
                <w:sz w:val="20"/>
                <w:szCs w:val="20"/>
                <w:color w:val="auto"/>
              </w:rPr>
            </w:pPr>
            <w:r>
              <w:rPr>
                <w:rFonts w:ascii="Arial" w:cs="Arial" w:eastAsia="Arial" w:hAnsi="Arial"/>
                <w:sz w:val="14"/>
                <w:szCs w:val="14"/>
                <w:color w:val="auto"/>
              </w:rPr>
              <w:t>Outstanding as of the</w:t>
            </w:r>
          </w:p>
        </w:tc>
        <w:tc>
          <w:tcPr>
            <w:tcW w:w="940" w:type="dxa"/>
            <w:vAlign w:val="bottom"/>
            <w:vMerge w:val="restart"/>
          </w:tcPr>
          <w:p>
            <w:pPr>
              <w:jc w:val="right"/>
              <w:ind w:right="55"/>
              <w:spacing w:after="0"/>
              <w:rPr>
                <w:sz w:val="20"/>
                <w:szCs w:val="20"/>
                <w:color w:val="auto"/>
              </w:rPr>
            </w:pPr>
            <w:r>
              <w:rPr>
                <w:rFonts w:ascii="Arial" w:cs="Arial" w:eastAsia="Arial" w:hAnsi="Arial"/>
                <w:sz w:val="14"/>
                <w:szCs w:val="14"/>
                <w:color w:val="auto"/>
              </w:rPr>
              <w:t>4,319,608</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32"/>
              <w:spacing w:after="0"/>
              <w:rPr>
                <w:sz w:val="20"/>
                <w:szCs w:val="20"/>
                <w:color w:val="auto"/>
              </w:rPr>
            </w:pPr>
            <w:r>
              <w:rPr>
                <w:rFonts w:ascii="Arial" w:cs="Arial" w:eastAsia="Arial" w:hAnsi="Arial"/>
                <w:sz w:val="14"/>
                <w:szCs w:val="14"/>
                <w:color w:val="auto"/>
              </w:rPr>
              <w:t>9.05</w:t>
            </w:r>
          </w:p>
        </w:tc>
        <w:tc>
          <w:tcPr>
            <w:tcW w:w="6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1,366,400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60"/>
              <w:spacing w:after="0" w:line="149" w:lineRule="exact"/>
              <w:rPr>
                <w:sz w:val="20"/>
                <w:szCs w:val="20"/>
                <w:color w:val="auto"/>
              </w:rPr>
            </w:pPr>
            <w:r>
              <w:rPr>
                <w:rFonts w:ascii="Arial" w:cs="Arial" w:eastAsia="Arial" w:hAnsi="Arial"/>
                <w:sz w:val="14"/>
                <w:szCs w:val="14"/>
                <w:color w:val="auto"/>
              </w:rPr>
              <w:t>beginning of the year</w:t>
            </w:r>
          </w:p>
        </w:tc>
        <w:tc>
          <w:tcPr>
            <w:tcW w:w="9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w:t>
            </w: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1,106,000</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Exercised/earned</w:t>
            </w:r>
          </w:p>
        </w:tc>
        <w:tc>
          <w:tcPr>
            <w:tcW w:w="940" w:type="dxa"/>
            <w:vAlign w:val="bottom"/>
          </w:tcPr>
          <w:p>
            <w:pPr>
              <w:jc w:val="right"/>
              <w:ind w:right="15"/>
              <w:spacing w:after="0" w:line="189" w:lineRule="exact"/>
              <w:rPr>
                <w:sz w:val="20"/>
                <w:szCs w:val="20"/>
                <w:color w:val="auto"/>
              </w:rPr>
            </w:pPr>
            <w:r>
              <w:rPr>
                <w:rFonts w:ascii="Arial" w:cs="Arial" w:eastAsia="Arial" w:hAnsi="Arial"/>
                <w:sz w:val="11"/>
                <w:szCs w:val="11"/>
                <w:color w:val="auto"/>
              </w:rPr>
              <w:t>(885,488</w:t>
            </w:r>
            <w:r>
              <w:rPr>
                <w:rFonts w:ascii="Arial" w:cs="Arial" w:eastAsia="Arial" w:hAnsi="Arial"/>
                <w:sz w:val="21"/>
                <w:szCs w:val="21"/>
                <w:color w:val="auto"/>
                <w:vertAlign w:val="subscript"/>
              </w:rPr>
              <w:t>)</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1"/>
                <w:szCs w:val="11"/>
                <w:color w:val="auto"/>
              </w:rPr>
              <w:t>(248,032</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4"/>
                <w:szCs w:val="14"/>
                <w:color w:val="auto"/>
              </w:rPr>
              <w:t>Cancelled/forfeited</w:t>
            </w:r>
          </w:p>
        </w:tc>
        <w:tc>
          <w:tcPr>
            <w:tcW w:w="9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1"/>
                <w:szCs w:val="11"/>
                <w:color w:val="auto"/>
              </w:rPr>
              <w:t>(64,000</w:t>
            </w:r>
            <w:r>
              <w:rPr>
                <w:rFonts w:ascii="Arial" w:cs="Arial" w:eastAsia="Arial" w:hAnsi="Arial"/>
                <w:sz w:val="21"/>
                <w:szCs w:val="21"/>
                <w:color w:val="auto"/>
                <w:vertAlign w:val="subscript"/>
              </w:rPr>
              <w:t>)</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1"/>
                <w:szCs w:val="11"/>
                <w:color w:val="auto"/>
              </w:rPr>
              <w:t>(119,168</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50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Outstanding as of</w:t>
            </w:r>
          </w:p>
        </w:tc>
        <w:tc>
          <w:tcPr>
            <w:tcW w:w="94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color w:val="auto"/>
              </w:rPr>
              <w:t>4,476,120</w:t>
            </w:r>
          </w:p>
        </w:tc>
        <w:tc>
          <w:tcPr>
            <w:tcW w:w="18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10.65</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1,426,000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October 31, 2003</w:t>
            </w:r>
          </w:p>
        </w:tc>
        <w:tc>
          <w:tcPr>
            <w:tcW w:w="9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5.1</w:t>
            </w:r>
          </w:p>
        </w:tc>
        <w:tc>
          <w:tcPr>
            <w:tcW w:w="90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5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Exercisable as of</w:t>
            </w:r>
          </w:p>
        </w:tc>
        <w:tc>
          <w:tcPr>
            <w:tcW w:w="940" w:type="dxa"/>
            <w:vAlign w:val="bottom"/>
            <w:vMerge w:val="restart"/>
            <w:shd w:val="clear" w:color="auto" w:fill="CCEEFF"/>
          </w:tcPr>
          <w:p>
            <w:pPr>
              <w:jc w:val="right"/>
              <w:ind w:right="75"/>
              <w:spacing w:after="0"/>
              <w:rPr>
                <w:sz w:val="20"/>
                <w:szCs w:val="20"/>
                <w:color w:val="auto"/>
              </w:rPr>
            </w:pPr>
            <w:r>
              <w:rPr>
                <w:rFonts w:ascii="Arial" w:cs="Arial" w:eastAsia="Arial" w:hAnsi="Arial"/>
                <w:sz w:val="14"/>
                <w:szCs w:val="14"/>
                <w:color w:val="auto"/>
              </w:rPr>
              <w:t>3,404,120</w:t>
            </w:r>
          </w:p>
        </w:tc>
        <w:tc>
          <w:tcPr>
            <w:tcW w:w="18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11.39</w:t>
            </w:r>
          </w:p>
        </w:tc>
        <w:tc>
          <w:tcPr>
            <w:tcW w:w="6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October 31, 2003</w:t>
            </w:r>
          </w:p>
        </w:tc>
        <w:tc>
          <w:tcPr>
            <w:tcW w:w="94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w:t>
            </w:r>
          </w:p>
        </w:tc>
        <w:tc>
          <w:tcPr>
            <w:tcW w:w="9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4"/>
                <w:szCs w:val="14"/>
                <w:color w:val="auto"/>
              </w:rPr>
              <w:t>Fiscal 2004</w:t>
            </w:r>
          </w:p>
        </w:tc>
        <w:tc>
          <w:tcPr>
            <w:tcW w:w="9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spacing w:after="0" w:line="148" w:lineRule="exact"/>
              <w:rPr>
                <w:sz w:val="20"/>
                <w:szCs w:val="20"/>
                <w:color w:val="auto"/>
              </w:rPr>
            </w:pPr>
            <w:r>
              <w:rPr>
                <w:rFonts w:ascii="Arial" w:cs="Arial" w:eastAsia="Arial" w:hAnsi="Arial"/>
                <w:sz w:val="14"/>
                <w:szCs w:val="14"/>
                <w:color w:val="auto"/>
              </w:rPr>
              <w:t>Outstanding as of the</w:t>
            </w:r>
          </w:p>
        </w:tc>
        <w:tc>
          <w:tcPr>
            <w:tcW w:w="940" w:type="dxa"/>
            <w:vAlign w:val="bottom"/>
            <w:vMerge w:val="restart"/>
          </w:tcPr>
          <w:p>
            <w:pPr>
              <w:jc w:val="right"/>
              <w:ind w:right="55"/>
              <w:spacing w:after="0"/>
              <w:rPr>
                <w:sz w:val="20"/>
                <w:szCs w:val="20"/>
                <w:color w:val="auto"/>
              </w:rPr>
            </w:pPr>
            <w:r>
              <w:rPr>
                <w:rFonts w:ascii="Arial" w:cs="Arial" w:eastAsia="Arial" w:hAnsi="Arial"/>
                <w:sz w:val="14"/>
                <w:szCs w:val="14"/>
                <w:color w:val="auto"/>
              </w:rPr>
              <w:t>4,476,120</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32"/>
              <w:spacing w:after="0"/>
              <w:rPr>
                <w:sz w:val="20"/>
                <w:szCs w:val="20"/>
                <w:color w:val="auto"/>
              </w:rPr>
            </w:pPr>
            <w:r>
              <w:rPr>
                <w:rFonts w:ascii="Arial" w:cs="Arial" w:eastAsia="Arial" w:hAnsi="Arial"/>
                <w:sz w:val="14"/>
                <w:szCs w:val="14"/>
                <w:color w:val="auto"/>
              </w:rPr>
              <w:t>10.65</w:t>
            </w:r>
          </w:p>
        </w:tc>
        <w:tc>
          <w:tcPr>
            <w:tcW w:w="6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1,426,000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60"/>
              <w:spacing w:after="0" w:line="149" w:lineRule="exact"/>
              <w:rPr>
                <w:sz w:val="20"/>
                <w:szCs w:val="20"/>
                <w:color w:val="auto"/>
              </w:rPr>
            </w:pPr>
            <w:r>
              <w:rPr>
                <w:rFonts w:ascii="Arial" w:cs="Arial" w:eastAsia="Arial" w:hAnsi="Arial"/>
                <w:sz w:val="14"/>
                <w:szCs w:val="14"/>
                <w:color w:val="auto"/>
              </w:rPr>
              <w:t>beginning of the year</w:t>
            </w:r>
          </w:p>
        </w:tc>
        <w:tc>
          <w:tcPr>
            <w:tcW w:w="9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w:t>
            </w: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665,600</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Exercised/earned</w:t>
            </w:r>
          </w:p>
        </w:tc>
        <w:tc>
          <w:tcPr>
            <w:tcW w:w="940" w:type="dxa"/>
            <w:vAlign w:val="bottom"/>
          </w:tcPr>
          <w:p>
            <w:pPr>
              <w:jc w:val="right"/>
              <w:ind w:right="15"/>
              <w:spacing w:after="0" w:line="189" w:lineRule="exact"/>
              <w:rPr>
                <w:sz w:val="20"/>
                <w:szCs w:val="20"/>
                <w:color w:val="auto"/>
              </w:rPr>
            </w:pPr>
            <w:r>
              <w:rPr>
                <w:rFonts w:ascii="Arial" w:cs="Arial" w:eastAsia="Arial" w:hAnsi="Arial"/>
                <w:sz w:val="11"/>
                <w:szCs w:val="11"/>
                <w:color w:val="auto"/>
              </w:rPr>
              <w:t>(1,466,906</w:t>
            </w:r>
            <w:r>
              <w:rPr>
                <w:rFonts w:ascii="Arial" w:cs="Arial" w:eastAsia="Arial" w:hAnsi="Arial"/>
                <w:sz w:val="21"/>
                <w:szCs w:val="21"/>
                <w:color w:val="auto"/>
                <w:vertAlign w:val="subscript"/>
              </w:rPr>
              <w:t>)</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1"/>
                <w:szCs w:val="11"/>
                <w:color w:val="auto"/>
              </w:rPr>
              <w:t>(230,404</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4"/>
                <w:szCs w:val="14"/>
                <w:color w:val="auto"/>
              </w:rPr>
              <w:t>Cancelled/forfeited</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1"/>
                <w:szCs w:val="11"/>
                <w:color w:val="auto"/>
              </w:rPr>
              <w:t>(275,996</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50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Outstanding as of</w:t>
            </w:r>
          </w:p>
        </w:tc>
        <w:tc>
          <w:tcPr>
            <w:tcW w:w="94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color w:val="auto"/>
              </w:rPr>
              <w:t>3,674,814</w:t>
            </w:r>
          </w:p>
        </w:tc>
        <w:tc>
          <w:tcPr>
            <w:tcW w:w="18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color w:val="auto"/>
              </w:rPr>
              <w:t>13.52</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1,200,800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October 31, 2004</w:t>
            </w:r>
          </w:p>
        </w:tc>
        <w:tc>
          <w:tcPr>
            <w:tcW w:w="9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5.2</w:t>
            </w:r>
          </w:p>
        </w:tc>
        <w:tc>
          <w:tcPr>
            <w:tcW w:w="90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5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Exercisable as of</w:t>
            </w:r>
          </w:p>
        </w:tc>
        <w:tc>
          <w:tcPr>
            <w:tcW w:w="940" w:type="dxa"/>
            <w:vAlign w:val="bottom"/>
            <w:vMerge w:val="restart"/>
            <w:shd w:val="clear" w:color="auto" w:fill="CCEEFF"/>
          </w:tcPr>
          <w:p>
            <w:pPr>
              <w:jc w:val="right"/>
              <w:ind w:right="75"/>
              <w:spacing w:after="0"/>
              <w:rPr>
                <w:sz w:val="20"/>
                <w:szCs w:val="20"/>
                <w:color w:val="auto"/>
              </w:rPr>
            </w:pPr>
            <w:r>
              <w:rPr>
                <w:rFonts w:ascii="Arial" w:cs="Arial" w:eastAsia="Arial" w:hAnsi="Arial"/>
                <w:sz w:val="14"/>
                <w:szCs w:val="14"/>
                <w:color w:val="auto"/>
              </w:rPr>
              <w:t>3,338,414</w:t>
            </w:r>
          </w:p>
        </w:tc>
        <w:tc>
          <w:tcPr>
            <w:tcW w:w="18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12.46</w:t>
            </w:r>
          </w:p>
        </w:tc>
        <w:tc>
          <w:tcPr>
            <w:tcW w:w="6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October 31, 2004</w:t>
            </w:r>
          </w:p>
        </w:tc>
        <w:tc>
          <w:tcPr>
            <w:tcW w:w="94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4.9</w:t>
            </w:r>
          </w:p>
        </w:tc>
        <w:tc>
          <w:tcPr>
            <w:tcW w:w="9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Fiscal 2005</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line="132" w:lineRule="exact"/>
              <w:rPr>
                <w:sz w:val="20"/>
                <w:szCs w:val="20"/>
                <w:color w:val="auto"/>
              </w:rPr>
            </w:pPr>
            <w:r>
              <w:rPr>
                <w:rFonts w:ascii="Arial" w:cs="Arial" w:eastAsia="Arial" w:hAnsi="Arial"/>
                <w:sz w:val="14"/>
                <w:szCs w:val="14"/>
                <w:b w:val="1"/>
                <w:bCs w:val="1"/>
                <w:color w:val="auto"/>
              </w:rPr>
              <w:t>Outstanding as of the</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beginning of the</w:t>
            </w:r>
          </w:p>
        </w:tc>
        <w:tc>
          <w:tcPr>
            <w:tcW w:w="9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3,674,814</w:t>
            </w:r>
          </w:p>
        </w:tc>
        <w:tc>
          <w:tcPr>
            <w:tcW w:w="1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13.52</w:t>
            </w:r>
          </w:p>
        </w:tc>
        <w:tc>
          <w:tcPr>
            <w:tcW w:w="6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1,200,800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tcPr>
          <w:p>
            <w:pPr>
              <w:ind w:left="160"/>
              <w:spacing w:after="0"/>
              <w:rPr>
                <w:sz w:val="20"/>
                <w:szCs w:val="20"/>
                <w:color w:val="auto"/>
              </w:rPr>
            </w:pPr>
            <w:r>
              <w:rPr>
                <w:rFonts w:ascii="Arial" w:cs="Arial" w:eastAsia="Arial" w:hAnsi="Arial"/>
                <w:sz w:val="14"/>
                <w:szCs w:val="14"/>
                <w:b w:val="1"/>
                <w:bCs w:val="1"/>
                <w:color w:val="auto"/>
              </w:rPr>
              <w:t>year</w:t>
            </w:r>
          </w:p>
        </w:tc>
        <w:tc>
          <w:tcPr>
            <w:tcW w:w="9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b w:val="1"/>
                <w:bCs w:val="1"/>
                <w:color w:val="auto"/>
              </w:rPr>
              <w:t>5.2</w:t>
            </w: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Granted</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4"/>
                <w:szCs w:val="14"/>
                <w:b w:val="1"/>
                <w:bCs w:val="1"/>
                <w:color w:val="auto"/>
              </w:rPr>
              <w:t>468,880</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160,800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tcPr>
          <w:p>
            <w:pPr>
              <w:spacing w:after="0"/>
              <w:rPr>
                <w:sz w:val="20"/>
                <w:szCs w:val="20"/>
                <w:color w:val="auto"/>
              </w:rPr>
            </w:pPr>
            <w:r>
              <w:rPr>
                <w:rFonts w:ascii="Arial" w:cs="Arial" w:eastAsia="Arial" w:hAnsi="Arial"/>
                <w:sz w:val="14"/>
                <w:szCs w:val="14"/>
                <w:b w:val="1"/>
                <w:bCs w:val="1"/>
                <w:color w:val="auto"/>
              </w:rPr>
              <w:t>Exercised/earned</w:t>
            </w:r>
          </w:p>
        </w:tc>
        <w:tc>
          <w:tcPr>
            <w:tcW w:w="940" w:type="dxa"/>
            <w:vAlign w:val="bottom"/>
          </w:tcPr>
          <w:p>
            <w:pPr>
              <w:jc w:val="right"/>
              <w:ind w:right="15"/>
              <w:spacing w:after="0" w:line="189" w:lineRule="exact"/>
              <w:rPr>
                <w:sz w:val="20"/>
                <w:szCs w:val="20"/>
                <w:color w:val="auto"/>
              </w:rPr>
            </w:pPr>
            <w:r>
              <w:rPr>
                <w:rFonts w:ascii="Arial" w:cs="Arial" w:eastAsia="Arial" w:hAnsi="Arial"/>
                <w:sz w:val="11"/>
                <w:szCs w:val="11"/>
                <w:b w:val="1"/>
                <w:bCs w:val="1"/>
                <w:color w:val="auto"/>
              </w:rPr>
              <w:t>(688,362</w:t>
            </w:r>
            <w:r>
              <w:rPr>
                <w:rFonts w:ascii="Arial" w:cs="Arial" w:eastAsia="Arial" w:hAnsi="Arial"/>
                <w:sz w:val="21"/>
                <w:szCs w:val="21"/>
                <w:b w:val="1"/>
                <w:bCs w:val="1"/>
                <w:color w:val="auto"/>
                <w:vertAlign w:val="subscript"/>
              </w:rPr>
              <w:t>)</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1"/>
                <w:szCs w:val="11"/>
                <w:b w:val="1"/>
                <w:bCs w:val="1"/>
                <w:color w:val="auto"/>
              </w:rPr>
              <w:t>(357,532</w:t>
            </w:r>
            <w:r>
              <w:rPr>
                <w:rFonts w:ascii="Arial" w:cs="Arial" w:eastAsia="Arial" w:hAnsi="Arial"/>
                <w:sz w:val="21"/>
                <w:szCs w:val="21"/>
                <w:b w:val="1"/>
                <w:bCs w:val="1"/>
                <w:color w:val="auto"/>
                <w:vertAlign w:val="subscript"/>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Cancelled/forfeited</w:t>
            </w:r>
          </w:p>
        </w:tc>
        <w:tc>
          <w:tcPr>
            <w:tcW w:w="9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1"/>
                <w:szCs w:val="11"/>
                <w:b w:val="1"/>
                <w:bCs w:val="1"/>
                <w:color w:val="auto"/>
              </w:rPr>
              <w:t>(6,320</w:t>
            </w:r>
            <w:r>
              <w:rPr>
                <w:rFonts w:ascii="Arial" w:cs="Arial" w:eastAsia="Arial" w:hAnsi="Arial"/>
                <w:sz w:val="21"/>
                <w:szCs w:val="21"/>
                <w:b w:val="1"/>
                <w:bCs w:val="1"/>
                <w:color w:val="auto"/>
                <w:vertAlign w:val="subscript"/>
              </w:rPr>
              <w:t>)</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1"/>
                <w:szCs w:val="11"/>
                <w:b w:val="1"/>
                <w:bCs w:val="1"/>
                <w:color w:val="auto"/>
              </w:rPr>
              <w:t>(135,268</w:t>
            </w:r>
            <w:r>
              <w:rPr>
                <w:rFonts w:ascii="Arial" w:cs="Arial" w:eastAsia="Arial" w:hAnsi="Arial"/>
                <w:sz w:val="21"/>
                <w:szCs w:val="21"/>
                <w:b w:val="1"/>
                <w:bCs w:val="1"/>
                <w:color w:val="auto"/>
                <w:vertAlign w:val="subscript"/>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Borders>
              <w:top w:val="single" w:sz="8" w:color="auto"/>
            </w:tcBorders>
          </w:tcPr>
          <w:p>
            <w:pPr>
              <w:spacing w:after="0" w:line="125" w:lineRule="exact"/>
              <w:rPr>
                <w:sz w:val="20"/>
                <w:szCs w:val="20"/>
                <w:color w:val="auto"/>
              </w:rPr>
            </w:pPr>
            <w:r>
              <w:rPr>
                <w:rFonts w:ascii="Arial" w:cs="Arial" w:eastAsia="Arial" w:hAnsi="Arial"/>
                <w:sz w:val="14"/>
                <w:szCs w:val="14"/>
                <w:b w:val="1"/>
                <w:bCs w:val="1"/>
                <w:color w:val="auto"/>
              </w:rPr>
              <w:t>Outstanding as of</w:t>
            </w:r>
          </w:p>
        </w:tc>
        <w:tc>
          <w:tcPr>
            <w:tcW w:w="94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rPr>
              <w:t>3,449,012</w:t>
            </w:r>
          </w:p>
        </w:tc>
        <w:tc>
          <w:tcPr>
            <w:tcW w:w="18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17.06</w:t>
            </w:r>
          </w:p>
        </w:tc>
        <w:tc>
          <w:tcPr>
            <w:tcW w:w="6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868,800</w:t>
            </w: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October 31, 2005</w:t>
            </w: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4.8</w:t>
            </w:r>
          </w:p>
        </w:tc>
        <w:tc>
          <w:tcPr>
            <w:tcW w:w="9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Exercisable as of</w:t>
            </w:r>
          </w:p>
        </w:tc>
        <w:tc>
          <w:tcPr>
            <w:tcW w:w="940" w:type="dxa"/>
            <w:vAlign w:val="bottom"/>
            <w:vMerge w:val="restart"/>
            <w:shd w:val="clear" w:color="auto" w:fill="CCEEFF"/>
          </w:tcPr>
          <w:p>
            <w:pPr>
              <w:jc w:val="right"/>
              <w:ind w:right="75"/>
              <w:spacing w:after="0"/>
              <w:rPr>
                <w:sz w:val="20"/>
                <w:szCs w:val="20"/>
                <w:color w:val="auto"/>
              </w:rPr>
            </w:pPr>
            <w:r>
              <w:rPr>
                <w:rFonts w:ascii="Arial" w:cs="Arial" w:eastAsia="Arial" w:hAnsi="Arial"/>
                <w:sz w:val="14"/>
                <w:szCs w:val="14"/>
                <w:b w:val="1"/>
                <w:bCs w:val="1"/>
                <w:color w:val="auto"/>
              </w:rPr>
              <w:t>2,759,927</w:t>
            </w:r>
          </w:p>
        </w:tc>
        <w:tc>
          <w:tcPr>
            <w:tcW w:w="18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13.16</w:t>
            </w:r>
          </w:p>
        </w:tc>
        <w:tc>
          <w:tcPr>
            <w:tcW w:w="6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October 31, 2005</w:t>
            </w:r>
          </w:p>
        </w:tc>
        <w:tc>
          <w:tcPr>
            <w:tcW w:w="9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4.4</w:t>
            </w: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0</wp:posOffset>
            </wp:positionV>
            <wp:extent cx="29756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120" w:hanging="112"/>
        <w:spacing w:after="0" w:line="218" w:lineRule="auto"/>
        <w:tabs>
          <w:tab w:leader="none" w:pos="12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Weighted average exercise price</w:t>
      </w:r>
    </w:p>
    <w:p>
      <w:pPr>
        <w:spacing w:after="0" w:line="10" w:lineRule="exact"/>
        <w:rPr>
          <w:sz w:val="20"/>
          <w:szCs w:val="20"/>
          <w:color w:val="auto"/>
        </w:rPr>
      </w:pPr>
    </w:p>
    <w:p>
      <w:pPr>
        <w:ind w:left="120" w:hanging="112"/>
        <w:spacing w:after="0"/>
        <w:tabs>
          <w:tab w:leader="none" w:pos="1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Weighted average contractual life in years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stock-based compensation expense for these plans was $9,145,000 for the fiscal year ended October 31, 2005. Prior to fiscal 2005,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recognized stock-based compensation expense under the provisions of APB No. 25, which totaled $16,027,000, and $9,337,000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fiscal years ended October 31, 2004 and 2003, respectively. The weighted-average grant date fair value of options granted for the fiscal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ended October 31, 2005, 2004, and 2003 was estimated to be $11.14, $7.69, and $4.95 per share, respectively. The weighted-average grant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fair value of Performance Shares granted during the fiscal years ended October 31, 2005, 2004, and 2003 was estimated to be $37.02,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$24.16, and $16.14 per share, respectively. The total intrinsic value of options (the amount by which the stock price exceeded the strike price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option on the date of exercise) that were exercised during the fiscal years ended October 31, 2005, 2004, and 2003 was $20.7 million,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$30.8 million, and $8.5 million, respectively.</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firstLine="180"/>
        <w:spacing w:after="0" w:line="277" w:lineRule="auto"/>
        <w:rPr>
          <w:sz w:val="20"/>
          <w:szCs w:val="20"/>
          <w:color w:val="auto"/>
        </w:rPr>
      </w:pPr>
      <w:r>
        <w:rPr>
          <w:rFonts w:ascii="Arial" w:cs="Arial" w:eastAsia="Arial" w:hAnsi="Arial"/>
          <w:sz w:val="18"/>
          <w:szCs w:val="18"/>
          <w:color w:val="auto"/>
        </w:rPr>
        <w:t>The table below presents the nonvested options and performance share awards as of October 31, 2005, and changes during the fiscal year ended October 31, 2005:</w:t>
      </w:r>
    </w:p>
    <w:p>
      <w:pPr>
        <w:spacing w:after="0" w:line="165" w:lineRule="exact"/>
        <w:rPr>
          <w:sz w:val="20"/>
          <w:szCs w:val="20"/>
          <w:color w:val="auto"/>
        </w:rPr>
      </w:pPr>
    </w:p>
    <w:tbl>
      <w:tblPr>
        <w:tblLayout w:type="fixed"/>
        <w:tblInd w:w="3240" w:type="dxa"/>
        <w:tblCellMar>
          <w:top w:w="0" w:type="dxa"/>
          <w:left w:w="0" w:type="dxa"/>
          <w:bottom w:w="0" w:type="dxa"/>
          <w:right w:w="0" w:type="dxa"/>
        </w:tblCellMar>
      </w:tblPr>
      <w:tr>
        <w:trPr>
          <w:trHeight w:val="204"/>
        </w:trPr>
        <w:tc>
          <w:tcPr>
            <w:tcW w:w="1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4"/>
                <w:szCs w:val="14"/>
                <w:color w:val="auto"/>
              </w:rPr>
              <w:t>Weighted</w:t>
            </w:r>
          </w:p>
        </w:tc>
        <w:tc>
          <w:tcPr>
            <w:tcW w:w="10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Weighted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4"/>
                <w:szCs w:val="14"/>
                <w:color w:val="auto"/>
              </w:rPr>
              <w:t>Average</w:t>
            </w:r>
          </w:p>
        </w:tc>
        <w:tc>
          <w:tcPr>
            <w:tcW w:w="104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4"/>
                <w:szCs w:val="14"/>
                <w:color w:val="auto"/>
              </w:rPr>
              <w:t>Fair Value</w:t>
            </w:r>
          </w:p>
        </w:tc>
        <w:tc>
          <w:tcPr>
            <w:tcW w:w="104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820" w:type="dxa"/>
            <w:vAlign w:val="bottom"/>
          </w:tcPr>
          <w:p>
            <w:pPr>
              <w:jc w:val="right"/>
              <w:ind w:right="76"/>
              <w:spacing w:after="0"/>
              <w:rPr>
                <w:sz w:val="20"/>
                <w:szCs w:val="20"/>
                <w:color w:val="auto"/>
              </w:rPr>
            </w:pPr>
            <w:r>
              <w:rPr>
                <w:rFonts w:ascii="Arial" w:cs="Arial" w:eastAsia="Arial" w:hAnsi="Arial"/>
                <w:sz w:val="14"/>
                <w:szCs w:val="14"/>
                <w:color w:val="auto"/>
              </w:rPr>
              <w:t>Stock</w:t>
            </w:r>
          </w:p>
        </w:tc>
        <w:tc>
          <w:tcPr>
            <w:tcW w:w="840" w:type="dxa"/>
            <w:vAlign w:val="bottom"/>
            <w:gridSpan w:val="2"/>
          </w:tcPr>
          <w:p>
            <w:pPr>
              <w:jc w:val="right"/>
              <w:ind w:right="57"/>
              <w:spacing w:after="0"/>
              <w:rPr>
                <w:sz w:val="20"/>
                <w:szCs w:val="20"/>
                <w:color w:val="auto"/>
              </w:rPr>
            </w:pPr>
            <w:r>
              <w:rPr>
                <w:rFonts w:ascii="Arial" w:cs="Arial" w:eastAsia="Arial" w:hAnsi="Arial"/>
                <w:sz w:val="14"/>
                <w:szCs w:val="14"/>
                <w:color w:val="auto"/>
              </w:rPr>
              <w:t>at date</w:t>
            </w:r>
          </w:p>
        </w:tc>
        <w:tc>
          <w:tcPr>
            <w:tcW w:w="1040" w:type="dxa"/>
            <w:vAlign w:val="bottom"/>
          </w:tcPr>
          <w:p>
            <w:pPr>
              <w:jc w:val="right"/>
              <w:ind w:right="76"/>
              <w:spacing w:after="0"/>
              <w:rPr>
                <w:sz w:val="20"/>
                <w:szCs w:val="20"/>
                <w:color w:val="auto"/>
              </w:rPr>
            </w:pPr>
            <w:r>
              <w:rPr>
                <w:rFonts w:ascii="Arial" w:cs="Arial" w:eastAsia="Arial" w:hAnsi="Arial"/>
                <w:sz w:val="14"/>
                <w:szCs w:val="14"/>
                <w:color w:val="auto"/>
              </w:rPr>
              <w:t>Performance</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at date</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20"/>
                <w:szCs w:val="20"/>
                <w:color w:val="auto"/>
              </w:rPr>
            </w:pPr>
            <w:r>
              <w:rPr>
                <w:rFonts w:ascii="Arial" w:cs="Arial" w:eastAsia="Arial" w:hAnsi="Arial"/>
                <w:sz w:val="14"/>
                <w:szCs w:val="14"/>
                <w:color w:val="auto"/>
              </w:rPr>
              <w:t>Options and shares</w:t>
            </w:r>
          </w:p>
        </w:tc>
        <w:tc>
          <w:tcPr>
            <w:tcW w:w="820" w:type="dxa"/>
            <w:vAlign w:val="bottom"/>
          </w:tcPr>
          <w:p>
            <w:pPr>
              <w:jc w:val="right"/>
              <w:ind w:right="76"/>
              <w:spacing w:after="0"/>
              <w:rPr>
                <w:sz w:val="20"/>
                <w:szCs w:val="20"/>
                <w:color w:val="auto"/>
              </w:rPr>
            </w:pPr>
            <w:r>
              <w:rPr>
                <w:rFonts w:ascii="Arial" w:cs="Arial" w:eastAsia="Arial" w:hAnsi="Arial"/>
                <w:sz w:val="14"/>
                <w:szCs w:val="14"/>
                <w:color w:val="auto"/>
              </w:rPr>
              <w:t>Options</w:t>
            </w:r>
          </w:p>
        </w:tc>
        <w:tc>
          <w:tcPr>
            <w:tcW w:w="840" w:type="dxa"/>
            <w:vAlign w:val="bottom"/>
            <w:gridSpan w:val="2"/>
          </w:tcPr>
          <w:p>
            <w:pPr>
              <w:jc w:val="right"/>
              <w:ind w:right="57"/>
              <w:spacing w:after="0"/>
              <w:rPr>
                <w:sz w:val="20"/>
                <w:szCs w:val="20"/>
                <w:color w:val="auto"/>
              </w:rPr>
            </w:pPr>
            <w:r>
              <w:rPr>
                <w:rFonts w:ascii="Arial" w:cs="Arial" w:eastAsia="Arial" w:hAnsi="Arial"/>
                <w:sz w:val="14"/>
                <w:szCs w:val="14"/>
                <w:color w:val="auto"/>
              </w:rPr>
              <w:t>of grant</w:t>
            </w:r>
          </w:p>
        </w:tc>
        <w:tc>
          <w:tcPr>
            <w:tcW w:w="1040" w:type="dxa"/>
            <w:vAlign w:val="bottom"/>
          </w:tcPr>
          <w:p>
            <w:pPr>
              <w:jc w:val="right"/>
              <w:ind w:right="76"/>
              <w:spacing w:after="0"/>
              <w:rPr>
                <w:sz w:val="20"/>
                <w:szCs w:val="20"/>
                <w:color w:val="auto"/>
              </w:rPr>
            </w:pPr>
            <w:r>
              <w:rPr>
                <w:rFonts w:ascii="Arial" w:cs="Arial" w:eastAsia="Arial" w:hAnsi="Arial"/>
                <w:sz w:val="14"/>
                <w:szCs w:val="14"/>
                <w:color w:val="auto"/>
              </w:rPr>
              <w:t>Shares</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of grant</w:t>
            </w:r>
          </w:p>
        </w:tc>
        <w:tc>
          <w:tcPr>
            <w:tcW w:w="0" w:type="dxa"/>
            <w:vAlign w:val="bottom"/>
          </w:tcPr>
          <w:p>
            <w:pPr>
              <w:spacing w:after="0"/>
              <w:rPr>
                <w:sz w:val="1"/>
                <w:szCs w:val="1"/>
                <w:color w:val="auto"/>
              </w:rPr>
            </w:pPr>
          </w:p>
        </w:tc>
      </w:tr>
      <w:tr>
        <w:trPr>
          <w:trHeight w:val="167"/>
        </w:trPr>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Nonvested as of</w:t>
            </w:r>
          </w:p>
        </w:tc>
        <w:tc>
          <w:tcPr>
            <w:tcW w:w="8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November 1, 2004</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336,400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10.20</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1,200,800</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3"/>
                <w:szCs w:val="13"/>
                <w:color w:val="auto"/>
              </w:rPr>
              <w:t>Granted</w:t>
            </w:r>
          </w:p>
        </w:tc>
        <w:tc>
          <w:tcPr>
            <w:tcW w:w="820" w:type="dxa"/>
            <w:vAlign w:val="bottom"/>
          </w:tcPr>
          <w:p>
            <w:pPr>
              <w:jc w:val="right"/>
              <w:ind w:right="76"/>
              <w:spacing w:after="0"/>
              <w:rPr>
                <w:sz w:val="20"/>
                <w:szCs w:val="20"/>
                <w:color w:val="auto"/>
              </w:rPr>
            </w:pPr>
            <w:r>
              <w:rPr>
                <w:rFonts w:ascii="Arial" w:cs="Arial" w:eastAsia="Arial" w:hAnsi="Arial"/>
                <w:sz w:val="13"/>
                <w:szCs w:val="13"/>
                <w:color w:val="auto"/>
              </w:rPr>
              <w:t>468,880</w:t>
            </w:r>
          </w:p>
        </w:tc>
        <w:tc>
          <w:tcPr>
            <w:tcW w:w="34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11.14</w:t>
            </w:r>
          </w:p>
        </w:tc>
        <w:tc>
          <w:tcPr>
            <w:tcW w:w="1040" w:type="dxa"/>
            <w:vAlign w:val="bottom"/>
          </w:tcPr>
          <w:p>
            <w:pPr>
              <w:jc w:val="right"/>
              <w:ind w:right="76"/>
              <w:spacing w:after="0"/>
              <w:rPr>
                <w:sz w:val="20"/>
                <w:szCs w:val="20"/>
                <w:color w:val="auto"/>
              </w:rPr>
            </w:pPr>
            <w:r>
              <w:rPr>
                <w:rFonts w:ascii="Arial" w:cs="Arial" w:eastAsia="Arial" w:hAnsi="Arial"/>
                <w:sz w:val="13"/>
                <w:szCs w:val="13"/>
                <w:color w:val="auto"/>
              </w:rPr>
              <w:t>160,800</w:t>
            </w:r>
          </w:p>
        </w:tc>
        <w:tc>
          <w:tcPr>
            <w:tcW w:w="360" w:type="dxa"/>
            <w:vAlign w:val="bottom"/>
          </w:tcPr>
          <w:p>
            <w:pPr>
              <w:spacing w:after="0"/>
              <w:rPr>
                <w:sz w:val="15"/>
                <w:szCs w:val="15"/>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37.02</w:t>
            </w:r>
          </w:p>
        </w:tc>
        <w:tc>
          <w:tcPr>
            <w:tcW w:w="0" w:type="dxa"/>
            <w:vAlign w:val="bottom"/>
          </w:tcPr>
          <w:p>
            <w:pPr>
              <w:spacing w:after="0"/>
              <w:rPr>
                <w:sz w:val="1"/>
                <w:szCs w:val="1"/>
                <w:color w:val="auto"/>
              </w:rPr>
            </w:pPr>
          </w:p>
        </w:tc>
      </w:tr>
      <w:tr>
        <w:trPr>
          <w:trHeight w:val="197"/>
        </w:trPr>
        <w:tc>
          <w:tcPr>
            <w:tcW w:w="1440" w:type="dxa"/>
            <w:vAlign w:val="bottom"/>
            <w:shd w:val="clear" w:color="auto" w:fill="CCEEFF"/>
          </w:tcPr>
          <w:p>
            <w:pPr>
              <w:spacing w:after="0"/>
              <w:rPr>
                <w:sz w:val="20"/>
                <w:szCs w:val="20"/>
                <w:color w:val="auto"/>
              </w:rPr>
            </w:pPr>
            <w:r>
              <w:rPr>
                <w:rFonts w:ascii="Arial" w:cs="Arial" w:eastAsia="Arial" w:hAnsi="Arial"/>
                <w:sz w:val="13"/>
                <w:szCs w:val="13"/>
                <w:color w:val="auto"/>
              </w:rPr>
              <w:t>Vested/earned</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(113,875)</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10.09</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(357,532)</w:t>
            </w:r>
          </w:p>
        </w:tc>
        <w:tc>
          <w:tcPr>
            <w:tcW w:w="3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11.98</w:t>
            </w:r>
          </w:p>
        </w:tc>
        <w:tc>
          <w:tcPr>
            <w:tcW w:w="0" w:type="dxa"/>
            <w:vAlign w:val="bottom"/>
          </w:tcPr>
          <w:p>
            <w:pPr>
              <w:spacing w:after="0"/>
              <w:rPr>
                <w:sz w:val="1"/>
                <w:szCs w:val="1"/>
                <w:color w:val="auto"/>
              </w:rPr>
            </w:pPr>
          </w:p>
        </w:tc>
      </w:tr>
      <w:tr>
        <w:trPr>
          <w:trHeight w:val="183"/>
        </w:trPr>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Forfeited/cancelled</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(2,320)</w:t>
            </w: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7.92</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(135,268)</w:t>
            </w: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Nonvested as of</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10.86</w:t>
            </w:r>
          </w:p>
        </w:tc>
        <w:tc>
          <w:tcPr>
            <w:tcW w:w="1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22.60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October 31, 2005</w:t>
            </w:r>
          </w:p>
        </w:tc>
        <w:tc>
          <w:tcPr>
            <w:tcW w:w="8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689,085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868,800</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180"/>
        <w:spacing w:after="0" w:line="270" w:lineRule="auto"/>
        <w:rPr>
          <w:sz w:val="20"/>
          <w:szCs w:val="20"/>
          <w:color w:val="auto"/>
        </w:rPr>
      </w:pPr>
      <w:r>
        <w:rPr>
          <w:rFonts w:ascii="Arial" w:cs="Arial" w:eastAsia="Arial" w:hAnsi="Arial"/>
          <w:sz w:val="18"/>
          <w:szCs w:val="18"/>
          <w:color w:val="auto"/>
        </w:rPr>
        <w:t>As of October 31, 2005, there was $1,625,000 of total unrecognized compensation expense related to non-vested stock option compensation arrangements granted under the company’s plans. That cost is expected to be recognized over a weighted-average period of 1.3 years. As of October 31, 2005, there was $4,510,000 of total unrecognized compensation expense related to non-vested performance share compensation arrangements granted under the company’s plan. That cost is expected to be recognized over a weighted-average period of 1.5 years.</w:t>
      </w:r>
    </w:p>
    <w:p>
      <w:pPr>
        <w:sectPr>
          <w:pgSz w:w="11900" w:h="16910" w:orient="portrait"/>
          <w:cols w:equalWidth="0" w:num="1">
            <w:col w:w="11420"/>
          </w:cols>
          <w:pgMar w:left="240" w:top="152" w:right="239" w:bottom="0" w:gutter="0" w:footer="0" w:header="0"/>
        </w:sectPr>
      </w:pPr>
    </w:p>
    <w:bookmarkStart w:id="39" w:name="page40"/>
    <w:bookmarkEnd w:id="39"/>
    <w:p>
      <w:pPr>
        <w:ind w:firstLine="180"/>
        <w:spacing w:after="0" w:line="267" w:lineRule="auto"/>
        <w:rPr>
          <w:sz w:val="20"/>
          <w:szCs w:val="20"/>
          <w:color w:val="auto"/>
        </w:rPr>
      </w:pPr>
      <w:r>
        <w:rPr>
          <w:rFonts w:ascii="Arial" w:cs="Arial" w:eastAsia="Arial" w:hAnsi="Arial"/>
          <w:sz w:val="18"/>
          <w:szCs w:val="18"/>
          <w:color w:val="auto"/>
        </w:rPr>
        <w:t>The fair value of each option is estimated on the date of grant using a Black-Scholes valuation method that uses the assumptions noted in the following table. The expected life is a significant assumption as it determines the period for which the risk-free interest rate, volatility, and dividend yield must be applied. The expected life is the average length of time the employee groups will exercise their options, which is based on historical experience with similar grants. Separate groups of employees that have similar historical exercise behavior are considered separately for valuation purposes. Expected volatilities are based on the movement of the company’s stock price over the most recent historical period equivalent to the expected life of the option. The risk-free rate for periods within the contractual life of the option is based on the U.S. Treasury rate over the expected life at the time of grant. Dividend yield is estimated over the expected life based on the company’s dividend policy, historical dividends paid, and expected increase in the company’s stock price. The following table illustrates the assumptions for options granted in the following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125095</wp:posOffset>
            </wp:positionV>
            <wp:extent cx="29502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96" w:lineRule="exact"/>
        <w:rPr>
          <w:sz w:val="20"/>
          <w:szCs w:val="20"/>
          <w:color w:val="auto"/>
        </w:rPr>
      </w:pPr>
    </w:p>
    <w:tbl>
      <w:tblPr>
        <w:tblLayout w:type="fixed"/>
        <w:tblInd w:w="3320" w:type="dxa"/>
        <w:tblCellMar>
          <w:top w:w="0" w:type="dxa"/>
          <w:left w:w="0" w:type="dxa"/>
          <w:bottom w:w="0" w:type="dxa"/>
          <w:right w:w="0" w:type="dxa"/>
        </w:tblCellMar>
      </w:tblPr>
      <w:tr>
        <w:trPr>
          <w:trHeight w:val="178"/>
        </w:trPr>
        <w:tc>
          <w:tcPr>
            <w:tcW w:w="18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2005</w:t>
            </w: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2004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2003</w:t>
            </w:r>
          </w:p>
        </w:tc>
        <w:tc>
          <w:tcPr>
            <w:tcW w:w="160" w:type="dxa"/>
            <w:vAlign w:val="bottom"/>
            <w:tcBorders>
              <w:bottom w:val="single" w:sz="8" w:color="CCEEFF"/>
            </w:tcBorders>
          </w:tcPr>
          <w:p>
            <w:pPr>
              <w:spacing w:after="0"/>
              <w:rPr>
                <w:sz w:val="15"/>
                <w:szCs w:val="15"/>
                <w:color w:val="auto"/>
              </w:rPr>
            </w:pPr>
          </w:p>
        </w:tc>
      </w:tr>
      <w:tr>
        <w:trPr>
          <w:trHeight w:val="173"/>
        </w:trPr>
        <w:tc>
          <w:tcPr>
            <w:tcW w:w="1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Expected life of option in</w:t>
            </w: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5"/>
        </w:trPr>
        <w:tc>
          <w:tcPr>
            <w:tcW w:w="18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years</w:t>
            </w: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3-7</w:t>
            </w: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3-9</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60" w:type="dxa"/>
            <w:vAlign w:val="bottom"/>
            <w:shd w:val="clear" w:color="auto" w:fill="CCEEFF"/>
          </w:tcPr>
          <w:p>
            <w:pPr>
              <w:spacing w:after="0"/>
              <w:rPr>
                <w:sz w:val="17"/>
                <w:szCs w:val="17"/>
                <w:color w:val="auto"/>
              </w:rPr>
            </w:pPr>
          </w:p>
        </w:tc>
      </w:tr>
      <w:tr>
        <w:trPr>
          <w:trHeight w:val="181"/>
        </w:trPr>
        <w:tc>
          <w:tcPr>
            <w:tcW w:w="1840" w:type="dxa"/>
            <w:vAlign w:val="bottom"/>
          </w:tcPr>
          <w:p>
            <w:pPr>
              <w:spacing w:after="0"/>
              <w:rPr>
                <w:sz w:val="20"/>
                <w:szCs w:val="20"/>
                <w:color w:val="auto"/>
              </w:rPr>
            </w:pPr>
            <w:r>
              <w:rPr>
                <w:rFonts w:ascii="Arial" w:cs="Arial" w:eastAsia="Arial" w:hAnsi="Arial"/>
                <w:sz w:val="13"/>
                <w:szCs w:val="13"/>
                <w:b w:val="1"/>
                <w:bCs w:val="1"/>
                <w:color w:val="auto"/>
              </w:rPr>
              <w:t>Expected volatility</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25.9% – 30.4%</w:t>
            </w:r>
          </w:p>
        </w:tc>
        <w:tc>
          <w:tcPr>
            <w:tcW w:w="980" w:type="dxa"/>
            <w:vAlign w:val="bottom"/>
          </w:tcPr>
          <w:p>
            <w:pPr>
              <w:jc w:val="right"/>
              <w:spacing w:after="0"/>
              <w:rPr>
                <w:sz w:val="20"/>
                <w:szCs w:val="20"/>
                <w:color w:val="auto"/>
              </w:rPr>
            </w:pPr>
            <w:r>
              <w:rPr>
                <w:rFonts w:ascii="Arial" w:cs="Arial" w:eastAsia="Arial" w:hAnsi="Arial"/>
                <w:sz w:val="13"/>
                <w:szCs w:val="13"/>
                <w:color w:val="auto"/>
              </w:rPr>
              <w:t xml:space="preserve">27.6% </w:t>
            </w:r>
            <w:r>
              <w:rPr>
                <w:rFonts w:ascii="Arial" w:cs="Arial" w:eastAsia="Arial" w:hAnsi="Arial"/>
                <w:sz w:val="13"/>
                <w:szCs w:val="13"/>
                <w:b w:val="1"/>
                <w:bCs w:val="1"/>
                <w:color w:val="auto"/>
              </w:rPr>
              <w:t>–</w:t>
            </w:r>
            <w:r>
              <w:rPr>
                <w:rFonts w:ascii="Arial" w:cs="Arial" w:eastAsia="Arial" w:hAnsi="Arial"/>
                <w:sz w:val="13"/>
                <w:szCs w:val="13"/>
                <w:color w:val="auto"/>
              </w:rPr>
              <w:t xml:space="preserve"> 27.8%</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28.1% - 28.4%</w:t>
            </w:r>
          </w:p>
        </w:tc>
      </w:tr>
      <w:tr>
        <w:trPr>
          <w:trHeight w:val="197"/>
        </w:trPr>
        <w:tc>
          <w:tcPr>
            <w:tcW w:w="1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Weighted-average volatility</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28.04%</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28.13%</w:t>
            </w:r>
          </w:p>
        </w:tc>
      </w:tr>
      <w:tr>
        <w:trPr>
          <w:trHeight w:val="181"/>
        </w:trPr>
        <w:tc>
          <w:tcPr>
            <w:tcW w:w="1840" w:type="dxa"/>
            <w:vAlign w:val="bottom"/>
          </w:tcPr>
          <w:p>
            <w:pPr>
              <w:spacing w:after="0"/>
              <w:rPr>
                <w:sz w:val="20"/>
                <w:szCs w:val="20"/>
                <w:color w:val="auto"/>
              </w:rPr>
            </w:pPr>
            <w:r>
              <w:rPr>
                <w:rFonts w:ascii="Arial" w:cs="Arial" w:eastAsia="Arial" w:hAnsi="Arial"/>
                <w:sz w:val="13"/>
                <w:szCs w:val="13"/>
                <w:b w:val="1"/>
                <w:bCs w:val="1"/>
                <w:color w:val="auto"/>
              </w:rPr>
              <w:t>Risk-free rate</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3.22% – 4.04%</w:t>
            </w:r>
          </w:p>
        </w:tc>
        <w:tc>
          <w:tcPr>
            <w:tcW w:w="980" w:type="dxa"/>
            <w:vAlign w:val="bottom"/>
          </w:tcPr>
          <w:p>
            <w:pPr>
              <w:jc w:val="right"/>
              <w:spacing w:after="0"/>
              <w:rPr>
                <w:sz w:val="20"/>
                <w:szCs w:val="20"/>
                <w:color w:val="auto"/>
              </w:rPr>
            </w:pPr>
            <w:r>
              <w:rPr>
                <w:rFonts w:ascii="Arial" w:cs="Arial" w:eastAsia="Arial" w:hAnsi="Arial"/>
                <w:sz w:val="13"/>
                <w:szCs w:val="13"/>
                <w:color w:val="auto"/>
              </w:rPr>
              <w:t xml:space="preserve">2.04% </w:t>
            </w:r>
            <w:r>
              <w:rPr>
                <w:rFonts w:ascii="Arial" w:cs="Arial" w:eastAsia="Arial" w:hAnsi="Arial"/>
                <w:sz w:val="13"/>
                <w:szCs w:val="13"/>
                <w:b w:val="1"/>
                <w:bCs w:val="1"/>
                <w:color w:val="auto"/>
              </w:rPr>
              <w:t>–</w:t>
            </w:r>
            <w:r>
              <w:rPr>
                <w:rFonts w:ascii="Arial" w:cs="Arial" w:eastAsia="Arial" w:hAnsi="Arial"/>
                <w:sz w:val="13"/>
                <w:szCs w:val="13"/>
                <w:color w:val="auto"/>
              </w:rPr>
              <w:t xml:space="preserve"> 4.10%</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1.98% - 4.16%</w:t>
            </w:r>
          </w:p>
        </w:tc>
      </w:tr>
      <w:tr>
        <w:trPr>
          <w:trHeight w:val="197"/>
        </w:trPr>
        <w:tc>
          <w:tcPr>
            <w:tcW w:w="1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Expected dividend yield</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0.18% – 0.25%</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xml:space="preserve">0.26% </w:t>
            </w:r>
            <w:r>
              <w:rPr>
                <w:rFonts w:ascii="Arial" w:cs="Arial" w:eastAsia="Arial" w:hAnsi="Arial"/>
                <w:sz w:val="13"/>
                <w:szCs w:val="13"/>
                <w:b w:val="1"/>
                <w:bCs w:val="1"/>
                <w:color w:val="auto"/>
              </w:rPr>
              <w:t>–</w:t>
            </w:r>
            <w:r>
              <w:rPr>
                <w:rFonts w:ascii="Arial" w:cs="Arial" w:eastAsia="Arial" w:hAnsi="Arial"/>
                <w:sz w:val="13"/>
                <w:szCs w:val="13"/>
                <w:color w:val="auto"/>
              </w:rPr>
              <w:t xml:space="preserve"> 0.39%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0.42% - 0.60%</w:t>
            </w:r>
          </w:p>
        </w:tc>
      </w:tr>
      <w:tr>
        <w:trPr>
          <w:trHeight w:val="173"/>
        </w:trPr>
        <w:tc>
          <w:tcPr>
            <w:tcW w:w="1840" w:type="dxa"/>
            <w:vAlign w:val="bottom"/>
          </w:tcPr>
          <w:p>
            <w:pPr>
              <w:spacing w:after="0"/>
              <w:rPr>
                <w:sz w:val="20"/>
                <w:szCs w:val="20"/>
                <w:color w:val="auto"/>
              </w:rPr>
            </w:pPr>
            <w:r>
              <w:rPr>
                <w:rFonts w:ascii="Arial" w:cs="Arial" w:eastAsia="Arial" w:hAnsi="Arial"/>
                <w:sz w:val="13"/>
                <w:szCs w:val="13"/>
                <w:b w:val="1"/>
                <w:bCs w:val="1"/>
                <w:color w:val="auto"/>
              </w:rPr>
              <w:t>Weighted-average dividend</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7"/>
        </w:trPr>
        <w:tc>
          <w:tcPr>
            <w:tcW w:w="1840" w:type="dxa"/>
            <w:vAlign w:val="bottom"/>
          </w:tcPr>
          <w:p>
            <w:pPr>
              <w:ind w:left="180"/>
              <w:spacing w:after="0"/>
              <w:rPr>
                <w:sz w:val="20"/>
                <w:szCs w:val="20"/>
                <w:color w:val="auto"/>
              </w:rPr>
            </w:pPr>
            <w:r>
              <w:rPr>
                <w:rFonts w:ascii="Arial" w:cs="Arial" w:eastAsia="Arial" w:hAnsi="Arial"/>
                <w:sz w:val="13"/>
                <w:szCs w:val="13"/>
                <w:b w:val="1"/>
                <w:bCs w:val="1"/>
                <w:color w:val="auto"/>
              </w:rPr>
              <w:t>yield</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0.22%</w:t>
            </w:r>
          </w:p>
        </w:tc>
        <w:tc>
          <w:tcPr>
            <w:tcW w:w="980" w:type="dxa"/>
            <w:vAlign w:val="bottom"/>
          </w:tcPr>
          <w:p>
            <w:pPr>
              <w:jc w:val="right"/>
              <w:spacing w:after="0"/>
              <w:rPr>
                <w:sz w:val="20"/>
                <w:szCs w:val="20"/>
                <w:color w:val="auto"/>
              </w:rPr>
            </w:pPr>
            <w:r>
              <w:rPr>
                <w:rFonts w:ascii="Arial" w:cs="Arial" w:eastAsia="Arial" w:hAnsi="Arial"/>
                <w:sz w:val="13"/>
                <w:szCs w:val="13"/>
                <w:color w:val="auto"/>
              </w:rPr>
              <w:t>0.32%</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0.52%</w:t>
            </w:r>
          </w:p>
        </w:tc>
      </w:tr>
      <w:tr>
        <w:trPr>
          <w:trHeight w:val="22"/>
        </w:trPr>
        <w:tc>
          <w:tcPr>
            <w:tcW w:w="18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firstLine="180"/>
        <w:spacing w:after="0" w:line="266" w:lineRule="auto"/>
        <w:rPr>
          <w:sz w:val="20"/>
          <w:szCs w:val="20"/>
          <w:color w:val="auto"/>
        </w:rPr>
      </w:pPr>
      <w:r>
        <w:rPr>
          <w:rFonts w:ascii="Arial" w:cs="Arial" w:eastAsia="Arial" w:hAnsi="Arial"/>
          <w:sz w:val="18"/>
          <w:szCs w:val="18"/>
          <w:color w:val="auto"/>
        </w:rPr>
        <w:t>The company’s stockholders approved The Toro Company Annual Management Incentive Plan II, which included a common stock acquisition and retention feature (Stock Retention Award). On December 2, 2004, the Compensation Committee of the Board of Directors approved an amendment to delete the Stock Retention Award provisions of this plan and continue with only a cash incentive feature beginning in fiscal 2006.</w:t>
      </w:r>
    </w:p>
    <w:p>
      <w:pPr>
        <w:spacing w:after="0" w:line="1" w:lineRule="exact"/>
        <w:rPr>
          <w:sz w:val="20"/>
          <w:szCs w:val="20"/>
          <w:color w:val="auto"/>
        </w:rPr>
      </w:pPr>
    </w:p>
    <w:p>
      <w:pPr>
        <w:ind w:right="40" w:firstLine="180"/>
        <w:spacing w:after="0" w:line="268" w:lineRule="auto"/>
        <w:rPr>
          <w:sz w:val="20"/>
          <w:szCs w:val="20"/>
          <w:color w:val="auto"/>
        </w:rPr>
      </w:pPr>
      <w:r>
        <w:rPr>
          <w:rFonts w:ascii="Arial" w:cs="Arial" w:eastAsia="Arial" w:hAnsi="Arial"/>
          <w:sz w:val="18"/>
          <w:szCs w:val="18"/>
          <w:color w:val="auto"/>
        </w:rPr>
        <w:t>On July 31, 1995, the company issued 69,868 shares of restricted stock and 69,868 performance units to the Chief Executive Officer under the terms of The Toro Company Chief Executive Officer Succession Incentive Award Agreement, which was approved by stockholders in 1994. The value of each performance unit is equal to the fair market value of a share of common stock. The restricted stock and performance units vest based upon achievement of specified succession planning goals. For each of the fiscal years ended October 31, 2000 and 1999, 10,480 shares and performance units vested. During fiscal 2005, the remaining 48,908 restricted shares and 48,908 performance units vested due to the completion of the succession planning goals. Compensation expense related to this plan was $167,000, $1,102,000, and $1,293,000 for the fiscal years ended October 31, 2005, 2004, and 2003,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11</w:t>
      </w:r>
      <w:r>
        <w:rPr>
          <w:rFonts w:ascii="Arial" w:cs="Arial" w:eastAsia="Arial" w:hAnsi="Arial"/>
          <w:sz w:val="21"/>
          <w:szCs w:val="21"/>
          <w:b w:val="1"/>
          <w:bCs w:val="1"/>
          <w:color w:val="4673B6"/>
        </w:rPr>
        <w:t>EMPLOYEE RETIREMENT PLANS</w:t>
      </w:r>
    </w:p>
    <w:p>
      <w:pPr>
        <w:spacing w:after="0" w:line="20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 company maintains The Toro Company Investment, Savings and Employee Stock Ownership Plan for eligible employees. The company’s expenses under this plan were $14,780,000, $14,200,000, and $13,493,000 for the fiscal years ended October 31, 2005, 2004, and 2003, respectively.</w:t>
      </w:r>
    </w:p>
    <w:p>
      <w:pPr>
        <w:spacing w:after="0" w:line="1" w:lineRule="exact"/>
        <w:rPr>
          <w:sz w:val="20"/>
          <w:szCs w:val="20"/>
          <w:color w:val="auto"/>
        </w:rPr>
      </w:pPr>
    </w:p>
    <w:p>
      <w:pPr>
        <w:ind w:right="200" w:firstLine="180"/>
        <w:spacing w:after="0" w:line="266" w:lineRule="auto"/>
        <w:rPr>
          <w:sz w:val="20"/>
          <w:szCs w:val="20"/>
          <w:color w:val="auto"/>
        </w:rPr>
      </w:pPr>
      <w:r>
        <w:rPr>
          <w:rFonts w:ascii="Arial" w:cs="Arial" w:eastAsia="Arial" w:hAnsi="Arial"/>
          <w:sz w:val="18"/>
          <w:szCs w:val="18"/>
          <w:color w:val="auto"/>
        </w:rPr>
        <w:t>The company also sponsors a plan that provides health-care benefits to eligible employees upon retirement, up to age 65. The health-care benefit plan is contributory, with retiree contributions based on active employee participation rates. The company funds these benefits for retirees on an annual basis. The company uses fiscal year end as the measurement date for this plan.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Reconciliation of the funded status of this plan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143510</wp:posOffset>
            </wp:positionV>
            <wp:extent cx="28898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38"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(Dollars in thousands)</w:t>
      </w:r>
    </w:p>
    <w:p>
      <w:pPr>
        <w:spacing w:after="0" w:line="11" w:lineRule="exact"/>
        <w:rPr>
          <w:sz w:val="20"/>
          <w:szCs w:val="20"/>
          <w:color w:val="auto"/>
        </w:rPr>
      </w:pPr>
    </w:p>
    <w:tbl>
      <w:tblPr>
        <w:tblLayout w:type="fixed"/>
        <w:tblInd w:w="3400" w:type="dxa"/>
        <w:tblCellMar>
          <w:top w:w="0" w:type="dxa"/>
          <w:left w:w="0" w:type="dxa"/>
          <w:bottom w:w="0" w:type="dxa"/>
          <w:right w:w="0" w:type="dxa"/>
        </w:tblCellMar>
      </w:tblPr>
      <w:tr>
        <w:trPr>
          <w:trHeight w:val="188"/>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Borders>
              <w:bottom w:val="single" w:sz="8" w:color="CCEEFF"/>
            </w:tcBorders>
          </w:tcPr>
          <w:p>
            <w:pPr>
              <w:spacing w:after="0"/>
              <w:rPr>
                <w:sz w:val="16"/>
                <w:szCs w:val="16"/>
                <w:color w:val="auto"/>
              </w:rPr>
            </w:pPr>
          </w:p>
        </w:tc>
      </w:tr>
      <w:tr>
        <w:trPr>
          <w:trHeight w:val="183"/>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Projected Benefit Obligation</w:t>
            </w: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2760" w:type="dxa"/>
            <w:vAlign w:val="bottom"/>
          </w:tcPr>
          <w:p>
            <w:pPr>
              <w:ind w:left="140"/>
              <w:spacing w:after="0"/>
              <w:rPr>
                <w:sz w:val="20"/>
                <w:szCs w:val="20"/>
                <w:color w:val="auto"/>
              </w:rPr>
            </w:pPr>
            <w:r>
              <w:rPr>
                <w:rFonts w:ascii="Arial" w:cs="Arial" w:eastAsia="Arial" w:hAnsi="Arial"/>
                <w:sz w:val="14"/>
                <w:szCs w:val="14"/>
                <w:b w:val="1"/>
                <w:bCs w:val="1"/>
                <w:color w:val="auto"/>
              </w:rPr>
              <w:t>Beginning obligations</w:t>
            </w:r>
          </w:p>
        </w:tc>
        <w:tc>
          <w:tcPr>
            <w:tcW w:w="1120" w:type="dxa"/>
            <w:vAlign w:val="bottom"/>
          </w:tcPr>
          <w:p>
            <w:pPr>
              <w:ind w:left="44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9,160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14,733</w:t>
            </w:r>
          </w:p>
        </w:tc>
        <w:tc>
          <w:tcPr>
            <w:tcW w:w="100" w:type="dxa"/>
            <w:vAlign w:val="bottom"/>
          </w:tcPr>
          <w:p>
            <w:pPr>
              <w:spacing w:after="0"/>
              <w:rPr>
                <w:sz w:val="19"/>
                <w:szCs w:val="19"/>
                <w:color w:val="auto"/>
              </w:rPr>
            </w:pPr>
          </w:p>
        </w:tc>
      </w:tr>
      <w:tr>
        <w:trPr>
          <w:trHeight w:val="189"/>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Service cost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525</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16"/>
                <w:szCs w:val="16"/>
                <w:color w:val="auto"/>
              </w:rPr>
            </w:pPr>
          </w:p>
        </w:tc>
      </w:tr>
      <w:tr>
        <w:trPr>
          <w:trHeight w:val="189"/>
        </w:trPr>
        <w:tc>
          <w:tcPr>
            <w:tcW w:w="2760" w:type="dxa"/>
            <w:vAlign w:val="bottom"/>
          </w:tcPr>
          <w:p>
            <w:pPr>
              <w:ind w:left="140"/>
              <w:spacing w:after="0"/>
              <w:rPr>
                <w:sz w:val="20"/>
                <w:szCs w:val="20"/>
                <w:color w:val="auto"/>
              </w:rPr>
            </w:pPr>
            <w:r>
              <w:rPr>
                <w:rFonts w:ascii="Arial" w:cs="Arial" w:eastAsia="Arial" w:hAnsi="Arial"/>
                <w:sz w:val="14"/>
                <w:szCs w:val="14"/>
                <w:b w:val="1"/>
                <w:bCs w:val="1"/>
                <w:color w:val="auto"/>
              </w:rPr>
              <w:t>Interest cost</w:t>
            </w:r>
          </w:p>
        </w:tc>
        <w:tc>
          <w:tcPr>
            <w:tcW w:w="1120" w:type="dxa"/>
            <w:vAlign w:val="bottom"/>
          </w:tcPr>
          <w:p>
            <w:pPr>
              <w:jc w:val="right"/>
              <w:ind w:right="90"/>
              <w:spacing w:after="0"/>
              <w:rPr>
                <w:sz w:val="20"/>
                <w:szCs w:val="20"/>
                <w:color w:val="auto"/>
              </w:rPr>
            </w:pPr>
            <w:r>
              <w:rPr>
                <w:rFonts w:ascii="Arial" w:cs="Arial" w:eastAsia="Arial" w:hAnsi="Arial"/>
                <w:sz w:val="14"/>
                <w:szCs w:val="14"/>
                <w:b w:val="1"/>
                <w:bCs w:val="1"/>
                <w:color w:val="auto"/>
              </w:rPr>
              <w:t>511</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Pr>
          <w:p>
            <w:pPr>
              <w:spacing w:after="0"/>
              <w:rPr>
                <w:sz w:val="16"/>
                <w:szCs w:val="16"/>
                <w:color w:val="auto"/>
              </w:rPr>
            </w:pPr>
          </w:p>
        </w:tc>
      </w:tr>
      <w:tr>
        <w:trPr>
          <w:trHeight w:val="189"/>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Amendment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(1,981)</w:t>
            </w:r>
          </w:p>
        </w:tc>
      </w:tr>
      <w:tr>
        <w:trPr>
          <w:trHeight w:val="189"/>
        </w:trPr>
        <w:tc>
          <w:tcPr>
            <w:tcW w:w="2760" w:type="dxa"/>
            <w:vAlign w:val="bottom"/>
          </w:tcPr>
          <w:p>
            <w:pPr>
              <w:ind w:left="140"/>
              <w:spacing w:after="0"/>
              <w:rPr>
                <w:sz w:val="20"/>
                <w:szCs w:val="20"/>
                <w:color w:val="auto"/>
              </w:rPr>
            </w:pPr>
            <w:r>
              <w:rPr>
                <w:rFonts w:ascii="Arial" w:cs="Arial" w:eastAsia="Arial" w:hAnsi="Arial"/>
                <w:sz w:val="14"/>
                <w:szCs w:val="14"/>
                <w:b w:val="1"/>
                <w:bCs w:val="1"/>
                <w:color w:val="auto"/>
              </w:rPr>
              <w:t>Actuarial gain</w:t>
            </w:r>
          </w:p>
        </w:tc>
        <w:tc>
          <w:tcPr>
            <w:tcW w:w="1120" w:type="dxa"/>
            <w:vAlign w:val="bottom"/>
          </w:tcPr>
          <w:p>
            <w:pPr>
              <w:jc w:val="right"/>
              <w:ind w:right="30"/>
              <w:spacing w:after="0"/>
              <w:rPr>
                <w:sz w:val="20"/>
                <w:szCs w:val="20"/>
                <w:color w:val="auto"/>
              </w:rPr>
            </w:pPr>
            <w:r>
              <w:rPr>
                <w:rFonts w:ascii="Arial" w:cs="Arial" w:eastAsia="Arial" w:hAnsi="Arial"/>
                <w:sz w:val="14"/>
                <w:szCs w:val="14"/>
                <w:b w:val="1"/>
                <w:bCs w:val="1"/>
                <w:color w:val="auto"/>
              </w:rPr>
              <w:t>(633)</w:t>
            </w:r>
          </w:p>
        </w:tc>
        <w:tc>
          <w:tcPr>
            <w:tcW w:w="1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(4,986)</w:t>
            </w:r>
          </w:p>
        </w:tc>
      </w:tr>
      <w:tr>
        <w:trPr>
          <w:trHeight w:val="189"/>
        </w:trPr>
        <w:tc>
          <w:tcPr>
            <w:tcW w:w="2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Benefits paid</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(391)</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(427)</w:t>
            </w:r>
          </w:p>
        </w:tc>
      </w:tr>
      <w:tr>
        <w:trPr>
          <w:trHeight w:val="223"/>
        </w:trPr>
        <w:tc>
          <w:tcPr>
            <w:tcW w:w="2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Ending Obligations</w:t>
            </w:r>
          </w:p>
        </w:tc>
        <w:tc>
          <w:tcPr>
            <w:tcW w:w="1120" w:type="dxa"/>
            <w:vAlign w:val="bottom"/>
            <w:tcBorders>
              <w:top w:val="single" w:sz="8" w:color="auto"/>
              <w:bottom w:val="single" w:sz="8" w:color="auto"/>
            </w:tcBorders>
          </w:tcPr>
          <w:p>
            <w:pPr>
              <w:ind w:left="44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9,172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9,160</w:t>
            </w:r>
          </w:p>
        </w:tc>
        <w:tc>
          <w:tcPr>
            <w:tcW w:w="100" w:type="dxa"/>
            <w:vAlign w:val="bottom"/>
            <w:tcBorders>
              <w:bottom w:val="single" w:sz="8" w:color="CCEEFF"/>
            </w:tcBorders>
          </w:tcPr>
          <w:p>
            <w:pPr>
              <w:spacing w:after="0"/>
              <w:rPr>
                <w:sz w:val="19"/>
                <w:szCs w:val="19"/>
                <w:color w:val="auto"/>
              </w:rPr>
            </w:pPr>
          </w:p>
        </w:tc>
      </w:tr>
      <w:tr>
        <w:trPr>
          <w:trHeight w:val="223"/>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Funded Status of Plan</w:t>
            </w:r>
          </w:p>
        </w:tc>
        <w:tc>
          <w:tcPr>
            <w:tcW w:w="1120" w:type="dxa"/>
            <w:vAlign w:val="bottom"/>
            <w:shd w:val="clear" w:color="auto" w:fill="CCEEFF"/>
          </w:tcPr>
          <w:p>
            <w:pPr>
              <w:ind w:left="44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(9,172 </w:t>
            </w:r>
            <w:r>
              <w:rPr>
                <w:rFonts w:ascii="Arial" w:cs="Arial" w:eastAsia="Arial" w:hAnsi="Arial"/>
                <w:sz w:val="25"/>
                <w:szCs w:val="25"/>
                <w:b w:val="1"/>
                <w:bCs w:val="1"/>
                <w:color w:val="auto"/>
                <w:vertAlign w:val="sub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223" w:lineRule="exact"/>
              <w:rPr>
                <w:sz w:val="20"/>
                <w:szCs w:val="20"/>
                <w:color w:val="auto"/>
              </w:rPr>
            </w:pPr>
            <w:r>
              <w:rPr>
                <w:rFonts w:ascii="Arial" w:cs="Arial" w:eastAsia="Arial" w:hAnsi="Arial"/>
                <w:sz w:val="13"/>
                <w:szCs w:val="13"/>
                <w:color w:val="auto"/>
              </w:rPr>
              <w:t xml:space="preserve">(9,160 </w:t>
            </w:r>
            <w:r>
              <w:rPr>
                <w:rFonts w:ascii="Arial" w:cs="Arial" w:eastAsia="Arial" w:hAnsi="Arial"/>
                <w:sz w:val="25"/>
                <w:szCs w:val="25"/>
                <w:color w:val="auto"/>
                <w:vertAlign w:val="subscript"/>
              </w:rPr>
              <w:t>)</w:t>
            </w:r>
          </w:p>
        </w:tc>
      </w:tr>
      <w:tr>
        <w:trPr>
          <w:trHeight w:val="189"/>
        </w:trPr>
        <w:tc>
          <w:tcPr>
            <w:tcW w:w="2760" w:type="dxa"/>
            <w:vAlign w:val="bottom"/>
          </w:tcPr>
          <w:p>
            <w:pPr>
              <w:ind w:left="140"/>
              <w:spacing w:after="0"/>
              <w:rPr>
                <w:sz w:val="20"/>
                <w:szCs w:val="20"/>
                <w:color w:val="auto"/>
              </w:rPr>
            </w:pPr>
            <w:r>
              <w:rPr>
                <w:rFonts w:ascii="Arial" w:cs="Arial" w:eastAsia="Arial" w:hAnsi="Arial"/>
                <w:sz w:val="14"/>
                <w:szCs w:val="14"/>
                <w:b w:val="1"/>
                <w:bCs w:val="1"/>
                <w:color w:val="auto"/>
              </w:rPr>
              <w:t>Unrecognized prior service cost</w:t>
            </w:r>
          </w:p>
        </w:tc>
        <w:tc>
          <w:tcPr>
            <w:tcW w:w="1120" w:type="dxa"/>
            <w:vAlign w:val="bottom"/>
          </w:tcPr>
          <w:p>
            <w:pPr>
              <w:jc w:val="right"/>
              <w:ind w:right="30"/>
              <w:spacing w:after="0"/>
              <w:rPr>
                <w:sz w:val="20"/>
                <w:szCs w:val="20"/>
                <w:color w:val="auto"/>
              </w:rPr>
            </w:pPr>
            <w:r>
              <w:rPr>
                <w:rFonts w:ascii="Arial" w:cs="Arial" w:eastAsia="Arial" w:hAnsi="Arial"/>
                <w:sz w:val="14"/>
                <w:szCs w:val="14"/>
                <w:b w:val="1"/>
                <w:bCs w:val="1"/>
                <w:color w:val="auto"/>
              </w:rPr>
              <w:t>(1,788)</w:t>
            </w:r>
          </w:p>
        </w:tc>
        <w:tc>
          <w:tcPr>
            <w:tcW w:w="1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(1,981)</w:t>
            </w:r>
          </w:p>
        </w:tc>
      </w:tr>
      <w:tr>
        <w:trPr>
          <w:trHeight w:val="189"/>
        </w:trPr>
        <w:tc>
          <w:tcPr>
            <w:tcW w:w="2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Unrecognized actuarial loss</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5,148</w:t>
            </w:r>
          </w:p>
        </w:tc>
        <w:tc>
          <w:tcPr>
            <w:tcW w:w="1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6,115</w:t>
            </w:r>
          </w:p>
        </w:tc>
        <w:tc>
          <w:tcPr>
            <w:tcW w:w="100" w:type="dxa"/>
            <w:vAlign w:val="bottom"/>
            <w:shd w:val="clear" w:color="auto" w:fill="CCEEFF"/>
          </w:tcPr>
          <w:p>
            <w:pPr>
              <w:spacing w:after="0"/>
              <w:rPr>
                <w:sz w:val="16"/>
                <w:szCs w:val="16"/>
                <w:color w:val="auto"/>
              </w:rPr>
            </w:pPr>
          </w:p>
        </w:tc>
      </w:tr>
      <w:tr>
        <w:trPr>
          <w:trHeight w:val="223"/>
        </w:trPr>
        <w:tc>
          <w:tcPr>
            <w:tcW w:w="2760" w:type="dxa"/>
            <w:vAlign w:val="bottom"/>
          </w:tcPr>
          <w:p>
            <w:pPr>
              <w:spacing w:after="0"/>
              <w:rPr>
                <w:sz w:val="20"/>
                <w:szCs w:val="20"/>
                <w:color w:val="auto"/>
              </w:rPr>
            </w:pPr>
            <w:r>
              <w:rPr>
                <w:rFonts w:ascii="Arial" w:cs="Arial" w:eastAsia="Arial" w:hAnsi="Arial"/>
                <w:sz w:val="14"/>
                <w:szCs w:val="14"/>
                <w:b w:val="1"/>
                <w:bCs w:val="1"/>
                <w:color w:val="auto"/>
              </w:rPr>
              <w:t>Net Amount Recognized</w:t>
            </w:r>
          </w:p>
        </w:tc>
        <w:tc>
          <w:tcPr>
            <w:tcW w:w="1120" w:type="dxa"/>
            <w:vAlign w:val="bottom"/>
          </w:tcPr>
          <w:p>
            <w:pPr>
              <w:ind w:left="44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(5,812 </w:t>
            </w:r>
            <w:r>
              <w:rPr>
                <w:rFonts w:ascii="Arial" w:cs="Arial" w:eastAsia="Arial" w:hAnsi="Arial"/>
                <w:sz w:val="25"/>
                <w:szCs w:val="25"/>
                <w:b w:val="1"/>
                <w:bCs w:val="1"/>
                <w:color w:val="auto"/>
                <w:vertAlign w:val="subscript"/>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223" w:lineRule="exact"/>
              <w:rPr>
                <w:sz w:val="20"/>
                <w:szCs w:val="20"/>
                <w:color w:val="auto"/>
              </w:rPr>
            </w:pPr>
            <w:r>
              <w:rPr>
                <w:rFonts w:ascii="Arial" w:cs="Arial" w:eastAsia="Arial" w:hAnsi="Arial"/>
                <w:sz w:val="13"/>
                <w:szCs w:val="13"/>
                <w:color w:val="auto"/>
              </w:rPr>
              <w:t xml:space="preserve">(5,026 </w:t>
            </w:r>
            <w:r>
              <w:rPr>
                <w:rFonts w:ascii="Arial" w:cs="Arial" w:eastAsia="Arial" w:hAnsi="Arial"/>
                <w:sz w:val="25"/>
                <w:szCs w:val="25"/>
                <w:color w:val="auto"/>
                <w:vertAlign w:val="subscript"/>
              </w:rPr>
              <w:t>)</w:t>
            </w:r>
          </w:p>
        </w:tc>
      </w:tr>
      <w:tr>
        <w:trPr>
          <w:trHeight w:val="20"/>
        </w:trPr>
        <w:tc>
          <w:tcPr>
            <w:tcW w:w="27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The company amended its health-care benefit plan as of the end of fiscal 2004 to reduce benefits offered to certain eligible employees over a transition period.</w:t>
      </w:r>
    </w:p>
    <w:p>
      <w:pPr>
        <w:ind w:left="180"/>
        <w:spacing w:after="0"/>
        <w:rPr>
          <w:sz w:val="20"/>
          <w:szCs w:val="20"/>
          <w:color w:val="auto"/>
        </w:rPr>
      </w:pPr>
      <w:r>
        <w:rPr>
          <w:rFonts w:ascii="Arial" w:cs="Arial" w:eastAsia="Arial" w:hAnsi="Arial"/>
          <w:sz w:val="18"/>
          <w:szCs w:val="18"/>
          <w:color w:val="auto"/>
        </w:rPr>
        <w:t>Assumptions used in calculations are:</w:t>
      </w:r>
    </w:p>
    <w:p>
      <w:pPr>
        <w:spacing w:after="0" w:line="206" w:lineRule="exact"/>
        <w:rPr>
          <w:sz w:val="20"/>
          <w:szCs w:val="20"/>
          <w:color w:val="auto"/>
        </w:rPr>
      </w:pPr>
    </w:p>
    <w:tbl>
      <w:tblPr>
        <w:tblLayout w:type="fixed"/>
        <w:tblInd w:w="3400" w:type="dxa"/>
        <w:tblCellMar>
          <w:top w:w="0" w:type="dxa"/>
          <w:left w:w="0" w:type="dxa"/>
          <w:bottom w:w="0" w:type="dxa"/>
          <w:right w:w="0" w:type="dxa"/>
        </w:tblCellMar>
      </w:tblPr>
      <w:tr>
        <w:trPr>
          <w:trHeight w:val="203"/>
        </w:trPr>
        <w:tc>
          <w:tcPr>
            <w:tcW w:w="32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8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18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Discount rate used to determine year-end</w:t>
            </w:r>
          </w:p>
        </w:tc>
        <w:tc>
          <w:tcPr>
            <w:tcW w:w="8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obligation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5.75%</w:t>
            </w:r>
          </w:p>
        </w:tc>
      </w:tr>
      <w:tr>
        <w:trPr>
          <w:trHeight w:val="189"/>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Discount rate used to determine fiscal year</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240" w:type="dxa"/>
            <w:vAlign w:val="bottom"/>
          </w:tcPr>
          <w:p>
            <w:pPr>
              <w:ind w:left="160"/>
              <w:spacing w:after="0"/>
              <w:rPr>
                <w:sz w:val="20"/>
                <w:szCs w:val="20"/>
                <w:color w:val="auto"/>
              </w:rPr>
            </w:pPr>
            <w:r>
              <w:rPr>
                <w:rFonts w:ascii="Arial" w:cs="Arial" w:eastAsia="Arial" w:hAnsi="Arial"/>
                <w:sz w:val="14"/>
                <w:szCs w:val="14"/>
                <w:b w:val="1"/>
                <w:bCs w:val="1"/>
                <w:color w:val="auto"/>
              </w:rPr>
              <w:t>expense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5.75%</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6.00%</w:t>
            </w:r>
          </w:p>
        </w:tc>
      </w:tr>
      <w:tr>
        <w:trPr>
          <w:trHeight w:val="189"/>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Annual increase in cost of benefits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w:t>
            </w:r>
          </w:p>
        </w:tc>
      </w:tr>
      <w:tr>
        <w:trPr>
          <w:trHeight w:val="20"/>
        </w:trPr>
        <w:tc>
          <w:tcPr>
            <w:tcW w:w="2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00"/>
          </w:cols>
          <w:pgMar w:left="240" w:top="152" w:right="259" w:bottom="0" w:gutter="0" w:footer="0" w:header="0"/>
        </w:sectPr>
      </w:pPr>
    </w:p>
    <w:p>
      <w:pPr>
        <w:ind w:right="580" w:firstLine="180"/>
        <w:spacing w:after="0" w:line="277" w:lineRule="auto"/>
        <w:rPr>
          <w:sz w:val="20"/>
          <w:szCs w:val="20"/>
          <w:color w:val="auto"/>
        </w:rPr>
      </w:pPr>
      <w:r>
        <w:rPr>
          <w:rFonts w:ascii="Arial" w:cs="Arial" w:eastAsia="Arial" w:hAnsi="Arial"/>
          <w:sz w:val="18"/>
          <w:szCs w:val="18"/>
          <w:color w:val="auto"/>
        </w:rPr>
        <w:t>The annual increase in cost of postretirement benefits is assumed to decrease gradually in future years, reaching an ultimate rate of 5 percent in fiscal 2011.</w:t>
      </w:r>
    </w:p>
    <w:p>
      <w:pPr>
        <w:sectPr>
          <w:pgSz w:w="11900" w:h="16838" w:orient="portrait"/>
          <w:cols w:equalWidth="0" w:num="1">
            <w:col w:w="11400"/>
          </w:cols>
          <w:pgMar w:left="240" w:top="152" w:right="259" w:bottom="0" w:gutter="0" w:footer="0" w:header="0"/>
          <w:type w:val="continuous"/>
        </w:sectPr>
      </w:pPr>
    </w:p>
    <w:bookmarkStart w:id="40" w:name="page41"/>
    <w:bookmarkEnd w:id="40"/>
    <w:p>
      <w:pPr>
        <w:ind w:left="180"/>
        <w:spacing w:after="0"/>
        <w:rPr>
          <w:sz w:val="20"/>
          <w:szCs w:val="20"/>
          <w:color w:val="auto"/>
        </w:rPr>
      </w:pPr>
      <w:r>
        <w:rPr>
          <w:rFonts w:ascii="Arial" w:cs="Arial" w:eastAsia="Arial" w:hAnsi="Arial"/>
          <w:sz w:val="18"/>
          <w:szCs w:val="18"/>
          <w:color w:val="auto"/>
        </w:rPr>
        <w:t>Components of net benefit cost each fiscal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143510</wp:posOffset>
            </wp:positionV>
            <wp:extent cx="29502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38" w:lineRule="exact"/>
        <w:rPr>
          <w:sz w:val="20"/>
          <w:szCs w:val="20"/>
          <w:color w:val="auto"/>
        </w:rPr>
      </w:pPr>
    </w:p>
    <w:p>
      <w:pPr>
        <w:ind w:left="3360"/>
        <w:spacing w:after="0"/>
        <w:rPr>
          <w:sz w:val="20"/>
          <w:szCs w:val="20"/>
          <w:color w:val="auto"/>
        </w:rPr>
      </w:pPr>
      <w:r>
        <w:rPr>
          <w:rFonts w:ascii="Arial" w:cs="Arial" w:eastAsia="Arial" w:hAnsi="Arial"/>
          <w:sz w:val="14"/>
          <w:szCs w:val="14"/>
          <w:color w:val="auto"/>
        </w:rPr>
        <w:t>(Dollars in thousands)</w:t>
      </w:r>
    </w:p>
    <w:p>
      <w:pPr>
        <w:spacing w:after="0" w:line="11" w:lineRule="exact"/>
        <w:rPr>
          <w:sz w:val="20"/>
          <w:szCs w:val="20"/>
          <w:color w:val="auto"/>
        </w:rPr>
      </w:pPr>
    </w:p>
    <w:tbl>
      <w:tblPr>
        <w:tblLayout w:type="fixed"/>
        <w:tblInd w:w="3360" w:type="dxa"/>
        <w:tblCellMar>
          <w:top w:w="0" w:type="dxa"/>
          <w:left w:w="0" w:type="dxa"/>
          <w:bottom w:w="0" w:type="dxa"/>
          <w:right w:w="0" w:type="dxa"/>
        </w:tblCellMar>
      </w:tblPr>
      <w:tr>
        <w:trPr>
          <w:trHeight w:val="188"/>
        </w:trPr>
        <w:tc>
          <w:tcPr>
            <w:tcW w:w="226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52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2004</w:t>
            </w: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2003</w:t>
            </w:r>
          </w:p>
        </w:tc>
        <w:tc>
          <w:tcPr>
            <w:tcW w:w="6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Service cost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950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60" w:type="dxa"/>
            <w:vAlign w:val="bottom"/>
            <w:tcBorders>
              <w:top w:val="single" w:sz="8" w:color="CCEEFF"/>
            </w:tcBorders>
            <w:shd w:val="clear" w:color="auto" w:fill="CCEEFF"/>
          </w:tcPr>
          <w:p>
            <w:pPr>
              <w:spacing w:after="0"/>
              <w:rPr>
                <w:sz w:val="19"/>
                <w:szCs w:val="19"/>
                <w:color w:val="auto"/>
              </w:rPr>
            </w:pPr>
          </w:p>
        </w:tc>
      </w:tr>
      <w:tr>
        <w:trPr>
          <w:trHeight w:val="189"/>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Interest cost</w:t>
            </w:r>
          </w:p>
        </w:tc>
        <w:tc>
          <w:tcPr>
            <w:tcW w:w="52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b w:val="1"/>
                <w:bCs w:val="1"/>
                <w:color w:val="auto"/>
              </w:rPr>
              <w:t>511</w:t>
            </w:r>
          </w:p>
        </w:tc>
        <w:tc>
          <w:tcPr>
            <w:tcW w:w="20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871</w:t>
            </w: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427</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Prior service cost</w:t>
            </w: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(193)</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Amortization of losses</w:t>
            </w:r>
          </w:p>
        </w:tc>
        <w:tc>
          <w:tcPr>
            <w:tcW w:w="52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b w:val="1"/>
                <w:bCs w:val="1"/>
                <w:color w:val="auto"/>
              </w:rPr>
              <w:t>333</w:t>
            </w:r>
          </w:p>
        </w:tc>
        <w:tc>
          <w:tcPr>
            <w:tcW w:w="20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712</w:t>
            </w: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262</w:t>
            </w:r>
          </w:p>
        </w:tc>
        <w:tc>
          <w:tcPr>
            <w:tcW w:w="6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2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expense</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1,176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2,533</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60" w:type="dxa"/>
            <w:vAlign w:val="bottom"/>
            <w:tcBorders>
              <w:top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Assumed trend rates for health-care costs have an important effect on the amounts reported for postretirement benefit plans. If the health-care cost trend rate increased by 1 percentage point, the postretirement benefit obligation as of October 31, 2005 would increase by $765,000. If the health-care cost trend rate decreased by 1 percentage point, the postretirement benefit obligation as of October 31, 2005 would decrease by $684,000.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benefits expected to be paid by the company in each fiscal year from fiscal years 2006-2010 are $593,000, $586,000, $641,000,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$643,000, and $764,000, respectively. The aggregate benefits expected to be paid by the company in the five fiscal years from 2011-2015 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$5,078,000. The expected benefits to be paid are based on the same assumptions used to measure the company’s benefit obligation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31, 2005.</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addition, the company and its subsidiaries have defined benefit, supplemental, and other retirement plans covering certain employees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U.S. and the United Kingdom. The projected benefit obligation of these plans as of October 31, 2005 and 2004 was $27,036,000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$8,385,000, respectively, and the net (liability) asset amount recognized in the consolidated balance sheet as of October 31, 2005 and 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 $(2,707,000) and $2,439,000, respectively. The fair value of the plan assets as of October 31, 2005 and 2004 was $21,066,000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$6,842,000, respectively. The net expense recognized in the consolidated financial statements for these plans was $606,000, $290,000,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$278,000 for the fiscal years ended October 31, 2005, 2004, and 2003,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12</w:t>
      </w:r>
      <w:r>
        <w:rPr>
          <w:rFonts w:ascii="Arial" w:cs="Arial" w:eastAsia="Arial" w:hAnsi="Arial"/>
          <w:sz w:val="21"/>
          <w:szCs w:val="21"/>
          <w:b w:val="1"/>
          <w:bCs w:val="1"/>
          <w:color w:val="4673B6"/>
        </w:rPr>
        <w:t>SEGMENT DATA</w:t>
      </w:r>
    </w:p>
    <w:p>
      <w:pPr>
        <w:spacing w:after="0" w:line="20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Toro develops, manufactures, and sells a wide variety of turf maintenance products used in the professional and residential markets. The company’s principal businesses are based on Toro’s ability to provide comprehensive, integrated solutions that create, maintain, enhance, and conserve beautiful and functional landscapes. The company’s reportable segments are strategic business units that offer different products and services and are managed separately based on fundamental differences in their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Reportable Segments</w:t>
      </w:r>
    </w:p>
    <w:p>
      <w:pPr>
        <w:spacing w:after="0" w:line="5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professional segment consists of turf equipment and irrigation products. Turf equipment products include sports fields and grounds maintenance equipment, golf course mowing and maintenance equipment, landscape contractor mowing equipment, landscape creation equipment, and other maintenance equipment. Irrigation products consist of sprinkler heads, electric and hydraulic valves, controllers, computer irrigation central control systems, and micro-irrigation drip tape and hose products. These products are sold mainly through a network of distributors and dealers to professional users engaged in maintaining golf courses, sports fields, municipal and industrial properties, agricultural grounds, and residential and commercial landscapes.</w:t>
      </w:r>
    </w:p>
    <w:p>
      <w:pPr>
        <w:spacing w:after="0" w:line="1" w:lineRule="exact"/>
        <w:rPr>
          <w:sz w:val="20"/>
          <w:szCs w:val="20"/>
          <w:color w:val="auto"/>
        </w:rPr>
      </w:pPr>
    </w:p>
    <w:p>
      <w:pPr>
        <w:ind w:right="20" w:firstLine="180"/>
        <w:spacing w:after="0" w:line="266" w:lineRule="auto"/>
        <w:rPr>
          <w:sz w:val="20"/>
          <w:szCs w:val="20"/>
          <w:color w:val="auto"/>
        </w:rPr>
      </w:pPr>
      <w:r>
        <w:rPr>
          <w:rFonts w:ascii="Arial" w:cs="Arial" w:eastAsia="Arial" w:hAnsi="Arial"/>
          <w:sz w:val="18"/>
          <w:szCs w:val="18"/>
          <w:color w:val="auto"/>
        </w:rPr>
        <w:t>The residential segment consists of walk power mowers, riding mowers and tractors, snow throwers, homeowner-installed irrigation systems, replacement parts, and electrical home solutions products, including trimmers, blowers, and blower-vacuums. These products are sold to homeowners through a network of distributors and dealers, and through a broad array of hardware retailers, home centers, and mass retailers as well as over the Internet.</w:t>
      </w:r>
    </w:p>
    <w:p>
      <w:pPr>
        <w:spacing w:after="0" w:line="1" w:lineRule="exact"/>
        <w:rPr>
          <w:sz w:val="20"/>
          <w:szCs w:val="20"/>
          <w:color w:val="auto"/>
        </w:rPr>
      </w:pPr>
    </w:p>
    <w:p>
      <w:pPr>
        <w:ind w:right="180" w:firstLine="180"/>
        <w:spacing w:after="0" w:line="266" w:lineRule="auto"/>
        <w:rPr>
          <w:sz w:val="20"/>
          <w:szCs w:val="20"/>
          <w:color w:val="auto"/>
        </w:rPr>
      </w:pPr>
      <w:r>
        <w:rPr>
          <w:rFonts w:ascii="Arial" w:cs="Arial" w:eastAsia="Arial" w:hAnsi="Arial"/>
          <w:sz w:val="18"/>
          <w:szCs w:val="18"/>
          <w:color w:val="auto"/>
        </w:rPr>
        <w:t>Effective the beginning of fiscal 2005, the company combined the distribution segment with the other segment because the net sales and total assets of the company-owned distributorships that comprised the former distribution segment no longer meet the quantitative thresholds for separate reporting as an operating segment for all periods presented.</w:t>
      </w:r>
    </w:p>
    <w:p>
      <w:pPr>
        <w:spacing w:after="0" w:line="1" w:lineRule="exact"/>
        <w:rPr>
          <w:sz w:val="20"/>
          <w:szCs w:val="20"/>
          <w:color w:val="auto"/>
        </w:rPr>
      </w:pPr>
    </w:p>
    <w:p>
      <w:pPr>
        <w:ind w:right="200" w:firstLine="180"/>
        <w:spacing w:after="0" w:line="266" w:lineRule="auto"/>
        <w:rPr>
          <w:sz w:val="20"/>
          <w:szCs w:val="20"/>
          <w:color w:val="auto"/>
        </w:rPr>
      </w:pPr>
      <w:r>
        <w:rPr>
          <w:rFonts w:ascii="Arial" w:cs="Arial" w:eastAsia="Arial" w:hAnsi="Arial"/>
          <w:sz w:val="18"/>
          <w:szCs w:val="18"/>
          <w:color w:val="auto"/>
        </w:rPr>
        <w:t>The other segment consists of company-owned domestic distributor operations, corporate activities, including corporate financing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financing receivables, parts inventory, and deferred tax assets.</w:t>
      </w:r>
    </w:p>
    <w:p>
      <w:pPr>
        <w:spacing w:after="0" w:line="1" w:lineRule="exact"/>
        <w:rPr>
          <w:sz w:val="20"/>
          <w:szCs w:val="20"/>
          <w:color w:val="auto"/>
        </w:rPr>
      </w:pPr>
    </w:p>
    <w:p>
      <w:pPr>
        <w:ind w:right="260" w:firstLine="180"/>
        <w:spacing w:after="0" w:line="271"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Note 1. The company evaluates the performance of its professional and residential business segment results based on earnings (loss) before interest expense and income taxes. The other segment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operating loss includes earnings (loss) from operations, corporate activities, other income,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shows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143510</wp:posOffset>
            </wp:positionV>
            <wp:extent cx="3370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41" w:lineRule="exact"/>
        <w:rPr>
          <w:sz w:val="20"/>
          <w:szCs w:val="20"/>
          <w:color w:val="auto"/>
        </w:rPr>
      </w:pPr>
    </w:p>
    <w:tbl>
      <w:tblPr>
        <w:tblLayout w:type="fixed"/>
        <w:tblInd w:w="3040" w:type="dxa"/>
        <w:tblCellMar>
          <w:top w:w="0" w:type="dxa"/>
          <w:left w:w="0" w:type="dxa"/>
          <w:bottom w:w="0" w:type="dxa"/>
          <w:right w:w="0" w:type="dxa"/>
        </w:tblCellMar>
      </w:tblPr>
      <w:tr>
        <w:trPr>
          <w:trHeight w:val="152"/>
        </w:trPr>
        <w:tc>
          <w:tcPr>
            <w:tcW w:w="1840" w:type="dxa"/>
            <w:vAlign w:val="bottom"/>
          </w:tcPr>
          <w:p>
            <w:pPr>
              <w:spacing w:after="0"/>
              <w:rPr>
                <w:sz w:val="20"/>
                <w:szCs w:val="20"/>
                <w:color w:val="auto"/>
              </w:rPr>
            </w:pPr>
            <w:r>
              <w:rPr>
                <w:rFonts w:ascii="Arial" w:cs="Arial" w:eastAsia="Arial" w:hAnsi="Arial"/>
                <w:sz w:val="13"/>
                <w:szCs w:val="13"/>
                <w:color w:val="auto"/>
              </w:rPr>
              <w:t>(Dollars in thousands)</w:t>
            </w: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9"/>
        </w:trPr>
        <w:tc>
          <w:tcPr>
            <w:tcW w:w="1840" w:type="dxa"/>
            <w:vAlign w:val="bottom"/>
          </w:tcPr>
          <w:p>
            <w:pPr>
              <w:spacing w:after="0"/>
              <w:rPr>
                <w:sz w:val="20"/>
                <w:szCs w:val="20"/>
                <w:color w:val="auto"/>
              </w:rPr>
            </w:pPr>
            <w:r>
              <w:rPr>
                <w:rFonts w:ascii="Arial" w:cs="Arial" w:eastAsia="Arial" w:hAnsi="Arial"/>
                <w:sz w:val="13"/>
                <w:szCs w:val="13"/>
                <w:color w:val="auto"/>
              </w:rPr>
              <w:t>Fiscal years ended October 31</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Professional</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Residential</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Other</w:t>
            </w: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Total</w:t>
            </w:r>
          </w:p>
        </w:tc>
      </w:tr>
      <w:tr>
        <w:trPr>
          <w:trHeight w:val="189"/>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9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3"/>
                <w:szCs w:val="13"/>
                <w:b w:val="1"/>
                <w:bCs w:val="1"/>
                <w:color w:val="auto"/>
              </w:rPr>
              <w:t>Net sales</w:t>
            </w:r>
          </w:p>
        </w:tc>
        <w:tc>
          <w:tcPr>
            <w:tcW w:w="940" w:type="dxa"/>
            <w:vAlign w:val="bottom"/>
          </w:tcPr>
          <w:p>
            <w:pPr>
              <w:jc w:val="right"/>
              <w:ind w:right="57"/>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1,145,361</w:t>
            </w:r>
          </w:p>
        </w:tc>
        <w:tc>
          <w:tcPr>
            <w:tcW w:w="880" w:type="dxa"/>
            <w:vAlign w:val="bottom"/>
          </w:tcPr>
          <w:p>
            <w:pPr>
              <w:jc w:val="right"/>
              <w:ind w:right="57"/>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583,291</w:t>
            </w:r>
          </w:p>
        </w:tc>
        <w:tc>
          <w:tcPr>
            <w:tcW w:w="840" w:type="dxa"/>
            <w:vAlign w:val="bottom"/>
          </w:tcPr>
          <w:p>
            <w:pPr>
              <w:jc w:val="right"/>
              <w:ind w:right="97"/>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50,735</w:t>
            </w:r>
          </w:p>
        </w:tc>
        <w:tc>
          <w:tcPr>
            <w:tcW w:w="800" w:type="dxa"/>
            <w:vAlign w:val="bottom"/>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1,779,387</w:t>
            </w:r>
          </w:p>
        </w:tc>
        <w:tc>
          <w:tcPr>
            <w:tcW w:w="60" w:type="dxa"/>
            <w:vAlign w:val="bottom"/>
          </w:tcPr>
          <w:p>
            <w:pPr>
              <w:spacing w:after="0"/>
              <w:rPr>
                <w:sz w:val="18"/>
                <w:szCs w:val="18"/>
                <w:color w:val="auto"/>
              </w:rPr>
            </w:pPr>
          </w:p>
        </w:tc>
      </w:tr>
      <w:tr>
        <w:trPr>
          <w:trHeight w:val="189"/>
        </w:trPr>
        <w:tc>
          <w:tcPr>
            <w:tcW w:w="1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Intersegment gross sales</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50,709</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8,043</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(58,752)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73"/>
        </w:trPr>
        <w:tc>
          <w:tcPr>
            <w:tcW w:w="1840" w:type="dxa"/>
            <w:vAlign w:val="bottom"/>
          </w:tcPr>
          <w:p>
            <w:pPr>
              <w:spacing w:after="0"/>
              <w:rPr>
                <w:sz w:val="20"/>
                <w:szCs w:val="20"/>
                <w:color w:val="auto"/>
              </w:rPr>
            </w:pPr>
            <w:r>
              <w:rPr>
                <w:rFonts w:ascii="Arial" w:cs="Arial" w:eastAsia="Arial" w:hAnsi="Arial"/>
                <w:sz w:val="13"/>
                <w:szCs w:val="13"/>
                <w:b w:val="1"/>
                <w:bCs w:val="1"/>
                <w:color w:val="auto"/>
              </w:rPr>
              <w:t>Earnings (loss) before</w:t>
            </w:r>
          </w:p>
        </w:tc>
        <w:tc>
          <w:tcPr>
            <w:tcW w:w="940" w:type="dxa"/>
            <w:vAlign w:val="bottom"/>
          </w:tcPr>
          <w:p>
            <w:pPr>
              <w:jc w:val="right"/>
              <w:ind w:right="37"/>
              <w:spacing w:after="0"/>
              <w:rPr>
                <w:sz w:val="20"/>
                <w:szCs w:val="20"/>
                <w:color w:val="auto"/>
              </w:rPr>
            </w:pPr>
            <w:r>
              <w:rPr>
                <w:rFonts w:ascii="Arial" w:cs="Arial" w:eastAsia="Arial" w:hAnsi="Arial"/>
                <w:sz w:val="13"/>
                <w:szCs w:val="13"/>
                <w:b w:val="1"/>
                <w:bCs w:val="1"/>
                <w:color w:val="auto"/>
              </w:rPr>
              <w:t>207,398</w:t>
            </w:r>
          </w:p>
        </w:tc>
        <w:tc>
          <w:tcPr>
            <w:tcW w:w="880" w:type="dxa"/>
            <w:vAlign w:val="bottom"/>
          </w:tcPr>
          <w:p>
            <w:pPr>
              <w:jc w:val="right"/>
              <w:ind w:right="57"/>
              <w:spacing w:after="0"/>
              <w:rPr>
                <w:sz w:val="20"/>
                <w:szCs w:val="20"/>
                <w:color w:val="auto"/>
              </w:rPr>
            </w:pPr>
            <w:r>
              <w:rPr>
                <w:rFonts w:ascii="Arial" w:cs="Arial" w:eastAsia="Arial" w:hAnsi="Arial"/>
                <w:sz w:val="13"/>
                <w:szCs w:val="13"/>
                <w:b w:val="1"/>
                <w:bCs w:val="1"/>
                <w:color w:val="auto"/>
              </w:rPr>
              <w:t>50,160</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(87,286)</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170,272</w:t>
            </w:r>
          </w:p>
        </w:tc>
        <w:tc>
          <w:tcPr>
            <w:tcW w:w="60" w:type="dxa"/>
            <w:vAlign w:val="bottom"/>
          </w:tcPr>
          <w:p>
            <w:pPr>
              <w:spacing w:after="0"/>
              <w:rPr>
                <w:sz w:val="15"/>
                <w:szCs w:val="15"/>
                <w:color w:val="auto"/>
              </w:rPr>
            </w:pPr>
          </w:p>
        </w:tc>
      </w:tr>
    </w:tbl>
    <w:p>
      <w:pPr>
        <w:sectPr>
          <w:pgSz w:w="11900" w:h="16838" w:orient="portrait"/>
          <w:cols w:equalWidth="0" w:num="1">
            <w:col w:w="11400"/>
          </w:cols>
          <w:pgMar w:left="240" w:top="152" w:right="259" w:bottom="0" w:gutter="0" w:footer="0" w:header="0"/>
        </w:sectPr>
      </w:pPr>
    </w:p>
    <w:bookmarkStart w:id="41" w:name="page42"/>
    <w:bookmarkEnd w:id="41"/>
    <w:p>
      <w:pPr>
        <w:spacing w:after="0" w:line="1" w:lineRule="exact"/>
        <w:rPr>
          <w:sz w:val="20"/>
          <w:szCs w:val="20"/>
          <w:color w:val="auto"/>
        </w:rPr>
      </w:pPr>
    </w:p>
    <w:tbl>
      <w:tblPr>
        <w:tblLayout w:type="fixed"/>
        <w:tblInd w:w="3040" w:type="dxa"/>
        <w:tblCellMar>
          <w:top w:w="0" w:type="dxa"/>
          <w:left w:w="0" w:type="dxa"/>
          <w:bottom w:w="0" w:type="dxa"/>
          <w:right w:w="0" w:type="dxa"/>
        </w:tblCellMar>
      </w:tblPr>
      <w:tr>
        <w:trPr>
          <w:trHeight w:val="176"/>
        </w:trPr>
        <w:tc>
          <w:tcPr>
            <w:tcW w:w="1800" w:type="dxa"/>
            <w:vAlign w:val="bottom"/>
          </w:tcPr>
          <w:p>
            <w:pPr>
              <w:ind w:left="80"/>
              <w:spacing w:after="0"/>
              <w:rPr>
                <w:sz w:val="20"/>
                <w:szCs w:val="20"/>
                <w:color w:val="auto"/>
              </w:rPr>
            </w:pPr>
            <w:r>
              <w:rPr>
                <w:rFonts w:ascii="Arial" w:cs="Arial" w:eastAsia="Arial" w:hAnsi="Arial"/>
                <w:sz w:val="13"/>
                <w:szCs w:val="13"/>
                <w:b w:val="1"/>
                <w:bCs w:val="1"/>
                <w:color w:val="auto"/>
              </w:rPr>
              <w:t>income taxes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1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452,274</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190,902</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273,561</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916,737</w:t>
            </w:r>
          </w:p>
        </w:tc>
        <w:tc>
          <w:tcPr>
            <w:tcW w:w="60" w:type="dxa"/>
            <w:vAlign w:val="bottom"/>
            <w:shd w:val="clear" w:color="auto" w:fill="CCEEFF"/>
          </w:tcPr>
          <w:p>
            <w:pPr>
              <w:spacing w:after="0"/>
              <w:rPr>
                <w:sz w:val="17"/>
                <w:szCs w:val="17"/>
                <w:color w:val="auto"/>
              </w:rPr>
            </w:pPr>
          </w:p>
        </w:tc>
      </w:tr>
      <w:tr>
        <w:trPr>
          <w:trHeight w:val="181"/>
        </w:trPr>
        <w:tc>
          <w:tcPr>
            <w:tcW w:w="1800" w:type="dxa"/>
            <w:vAlign w:val="bottom"/>
          </w:tcPr>
          <w:p>
            <w:pPr>
              <w:spacing w:after="0"/>
              <w:rPr>
                <w:sz w:val="20"/>
                <w:szCs w:val="20"/>
                <w:color w:val="auto"/>
              </w:rPr>
            </w:pPr>
            <w:r>
              <w:rPr>
                <w:rFonts w:ascii="Arial" w:cs="Arial" w:eastAsia="Arial" w:hAnsi="Arial"/>
                <w:sz w:val="13"/>
                <w:szCs w:val="13"/>
                <w:b w:val="1"/>
                <w:bCs w:val="1"/>
                <w:color w:val="auto"/>
              </w:rPr>
              <w:t>Capital expenditures</w:t>
            </w:r>
          </w:p>
        </w:tc>
        <w:tc>
          <w:tcPr>
            <w:tcW w:w="260" w:type="dxa"/>
            <w:vAlign w:val="bottom"/>
          </w:tcPr>
          <w:p>
            <w:pPr>
              <w:spacing w:after="0"/>
              <w:rPr>
                <w:sz w:val="15"/>
                <w:szCs w:val="15"/>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rPr>
              <w:t>24,259</w:t>
            </w:r>
          </w:p>
        </w:tc>
        <w:tc>
          <w:tcPr>
            <w:tcW w:w="240" w:type="dxa"/>
            <w:vAlign w:val="bottom"/>
          </w:tcPr>
          <w:p>
            <w:pPr>
              <w:spacing w:after="0"/>
              <w:rPr>
                <w:sz w:val="15"/>
                <w:szCs w:val="15"/>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b w:val="1"/>
                <w:bCs w:val="1"/>
                <w:color w:val="auto"/>
              </w:rPr>
              <w:t>6,067</w:t>
            </w:r>
          </w:p>
        </w:tc>
        <w:tc>
          <w:tcPr>
            <w:tcW w:w="2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rPr>
              <w:t>7,106</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37,432</w:t>
            </w:r>
          </w:p>
        </w:tc>
        <w:tc>
          <w:tcPr>
            <w:tcW w:w="60" w:type="dxa"/>
            <w:vAlign w:val="bottom"/>
          </w:tcPr>
          <w:p>
            <w:pPr>
              <w:spacing w:after="0"/>
              <w:rPr>
                <w:sz w:val="15"/>
                <w:szCs w:val="15"/>
                <w:color w:val="auto"/>
              </w:rPr>
            </w:pPr>
          </w:p>
        </w:tc>
      </w:tr>
      <w:tr>
        <w:trPr>
          <w:trHeight w:val="181"/>
        </w:trPr>
        <w:tc>
          <w:tcPr>
            <w:tcW w:w="1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Depreciation and</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9"/>
        </w:trPr>
        <w:tc>
          <w:tcPr>
            <w:tcW w:w="18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amortization</w:t>
            </w: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21,272</w:t>
            </w: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11,454</w:t>
            </w: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10,103</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42,829</w:t>
            </w:r>
          </w:p>
        </w:tc>
        <w:tc>
          <w:tcPr>
            <w:tcW w:w="60" w:type="dxa"/>
            <w:vAlign w:val="bottom"/>
            <w:shd w:val="clear" w:color="auto" w:fill="CCEEFF"/>
          </w:tcPr>
          <w:p>
            <w:pPr>
              <w:spacing w:after="0"/>
              <w:rPr>
                <w:sz w:val="17"/>
                <w:szCs w:val="17"/>
                <w:color w:val="auto"/>
              </w:rPr>
            </w:pPr>
          </w:p>
        </w:tc>
      </w:tr>
      <w:tr>
        <w:trPr>
          <w:trHeight w:val="181"/>
        </w:trPr>
        <w:tc>
          <w:tcPr>
            <w:tcW w:w="1800" w:type="dxa"/>
            <w:vAlign w:val="bottom"/>
          </w:tcPr>
          <w:p>
            <w:pPr>
              <w:spacing w:after="0"/>
              <w:rPr>
                <w:sz w:val="20"/>
                <w:szCs w:val="20"/>
                <w:color w:val="auto"/>
              </w:rPr>
            </w:pPr>
            <w:r>
              <w:rPr>
                <w:rFonts w:ascii="Arial" w:cs="Arial" w:eastAsia="Arial" w:hAnsi="Arial"/>
                <w:sz w:val="13"/>
                <w:szCs w:val="13"/>
                <w:color w:val="auto"/>
              </w:rPr>
              <w:t>2004</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4"/>
        </w:trPr>
        <w:tc>
          <w:tcPr>
            <w:tcW w:w="18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1,028,941</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554,334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69,233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1,652,508</w:t>
            </w:r>
          </w:p>
        </w:tc>
        <w:tc>
          <w:tcPr>
            <w:tcW w:w="60" w:type="dxa"/>
            <w:vAlign w:val="bottom"/>
            <w:shd w:val="clear" w:color="auto" w:fill="CCEEFF"/>
          </w:tcPr>
          <w:p>
            <w:pPr>
              <w:spacing w:after="0"/>
              <w:rPr>
                <w:sz w:val="19"/>
                <w:szCs w:val="19"/>
                <w:color w:val="auto"/>
              </w:rPr>
            </w:pPr>
          </w:p>
        </w:tc>
      </w:tr>
      <w:tr>
        <w:trPr>
          <w:trHeight w:val="181"/>
        </w:trPr>
        <w:tc>
          <w:tcPr>
            <w:tcW w:w="1800" w:type="dxa"/>
            <w:vAlign w:val="bottom"/>
          </w:tcPr>
          <w:p>
            <w:pPr>
              <w:spacing w:after="0"/>
              <w:rPr>
                <w:sz w:val="20"/>
                <w:szCs w:val="20"/>
                <w:color w:val="auto"/>
              </w:rPr>
            </w:pPr>
            <w:r>
              <w:rPr>
                <w:rFonts w:ascii="Arial" w:cs="Arial" w:eastAsia="Arial" w:hAnsi="Arial"/>
                <w:sz w:val="13"/>
                <w:szCs w:val="13"/>
                <w:color w:val="auto"/>
              </w:rPr>
              <w:t>Intersegment gross sales</w:t>
            </w:r>
          </w:p>
        </w:tc>
        <w:tc>
          <w:tcPr>
            <w:tcW w:w="260" w:type="dxa"/>
            <w:vAlign w:val="bottom"/>
          </w:tcPr>
          <w:p>
            <w:pPr>
              <w:spacing w:after="0"/>
              <w:rPr>
                <w:sz w:val="15"/>
                <w:szCs w:val="15"/>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89,893</w:t>
            </w:r>
          </w:p>
        </w:tc>
        <w:tc>
          <w:tcPr>
            <w:tcW w:w="240" w:type="dxa"/>
            <w:vAlign w:val="bottom"/>
          </w:tcPr>
          <w:p>
            <w:pPr>
              <w:spacing w:after="0"/>
              <w:rPr>
                <w:sz w:val="15"/>
                <w:szCs w:val="15"/>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8,999</w:t>
            </w:r>
          </w:p>
        </w:tc>
        <w:tc>
          <w:tcPr>
            <w:tcW w:w="20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(98,892)</w:t>
            </w:r>
          </w:p>
        </w:tc>
        <w:tc>
          <w:tcPr>
            <w:tcW w:w="1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81"/>
        </w:trPr>
        <w:tc>
          <w:tcPr>
            <w:tcW w:w="18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before income</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5"/>
        </w:trPr>
        <w:tc>
          <w:tcPr>
            <w:tcW w:w="1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taxes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173,111</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61,777</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(81,655)</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153,233</w:t>
            </w:r>
          </w:p>
        </w:tc>
        <w:tc>
          <w:tcPr>
            <w:tcW w:w="60" w:type="dxa"/>
            <w:vAlign w:val="bottom"/>
            <w:shd w:val="clear" w:color="auto" w:fill="CCEEFF"/>
          </w:tcPr>
          <w:p>
            <w:pPr>
              <w:spacing w:after="0"/>
              <w:rPr>
                <w:sz w:val="17"/>
                <w:szCs w:val="17"/>
                <w:color w:val="auto"/>
              </w:rPr>
            </w:pPr>
          </w:p>
        </w:tc>
      </w:tr>
      <w:tr>
        <w:trPr>
          <w:trHeight w:val="181"/>
        </w:trPr>
        <w:tc>
          <w:tcPr>
            <w:tcW w:w="1800" w:type="dxa"/>
            <w:vAlign w:val="bottom"/>
          </w:tcPr>
          <w:p>
            <w:pPr>
              <w:spacing w:after="0"/>
              <w:rPr>
                <w:sz w:val="20"/>
                <w:szCs w:val="20"/>
                <w:color w:val="auto"/>
              </w:rPr>
            </w:pPr>
            <w:r>
              <w:rPr>
                <w:rFonts w:ascii="Arial" w:cs="Arial" w:eastAsia="Arial" w:hAnsi="Arial"/>
                <w:sz w:val="13"/>
                <w:szCs w:val="13"/>
                <w:color w:val="auto"/>
              </w:rPr>
              <w:t>Total assets</w:t>
            </w:r>
          </w:p>
        </w:tc>
        <w:tc>
          <w:tcPr>
            <w:tcW w:w="260" w:type="dxa"/>
            <w:vAlign w:val="bottom"/>
          </w:tcPr>
          <w:p>
            <w:pPr>
              <w:spacing w:after="0"/>
              <w:rPr>
                <w:sz w:val="15"/>
                <w:szCs w:val="15"/>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413,841</w:t>
            </w:r>
          </w:p>
        </w:tc>
        <w:tc>
          <w:tcPr>
            <w:tcW w:w="240" w:type="dxa"/>
            <w:vAlign w:val="bottom"/>
          </w:tcPr>
          <w:p>
            <w:pPr>
              <w:spacing w:after="0"/>
              <w:rPr>
                <w:sz w:val="15"/>
                <w:szCs w:val="15"/>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187,860</w:t>
            </w:r>
          </w:p>
        </w:tc>
        <w:tc>
          <w:tcPr>
            <w:tcW w:w="2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330,399</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932,100</w:t>
            </w:r>
          </w:p>
        </w:tc>
        <w:tc>
          <w:tcPr>
            <w:tcW w:w="60" w:type="dxa"/>
            <w:vAlign w:val="bottom"/>
          </w:tcPr>
          <w:p>
            <w:pPr>
              <w:spacing w:after="0"/>
              <w:rPr>
                <w:sz w:val="15"/>
                <w:szCs w:val="15"/>
                <w:color w:val="auto"/>
              </w:rPr>
            </w:pPr>
          </w:p>
        </w:tc>
      </w:tr>
      <w:tr>
        <w:trPr>
          <w:trHeight w:val="197"/>
        </w:trPr>
        <w:tc>
          <w:tcPr>
            <w:tcW w:w="1800" w:type="dxa"/>
            <w:vAlign w:val="bottom"/>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25,772</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5,802</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9,238</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40,812</w:t>
            </w:r>
          </w:p>
        </w:tc>
        <w:tc>
          <w:tcPr>
            <w:tcW w:w="60" w:type="dxa"/>
            <w:vAlign w:val="bottom"/>
            <w:shd w:val="clear" w:color="auto" w:fill="CCEEFF"/>
          </w:tcPr>
          <w:p>
            <w:pPr>
              <w:spacing w:after="0"/>
              <w:rPr>
                <w:sz w:val="17"/>
                <w:szCs w:val="17"/>
                <w:color w:val="auto"/>
              </w:rPr>
            </w:pPr>
          </w:p>
        </w:tc>
      </w:tr>
      <w:tr>
        <w:trPr>
          <w:trHeight w:val="183"/>
        </w:trPr>
        <w:tc>
          <w:tcPr>
            <w:tcW w:w="18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Depreciation and amortization</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17,641</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8,027</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10,425</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36,093</w:t>
            </w:r>
          </w:p>
        </w:tc>
        <w:tc>
          <w:tcPr>
            <w:tcW w:w="60" w:type="dxa"/>
            <w:vAlign w:val="bottom"/>
            <w:tcBorders>
              <w:bottom w:val="single" w:sz="8" w:color="CCEEFF"/>
            </w:tcBorders>
          </w:tcPr>
          <w:p>
            <w:pPr>
              <w:spacing w:after="0"/>
              <w:rPr>
                <w:sz w:val="15"/>
                <w:szCs w:val="15"/>
                <w:color w:val="auto"/>
              </w:rPr>
            </w:pPr>
          </w:p>
        </w:tc>
      </w:tr>
      <w:tr>
        <w:trPr>
          <w:trHeight w:val="189"/>
        </w:trPr>
        <w:tc>
          <w:tcPr>
            <w:tcW w:w="1800" w:type="dxa"/>
            <w:vAlign w:val="bottom"/>
            <w:shd w:val="clear" w:color="auto" w:fill="CCEEFF"/>
          </w:tcPr>
          <w:p>
            <w:pPr>
              <w:spacing w:after="0"/>
              <w:rPr>
                <w:sz w:val="20"/>
                <w:szCs w:val="20"/>
                <w:color w:val="auto"/>
              </w:rPr>
            </w:pPr>
            <w:r>
              <w:rPr>
                <w:rFonts w:ascii="Arial" w:cs="Arial" w:eastAsia="Arial" w:hAnsi="Arial"/>
                <w:sz w:val="13"/>
                <w:szCs w:val="13"/>
                <w:color w:val="auto"/>
              </w:rPr>
              <w:t>2003</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8"/>
        </w:trPr>
        <w:tc>
          <w:tcPr>
            <w:tcW w:w="1800" w:type="dxa"/>
            <w:vAlign w:val="bottom"/>
          </w:tcPr>
          <w:p>
            <w:pPr>
              <w:spacing w:after="0"/>
              <w:rPr>
                <w:sz w:val="20"/>
                <w:szCs w:val="20"/>
                <w:color w:val="auto"/>
              </w:rPr>
            </w:pPr>
            <w:r>
              <w:rPr>
                <w:rFonts w:ascii="Arial" w:cs="Arial" w:eastAsia="Arial" w:hAnsi="Arial"/>
                <w:sz w:val="13"/>
                <w:szCs w:val="13"/>
                <w:color w:val="auto"/>
              </w:rPr>
              <w:t>Net sales</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929,434</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506,466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60,688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1,496,588</w:t>
            </w:r>
          </w:p>
        </w:tc>
        <w:tc>
          <w:tcPr>
            <w:tcW w:w="60" w:type="dxa"/>
            <w:vAlign w:val="bottom"/>
          </w:tcPr>
          <w:p>
            <w:pPr>
              <w:spacing w:after="0"/>
              <w:rPr>
                <w:sz w:val="18"/>
                <w:szCs w:val="18"/>
                <w:color w:val="auto"/>
              </w:rPr>
            </w:pPr>
          </w:p>
        </w:tc>
      </w:tr>
      <w:tr>
        <w:trPr>
          <w:trHeight w:val="197"/>
        </w:trPr>
        <w:tc>
          <w:tcPr>
            <w:tcW w:w="1800" w:type="dxa"/>
            <w:vAlign w:val="bottom"/>
            <w:shd w:val="clear" w:color="auto" w:fill="CCEEFF"/>
          </w:tcPr>
          <w:p>
            <w:pPr>
              <w:spacing w:after="0"/>
              <w:rPr>
                <w:sz w:val="20"/>
                <w:szCs w:val="20"/>
                <w:color w:val="auto"/>
              </w:rPr>
            </w:pPr>
            <w:r>
              <w:rPr>
                <w:rFonts w:ascii="Arial" w:cs="Arial" w:eastAsia="Arial" w:hAnsi="Arial"/>
                <w:sz w:val="13"/>
                <w:szCs w:val="13"/>
                <w:color w:val="auto"/>
              </w:rPr>
              <w:t>Intersegment gross sales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81,421</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7,985</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(89,406)</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73"/>
        </w:trPr>
        <w:tc>
          <w:tcPr>
            <w:tcW w:w="1800" w:type="dxa"/>
            <w:vAlign w:val="bottom"/>
          </w:tcPr>
          <w:p>
            <w:pPr>
              <w:spacing w:after="0"/>
              <w:rPr>
                <w:sz w:val="20"/>
                <w:szCs w:val="20"/>
                <w:color w:val="auto"/>
              </w:rPr>
            </w:pPr>
            <w:r>
              <w:rPr>
                <w:rFonts w:ascii="Arial" w:cs="Arial" w:eastAsia="Arial" w:hAnsi="Arial"/>
                <w:sz w:val="13"/>
                <w:szCs w:val="13"/>
                <w:color w:val="auto"/>
              </w:rPr>
              <w:t>Earnings (loss) before income</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1800" w:type="dxa"/>
            <w:vAlign w:val="bottom"/>
          </w:tcPr>
          <w:p>
            <w:pPr>
              <w:ind w:left="80"/>
              <w:spacing w:after="0"/>
              <w:rPr>
                <w:sz w:val="20"/>
                <w:szCs w:val="20"/>
                <w:color w:val="auto"/>
              </w:rPr>
            </w:pPr>
            <w:r>
              <w:rPr>
                <w:rFonts w:ascii="Arial" w:cs="Arial" w:eastAsia="Arial" w:hAnsi="Arial"/>
                <w:sz w:val="13"/>
                <w:szCs w:val="13"/>
                <w:color w:val="auto"/>
              </w:rPr>
              <w:t>taxes</w:t>
            </w:r>
          </w:p>
        </w:tc>
        <w:tc>
          <w:tcPr>
            <w:tcW w:w="260" w:type="dxa"/>
            <w:vAlign w:val="bottom"/>
          </w:tcPr>
          <w:p>
            <w:pPr>
              <w:spacing w:after="0"/>
              <w:rPr>
                <w:sz w:val="17"/>
                <w:szCs w:val="17"/>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146,756</w:t>
            </w:r>
          </w:p>
        </w:tc>
        <w:tc>
          <w:tcPr>
            <w:tcW w:w="240" w:type="dxa"/>
            <w:vAlign w:val="bottom"/>
          </w:tcPr>
          <w:p>
            <w:pPr>
              <w:spacing w:after="0"/>
              <w:rPr>
                <w:sz w:val="17"/>
                <w:szCs w:val="17"/>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55,460</w:t>
            </w:r>
          </w:p>
        </w:tc>
        <w:tc>
          <w:tcPr>
            <w:tcW w:w="20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(81,298)</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120,918</w:t>
            </w:r>
          </w:p>
        </w:tc>
        <w:tc>
          <w:tcPr>
            <w:tcW w:w="60" w:type="dxa"/>
            <w:vAlign w:val="bottom"/>
          </w:tcPr>
          <w:p>
            <w:pPr>
              <w:spacing w:after="0"/>
              <w:rPr>
                <w:sz w:val="17"/>
                <w:szCs w:val="17"/>
                <w:color w:val="auto"/>
              </w:rPr>
            </w:pPr>
          </w:p>
        </w:tc>
      </w:tr>
      <w:tr>
        <w:trPr>
          <w:trHeight w:val="197"/>
        </w:trPr>
        <w:tc>
          <w:tcPr>
            <w:tcW w:w="18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407,361</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180,767</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340,609</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928,737</w:t>
            </w:r>
          </w:p>
        </w:tc>
        <w:tc>
          <w:tcPr>
            <w:tcW w:w="60" w:type="dxa"/>
            <w:vAlign w:val="bottom"/>
            <w:shd w:val="clear" w:color="auto" w:fill="CCEEFF"/>
          </w:tcPr>
          <w:p>
            <w:pPr>
              <w:spacing w:after="0"/>
              <w:rPr>
                <w:sz w:val="17"/>
                <w:szCs w:val="17"/>
                <w:color w:val="auto"/>
              </w:rPr>
            </w:pPr>
          </w:p>
        </w:tc>
      </w:tr>
      <w:tr>
        <w:trPr>
          <w:trHeight w:val="181"/>
        </w:trPr>
        <w:tc>
          <w:tcPr>
            <w:tcW w:w="1800" w:type="dxa"/>
            <w:vAlign w:val="bottom"/>
          </w:tcPr>
          <w:p>
            <w:pPr>
              <w:spacing w:after="0"/>
              <w:rPr>
                <w:sz w:val="20"/>
                <w:szCs w:val="20"/>
                <w:color w:val="auto"/>
              </w:rPr>
            </w:pPr>
            <w:r>
              <w:rPr>
                <w:rFonts w:ascii="Arial" w:cs="Arial" w:eastAsia="Arial" w:hAnsi="Arial"/>
                <w:sz w:val="13"/>
                <w:szCs w:val="13"/>
                <w:color w:val="auto"/>
              </w:rPr>
              <w:t>Capital expenditures</w:t>
            </w:r>
          </w:p>
        </w:tc>
        <w:tc>
          <w:tcPr>
            <w:tcW w:w="260" w:type="dxa"/>
            <w:vAlign w:val="bottom"/>
          </w:tcPr>
          <w:p>
            <w:pPr>
              <w:spacing w:after="0"/>
              <w:rPr>
                <w:sz w:val="15"/>
                <w:szCs w:val="15"/>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22,440</w:t>
            </w:r>
          </w:p>
        </w:tc>
        <w:tc>
          <w:tcPr>
            <w:tcW w:w="240" w:type="dxa"/>
            <w:vAlign w:val="bottom"/>
          </w:tcPr>
          <w:p>
            <w:pPr>
              <w:spacing w:after="0"/>
              <w:rPr>
                <w:sz w:val="15"/>
                <w:szCs w:val="15"/>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12,759</w:t>
            </w:r>
          </w:p>
        </w:tc>
        <w:tc>
          <w:tcPr>
            <w:tcW w:w="20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8,066</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43,265</w:t>
            </w:r>
          </w:p>
        </w:tc>
        <w:tc>
          <w:tcPr>
            <w:tcW w:w="60" w:type="dxa"/>
            <w:vAlign w:val="bottom"/>
          </w:tcPr>
          <w:p>
            <w:pPr>
              <w:spacing w:after="0"/>
              <w:rPr>
                <w:sz w:val="15"/>
                <w:szCs w:val="15"/>
                <w:color w:val="auto"/>
              </w:rPr>
            </w:pPr>
          </w:p>
        </w:tc>
      </w:tr>
      <w:tr>
        <w:trPr>
          <w:trHeight w:val="191"/>
        </w:trPr>
        <w:tc>
          <w:tcPr>
            <w:tcW w:w="1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17,159</w:t>
            </w:r>
          </w:p>
        </w:tc>
        <w:tc>
          <w:tcPr>
            <w:tcW w:w="2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7,816</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9,161</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34,136</w:t>
            </w:r>
          </w:p>
        </w:tc>
        <w:tc>
          <w:tcPr>
            <w:tcW w:w="60" w:type="dxa"/>
            <w:vAlign w:val="bottom"/>
            <w:shd w:val="clear" w:color="auto" w:fill="CCEEFF"/>
          </w:tcPr>
          <w:p>
            <w:pPr>
              <w:spacing w:after="0"/>
              <w:rPr>
                <w:sz w:val="16"/>
                <w:szCs w:val="16"/>
                <w:color w:val="auto"/>
              </w:rPr>
            </w:pPr>
          </w:p>
        </w:tc>
      </w:tr>
    </w:tbl>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details of the other segment earnings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143510</wp:posOffset>
            </wp:positionV>
            <wp:extent cx="29241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38"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(Dollars in thousands)</w:t>
      </w:r>
    </w:p>
    <w:p>
      <w:pPr>
        <w:spacing w:after="0" w:line="11" w:lineRule="exact"/>
        <w:rPr>
          <w:sz w:val="20"/>
          <w:szCs w:val="20"/>
          <w:color w:val="auto"/>
        </w:rPr>
      </w:pPr>
    </w:p>
    <w:tbl>
      <w:tblPr>
        <w:tblLayout w:type="fixed"/>
        <w:tblInd w:w="3380" w:type="dxa"/>
        <w:tblCellMar>
          <w:top w:w="0" w:type="dxa"/>
          <w:left w:w="0" w:type="dxa"/>
          <w:bottom w:w="0" w:type="dxa"/>
          <w:right w:w="0" w:type="dxa"/>
        </w:tblCellMar>
      </w:tblPr>
      <w:tr>
        <w:trPr>
          <w:trHeight w:val="188"/>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2005</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2004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80" w:type="dxa"/>
            <w:vAlign w:val="bottom"/>
            <w:tcBorders>
              <w:bottom w:val="single" w:sz="8" w:color="CCEEFF"/>
            </w:tcBorders>
          </w:tcPr>
          <w:p>
            <w:pPr>
              <w:spacing w:after="0"/>
              <w:rPr>
                <w:sz w:val="16"/>
                <w:szCs w:val="16"/>
                <w:color w:val="auto"/>
              </w:rPr>
            </w:pPr>
          </w:p>
        </w:tc>
      </w:tr>
      <w:tr>
        <w:trPr>
          <w:trHeight w:val="223"/>
        </w:trPr>
        <w:tc>
          <w:tcPr>
            <w:tcW w:w="2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Corporate expenses</w:t>
            </w:r>
          </w:p>
        </w:tc>
        <w:tc>
          <w:tcPr>
            <w:tcW w:w="980" w:type="dxa"/>
            <w:vAlign w:val="bottom"/>
            <w:shd w:val="clear" w:color="auto" w:fill="CCEEFF"/>
          </w:tcPr>
          <w:p>
            <w:pPr>
              <w:jc w:val="right"/>
              <w:ind w:right="3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(90,713 </w:t>
            </w:r>
            <w:r>
              <w:rPr>
                <w:rFonts w:ascii="Arial" w:cs="Arial" w:eastAsia="Arial" w:hAnsi="Arial"/>
                <w:sz w:val="25"/>
                <w:szCs w:val="25"/>
                <w:b w:val="1"/>
                <w:bCs w:val="1"/>
                <w:color w:val="auto"/>
                <w:vertAlign w:val="subscript"/>
              </w:rPr>
              <w:t>)</w:t>
            </w:r>
          </w:p>
        </w:tc>
        <w:tc>
          <w:tcPr>
            <w:tcW w:w="840" w:type="dxa"/>
            <w:vAlign w:val="bottom"/>
            <w:shd w:val="clear" w:color="auto" w:fill="CCEEFF"/>
          </w:tcPr>
          <w:p>
            <w:pPr>
              <w:jc w:val="right"/>
              <w:ind w:right="1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(96,062 </w:t>
            </w:r>
            <w:r>
              <w:rPr>
                <w:rFonts w:ascii="Arial" w:cs="Arial" w:eastAsia="Arial" w:hAnsi="Arial"/>
                <w:sz w:val="25"/>
                <w:szCs w:val="25"/>
                <w:color w:val="auto"/>
                <w:vertAlign w:val="subscript"/>
              </w:rPr>
              <w:t>)</w:t>
            </w:r>
          </w:p>
        </w:tc>
        <w:tc>
          <w:tcPr>
            <w:tcW w:w="820" w:type="dxa"/>
            <w:vAlign w:val="bottom"/>
            <w:gridSpan w:val="2"/>
            <w:shd w:val="clear" w:color="auto" w:fill="CCEEFF"/>
          </w:tcPr>
          <w:p>
            <w:pPr>
              <w:jc w:val="right"/>
              <w:ind w:righ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(91,063 </w:t>
            </w:r>
            <w:r>
              <w:rPr>
                <w:rFonts w:ascii="Arial" w:cs="Arial" w:eastAsia="Arial" w:hAnsi="Arial"/>
                <w:sz w:val="25"/>
                <w:szCs w:val="25"/>
                <w:color w:val="auto"/>
                <w:vertAlign w:val="subscript"/>
              </w:rPr>
              <w:t>)</w:t>
            </w:r>
          </w:p>
        </w:tc>
      </w:tr>
      <w:tr>
        <w:trPr>
          <w:trHeight w:val="189"/>
        </w:trPr>
        <w:tc>
          <w:tcPr>
            <w:tcW w:w="204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980" w:type="dxa"/>
            <w:vAlign w:val="bottom"/>
          </w:tcPr>
          <w:p>
            <w:pPr>
              <w:jc w:val="right"/>
              <w:ind w:right="30"/>
              <w:spacing w:after="0"/>
              <w:rPr>
                <w:sz w:val="20"/>
                <w:szCs w:val="20"/>
                <w:color w:val="auto"/>
              </w:rPr>
            </w:pPr>
            <w:r>
              <w:rPr>
                <w:rFonts w:ascii="Arial" w:cs="Arial" w:eastAsia="Arial" w:hAnsi="Arial"/>
                <w:sz w:val="14"/>
                <w:szCs w:val="14"/>
                <w:b w:val="1"/>
                <w:bCs w:val="1"/>
                <w:color w:val="auto"/>
              </w:rPr>
              <w:t>(17,733)</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(15,523)</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(16,285)</w:t>
            </w:r>
          </w:p>
        </w:tc>
      </w:tr>
      <w:tr>
        <w:trPr>
          <w:trHeight w:val="189"/>
        </w:trPr>
        <w:tc>
          <w:tcPr>
            <w:tcW w:w="2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Finance charge revenue</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2,991</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3,266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w:t>
            </w:r>
          </w:p>
        </w:tc>
        <w:tc>
          <w:tcPr>
            <w:tcW w:w="80" w:type="dxa"/>
            <w:vAlign w:val="bottom"/>
            <w:shd w:val="clear" w:color="auto" w:fill="CCEEFF"/>
          </w:tcPr>
          <w:p>
            <w:pPr>
              <w:spacing w:after="0"/>
              <w:rPr>
                <w:sz w:val="16"/>
                <w:szCs w:val="16"/>
                <w:color w:val="auto"/>
              </w:rPr>
            </w:pPr>
          </w:p>
        </w:tc>
      </w:tr>
      <w:tr>
        <w:trPr>
          <w:trHeight w:val="189"/>
        </w:trPr>
        <w:tc>
          <w:tcPr>
            <w:tcW w:w="2040" w:type="dxa"/>
            <w:vAlign w:val="bottom"/>
          </w:tcPr>
          <w:p>
            <w:pPr>
              <w:spacing w:after="0"/>
              <w:rPr>
                <w:sz w:val="20"/>
                <w:szCs w:val="20"/>
                <w:color w:val="auto"/>
              </w:rPr>
            </w:pPr>
            <w:r>
              <w:rPr>
                <w:rFonts w:ascii="Arial" w:cs="Arial" w:eastAsia="Arial" w:hAnsi="Arial"/>
                <w:sz w:val="14"/>
                <w:szCs w:val="14"/>
                <w:b w:val="1"/>
                <w:bCs w:val="1"/>
                <w:color w:val="auto"/>
              </w:rPr>
              <w:t>Elimination of corporate</w:t>
            </w: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2040" w:type="dxa"/>
            <w:vAlign w:val="bottom"/>
          </w:tcPr>
          <w:p>
            <w:pPr>
              <w:ind w:left="80"/>
              <w:spacing w:after="0"/>
              <w:rPr>
                <w:sz w:val="20"/>
                <w:szCs w:val="20"/>
                <w:color w:val="auto"/>
              </w:rPr>
            </w:pPr>
            <w:r>
              <w:rPr>
                <w:rFonts w:ascii="Arial" w:cs="Arial" w:eastAsia="Arial" w:hAnsi="Arial"/>
                <w:sz w:val="14"/>
                <w:szCs w:val="14"/>
                <w:b w:val="1"/>
                <w:bCs w:val="1"/>
                <w:color w:val="auto"/>
              </w:rPr>
              <w:t>financing expense</w:t>
            </w:r>
          </w:p>
        </w:tc>
        <w:tc>
          <w:tcPr>
            <w:tcW w:w="980" w:type="dxa"/>
            <w:vAlign w:val="bottom"/>
          </w:tcPr>
          <w:p>
            <w:pPr>
              <w:jc w:val="right"/>
              <w:ind w:right="90"/>
              <w:spacing w:after="0"/>
              <w:rPr>
                <w:sz w:val="20"/>
                <w:szCs w:val="20"/>
                <w:color w:val="auto"/>
              </w:rPr>
            </w:pPr>
            <w:r>
              <w:rPr>
                <w:rFonts w:ascii="Arial" w:cs="Arial" w:eastAsia="Arial" w:hAnsi="Arial"/>
                <w:sz w:val="14"/>
                <w:szCs w:val="14"/>
                <w:b w:val="1"/>
                <w:bCs w:val="1"/>
                <w:color w:val="auto"/>
              </w:rPr>
              <w:t>17,998</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16,005</w:t>
            </w:r>
          </w:p>
        </w:tc>
        <w:tc>
          <w:tcPr>
            <w:tcW w:w="740" w:type="dxa"/>
            <w:vAlign w:val="bottom"/>
          </w:tcPr>
          <w:p>
            <w:pPr>
              <w:jc w:val="right"/>
              <w:spacing w:after="0"/>
              <w:rPr>
                <w:sz w:val="20"/>
                <w:szCs w:val="20"/>
                <w:color w:val="auto"/>
              </w:rPr>
            </w:pPr>
            <w:r>
              <w:rPr>
                <w:rFonts w:ascii="Arial" w:cs="Arial" w:eastAsia="Arial" w:hAnsi="Arial"/>
                <w:sz w:val="14"/>
                <w:szCs w:val="14"/>
                <w:color w:val="auto"/>
              </w:rPr>
              <w:t>15,095</w:t>
            </w:r>
          </w:p>
        </w:tc>
        <w:tc>
          <w:tcPr>
            <w:tcW w:w="80" w:type="dxa"/>
            <w:vAlign w:val="bottom"/>
          </w:tcPr>
          <w:p>
            <w:pPr>
              <w:spacing w:after="0"/>
              <w:rPr>
                <w:sz w:val="16"/>
                <w:szCs w:val="16"/>
                <w:color w:val="auto"/>
              </w:rPr>
            </w:pPr>
          </w:p>
        </w:tc>
      </w:tr>
      <w:tr>
        <w:trPr>
          <w:trHeight w:val="189"/>
        </w:trPr>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171</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10,659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8,290</w:t>
            </w:r>
          </w:p>
        </w:tc>
        <w:tc>
          <w:tcPr>
            <w:tcW w:w="80" w:type="dxa"/>
            <w:vAlign w:val="bottom"/>
            <w:shd w:val="clear" w:color="auto" w:fill="CCEEFF"/>
          </w:tcPr>
          <w:p>
            <w:pPr>
              <w:spacing w:after="0"/>
              <w:rPr>
                <w:sz w:val="16"/>
                <w:szCs w:val="16"/>
                <w:color w:val="auto"/>
              </w:rPr>
            </w:pPr>
          </w:p>
        </w:tc>
      </w:tr>
      <w:tr>
        <w:trPr>
          <w:trHeight w:val="223"/>
        </w:trPr>
        <w:tc>
          <w:tcPr>
            <w:tcW w:w="20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ind w:right="3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(87,286 </w:t>
            </w:r>
            <w:r>
              <w:rPr>
                <w:rFonts w:ascii="Arial" w:cs="Arial" w:eastAsia="Arial" w:hAnsi="Arial"/>
                <w:sz w:val="25"/>
                <w:szCs w:val="25"/>
                <w:b w:val="1"/>
                <w:bCs w:val="1"/>
                <w:color w:val="auto"/>
                <w:vertAlign w:val="subscript"/>
              </w:rPr>
              <w:t>)</w:t>
            </w:r>
          </w:p>
        </w:tc>
        <w:tc>
          <w:tcPr>
            <w:tcW w:w="840" w:type="dxa"/>
            <w:vAlign w:val="bottom"/>
          </w:tcPr>
          <w:p>
            <w:pPr>
              <w:jc w:val="right"/>
              <w:ind w:right="1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(81,655 </w:t>
            </w:r>
            <w:r>
              <w:rPr>
                <w:rFonts w:ascii="Arial" w:cs="Arial" w:eastAsia="Arial" w:hAnsi="Arial"/>
                <w:sz w:val="25"/>
                <w:szCs w:val="25"/>
                <w:color w:val="auto"/>
                <w:vertAlign w:val="subscript"/>
              </w:rPr>
              <w:t>)</w:t>
            </w:r>
          </w:p>
        </w:tc>
        <w:tc>
          <w:tcPr>
            <w:tcW w:w="820" w:type="dxa"/>
            <w:vAlign w:val="bottom"/>
            <w:gridSpan w:val="2"/>
          </w:tcPr>
          <w:p>
            <w:pPr>
              <w:jc w:val="right"/>
              <w:ind w:righ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(81,298 </w:t>
            </w:r>
            <w:r>
              <w:rPr>
                <w:rFonts w:ascii="Arial" w:cs="Arial" w:eastAsia="Arial" w:hAnsi="Arial"/>
                <w:sz w:val="25"/>
                <w:szCs w:val="25"/>
                <w:color w:val="auto"/>
                <w:vertAlign w:val="subscript"/>
              </w:rPr>
              <w:t>)</w:t>
            </w:r>
          </w:p>
        </w:tc>
      </w:tr>
      <w:tr>
        <w:trPr>
          <w:trHeight w:val="20"/>
        </w:trPr>
        <w:tc>
          <w:tcPr>
            <w:tcW w:w="20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net sales for groups of similar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143510</wp:posOffset>
            </wp:positionV>
            <wp:extent cx="29584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41" w:lineRule="exact"/>
        <w:rPr>
          <w:sz w:val="20"/>
          <w:szCs w:val="20"/>
          <w:color w:val="auto"/>
        </w:rPr>
      </w:pPr>
    </w:p>
    <w:tbl>
      <w:tblPr>
        <w:tblLayout w:type="fixed"/>
        <w:tblInd w:w="3360" w:type="dxa"/>
        <w:tblCellMar>
          <w:top w:w="0" w:type="dxa"/>
          <w:left w:w="0" w:type="dxa"/>
          <w:bottom w:w="0" w:type="dxa"/>
          <w:right w:w="0" w:type="dxa"/>
        </w:tblCellMar>
      </w:tblPr>
      <w:tr>
        <w:trPr>
          <w:trHeight w:val="152"/>
        </w:trPr>
        <w:tc>
          <w:tcPr>
            <w:tcW w:w="1880" w:type="dxa"/>
            <w:vAlign w:val="bottom"/>
          </w:tcPr>
          <w:p>
            <w:pPr>
              <w:spacing w:after="0"/>
              <w:rPr>
                <w:sz w:val="20"/>
                <w:szCs w:val="20"/>
                <w:color w:val="auto"/>
              </w:rPr>
            </w:pPr>
            <w:r>
              <w:rPr>
                <w:rFonts w:ascii="Arial" w:cs="Arial" w:eastAsia="Arial" w:hAnsi="Arial"/>
                <w:sz w:val="13"/>
                <w:szCs w:val="13"/>
                <w:color w:val="auto"/>
              </w:rPr>
              <w:t>(Dollars in thousands)</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9"/>
        </w:trPr>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Fiscal years ended October 31</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2005</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2004</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2003</w:t>
            </w:r>
          </w:p>
        </w:tc>
        <w:tc>
          <w:tcPr>
            <w:tcW w:w="60" w:type="dxa"/>
            <w:vAlign w:val="bottom"/>
            <w:tcBorders>
              <w:bottom w:val="single" w:sz="8" w:color="CCEEFF"/>
            </w:tcBorders>
          </w:tcPr>
          <w:p>
            <w:pPr>
              <w:spacing w:after="0"/>
              <w:rPr>
                <w:sz w:val="17"/>
                <w:szCs w:val="17"/>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Irrigation</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365,322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356,470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342,433</w:t>
            </w:r>
          </w:p>
        </w:tc>
        <w:tc>
          <w:tcPr>
            <w:tcW w:w="60" w:type="dxa"/>
            <w:vAlign w:val="bottom"/>
            <w:shd w:val="clear" w:color="auto" w:fill="CCEEFF"/>
          </w:tcPr>
          <w:p>
            <w:pPr>
              <w:spacing w:after="0"/>
              <w:rPr>
                <w:sz w:val="18"/>
                <w:szCs w:val="18"/>
                <w:color w:val="auto"/>
              </w:rPr>
            </w:pPr>
          </w:p>
        </w:tc>
      </w:tr>
      <w:tr>
        <w:trPr>
          <w:trHeight w:val="183"/>
        </w:trPr>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Equipment</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1,414,065</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1,296,038</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1,154,155</w:t>
            </w:r>
          </w:p>
        </w:tc>
        <w:tc>
          <w:tcPr>
            <w:tcW w:w="60" w:type="dxa"/>
            <w:vAlign w:val="bottom"/>
            <w:tcBorders>
              <w:bottom w:val="single" w:sz="8" w:color="CCEEFF"/>
            </w:tcBorders>
          </w:tcPr>
          <w:p>
            <w:pPr>
              <w:spacing w:after="0"/>
              <w:rPr>
                <w:sz w:val="15"/>
                <w:szCs w:val="15"/>
                <w:color w:val="auto"/>
              </w:rPr>
            </w:pPr>
          </w:p>
        </w:tc>
      </w:tr>
      <w:tr>
        <w:trPr>
          <w:trHeight w:val="210"/>
        </w:trPr>
        <w:tc>
          <w:tcPr>
            <w:tcW w:w="1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1,779,387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6"/>
              </w:rPr>
              <w:t>1,652,508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1,496,588</w:t>
            </w:r>
          </w:p>
        </w:tc>
        <w:tc>
          <w:tcPr>
            <w:tcW w:w="6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Sales to one customer accounted for 13 percent of consolidated net sales in fiscal 2005, 2004, and 2003.</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Geographic Data</w:t>
      </w:r>
    </w:p>
    <w:p>
      <w:pPr>
        <w:spacing w:after="0" w:line="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geographic area data includes net sales based on product shipment destination. Long-lived assets consists of goodwill, intangible assets, and net property, plant, and equipment, which is determined based on physical location in addition to allocated capital tooling from United States plant facilities.</w:t>
      </w:r>
    </w:p>
    <w:p>
      <w:pPr>
        <w:spacing w:after="0" w:line="171" w:lineRule="exact"/>
        <w:rPr>
          <w:sz w:val="20"/>
          <w:szCs w:val="20"/>
          <w:color w:val="auto"/>
        </w:rPr>
      </w:pPr>
    </w:p>
    <w:tbl>
      <w:tblPr>
        <w:tblLayout w:type="fixed"/>
        <w:tblInd w:w="3280" w:type="dxa"/>
        <w:tblCellMar>
          <w:top w:w="0" w:type="dxa"/>
          <w:left w:w="0" w:type="dxa"/>
          <w:bottom w:w="0" w:type="dxa"/>
          <w:right w:w="0" w:type="dxa"/>
        </w:tblCellMar>
      </w:tblPr>
      <w:tr>
        <w:trPr>
          <w:trHeight w:val="204"/>
        </w:trPr>
        <w:tc>
          <w:tcPr>
            <w:tcW w:w="19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United</w:t>
            </w: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Foreign</w:t>
            </w: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8"/>
        </w:trPr>
        <w:tc>
          <w:tcPr>
            <w:tcW w:w="1980" w:type="dxa"/>
            <w:vAlign w:val="bottom"/>
          </w:tcPr>
          <w:p>
            <w:pPr>
              <w:spacing w:after="0"/>
              <w:rPr>
                <w:sz w:val="20"/>
                <w:szCs w:val="20"/>
                <w:color w:val="auto"/>
              </w:rPr>
            </w:pPr>
            <w:r>
              <w:rPr>
                <w:rFonts w:ascii="Arial" w:cs="Arial" w:eastAsia="Arial" w:hAnsi="Arial"/>
                <w:sz w:val="14"/>
                <w:szCs w:val="14"/>
                <w:color w:val="auto"/>
              </w:rPr>
              <w:t>Fiscal years ended October 31</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States</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Countries</w:t>
            </w: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Total</w:t>
            </w:r>
          </w:p>
        </w:tc>
      </w:tr>
      <w:tr>
        <w:trPr>
          <w:trHeight w:val="183"/>
        </w:trPr>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2005</w:t>
            </w:r>
          </w:p>
        </w:tc>
        <w:tc>
          <w:tcPr>
            <w:tcW w:w="10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1020" w:type="dxa"/>
            <w:vAlign w:val="bottom"/>
          </w:tcPr>
          <w:p>
            <w:pPr>
              <w:jc w:val="right"/>
              <w:ind w:right="49"/>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1,338,743</w:t>
            </w:r>
          </w:p>
        </w:tc>
        <w:tc>
          <w:tcPr>
            <w:tcW w:w="900" w:type="dxa"/>
            <w:vAlign w:val="bottom"/>
          </w:tcPr>
          <w:p>
            <w:pPr>
              <w:jc w:val="right"/>
              <w:ind w:right="69"/>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440,644</w:t>
            </w:r>
          </w:p>
        </w:tc>
        <w:tc>
          <w:tcPr>
            <w:tcW w:w="900" w:type="dxa"/>
            <w:vAlign w:val="bottom"/>
          </w:tcPr>
          <w:p>
            <w:pPr>
              <w:jc w:val="right"/>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1,779,387</w:t>
            </w:r>
          </w:p>
        </w:tc>
        <w:tc>
          <w:tcPr>
            <w:tcW w:w="60" w:type="dxa"/>
            <w:vAlign w:val="bottom"/>
          </w:tcPr>
          <w:p>
            <w:pPr>
              <w:spacing w:after="0"/>
              <w:rPr>
                <w:sz w:val="19"/>
                <w:szCs w:val="19"/>
                <w:color w:val="auto"/>
              </w:rPr>
            </w:pPr>
          </w:p>
        </w:tc>
      </w:tr>
      <w:tr>
        <w:trPr>
          <w:trHeight w:val="189"/>
        </w:trPr>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Long-lived assets</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214,726</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39,200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253,926</w:t>
            </w:r>
          </w:p>
        </w:tc>
        <w:tc>
          <w:tcPr>
            <w:tcW w:w="60" w:type="dxa"/>
            <w:vAlign w:val="bottom"/>
            <w:shd w:val="clear" w:color="auto" w:fill="CCEEFF"/>
          </w:tcPr>
          <w:p>
            <w:pPr>
              <w:spacing w:after="0"/>
              <w:rPr>
                <w:sz w:val="16"/>
                <w:szCs w:val="16"/>
                <w:color w:val="auto"/>
              </w:rPr>
            </w:pPr>
          </w:p>
        </w:tc>
      </w:tr>
      <w:tr>
        <w:trPr>
          <w:trHeight w:val="183"/>
        </w:trPr>
        <w:tc>
          <w:tcPr>
            <w:tcW w:w="1980" w:type="dxa"/>
            <w:vAlign w:val="bottom"/>
          </w:tcPr>
          <w:p>
            <w:pPr>
              <w:spacing w:after="0"/>
              <w:rPr>
                <w:sz w:val="20"/>
                <w:szCs w:val="20"/>
                <w:color w:val="auto"/>
              </w:rPr>
            </w:pPr>
            <w:r>
              <w:rPr>
                <w:rFonts w:ascii="Arial" w:cs="Arial" w:eastAsia="Arial" w:hAnsi="Arial"/>
                <w:sz w:val="14"/>
                <w:szCs w:val="14"/>
                <w:color w:val="auto"/>
              </w:rPr>
              <w:t>2004</w:t>
            </w: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1020" w:type="dxa"/>
            <w:vAlign w:val="bottom"/>
            <w:shd w:val="clear" w:color="auto" w:fill="CCEEFF"/>
          </w:tcPr>
          <w:p>
            <w:pPr>
              <w:jc w:val="right"/>
              <w:ind w:right="49"/>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1,311,148</w:t>
            </w:r>
          </w:p>
        </w:tc>
        <w:tc>
          <w:tcPr>
            <w:tcW w:w="900" w:type="dxa"/>
            <w:vAlign w:val="bottom"/>
            <w:shd w:val="clear" w:color="auto" w:fill="CCEEFF"/>
          </w:tcPr>
          <w:p>
            <w:pPr>
              <w:jc w:val="right"/>
              <w:ind w:right="69"/>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341,360</w:t>
            </w:r>
          </w:p>
        </w:tc>
        <w:tc>
          <w:tcPr>
            <w:tcW w:w="900" w:type="dxa"/>
            <w:vAlign w:val="bottom"/>
            <w:shd w:val="clear" w:color="auto" w:fill="CCEEFF"/>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1,652,508</w:t>
            </w:r>
          </w:p>
        </w:tc>
        <w:tc>
          <w:tcPr>
            <w:tcW w:w="60" w:type="dxa"/>
            <w:vAlign w:val="bottom"/>
            <w:shd w:val="clear" w:color="auto" w:fill="CCEEFF"/>
          </w:tcPr>
          <w:p>
            <w:pPr>
              <w:spacing w:after="0"/>
              <w:rPr>
                <w:sz w:val="19"/>
                <w:szCs w:val="19"/>
                <w:color w:val="auto"/>
              </w:rPr>
            </w:pPr>
          </w:p>
        </w:tc>
      </w:tr>
      <w:tr>
        <w:trPr>
          <w:trHeight w:val="189"/>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Long-lived assets</w:t>
            </w: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219,313</w:t>
            </w: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25,607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244,920</w:t>
            </w:r>
          </w:p>
        </w:tc>
        <w:tc>
          <w:tcPr>
            <w:tcW w:w="60" w:type="dxa"/>
            <w:vAlign w:val="bottom"/>
            <w:tcBorders>
              <w:bottom w:val="single" w:sz="8" w:color="CCEEFF"/>
            </w:tcBorders>
          </w:tcPr>
          <w:p>
            <w:pPr>
              <w:spacing w:after="0"/>
              <w:rPr>
                <w:sz w:val="16"/>
                <w:szCs w:val="16"/>
                <w:color w:val="auto"/>
              </w:rPr>
            </w:pPr>
          </w:p>
        </w:tc>
      </w:tr>
      <w:tr>
        <w:trPr>
          <w:trHeight w:val="183"/>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2003</w:t>
            </w:r>
          </w:p>
        </w:tc>
        <w:tc>
          <w:tcPr>
            <w:tcW w:w="10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4"/>
                <w:szCs w:val="14"/>
                <w:color w:val="auto"/>
              </w:rPr>
              <w:t>Net sales</w:t>
            </w:r>
          </w:p>
        </w:tc>
        <w:tc>
          <w:tcPr>
            <w:tcW w:w="1020" w:type="dxa"/>
            <w:vAlign w:val="bottom"/>
          </w:tcPr>
          <w:p>
            <w:pPr>
              <w:jc w:val="right"/>
              <w:ind w:right="49"/>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1,207,590</w:t>
            </w:r>
          </w:p>
        </w:tc>
        <w:tc>
          <w:tcPr>
            <w:tcW w:w="900" w:type="dxa"/>
            <w:vAlign w:val="bottom"/>
          </w:tcPr>
          <w:p>
            <w:pPr>
              <w:jc w:val="right"/>
              <w:ind w:right="69"/>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288,998</w:t>
            </w:r>
          </w:p>
        </w:tc>
        <w:tc>
          <w:tcPr>
            <w:tcW w:w="900" w:type="dxa"/>
            <w:vAlign w:val="bottom"/>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1,496,588</w:t>
            </w:r>
          </w:p>
        </w:tc>
        <w:tc>
          <w:tcPr>
            <w:tcW w:w="60" w:type="dxa"/>
            <w:vAlign w:val="bottom"/>
          </w:tcPr>
          <w:p>
            <w:pPr>
              <w:spacing w:after="0"/>
              <w:rPr>
                <w:sz w:val="19"/>
                <w:szCs w:val="19"/>
                <w:color w:val="auto"/>
              </w:rPr>
            </w:pPr>
          </w:p>
        </w:tc>
      </w:tr>
      <w:tr>
        <w:trPr>
          <w:trHeight w:val="189"/>
        </w:trPr>
        <w:tc>
          <w:tcPr>
            <w:tcW w:w="1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215,962</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239,983</w:t>
            </w:r>
          </w:p>
        </w:tc>
        <w:tc>
          <w:tcPr>
            <w:tcW w:w="60" w:type="dxa"/>
            <w:vAlign w:val="bottom"/>
            <w:shd w:val="clear" w:color="auto" w:fill="CCEEFF"/>
          </w:tcPr>
          <w:p>
            <w:pPr>
              <w:spacing w:after="0"/>
              <w:rPr>
                <w:sz w:val="16"/>
                <w:szCs w:val="16"/>
                <w:color w:val="auto"/>
              </w:rPr>
            </w:pPr>
          </w:p>
        </w:tc>
      </w:tr>
    </w:tbl>
    <w:p>
      <w:pPr>
        <w:spacing w:after="0" w:line="184" w:lineRule="auto"/>
        <w:rPr>
          <w:sz w:val="20"/>
          <w:szCs w:val="20"/>
          <w:color w:val="auto"/>
        </w:rPr>
      </w:pPr>
      <w:r>
        <w:rPr>
          <w:rFonts w:ascii="Arial" w:cs="Arial" w:eastAsia="Arial" w:hAnsi="Arial"/>
          <w:sz w:val="65"/>
          <w:szCs w:val="65"/>
          <w:b w:val="1"/>
          <w:bCs w:val="1"/>
          <w:color w:val="4673B6"/>
        </w:rPr>
        <w:t>13</w:t>
      </w:r>
      <w:r>
        <w:rPr>
          <w:rFonts w:ascii="Arial" w:cs="Arial" w:eastAsia="Arial" w:hAnsi="Arial"/>
          <w:sz w:val="21"/>
          <w:szCs w:val="21"/>
          <w:b w:val="1"/>
          <w:bCs w:val="1"/>
          <w:color w:val="4673B6"/>
        </w:rPr>
        <w:t>COMMITMENTS AND CONTINGENT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4673B6"/>
        </w:rPr>
        <w:t>LIABILITIES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Leases</w:t>
      </w:r>
    </w:p>
    <w:p>
      <w:pPr>
        <w:spacing w:after="0" w:line="4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Total rental expense for operating leases was $19,698,000, $19,446,000, and $17,899,000 for the fiscal years ended October 31, 2005, 2004, and 2003, respectively. As of October 31, 2005, future minimum lease payments under noncancelable operating leases amounted to $35,797,000 as follows: 2006, $13,808,000; 2007, $9,931,000; 2008, $7,830,000; 2009, $2,892,000; 2010, $939,000; and after 2010, $397,000.</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Customer Financing</w:t>
      </w:r>
    </w:p>
    <w:p>
      <w:pPr>
        <w:sectPr>
          <w:pgSz w:w="11900" w:h="16838" w:orient="portrait"/>
          <w:cols w:equalWidth="0" w:num="1">
            <w:col w:w="11420"/>
          </w:cols>
          <w:pgMar w:left="240" w:top="145" w:right="239" w:bottom="0" w:gutter="0" w:footer="0" w:header="0"/>
        </w:sectPr>
      </w:pPr>
    </w:p>
    <w:p>
      <w:pPr>
        <w:spacing w:after="0" w:line="3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4673B6"/>
        </w:rPr>
        <w:t xml:space="preserve">Wholesale Financing – </w:t>
      </w:r>
      <w:r>
        <w:rPr>
          <w:rFonts w:ascii="Arial" w:cs="Arial" w:eastAsia="Arial" w:hAnsi="Arial"/>
          <w:sz w:val="18"/>
          <w:szCs w:val="18"/>
          <w:color w:val="000000"/>
        </w:rPr>
        <w:t>Independent Toro dealers that do not finance through Toro Credit Company finance their inventories with third party</w:t>
      </w:r>
      <w:r>
        <w:rPr>
          <w:rFonts w:ascii="Arial" w:cs="Arial" w:eastAsia="Arial" w:hAnsi="Arial"/>
          <w:sz w:val="18"/>
          <w:szCs w:val="18"/>
          <w:b w:val="1"/>
          <w:bCs w:val="1"/>
          <w:color w:val="4673B6"/>
        </w:rPr>
        <w:t xml:space="preserve"> </w:t>
      </w:r>
      <w:r>
        <w:rPr>
          <w:rFonts w:ascii="Arial" w:cs="Arial" w:eastAsia="Arial" w:hAnsi="Arial"/>
          <w:sz w:val="18"/>
          <w:szCs w:val="18"/>
          <w:color w:val="000000"/>
        </w:rPr>
        <w:t>financing sources. Exmark and international products sold to dealers are financed primarily with third party financing sources or by the</w:t>
      </w:r>
    </w:p>
    <w:p>
      <w:pPr>
        <w:sectPr>
          <w:pgSz w:w="11900" w:h="16838" w:orient="portrait"/>
          <w:cols w:equalWidth="0" w:num="1">
            <w:col w:w="11420"/>
          </w:cols>
          <w:pgMar w:left="240" w:top="145" w:right="239" w:bottom="0" w:gutter="0" w:footer="0" w:header="0"/>
          <w:type w:val="continuous"/>
        </w:sectPr>
      </w:pPr>
    </w:p>
    <w:bookmarkStart w:id="42" w:name="page43"/>
    <w:bookmarkEnd w:id="42"/>
    <w:p>
      <w:pPr>
        <w:spacing w:after="0" w:line="268" w:lineRule="auto"/>
        <w:rPr>
          <w:sz w:val="20"/>
          <w:szCs w:val="20"/>
          <w:color w:val="auto"/>
        </w:rPr>
      </w:pPr>
      <w:r>
        <w:rPr>
          <w:rFonts w:ascii="Arial" w:cs="Arial" w:eastAsia="Arial" w:hAnsi="Arial"/>
          <w:sz w:val="18"/>
          <w:szCs w:val="18"/>
          <w:color w:val="auto"/>
        </w:rPr>
        <w:t>distributor. Third party financing companies purchased $451,209,000 of receivables of the company’s financed products during fiscal 2005. The outstanding receivable balance owed from the company’s distributors and dealers to third party financing companies was $163,005,000 on October 31, 2005. The company’s maximum exposure for credit recourse with a third party financing company related to receivables under these financing arrangements was $550,000 as of October 31, 2005. Toro also enters into limited inventory repurchase agreements with third party financing companies. As of October 31, 2005, the company was contingently liable to repurchase up to $3,500,000 of inventory related to receivables under these financing arrangements. Toro has repurchased only immaterial amounts of inventory from third party financing companies over the last three years.</w:t>
      </w:r>
    </w:p>
    <w:p>
      <w:pPr>
        <w:spacing w:after="0" w:line="7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color w:val="4673B6"/>
        </w:rPr>
        <w:t xml:space="preserve">End-User Financing – </w:t>
      </w:r>
      <w:r>
        <w:rPr>
          <w:rFonts w:ascii="Arial" w:cs="Arial" w:eastAsia="Arial" w:hAnsi="Arial"/>
          <w:sz w:val="18"/>
          <w:szCs w:val="18"/>
          <w:color w:val="000000"/>
        </w:rPr>
        <w:t>The company has agreements with a third party financing company to provide lease-financing options to golf course</w:t>
      </w:r>
      <w:r>
        <w:rPr>
          <w:rFonts w:ascii="Arial" w:cs="Arial" w:eastAsia="Arial" w:hAnsi="Arial"/>
          <w:sz w:val="18"/>
          <w:szCs w:val="18"/>
          <w:b w:val="1"/>
          <w:bCs w:val="1"/>
          <w:color w:val="4673B6"/>
        </w:rPr>
        <w:t xml:space="preserve"> </w:t>
      </w:r>
      <w:r>
        <w:rPr>
          <w:rFonts w:ascii="Arial" w:cs="Arial" w:eastAsia="Arial" w:hAnsi="Arial"/>
          <w:sz w:val="18"/>
          <w:szCs w:val="18"/>
          <w:color w:val="000000"/>
        </w:rPr>
        <w:t>and sports fields and grounds equipment customers in North America and Europe. Under the terms of the agreements, the company could be contingently liable for a portion of the credit collection and residual realization risk on the underlying equipment for leasing transactions. The company’s maximum exposure for credit collection and residual value as of October 31, 2005 was $10,769,000. The company has established a reserve for the estimated exposure related to the programs, which was $2,901,000 and $1,862,000 as of October 31, 2005 and 2004, respectively.</w:t>
      </w:r>
    </w:p>
    <w:p>
      <w:pPr>
        <w:spacing w:after="0" w:line="2" w:lineRule="exact"/>
        <w:rPr>
          <w:sz w:val="20"/>
          <w:szCs w:val="20"/>
          <w:color w:val="auto"/>
        </w:rPr>
      </w:pPr>
    </w:p>
    <w:p>
      <w:pPr>
        <w:ind w:right="120" w:firstLine="180"/>
        <w:spacing w:after="0" w:line="266" w:lineRule="auto"/>
        <w:rPr>
          <w:sz w:val="20"/>
          <w:szCs w:val="20"/>
          <w:color w:val="auto"/>
        </w:rPr>
      </w:pPr>
      <w:r>
        <w:rPr>
          <w:rFonts w:ascii="Arial" w:cs="Arial" w:eastAsia="Arial" w:hAnsi="Arial"/>
          <w:sz w:val="18"/>
          <w:szCs w:val="18"/>
          <w:color w:val="auto"/>
        </w:rPr>
        <w:t>In fiscal 2005, the company entered into an agreement to sell certain accounts receivable and notes to a third party. The total amount of receivables and notes outstanding under this agreement may not exceed $10.0 million at any time. As of October 31, 2005, the company sold $0.5 million of receivables and notes under the terms of this agreement.</w:t>
      </w:r>
    </w:p>
    <w:p>
      <w:pPr>
        <w:spacing w:after="0" w:line="1" w:lineRule="exact"/>
        <w:rPr>
          <w:sz w:val="20"/>
          <w:szCs w:val="20"/>
          <w:color w:val="auto"/>
        </w:rPr>
      </w:pPr>
    </w:p>
    <w:p>
      <w:pPr>
        <w:ind w:right="40" w:firstLine="180"/>
        <w:spacing w:after="0" w:line="270" w:lineRule="auto"/>
        <w:rPr>
          <w:sz w:val="20"/>
          <w:szCs w:val="20"/>
          <w:color w:val="auto"/>
        </w:rPr>
      </w:pPr>
      <w:r>
        <w:rPr>
          <w:rFonts w:ascii="Arial" w:cs="Arial" w:eastAsia="Arial" w:hAnsi="Arial"/>
          <w:sz w:val="18"/>
          <w:szCs w:val="18"/>
          <w:color w:val="auto"/>
        </w:rPr>
        <w:t>In the normal course of business, the company has arrangements with other financial institutions to provide various forms of financing options to end-user customers. From time to time, Toro’s wholly-owned subsidiaries also guarantee the residual value at the end of leases with third party financing companies for product sold to customers. The amount of this potential contingent liability as of October 31, 2005 and 2004 was $2,990,000 and $1,940,000,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 xml:space="preserve">Purchase </w:t>
      </w:r>
      <w:r>
        <w:rPr>
          <w:rFonts w:ascii="Arial" w:cs="Arial" w:eastAsia="Arial" w:hAnsi="Arial"/>
          <w:sz w:val="17"/>
          <w:szCs w:val="17"/>
          <w:b w:val="1"/>
          <w:bCs w:val="1"/>
          <w:color w:val="4673B6"/>
        </w:rPr>
        <w:t>Commitments</w:t>
      </w:r>
    </w:p>
    <w:p>
      <w:pPr>
        <w:spacing w:after="0" w:line="4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As of October 31, 2005, the company had $2,051,000 of purchase commitments with some suppliers for materials and supplies as part of the normal course of business. There are a limited number of supply contracts that contain penalty provisions for failure to purchase contracted quantities. The company does not expect potential payments under these provisions to materially affect its results of operations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Letters of Credit</w:t>
      </w:r>
    </w:p>
    <w:p>
      <w:pPr>
        <w:spacing w:after="0" w:line="4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Letters of credit are issued by the company during the normal course of business, as required by some vendor contracts. As of October 31, 2005 and 2004, the company had $10,080,000 and $10,941,000, respectively, in outstanding letters of credit.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Litigation</w:t>
      </w:r>
    </w:p>
    <w:p>
      <w:pPr>
        <w:spacing w:after="0" w:line="4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In the ordinary course of business, the company may become liable with respect to pending and threatened litigation, tax, environmental, and other matters. While the ultimate results of current claims, investigations, and lawsuits involving the company are unknown at this time, management does not expect that these matters will have a material adverse effect on the consolidated financial position of the company.</w:t>
      </w:r>
    </w:p>
    <w:p>
      <w:pPr>
        <w:spacing w:after="0" w:line="1" w:lineRule="exact"/>
        <w:rPr>
          <w:sz w:val="20"/>
          <w:szCs w:val="20"/>
          <w:color w:val="auto"/>
        </w:rPr>
      </w:pPr>
    </w:p>
    <w:p>
      <w:pPr>
        <w:ind w:right="60" w:firstLine="180"/>
        <w:spacing w:after="0" w:line="266" w:lineRule="auto"/>
        <w:rPr>
          <w:sz w:val="20"/>
          <w:szCs w:val="20"/>
          <w:color w:val="auto"/>
        </w:rPr>
      </w:pPr>
      <w:r>
        <w:rPr>
          <w:rFonts w:ascii="Arial" w:cs="Arial" w:eastAsia="Arial" w:hAnsi="Arial"/>
          <w:sz w:val="18"/>
          <w:szCs w:val="18"/>
          <w:color w:val="auto"/>
        </w:rPr>
        <w:t>To prevent possible infringement of its patents by others, the company periodically reviews competitors’ products. To avoid potential liability with respect to others’ patents, the company regularly reviews patents issued by the U.S. Patent and Trademark Office and foreign patent offices as needed. This patent program, consisting of both types of activities, helps the company minimize risk of patent infringement litigation. The company is currently involved in commercial disputes and patent litigation cases, both where it is asserting patents and where it is defending against charges of infringement. While the ultimate results of the current cases are unknown at this time, management believes that the outcome of these cases is unlikely to have a material adverse effect on the consolidated financial results of the company.</w:t>
      </w:r>
    </w:p>
    <w:p>
      <w:pPr>
        <w:spacing w:after="0" w:line="1" w:lineRule="exact"/>
        <w:rPr>
          <w:sz w:val="20"/>
          <w:szCs w:val="20"/>
          <w:color w:val="auto"/>
        </w:rPr>
      </w:pPr>
    </w:p>
    <w:p>
      <w:pPr>
        <w:ind w:right="20" w:firstLine="180"/>
        <w:spacing w:after="0" w:line="267" w:lineRule="auto"/>
        <w:rPr>
          <w:sz w:val="20"/>
          <w:szCs w:val="20"/>
          <w:color w:val="auto"/>
        </w:rPr>
      </w:pPr>
      <w:r>
        <w:rPr>
          <w:rFonts w:ascii="Arial" w:cs="Arial" w:eastAsia="Arial" w:hAnsi="Arial"/>
          <w:sz w:val="18"/>
          <w:szCs w:val="18"/>
          <w:color w:val="auto"/>
        </w:rPr>
        <w:t>On June 3, 2004, eight individuals who claim to have purchased lawnmowers in Illinois and Minnesota filed a lawsuit (Ronnie Phillips et al. v. Sears Roebuck Corporation et. al., No.04-L-334 (20th Judicial Circuit, St. Clair County, IL)) against the company and eight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or sold by the defendants. The complaint seeks an injunction, unspecified compensatory and punitive damages, and attorneys’ fees. No answers have been entered in the case, and there has been no formal discovery. A number of procedural motions have been filed by the defendants, but have not yet been decided. On April 20, 2005, the court issued a stay of discovery and procedural matters to permit the parties to engage in settlement discussions. An attempt at mediation in October 2005 was unsuccessful, and the company expects the stay of discovery to be lifted so that various procedural motions may be determined. Management continues to evaluate this lawsuit and is unable to reasonably estimate the likelihood of loss or the amount</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or range of potential loss that could result from this litigation. Therefore, an accrual has not been established for any potential loss in connection with this lawsuit. The company is also unable to assess at this time whether the lawsuit will have a material adverse effect on its annual consolidated operating results or financial condition, although an unfavorable resolution could be material to the company’s operating results for a particular period.</w:t>
      </w:r>
    </w:p>
    <w:p>
      <w:pPr>
        <w:spacing w:after="0" w:line="62"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 xml:space="preserve">14 </w:t>
      </w:r>
      <w:r>
        <w:rPr>
          <w:rFonts w:ascii="Arial" w:cs="Arial" w:eastAsia="Arial" w:hAnsi="Arial"/>
          <w:sz w:val="21"/>
          <w:szCs w:val="21"/>
          <w:b w:val="1"/>
          <w:bCs w:val="1"/>
          <w:color w:val="4673B6"/>
        </w:rPr>
        <w:t>FINANCIAL INSTRUMENTS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Concentrations of Credit Risk</w:t>
      </w:r>
    </w:p>
    <w:p>
      <w:pPr>
        <w:spacing w:after="0" w:line="40"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accounts receivable that are concentrated in two business segments: professional and residential markets for outdoor landscape equipment and systems. The credit risk associated with these segments is limited because of the large number of customers in the company’s customer base and their geographic dispersion, except for the residential segment that has significant sales to The Home Depot.</w:t>
      </w:r>
    </w:p>
    <w:p>
      <w:pPr>
        <w:sectPr>
          <w:pgSz w:w="11900" w:h="16838" w:orient="portrait"/>
          <w:cols w:equalWidth="0" w:num="1">
            <w:col w:w="11380"/>
          </w:cols>
          <w:pgMar w:left="240" w:top="152" w:right="279" w:bottom="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4673B6"/>
        </w:rPr>
        <w:t>Derivative Instruments and Hedging Activities</w:t>
      </w:r>
    </w:p>
    <w:p>
      <w:pPr>
        <w:spacing w:after="0" w:line="4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company uses derivative instruments to manage exposure to foreign currency exchange rates. Toro uses derivative instruments only in an attempt to limit underlying exposure from currency rate fluctuations, and not for trading purposes. The company documents all relationships between hedging instruments and the hedged items, as well as its risk-management objectives and strategy for undertaking various hedge transactions. The company assesses, both at the hedge’s inception and on an ongoing basis, whether the derivative instruments that are used in hedging transactions are highly effective in offsetting changes in cash flows of the hedged item.</w:t>
      </w:r>
    </w:p>
    <w:p>
      <w:pPr>
        <w:spacing w:after="0" w:line="1" w:lineRule="exact"/>
        <w:rPr>
          <w:sz w:val="20"/>
          <w:szCs w:val="20"/>
          <w:color w:val="auto"/>
        </w:rPr>
      </w:pPr>
    </w:p>
    <w:p>
      <w:pPr>
        <w:ind w:firstLine="180"/>
        <w:spacing w:after="0" w:line="266" w:lineRule="auto"/>
        <w:rPr>
          <w:sz w:val="20"/>
          <w:szCs w:val="20"/>
          <w:color w:val="auto"/>
        </w:rPr>
      </w:pPr>
      <w:r>
        <w:rPr>
          <w:rFonts w:ascii="Arial" w:cs="Arial" w:eastAsia="Arial" w:hAnsi="Arial"/>
          <w:sz w:val="18"/>
          <w:szCs w:val="18"/>
          <w:color w:val="auto"/>
        </w:rPr>
        <w:t>The company enters into foreign currency exchange contracts to hedge the risk from forecasted settlement in local currencies of trade sales and purchases. These contracts are designated as cash flow hedges with the fair value recorded in accumulated other comprehensive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loss to sales or cost of sales. During fiscal 2005, 2004, and 2003, the amount of losses treated as a reduction of net sales for contracts to hedge sales were $3.0 million, $7.1 million, and $4.3 million, respectively. The gain treated as a reduction to cost of sales for contracts to hedge inventory purchases was $1.3 million for fiscal 2005, and the loss treated as an increase to cost of sales for contracts to hedge inventory purchases was $0.3 million for fiscal 2003. The unrecognized after-tax gain portion of the fair value of the contracts recorded in accumulated other comprehensive loss as of October 31, 2005 was $563,000.</w:t>
      </w:r>
    </w:p>
    <w:p>
      <w:pPr>
        <w:spacing w:after="0" w:line="2" w:lineRule="exact"/>
        <w:rPr>
          <w:sz w:val="20"/>
          <w:szCs w:val="20"/>
          <w:color w:val="auto"/>
        </w:rPr>
      </w:pPr>
    </w:p>
    <w:p>
      <w:pPr>
        <w:ind w:right="180" w:firstLine="180"/>
        <w:spacing w:after="0" w:line="271" w:lineRule="auto"/>
        <w:rPr>
          <w:sz w:val="20"/>
          <w:szCs w:val="20"/>
          <w:color w:val="auto"/>
        </w:rPr>
      </w:pPr>
      <w:r>
        <w:rPr>
          <w:rFonts w:ascii="Arial" w:cs="Arial" w:eastAsia="Arial" w:hAnsi="Arial"/>
          <w:sz w:val="18"/>
          <w:szCs w:val="18"/>
          <w:color w:val="auto"/>
        </w:rPr>
        <w:t>The company also enters into other foreign currency exchange contracts to hedge intercompany financing transactions and other activities, which do not meet the hedge accounting criteria of SFAS No. 133, “Accounting for Derivative Instruments and Hedging Activities;” therefore, changes in fair value of these instruments are recorded in other income, net.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Fair Value</w:t>
      </w:r>
    </w:p>
    <w:p>
      <w:pPr>
        <w:spacing w:after="0" w:line="4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Estimated fair value amounts have been determined using available information and appropriate valuation methodologies. Because considerable judgment is required in developing the estimates of fair value, these estimates are not necessarily indicative of the amounts that could be realized in a current market exchange. For cash and cash equivalents, receivables, short-term debt, and accounts payable, carrying value is a reasonable estimate of fair value. The estimate of fair value for the company’s foreign currency contracts as of October 31, 2005 was a net asset of $1,579,000 and a net liability of $4,108,000 as of October 31, 2004.</w:t>
      </w:r>
    </w:p>
    <w:p>
      <w:pPr>
        <w:spacing w:after="0" w:line="1" w:lineRule="exact"/>
        <w:rPr>
          <w:sz w:val="20"/>
          <w:szCs w:val="20"/>
          <w:color w:val="auto"/>
        </w:rPr>
      </w:pPr>
    </w:p>
    <w:p>
      <w:pPr>
        <w:ind w:right="100" w:firstLine="180"/>
        <w:spacing w:after="0" w:line="270" w:lineRule="auto"/>
        <w:rPr>
          <w:sz w:val="20"/>
          <w:szCs w:val="20"/>
          <w:color w:val="auto"/>
        </w:rPr>
      </w:pPr>
      <w:r>
        <w:rPr>
          <w:rFonts w:ascii="Arial" w:cs="Arial" w:eastAsia="Arial" w:hAnsi="Arial"/>
          <w:sz w:val="18"/>
          <w:szCs w:val="18"/>
          <w:color w:val="auto"/>
        </w:rPr>
        <w:t>As of October 31, 2005, the estimated fair value of long-term debt with fixed interest rates was $191,503,000 compared to its carrying value of $175,046,000. As of October 31, 2004, the estimated fair value of long-term debt with fixed interest rates was $189,694,000 compared to its carrying value of $175,091,000. The fair value is estimated by discounting the projected cash flows using the rate at which similar amounts of debt could currently be borrowed.</w:t>
      </w:r>
    </w:p>
    <w:p>
      <w:pPr>
        <w:spacing w:after="0" w:line="62"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 xml:space="preserve">15 </w:t>
      </w:r>
      <w:r>
        <w:rPr>
          <w:rFonts w:ascii="Arial" w:cs="Arial" w:eastAsia="Arial" w:hAnsi="Arial"/>
          <w:sz w:val="21"/>
          <w:szCs w:val="21"/>
          <w:b w:val="1"/>
          <w:bCs w:val="1"/>
          <w:color w:val="4673B6"/>
        </w:rPr>
        <w:t>RELATED PARTY TRANSACTIONS</w:t>
      </w:r>
    </w:p>
    <w:p>
      <w:pPr>
        <w:spacing w:after="0" w:line="204"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On April 6, 2005, the company purchased 72,476 shares of Toro common stock at a per share price of $45.00 from Kendrick B. Melrose, Executive Chairman of the Board. The purchase was effected under the terms of the company’s former Officer Stock Purchase Policy, which was terminated by Toro’s Board of Directors on July 19, 2005. As required by the former policy, the per share price was determined based on the closing price of a share of Toro common stock on the trading day immediately preceding the purchase, which was $45.00 per share as reported by the New York Stock Exchange, Inc.</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65"/>
          <w:szCs w:val="65"/>
          <w:b w:val="1"/>
          <w:bCs w:val="1"/>
          <w:color w:val="4673B6"/>
        </w:rPr>
        <w:t xml:space="preserve">16 </w:t>
      </w:r>
      <w:r>
        <w:rPr>
          <w:rFonts w:ascii="Arial" w:cs="Arial" w:eastAsia="Arial" w:hAnsi="Arial"/>
          <w:sz w:val="21"/>
          <w:szCs w:val="21"/>
          <w:b w:val="1"/>
          <w:bCs w:val="1"/>
          <w:color w:val="4673B6"/>
        </w:rPr>
        <w:t>QUARTERLY FINANCIAL DATA</w:t>
      </w:r>
    </w:p>
    <w:p>
      <w:pPr>
        <w:ind w:left="920"/>
        <w:spacing w:after="0"/>
        <w:rPr>
          <w:sz w:val="20"/>
          <w:szCs w:val="20"/>
          <w:color w:val="auto"/>
        </w:rPr>
      </w:pPr>
      <w:r>
        <w:rPr>
          <w:rFonts w:ascii="Arial" w:cs="Arial" w:eastAsia="Arial" w:hAnsi="Arial"/>
          <w:sz w:val="22"/>
          <w:szCs w:val="22"/>
          <w:color w:val="4673B6"/>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fiscal 2005 and 2004 are as follows:</w:t>
      </w:r>
    </w:p>
    <w:p>
      <w:pPr>
        <w:spacing w:after="0" w:line="98" w:lineRule="exact"/>
        <w:rPr>
          <w:sz w:val="20"/>
          <w:szCs w:val="20"/>
          <w:color w:val="auto"/>
        </w:rPr>
      </w:pPr>
    </w:p>
    <w:tbl>
      <w:tblPr>
        <w:tblLayout w:type="fixed"/>
        <w:tblInd w:w="3340" w:type="dxa"/>
        <w:tblCellMar>
          <w:top w:w="0" w:type="dxa"/>
          <w:left w:w="0" w:type="dxa"/>
          <w:bottom w:w="0" w:type="dxa"/>
          <w:right w:w="0" w:type="dxa"/>
        </w:tblCellMar>
      </w:tblPr>
      <w:tr>
        <w:trPr>
          <w:trHeight w:val="204"/>
        </w:trPr>
        <w:tc>
          <w:tcPr>
            <w:tcW w:w="15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Fiscal year ended</w:t>
            </w:r>
          </w:p>
        </w:tc>
        <w:tc>
          <w:tcPr>
            <w:tcW w:w="8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October 31, 2005</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(Dollars in thousands,</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except per share data)</w:t>
            </w: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First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Second</w:t>
            </w: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Third</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20"/>
                <w:szCs w:val="20"/>
                <w:color w:val="auto"/>
              </w:rPr>
            </w:pPr>
            <w:r>
              <w:rPr>
                <w:rFonts w:ascii="Arial" w:cs="Arial" w:eastAsia="Arial" w:hAnsi="Arial"/>
                <w:sz w:val="14"/>
                <w:szCs w:val="14"/>
                <w:color w:val="auto"/>
              </w:rPr>
              <w:t>Quarter</w:t>
            </w:r>
          </w:p>
        </w:tc>
        <w:tc>
          <w:tcPr>
            <w:tcW w:w="8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800" w:type="dxa"/>
            <w:vAlign w:val="bottom"/>
            <w:tcBorders>
              <w:top w:val="single" w:sz="8" w:color="auto"/>
            </w:tcBorders>
            <w:shd w:val="clear" w:color="auto" w:fill="CCEEFF"/>
          </w:tcPr>
          <w:p>
            <w:pPr>
              <w:jc w:val="right"/>
              <w:ind w:right="9"/>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346,913</w:t>
            </w:r>
          </w:p>
        </w:tc>
        <w:tc>
          <w:tcPr>
            <w:tcW w:w="780" w:type="dxa"/>
            <w:vAlign w:val="bottom"/>
            <w:tcBorders>
              <w:top w:val="single" w:sz="8" w:color="auto"/>
            </w:tcBorders>
            <w:shd w:val="clear" w:color="auto" w:fill="CCEEFF"/>
          </w:tcPr>
          <w:p>
            <w:pPr>
              <w:jc w:val="right"/>
              <w:ind w:right="9"/>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628,441</w:t>
            </w:r>
          </w:p>
        </w:tc>
        <w:tc>
          <w:tcPr>
            <w:tcW w:w="800" w:type="dxa"/>
            <w:vAlign w:val="bottom"/>
            <w:tcBorders>
              <w:top w:val="single" w:sz="8" w:color="auto"/>
            </w:tcBorders>
            <w:shd w:val="clear" w:color="auto" w:fill="CCEEFF"/>
          </w:tcPr>
          <w:p>
            <w:pPr>
              <w:jc w:val="right"/>
              <w:ind w:right="9"/>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466,942</w:t>
            </w: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337,091</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4"/>
                <w:szCs w:val="14"/>
                <w:b w:val="1"/>
                <w:bCs w:val="1"/>
                <w:color w:val="auto"/>
              </w:rPr>
              <w:t>Gross profit</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121,663</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216,643</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163,261</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113,799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11,176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61,958</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34,377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6,572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4"/>
                <w:szCs w:val="14"/>
                <w:b w:val="1"/>
                <w:bCs w:val="1"/>
                <w:color w:val="auto"/>
              </w:rPr>
              <w:t>Basic net earnings</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b w:val="1"/>
                <w:bCs w:val="1"/>
                <w:color w:val="auto"/>
                <w:vertAlign w:val="superscript"/>
              </w:rPr>
              <w:t>1,2</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0.24</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0.77</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net earnings</w:t>
            </w: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b w:val="1"/>
                <w:bCs w:val="1"/>
                <w:color w:val="auto"/>
                <w:vertAlign w:val="superscript"/>
              </w:rPr>
              <w:t>1,2</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0.74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5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20"/>
                <w:szCs w:val="20"/>
                <w:color w:val="auto"/>
              </w:rPr>
            </w:pPr>
            <w:r>
              <w:rPr>
                <w:rFonts w:ascii="Arial" w:cs="Arial" w:eastAsia="Arial" w:hAnsi="Arial"/>
                <w:sz w:val="14"/>
                <w:szCs w:val="14"/>
                <w:color w:val="auto"/>
              </w:rPr>
              <w:t>Fiscal year ended</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October 31, 2004</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(Dollars in thousands,</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except per share data)</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20"/>
                <w:szCs w:val="20"/>
                <w:color w:val="auto"/>
              </w:rPr>
            </w:pPr>
            <w:r>
              <w:rPr>
                <w:rFonts w:ascii="Arial" w:cs="Arial" w:eastAsia="Arial" w:hAnsi="Arial"/>
                <w:sz w:val="14"/>
                <w:szCs w:val="14"/>
                <w:color w:val="auto"/>
              </w:rPr>
              <w:t>Quarter</w:t>
            </w:r>
          </w:p>
        </w:tc>
        <w:tc>
          <w:tcPr>
            <w:tcW w:w="800" w:type="dxa"/>
            <w:vAlign w:val="bottom"/>
          </w:tcPr>
          <w:p>
            <w:pPr>
              <w:jc w:val="right"/>
              <w:spacing w:after="0"/>
              <w:rPr>
                <w:sz w:val="20"/>
                <w:szCs w:val="20"/>
                <w:color w:val="auto"/>
              </w:rPr>
            </w:pPr>
            <w:r>
              <w:rPr>
                <w:rFonts w:ascii="Arial" w:cs="Arial" w:eastAsia="Arial" w:hAnsi="Arial"/>
                <w:sz w:val="14"/>
                <w:szCs w:val="14"/>
                <w:color w:val="auto"/>
              </w:rPr>
              <w:t>First</w:t>
            </w:r>
          </w:p>
        </w:tc>
        <w:tc>
          <w:tcPr>
            <w:tcW w:w="780" w:type="dxa"/>
            <w:vAlign w:val="bottom"/>
          </w:tcPr>
          <w:p>
            <w:pPr>
              <w:jc w:val="right"/>
              <w:spacing w:after="0"/>
              <w:rPr>
                <w:sz w:val="20"/>
                <w:szCs w:val="20"/>
                <w:color w:val="auto"/>
              </w:rPr>
            </w:pPr>
            <w:r>
              <w:rPr>
                <w:rFonts w:ascii="Arial" w:cs="Arial" w:eastAsia="Arial" w:hAnsi="Arial"/>
                <w:sz w:val="14"/>
                <w:szCs w:val="14"/>
                <w:color w:val="auto"/>
              </w:rPr>
              <w:t>Second</w:t>
            </w:r>
          </w:p>
        </w:tc>
        <w:tc>
          <w:tcPr>
            <w:tcW w:w="800" w:type="dxa"/>
            <w:vAlign w:val="bottom"/>
          </w:tcPr>
          <w:p>
            <w:pPr>
              <w:jc w:val="right"/>
              <w:spacing w:after="0"/>
              <w:rPr>
                <w:sz w:val="20"/>
                <w:szCs w:val="20"/>
                <w:color w:val="auto"/>
              </w:rPr>
            </w:pPr>
            <w:r>
              <w:rPr>
                <w:rFonts w:ascii="Arial" w:cs="Arial" w:eastAsia="Arial" w:hAnsi="Arial"/>
                <w:sz w:val="14"/>
                <w:szCs w:val="14"/>
                <w:color w:val="auto"/>
              </w:rPr>
              <w:t>Third</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Fourth</w:t>
            </w:r>
          </w:p>
        </w:tc>
        <w:tc>
          <w:tcPr>
            <w:tcW w:w="0" w:type="dxa"/>
            <w:vAlign w:val="bottom"/>
          </w:tcPr>
          <w:p>
            <w:pPr>
              <w:spacing w:after="0"/>
              <w:rPr>
                <w:sz w:val="1"/>
                <w:szCs w:val="1"/>
                <w:color w:val="auto"/>
              </w:rPr>
            </w:pPr>
          </w:p>
        </w:tc>
      </w:tr>
      <w:tr>
        <w:trPr>
          <w:trHeight w:val="223"/>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sales</w:t>
            </w:r>
          </w:p>
        </w:tc>
        <w:tc>
          <w:tcPr>
            <w:tcW w:w="800" w:type="dxa"/>
            <w:vAlign w:val="bottom"/>
            <w:tcBorders>
              <w:top w:val="single" w:sz="8" w:color="auto"/>
            </w:tcBorders>
            <w:shd w:val="clear" w:color="auto" w:fill="CCEEFF"/>
          </w:tcPr>
          <w:p>
            <w:pPr>
              <w:jc w:val="right"/>
              <w:ind w:right="9"/>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313,573</w:t>
            </w:r>
          </w:p>
        </w:tc>
        <w:tc>
          <w:tcPr>
            <w:tcW w:w="780" w:type="dxa"/>
            <w:vAlign w:val="bottom"/>
            <w:tcBorders>
              <w:top w:val="single" w:sz="8" w:color="auto"/>
            </w:tcBorders>
            <w:shd w:val="clear" w:color="auto" w:fill="CCEEFF"/>
          </w:tcPr>
          <w:p>
            <w:pPr>
              <w:jc w:val="right"/>
              <w:ind w:right="9"/>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548,027</w:t>
            </w:r>
          </w:p>
        </w:tc>
        <w:tc>
          <w:tcPr>
            <w:tcW w:w="800" w:type="dxa"/>
            <w:vAlign w:val="bottom"/>
            <w:tcBorders>
              <w:top w:val="single" w:sz="8" w:color="auto"/>
            </w:tcBorders>
            <w:shd w:val="clear" w:color="auto" w:fill="CCEEFF"/>
          </w:tcPr>
          <w:p>
            <w:pPr>
              <w:jc w:val="right"/>
              <w:ind w:right="9"/>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454,044</w:t>
            </w: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336,864</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Gross profit</w:t>
            </w:r>
          </w:p>
        </w:tc>
        <w:tc>
          <w:tcPr>
            <w:tcW w:w="800" w:type="dxa"/>
            <w:vAlign w:val="bottom"/>
          </w:tcPr>
          <w:p>
            <w:pPr>
              <w:jc w:val="right"/>
              <w:spacing w:after="0"/>
              <w:rPr>
                <w:sz w:val="20"/>
                <w:szCs w:val="20"/>
                <w:color w:val="auto"/>
              </w:rPr>
            </w:pPr>
            <w:r>
              <w:rPr>
                <w:rFonts w:ascii="Arial" w:cs="Arial" w:eastAsia="Arial" w:hAnsi="Arial"/>
                <w:sz w:val="14"/>
                <w:szCs w:val="14"/>
                <w:color w:val="auto"/>
              </w:rPr>
              <w:t>112,610</w:t>
            </w:r>
          </w:p>
        </w:tc>
        <w:tc>
          <w:tcPr>
            <w:tcW w:w="780" w:type="dxa"/>
            <w:vAlign w:val="bottom"/>
          </w:tcPr>
          <w:p>
            <w:pPr>
              <w:jc w:val="right"/>
              <w:spacing w:after="0"/>
              <w:rPr>
                <w:sz w:val="20"/>
                <w:szCs w:val="20"/>
                <w:color w:val="auto"/>
              </w:rPr>
            </w:pPr>
            <w:r>
              <w:rPr>
                <w:rFonts w:ascii="Arial" w:cs="Arial" w:eastAsia="Arial" w:hAnsi="Arial"/>
                <w:sz w:val="14"/>
                <w:szCs w:val="14"/>
                <w:color w:val="auto"/>
              </w:rPr>
              <w:t>198,879</w:t>
            </w:r>
          </w:p>
        </w:tc>
        <w:tc>
          <w:tcPr>
            <w:tcW w:w="800" w:type="dxa"/>
            <w:vAlign w:val="bottom"/>
          </w:tcPr>
          <w:p>
            <w:pPr>
              <w:jc w:val="right"/>
              <w:spacing w:after="0"/>
              <w:rPr>
                <w:sz w:val="20"/>
                <w:szCs w:val="20"/>
                <w:color w:val="auto"/>
              </w:rPr>
            </w:pPr>
            <w:r>
              <w:rPr>
                <w:rFonts w:ascii="Arial" w:cs="Arial" w:eastAsia="Arial" w:hAnsi="Arial"/>
                <w:sz w:val="14"/>
                <w:szCs w:val="14"/>
                <w:color w:val="auto"/>
              </w:rPr>
              <w:t>164,202</w:t>
            </w:r>
          </w:p>
        </w:tc>
        <w:tc>
          <w:tcPr>
            <w:tcW w:w="740" w:type="dxa"/>
            <w:vAlign w:val="bottom"/>
          </w:tcPr>
          <w:p>
            <w:pPr>
              <w:jc w:val="right"/>
              <w:spacing w:after="0"/>
              <w:rPr>
                <w:sz w:val="20"/>
                <w:szCs w:val="20"/>
                <w:color w:val="auto"/>
              </w:rPr>
            </w:pPr>
            <w:r>
              <w:rPr>
                <w:rFonts w:ascii="Arial" w:cs="Arial" w:eastAsia="Arial" w:hAnsi="Arial"/>
                <w:sz w:val="14"/>
                <w:szCs w:val="14"/>
                <w:color w:val="auto"/>
              </w:rPr>
              <w:t>117,379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Net earnings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Arial" w:cs="Arial" w:eastAsia="Arial" w:hAnsi="Arial"/>
                <w:sz w:val="14"/>
                <w:szCs w:val="14"/>
                <w:color w:val="auto"/>
              </w:rPr>
              <w:t>Basic net earnings per</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80" w:type="dxa"/>
            <w:vAlign w:val="bottom"/>
          </w:tcPr>
          <w:p>
            <w:pPr>
              <w:ind w:left="180"/>
              <w:spacing w:after="0"/>
              <w:rPr>
                <w:sz w:val="20"/>
                <w:szCs w:val="20"/>
                <w:color w:val="auto"/>
              </w:rPr>
            </w:pPr>
            <w:r>
              <w:rPr>
                <w:rFonts w:ascii="Arial" w:cs="Arial" w:eastAsia="Arial" w:hAnsi="Arial"/>
                <w:sz w:val="14"/>
                <w:szCs w:val="14"/>
                <w:color w:val="auto"/>
              </w:rPr>
              <w:t>share</w:t>
            </w:r>
            <w:r>
              <w:rPr>
                <w:rFonts w:ascii="Arial" w:cs="Arial" w:eastAsia="Arial" w:hAnsi="Arial"/>
                <w:sz w:val="17"/>
                <w:szCs w:val="17"/>
                <w:color w:val="auto"/>
                <w:vertAlign w:val="superscript"/>
              </w:rPr>
              <w:t>1,2</w:t>
            </w:r>
          </w:p>
        </w:tc>
        <w:tc>
          <w:tcPr>
            <w:tcW w:w="800" w:type="dxa"/>
            <w:vAlign w:val="bottom"/>
          </w:tcPr>
          <w:p>
            <w:pPr>
              <w:jc w:val="right"/>
              <w:spacing w:after="0"/>
              <w:rPr>
                <w:sz w:val="20"/>
                <w:szCs w:val="20"/>
                <w:color w:val="auto"/>
              </w:rPr>
            </w:pPr>
            <w:r>
              <w:rPr>
                <w:rFonts w:ascii="Arial" w:cs="Arial" w:eastAsia="Arial" w:hAnsi="Arial"/>
                <w:sz w:val="14"/>
                <w:szCs w:val="14"/>
                <w:color w:val="auto"/>
              </w:rPr>
              <w:t>0.19</w:t>
            </w:r>
          </w:p>
        </w:tc>
        <w:tc>
          <w:tcPr>
            <w:tcW w:w="780" w:type="dxa"/>
            <w:vAlign w:val="bottom"/>
          </w:tcPr>
          <w:p>
            <w:pPr>
              <w:jc w:val="right"/>
              <w:spacing w:after="0"/>
              <w:rPr>
                <w:sz w:val="20"/>
                <w:szCs w:val="20"/>
                <w:color w:val="auto"/>
              </w:rPr>
            </w:pPr>
            <w:r>
              <w:rPr>
                <w:rFonts w:ascii="Arial" w:cs="Arial" w:eastAsia="Arial" w:hAnsi="Arial"/>
                <w:sz w:val="14"/>
                <w:szCs w:val="14"/>
                <w:color w:val="auto"/>
              </w:rPr>
              <w:t>1.05</w:t>
            </w:r>
          </w:p>
        </w:tc>
        <w:tc>
          <w:tcPr>
            <w:tcW w:w="800" w:type="dxa"/>
            <w:vAlign w:val="bottom"/>
          </w:tcPr>
          <w:p>
            <w:pPr>
              <w:jc w:val="right"/>
              <w:spacing w:after="0"/>
              <w:rPr>
                <w:sz w:val="20"/>
                <w:szCs w:val="20"/>
                <w:color w:val="auto"/>
              </w:rPr>
            </w:pPr>
            <w:r>
              <w:rPr>
                <w:rFonts w:ascii="Arial" w:cs="Arial" w:eastAsia="Arial" w:hAnsi="Arial"/>
                <w:sz w:val="14"/>
                <w:szCs w:val="14"/>
                <w:color w:val="auto"/>
              </w:rPr>
              <w:t>0.70</w:t>
            </w:r>
          </w:p>
        </w:tc>
        <w:tc>
          <w:tcPr>
            <w:tcW w:w="740" w:type="dxa"/>
            <w:vAlign w:val="bottom"/>
          </w:tcPr>
          <w:p>
            <w:pPr>
              <w:jc w:val="right"/>
              <w:spacing w:after="0"/>
              <w:rPr>
                <w:sz w:val="20"/>
                <w:szCs w:val="20"/>
                <w:color w:val="auto"/>
              </w:rPr>
            </w:pPr>
            <w:r>
              <w:rPr>
                <w:rFonts w:ascii="Arial" w:cs="Arial" w:eastAsia="Arial" w:hAnsi="Arial"/>
                <w:sz w:val="14"/>
                <w:szCs w:val="14"/>
                <w:color w:val="auto"/>
              </w:rPr>
              <w:t>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Diluted net earnings per</w:t>
            </w: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share</w:t>
            </w:r>
            <w:r>
              <w:rPr>
                <w:rFonts w:ascii="Arial" w:cs="Arial" w:eastAsia="Arial" w:hAnsi="Arial"/>
                <w:sz w:val="17"/>
                <w:szCs w:val="17"/>
                <w:color w:val="auto"/>
                <w:vertAlign w:val="superscript"/>
              </w:rPr>
              <w:t>1,2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0" w:gutter="0" w:footer="0" w:header="0"/>
        </w:sectPr>
      </w:pPr>
    </w:p>
    <w:bookmarkStart w:id="44" w:name="page45"/>
    <w:bookmarkEnd w:id="44"/>
    <w:p>
      <w:pPr>
        <w:ind w:left="120" w:hanging="112"/>
        <w:spacing w:after="0"/>
        <w:tabs>
          <w:tab w:leader="none" w:pos="12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Net earnings per share amounts do not sum to equal full year total due to changes in the number of shares outstanding during the periods and rounding.</w:t>
      </w:r>
    </w:p>
    <w:p>
      <w:pPr>
        <w:spacing w:after="0" w:line="52"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4"/>
          <w:szCs w:val="14"/>
          <w:color w:val="auto"/>
        </w:rPr>
        <w:t xml:space="preserve"> Per share data has been adjusted for all periods presented to reflect a two-for-one stock split effective March 28, 2005.</w:t>
      </w:r>
    </w:p>
    <w:p>
      <w:pPr>
        <w:spacing w:after="0" w:line="205" w:lineRule="exact"/>
        <w:rPr>
          <w:sz w:val="20"/>
          <w:szCs w:val="20"/>
          <w:color w:val="auto"/>
        </w:rPr>
      </w:pPr>
    </w:p>
    <w:p>
      <w:pPr>
        <w:ind w:left="800" w:right="640" w:hanging="791"/>
        <w:spacing w:after="0" w:line="299" w:lineRule="auto"/>
        <w:rPr>
          <w:sz w:val="20"/>
          <w:szCs w:val="20"/>
          <w:color w:val="auto"/>
        </w:rPr>
      </w:pPr>
      <w:r>
        <w:rPr>
          <w:rFonts w:ascii="Arial" w:cs="Arial" w:eastAsia="Arial" w:hAnsi="Arial"/>
          <w:sz w:val="22"/>
          <w:szCs w:val="22"/>
          <w:b w:val="1"/>
          <w:bCs w:val="1"/>
          <w:color w:val="4673B6"/>
        </w:rPr>
        <w:t>ITEM 9. CHANGES IN AND DISAGREEMENTS WITH ACCOUNTANTS ON ACCOUNTING AND FINANCIAL DISCLOSURE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9A. CONTROLS AND PROCEDURES</w:t>
      </w:r>
    </w:p>
    <w:p>
      <w:pPr>
        <w:spacing w:after="0" w:line="27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maintains disclosure controls and procedures (as defined in Rules 13a-15(e) and 15d-15(e) under the Securities Exchange Act of 1934, as amended) that are designed to reasonably ensure that information required to be disclosed by the company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The company’s management evaluated, with the participation of the company’s Chief Executive Officer and Chief Financial Officer, the effectiveness of the design and operation of the company’s disclosure controls and procedures as of the end of the period covered in this Annual Report on Form 10-K. Based on that evaluation, the company’s Chief Executive Officer and Chief Financial Officer concluded that the company’s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Toro and its consolidated subsidiaries is made known to management, including the Chief Executive Officer and Chief Financial Officer, particularly during the period when our periodic reports are being prepared. The company’s management report on internal control over financial reporting is included in this report in Item 8, under the caption “Management’s Report on Internal Control over Financial Reporting.” The report of KPMG LLP, the company’s independent registered public accounting firm, regarding management’s assessment of the company’s internal control over financial reporting and the effectiveness of the company’s internal control over financial reporting is included in this report in Item 8, under the caption “Report of Independent Registered Public Accounting Firm on Internal Control over Financial Reporting.” There was no change in the company’s internal control over financial reporting that occurred during the company’s fourth fiscal quarter ended October 31, 2005 that has materially affected, or is reasonably likely to materially affect, the company’s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9B. OTHER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4673B6"/>
        </w:rPr>
        <w:t>PART III</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10. DIRECTORS AND EXECUTIVE OFFICERS OF THE REGISTRANT</w:t>
      </w:r>
    </w:p>
    <w:p>
      <w:pPr>
        <w:spacing w:after="0" w:line="292"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Information on executive officers required by this item is incorporated by reference from “Executive Officers of the Registrant” in Part I of this report. Additional information on certain executive officers and other information required by this item is incorporated by reference to information to be contained under the captions “Election of Directors – Nominees for Election to Board of Directors”, “Election of Directors – Members of Board of Directors Continuing in Office”, “Section 16(a) Beneficial Ownership Reporting Compliance”, and “Corporate Governance – Code of Conduct and Code of Ethics for the CEO and Senior Financial Officers”, in the company’s 2006 proxy statement to be filed with the Securities and Exchange Commission. The company intends to satisfy disclosure requirements regarding its code of ethics, including amendments to or waivers from the code, by posting such information on the company’s web site at www.thetorocompany.com/corporategovernance.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11. EXECUTIVE COMPENSATION</w:t>
      </w:r>
    </w:p>
    <w:p>
      <w:pPr>
        <w:spacing w:after="0" w:line="29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 “Executive Compensation” and “Election of Directors – Board Compensation” in the company’s 2006 proxy statement to be filed with the Securities and Exchange Commission.</w:t>
      </w:r>
    </w:p>
    <w:p>
      <w:pPr>
        <w:spacing w:after="0" w:line="159" w:lineRule="exact"/>
        <w:rPr>
          <w:sz w:val="20"/>
          <w:szCs w:val="20"/>
          <w:color w:val="auto"/>
        </w:rPr>
      </w:pPr>
    </w:p>
    <w:p>
      <w:pPr>
        <w:ind w:left="800" w:right="460" w:hanging="791"/>
        <w:spacing w:after="0" w:line="299" w:lineRule="auto"/>
        <w:rPr>
          <w:sz w:val="20"/>
          <w:szCs w:val="20"/>
          <w:color w:val="auto"/>
        </w:rPr>
      </w:pPr>
      <w:r>
        <w:rPr>
          <w:rFonts w:ascii="Arial" w:cs="Arial" w:eastAsia="Arial" w:hAnsi="Arial"/>
          <w:sz w:val="22"/>
          <w:szCs w:val="22"/>
          <w:b w:val="1"/>
          <w:bCs w:val="1"/>
          <w:color w:val="4673B6"/>
        </w:rPr>
        <w:t>ITEM 12. SECURITY OWNERSHIP OF CERTAIN BENEFICIAL OWNERS AND MANAGEMENT AND RELATED STOCKHOLDER MATTERS</w:t>
      </w:r>
    </w:p>
    <w:p>
      <w:pPr>
        <w:spacing w:after="0" w:line="14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“Stock Ownership” and “Executive Compensation – Equity Compensation Plan Information” in the company’s 2006 proxy statement to be filed with the Securities and Exchange Commission.</w:t>
      </w:r>
    </w:p>
    <w:p>
      <w:pPr>
        <w:sectPr>
          <w:pgSz w:w="11900" w:h="16838" w:orient="portrait"/>
          <w:cols w:equalWidth="0" w:num="1">
            <w:col w:w="11400"/>
          </w:cols>
          <w:pgMar w:left="240" w:top="123" w:right="259" w:bottom="43"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4673B6"/>
        </w:rPr>
        <w:t>ITEM 13. CERTAIN RELATIONSHIPS AND RELATED TRANSACTIONS</w:t>
      </w:r>
    </w:p>
    <w:p>
      <w:pPr>
        <w:sectPr>
          <w:pgSz w:w="11900" w:h="16838" w:orient="portrait"/>
          <w:cols w:equalWidth="0" w:num="1">
            <w:col w:w="11400"/>
          </w:cols>
          <w:pgMar w:left="240" w:top="123" w:right="259" w:bottom="43" w:gutter="0" w:footer="0" w:header="0"/>
          <w:type w:val="continuous"/>
        </w:sectPr>
      </w:pPr>
    </w:p>
    <w:bookmarkStart w:id="45" w:name="page46"/>
    <w:bookmarkEnd w:id="45"/>
    <w:p>
      <w:pPr>
        <w:ind w:right="200"/>
        <w:spacing w:after="0" w:line="277"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 “Election of Directors – Certain Relationships and Related Transactions”, in the company’s 2006 proxy statement to be filed with the Securities and Exchange Commission.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4673B6"/>
        </w:rPr>
        <w:t>ITEM 14. PRINCIPAL ACCOUNTANT FEES AND SERVICES</w:t>
      </w:r>
    </w:p>
    <w:p>
      <w:pPr>
        <w:spacing w:after="0" w:line="29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“Ratify Selection of Independent Auditor – Audit, Audit-Related, Tax and Other Fees” and “Ratify Selection of Independent Auditor – Auditor Fees Pre-approval Policy” in the company’s 2006 proxy statement to be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673B6"/>
        </w:rPr>
        <w:t>PART IV</w:t>
      </w:r>
    </w:p>
    <w:p>
      <w:pPr>
        <w:spacing w:after="0" w:line="200" w:lineRule="exact"/>
        <w:rPr>
          <w:sz w:val="20"/>
          <w:szCs w:val="20"/>
          <w:color w:val="auto"/>
        </w:rPr>
      </w:pPr>
    </w:p>
    <w:p>
      <w:pPr>
        <w:spacing w:after="0" w:line="334"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4673B6"/>
        </w:rPr>
        <w:t>ITEM 15.</w:t>
      </w:r>
      <w:r>
        <w:rPr>
          <w:sz w:val="20"/>
          <w:szCs w:val="20"/>
          <w:color w:val="auto"/>
        </w:rPr>
        <w:tab/>
      </w:r>
      <w:r>
        <w:rPr>
          <w:rFonts w:ascii="Arial" w:cs="Arial" w:eastAsia="Arial" w:hAnsi="Arial"/>
          <w:sz w:val="21"/>
          <w:szCs w:val="21"/>
          <w:b w:val="1"/>
          <w:bCs w:val="1"/>
          <w:color w:val="4673B6"/>
        </w:rPr>
        <w:t>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 1.  List of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Toro Company and its subsidiaries are included in Item 8 of Part II:</w:t>
      </w:r>
    </w:p>
    <w:p>
      <w:pPr>
        <w:spacing w:after="0" w:line="23" w:lineRule="exact"/>
        <w:rPr>
          <w:sz w:val="20"/>
          <w:szCs w:val="20"/>
          <w:color w:val="auto"/>
        </w:rPr>
      </w:pPr>
    </w:p>
    <w:p>
      <w:pPr>
        <w:ind w:left="160" w:hanging="152"/>
        <w:spacing w:after="0"/>
        <w:tabs>
          <w:tab w:leader="none" w:pos="160" w:val="left"/>
        </w:tabs>
        <w:numPr>
          <w:ilvl w:val="0"/>
          <w:numId w:val="59"/>
        </w:numPr>
        <w:rPr>
          <w:rFonts w:ascii="Arial" w:cs="Arial" w:eastAsia="Arial" w:hAnsi="Arial"/>
          <w:sz w:val="14"/>
          <w:szCs w:val="14"/>
          <w:color w:val="auto"/>
        </w:rPr>
      </w:pPr>
      <w:r>
        <w:rPr>
          <w:rFonts w:ascii="Arial" w:cs="Arial" w:eastAsia="Arial" w:hAnsi="Arial"/>
          <w:sz w:val="18"/>
          <w:szCs w:val="18"/>
          <w:color w:val="auto"/>
        </w:rPr>
        <w:t>Management’s Report on Internal Control over Financial Reporting.</w:t>
      </w:r>
    </w:p>
    <w:p>
      <w:pPr>
        <w:spacing w:after="0" w:line="63" w:lineRule="exact"/>
        <w:rPr>
          <w:rFonts w:ascii="Arial" w:cs="Arial" w:eastAsia="Arial" w:hAnsi="Arial"/>
          <w:sz w:val="14"/>
          <w:szCs w:val="14"/>
          <w:color w:val="auto"/>
        </w:rPr>
      </w:pPr>
    </w:p>
    <w:p>
      <w:pPr>
        <w:ind w:left="160" w:hanging="152"/>
        <w:spacing w:after="0"/>
        <w:tabs>
          <w:tab w:leader="none" w:pos="160" w:val="left"/>
        </w:tabs>
        <w:numPr>
          <w:ilvl w:val="0"/>
          <w:numId w:val="59"/>
        </w:numPr>
        <w:rPr>
          <w:rFonts w:ascii="Arial" w:cs="Arial" w:eastAsia="Arial" w:hAnsi="Arial"/>
          <w:sz w:val="14"/>
          <w:szCs w:val="14"/>
          <w:color w:val="auto"/>
        </w:rPr>
      </w:pPr>
      <w:r>
        <w:rPr>
          <w:rFonts w:ascii="Arial" w:cs="Arial" w:eastAsia="Arial" w:hAnsi="Arial"/>
          <w:sz w:val="18"/>
          <w:szCs w:val="18"/>
          <w:color w:val="auto"/>
        </w:rPr>
        <w:t>Report of Independent Registered Public Accounting Firm on Internal Control over Financial Reporting.</w:t>
      </w:r>
    </w:p>
    <w:p>
      <w:pPr>
        <w:spacing w:after="0" w:line="63" w:lineRule="exact"/>
        <w:rPr>
          <w:rFonts w:ascii="Arial" w:cs="Arial" w:eastAsia="Arial" w:hAnsi="Arial"/>
          <w:sz w:val="14"/>
          <w:szCs w:val="14"/>
          <w:color w:val="auto"/>
        </w:rPr>
      </w:pPr>
    </w:p>
    <w:p>
      <w:pPr>
        <w:ind w:left="160" w:hanging="152"/>
        <w:spacing w:after="0"/>
        <w:tabs>
          <w:tab w:leader="none" w:pos="160" w:val="left"/>
        </w:tabs>
        <w:numPr>
          <w:ilvl w:val="0"/>
          <w:numId w:val="59"/>
        </w:numPr>
        <w:rPr>
          <w:rFonts w:ascii="Arial" w:cs="Arial" w:eastAsia="Arial" w:hAnsi="Arial"/>
          <w:sz w:val="14"/>
          <w:szCs w:val="14"/>
          <w:color w:val="auto"/>
        </w:rPr>
      </w:pPr>
      <w:r>
        <w:rPr>
          <w:rFonts w:ascii="Arial" w:cs="Arial" w:eastAsia="Arial" w:hAnsi="Arial"/>
          <w:sz w:val="18"/>
          <w:szCs w:val="18"/>
          <w:color w:val="auto"/>
        </w:rPr>
        <w:t>Report of Independent Registered Public Accounting Firm.</w:t>
      </w:r>
    </w:p>
    <w:p>
      <w:pPr>
        <w:spacing w:after="0" w:line="63" w:lineRule="exact"/>
        <w:rPr>
          <w:rFonts w:ascii="Arial" w:cs="Arial" w:eastAsia="Arial" w:hAnsi="Arial"/>
          <w:sz w:val="14"/>
          <w:szCs w:val="14"/>
          <w:color w:val="auto"/>
        </w:rPr>
      </w:pPr>
    </w:p>
    <w:p>
      <w:pPr>
        <w:ind w:left="160" w:hanging="152"/>
        <w:spacing w:after="0"/>
        <w:tabs>
          <w:tab w:leader="none" w:pos="160" w:val="left"/>
        </w:tabs>
        <w:numPr>
          <w:ilvl w:val="0"/>
          <w:numId w:val="59"/>
        </w:numPr>
        <w:rPr>
          <w:rFonts w:ascii="Arial" w:cs="Arial" w:eastAsia="Arial" w:hAnsi="Arial"/>
          <w:sz w:val="14"/>
          <w:szCs w:val="14"/>
          <w:color w:val="auto"/>
        </w:rPr>
      </w:pPr>
      <w:r>
        <w:rPr>
          <w:rFonts w:ascii="Arial" w:cs="Arial" w:eastAsia="Arial" w:hAnsi="Arial"/>
          <w:sz w:val="18"/>
          <w:szCs w:val="18"/>
          <w:color w:val="auto"/>
        </w:rPr>
        <w:t>Consolidated Statements of Earnings for the fiscal years ended October 31, 2005, 2004, and 2003.</w:t>
      </w:r>
    </w:p>
    <w:p>
      <w:pPr>
        <w:spacing w:after="0" w:line="63" w:lineRule="exact"/>
        <w:rPr>
          <w:rFonts w:ascii="Arial" w:cs="Arial" w:eastAsia="Arial" w:hAnsi="Arial"/>
          <w:sz w:val="14"/>
          <w:szCs w:val="14"/>
          <w:color w:val="auto"/>
        </w:rPr>
      </w:pPr>
    </w:p>
    <w:p>
      <w:pPr>
        <w:ind w:left="160" w:hanging="152"/>
        <w:spacing w:after="0"/>
        <w:tabs>
          <w:tab w:leader="none" w:pos="160" w:val="left"/>
        </w:tabs>
        <w:numPr>
          <w:ilvl w:val="0"/>
          <w:numId w:val="59"/>
        </w:numPr>
        <w:rPr>
          <w:rFonts w:ascii="Arial" w:cs="Arial" w:eastAsia="Arial" w:hAnsi="Arial"/>
          <w:sz w:val="14"/>
          <w:szCs w:val="14"/>
          <w:color w:val="auto"/>
        </w:rPr>
      </w:pPr>
      <w:r>
        <w:rPr>
          <w:rFonts w:ascii="Arial" w:cs="Arial" w:eastAsia="Arial" w:hAnsi="Arial"/>
          <w:sz w:val="18"/>
          <w:szCs w:val="18"/>
          <w:color w:val="auto"/>
        </w:rPr>
        <w:t>Consolidated Balance Sheets as of October 31, 2005 and 2004.</w:t>
      </w:r>
    </w:p>
    <w:p>
      <w:pPr>
        <w:spacing w:after="0" w:line="63" w:lineRule="exact"/>
        <w:rPr>
          <w:rFonts w:ascii="Arial" w:cs="Arial" w:eastAsia="Arial" w:hAnsi="Arial"/>
          <w:sz w:val="14"/>
          <w:szCs w:val="14"/>
          <w:color w:val="auto"/>
        </w:rPr>
      </w:pPr>
    </w:p>
    <w:p>
      <w:pPr>
        <w:ind w:left="160" w:hanging="152"/>
        <w:spacing w:after="0"/>
        <w:tabs>
          <w:tab w:leader="none" w:pos="160" w:val="left"/>
        </w:tabs>
        <w:numPr>
          <w:ilvl w:val="0"/>
          <w:numId w:val="59"/>
        </w:numPr>
        <w:rPr>
          <w:rFonts w:ascii="Arial" w:cs="Arial" w:eastAsia="Arial" w:hAnsi="Arial"/>
          <w:sz w:val="14"/>
          <w:szCs w:val="14"/>
          <w:color w:val="auto"/>
        </w:rPr>
      </w:pPr>
      <w:r>
        <w:rPr>
          <w:rFonts w:ascii="Arial" w:cs="Arial" w:eastAsia="Arial" w:hAnsi="Arial"/>
          <w:sz w:val="18"/>
          <w:szCs w:val="18"/>
          <w:color w:val="auto"/>
        </w:rPr>
        <w:t>Consolidated Statements of Cash Flows for the fiscal years ended October 31, 2005, 2004, and 2003.</w:t>
      </w:r>
    </w:p>
    <w:p>
      <w:pPr>
        <w:spacing w:after="0" w:line="63" w:lineRule="exact"/>
        <w:rPr>
          <w:rFonts w:ascii="Arial" w:cs="Arial" w:eastAsia="Arial" w:hAnsi="Arial"/>
          <w:sz w:val="14"/>
          <w:szCs w:val="14"/>
          <w:color w:val="auto"/>
        </w:rPr>
      </w:pPr>
    </w:p>
    <w:p>
      <w:pPr>
        <w:ind w:left="160" w:hanging="152"/>
        <w:spacing w:after="0"/>
        <w:tabs>
          <w:tab w:leader="none" w:pos="160" w:val="left"/>
        </w:tabs>
        <w:numPr>
          <w:ilvl w:val="0"/>
          <w:numId w:val="59"/>
        </w:numPr>
        <w:rPr>
          <w:rFonts w:ascii="Arial" w:cs="Arial" w:eastAsia="Arial" w:hAnsi="Arial"/>
          <w:sz w:val="14"/>
          <w:szCs w:val="14"/>
          <w:color w:val="auto"/>
        </w:rPr>
      </w:pPr>
      <w:r>
        <w:rPr>
          <w:rFonts w:ascii="Arial" w:cs="Arial" w:eastAsia="Arial" w:hAnsi="Arial"/>
          <w:sz w:val="18"/>
          <w:szCs w:val="18"/>
          <w:color w:val="auto"/>
        </w:rPr>
        <w:t>Consolidated Statements of Stockholders’ Equity for the fiscal years ended October 31, 2005, 2004, and 2003.</w:t>
      </w:r>
    </w:p>
    <w:p>
      <w:pPr>
        <w:spacing w:after="0" w:line="63" w:lineRule="exact"/>
        <w:rPr>
          <w:rFonts w:ascii="Arial" w:cs="Arial" w:eastAsia="Arial" w:hAnsi="Arial"/>
          <w:sz w:val="14"/>
          <w:szCs w:val="14"/>
          <w:color w:val="auto"/>
        </w:rPr>
      </w:pPr>
    </w:p>
    <w:p>
      <w:pPr>
        <w:ind w:left="160" w:hanging="152"/>
        <w:spacing w:after="0"/>
        <w:tabs>
          <w:tab w:leader="none" w:pos="160" w:val="left"/>
        </w:tabs>
        <w:numPr>
          <w:ilvl w:val="0"/>
          <w:numId w:val="59"/>
        </w:numPr>
        <w:rPr>
          <w:rFonts w:ascii="Arial" w:cs="Arial" w:eastAsia="Arial" w:hAnsi="Arial"/>
          <w:sz w:val="14"/>
          <w:szCs w:val="14"/>
          <w:color w:val="auto"/>
        </w:rPr>
      </w:pPr>
      <w:r>
        <w:rPr>
          <w:rFonts w:ascii="Arial" w:cs="Arial" w:eastAsia="Arial" w:hAnsi="Arial"/>
          <w:sz w:val="18"/>
          <w:szCs w:val="18"/>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 2.  List of Financial Statement Schedules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of The Toro Company and its subsidiaries is included herein:</w:t>
      </w:r>
    </w:p>
    <w:p>
      <w:pPr>
        <w:spacing w:after="0" w:line="23" w:lineRule="exact"/>
        <w:rPr>
          <w:sz w:val="20"/>
          <w:szCs w:val="20"/>
          <w:color w:val="auto"/>
        </w:rPr>
      </w:pPr>
    </w:p>
    <w:p>
      <w:pPr>
        <w:ind w:left="160" w:hanging="152"/>
        <w:spacing w:after="0"/>
        <w:tabs>
          <w:tab w:leader="none" w:pos="160" w:val="left"/>
        </w:tabs>
        <w:numPr>
          <w:ilvl w:val="0"/>
          <w:numId w:val="60"/>
        </w:numPr>
        <w:rPr>
          <w:rFonts w:ascii="Arial" w:cs="Arial" w:eastAsia="Arial" w:hAnsi="Arial"/>
          <w:sz w:val="14"/>
          <w:szCs w:val="14"/>
          <w:color w:val="auto"/>
        </w:rPr>
      </w:pPr>
      <w:r>
        <w:rPr>
          <w:rFonts w:ascii="Arial" w:cs="Arial" w:eastAsia="Arial" w:hAnsi="Arial"/>
          <w:sz w:val="18"/>
          <w:szCs w:val="18"/>
          <w:color w:val="auto"/>
        </w:rPr>
        <w:t>Schedule II – Valuation and Qualifying Accounts</w:t>
      </w:r>
    </w:p>
    <w:p>
      <w:pPr>
        <w:spacing w:after="0" w:line="15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All other schedules are omitted because the required information is inapplicable or the information is presented in the consolidated financial statements or related notes.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(a) 3.  List of Exhibits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 or are filed or furnished with this report as indicated below:</w:t>
      </w:r>
    </w:p>
    <w:p>
      <w:pPr>
        <w:spacing w:after="0" w:line="226" w:lineRule="exact"/>
        <w:rPr>
          <w:sz w:val="20"/>
          <w:szCs w:val="20"/>
          <w:color w:val="auto"/>
        </w:rPr>
      </w:pPr>
    </w:p>
    <w:p>
      <w:pPr>
        <w:spacing w:after="0"/>
        <w:tabs>
          <w:tab w:leader="none" w:pos="23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555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2"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b w:val="1"/>
          <w:bCs w:val="1"/>
          <w:color w:val="auto"/>
        </w:rPr>
        <w:t xml:space="preserve">3(i) and 4(a) </w:t>
      </w:r>
      <w:r>
        <w:rPr>
          <w:rFonts w:ascii="Arial" w:cs="Arial" w:eastAsia="Arial" w:hAnsi="Arial"/>
          <w:sz w:val="18"/>
          <w:szCs w:val="18"/>
          <w:color w:val="auto"/>
        </w:rPr>
        <w:t>The Toro Company Amended and Restated Certificate of Incorporation of Registrant (incorporated by reference to Exhibit 3(i)</w:t>
      </w:r>
      <w:r>
        <w:rPr>
          <w:rFonts w:ascii="Arial" w:cs="Arial" w:eastAsia="Arial" w:hAnsi="Arial"/>
          <w:sz w:val="18"/>
          <w:szCs w:val="18"/>
          <w:b w:val="1"/>
          <w:bCs w:val="1"/>
          <w:color w:val="auto"/>
        </w:rPr>
        <w:t xml:space="preserve"> </w:t>
      </w:r>
      <w:r>
        <w:rPr>
          <w:rFonts w:ascii="Arial" w:cs="Arial" w:eastAsia="Arial" w:hAnsi="Arial"/>
          <w:sz w:val="18"/>
          <w:szCs w:val="18"/>
          <w:color w:val="auto"/>
        </w:rPr>
        <w:t>(a) and 4(a) to Registrant’s Current Report on Form 8-K dated March 15, 2005, Commission File No. 1-8649).</w:t>
      </w:r>
    </w:p>
    <w:p>
      <w:pPr>
        <w:spacing w:after="0" w:line="45" w:lineRule="exact"/>
        <w:rPr>
          <w:sz w:val="20"/>
          <w:szCs w:val="20"/>
          <w:color w:val="auto"/>
        </w:rPr>
      </w:pPr>
    </w:p>
    <w:p>
      <w:pPr>
        <w:ind w:right="760"/>
        <w:spacing w:after="0" w:line="303" w:lineRule="auto"/>
        <w:rPr>
          <w:sz w:val="20"/>
          <w:szCs w:val="20"/>
          <w:color w:val="auto"/>
        </w:rPr>
      </w:pPr>
      <w:r>
        <w:rPr>
          <w:rFonts w:ascii="Arial" w:cs="Arial" w:eastAsia="Arial" w:hAnsi="Arial"/>
          <w:sz w:val="18"/>
          <w:szCs w:val="18"/>
          <w:b w:val="1"/>
          <w:bCs w:val="1"/>
          <w:color w:val="auto"/>
        </w:rPr>
        <w:t xml:space="preserve">3(ii) and 4(b) </w:t>
      </w:r>
      <w:r>
        <w:rPr>
          <w:rFonts w:ascii="Arial" w:cs="Arial" w:eastAsia="Arial" w:hAnsi="Arial"/>
          <w:sz w:val="18"/>
          <w:szCs w:val="18"/>
          <w:color w:val="auto"/>
        </w:rPr>
        <w:t>Bylaws of The Toro Company (incorporated by reference to Exhibit 3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2005, Commission File No. 1-8649).</w:t>
      </w:r>
    </w:p>
    <w:p>
      <w:pPr>
        <w:spacing w:after="0" w:line="45"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color w:val="auto"/>
        </w:rPr>
        <w:t xml:space="preserve">4(c) </w:t>
      </w:r>
      <w:r>
        <w:rPr>
          <w:rFonts w:ascii="Arial" w:cs="Arial" w:eastAsia="Arial" w:hAnsi="Arial"/>
          <w:sz w:val="18"/>
          <w:szCs w:val="18"/>
          <w:color w:val="auto"/>
        </w:rPr>
        <w:t>Specimen form of The Toro Company Common Stock certificate (incorporated by reference to Exhibit 4(c) to Registrant’s Annual Report</w:t>
      </w:r>
      <w:r>
        <w:rPr>
          <w:rFonts w:ascii="Arial" w:cs="Arial" w:eastAsia="Arial" w:hAnsi="Arial"/>
          <w:sz w:val="18"/>
          <w:szCs w:val="18"/>
          <w:b w:val="1"/>
          <w:bCs w:val="1"/>
          <w:color w:val="auto"/>
        </w:rPr>
        <w:t xml:space="preserve"> </w:t>
      </w:r>
      <w:r>
        <w:rPr>
          <w:rFonts w:ascii="Arial" w:cs="Arial" w:eastAsia="Arial" w:hAnsi="Arial"/>
          <w:sz w:val="18"/>
          <w:szCs w:val="18"/>
          <w:color w:val="auto"/>
        </w:rPr>
        <w:t>on Form 10-K for fiscal year ended October 31, 2004, Commission File No. 1-8649).</w:t>
      </w:r>
    </w:p>
    <w:p>
      <w:pPr>
        <w:spacing w:after="0" w:line="45"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auto"/>
        </w:rPr>
        <w:t xml:space="preserve">4(d) </w:t>
      </w:r>
      <w:r>
        <w:rPr>
          <w:rFonts w:ascii="Arial" w:cs="Arial" w:eastAsia="Arial" w:hAnsi="Arial"/>
          <w:sz w:val="18"/>
          <w:szCs w:val="18"/>
          <w:color w:val="auto"/>
        </w:rPr>
        <w:t>Rights Agreement dated as of May 20, 1998, between Registrant and Wells Fargo Bank Minnesota, National Association relating to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to purchase Series B Junior Participating Voting Preferred Stock, as amended (incorporated by reference to Exhibit 1 to Registrant’s Current Report on Form 8-K dated May 27, 1998, Commission File No. 1-8649).</w:t>
      </w:r>
    </w:p>
    <w:p>
      <w:pPr>
        <w:spacing w:after="0" w:line="62" w:lineRule="exact"/>
        <w:rPr>
          <w:sz w:val="20"/>
          <w:szCs w:val="20"/>
          <w:color w:val="auto"/>
        </w:rPr>
      </w:pPr>
    </w:p>
    <w:p>
      <w:pPr>
        <w:jc w:val="both"/>
        <w:ind w:right="260"/>
        <w:spacing w:after="0" w:line="284" w:lineRule="auto"/>
        <w:rPr>
          <w:sz w:val="20"/>
          <w:szCs w:val="20"/>
          <w:color w:val="auto"/>
        </w:rPr>
      </w:pPr>
      <w:r>
        <w:rPr>
          <w:rFonts w:ascii="Arial" w:cs="Arial" w:eastAsia="Arial" w:hAnsi="Arial"/>
          <w:sz w:val="18"/>
          <w:szCs w:val="18"/>
          <w:b w:val="1"/>
          <w:bCs w:val="1"/>
          <w:color w:val="auto"/>
        </w:rPr>
        <w:t xml:space="preserve">4(e) </w:t>
      </w:r>
      <w:r>
        <w:rPr>
          <w:rFonts w:ascii="Arial" w:cs="Arial" w:eastAsia="Arial" w:hAnsi="Arial"/>
          <w:sz w:val="18"/>
          <w:szCs w:val="18"/>
          <w:color w:val="auto"/>
        </w:rPr>
        <w:t>Certificate of Adjusted Purchase Price or Number of Shares dated April 14, 2003 filed by Registrant with Wells Fargo Bank Minnesota,</w:t>
      </w:r>
      <w:r>
        <w:rPr>
          <w:rFonts w:ascii="Arial" w:cs="Arial" w:eastAsia="Arial" w:hAnsi="Arial"/>
          <w:sz w:val="18"/>
          <w:szCs w:val="18"/>
          <w:b w:val="1"/>
          <w:bCs w:val="1"/>
          <w:color w:val="auto"/>
        </w:rPr>
        <w:t xml:space="preserve"> </w:t>
      </w:r>
      <w:r>
        <w:rPr>
          <w:rFonts w:ascii="Arial" w:cs="Arial" w:eastAsia="Arial" w:hAnsi="Arial"/>
          <w:sz w:val="18"/>
          <w:szCs w:val="18"/>
          <w:color w:val="auto"/>
        </w:rPr>
        <w:t>N.A., as Rights Agent, in connection with Rights Agreement dated as of May 20, 1998 (incorporated by reference to Exhibit 2 to Registrant’s Amendment No. 1 to Registration Statement on Form 8-A/A dated April 14, 2003, Commission File No. 1-8649).</w:t>
      </w:r>
    </w:p>
    <w:p>
      <w:pPr>
        <w:spacing w:after="0" w:line="62" w:lineRule="exact"/>
        <w:rPr>
          <w:sz w:val="20"/>
          <w:szCs w:val="20"/>
          <w:color w:val="auto"/>
        </w:rPr>
      </w:pPr>
    </w:p>
    <w:p>
      <w:pPr>
        <w:jc w:val="both"/>
        <w:ind w:right="280"/>
        <w:spacing w:after="0" w:line="284" w:lineRule="auto"/>
        <w:rPr>
          <w:sz w:val="20"/>
          <w:szCs w:val="20"/>
          <w:color w:val="auto"/>
        </w:rPr>
      </w:pPr>
      <w:r>
        <w:rPr>
          <w:rFonts w:ascii="Arial" w:cs="Arial" w:eastAsia="Arial" w:hAnsi="Arial"/>
          <w:sz w:val="18"/>
          <w:szCs w:val="18"/>
          <w:b w:val="1"/>
          <w:bCs w:val="1"/>
          <w:color w:val="auto"/>
        </w:rPr>
        <w:t xml:space="preserve">4(f) </w:t>
      </w:r>
      <w:r>
        <w:rPr>
          <w:rFonts w:ascii="Arial" w:cs="Arial" w:eastAsia="Arial" w:hAnsi="Arial"/>
          <w:sz w:val="18"/>
          <w:szCs w:val="18"/>
          <w:color w:val="auto"/>
        </w:rPr>
        <w:t>Certificate of Adjusted Purchase Price or Number of Shares dated April 12, 2005 filed by Registrant with Wells Fargo Bank Minnesota,</w:t>
      </w:r>
      <w:r>
        <w:rPr>
          <w:rFonts w:ascii="Arial" w:cs="Arial" w:eastAsia="Arial" w:hAnsi="Arial"/>
          <w:sz w:val="18"/>
          <w:szCs w:val="18"/>
          <w:b w:val="1"/>
          <w:bCs w:val="1"/>
          <w:color w:val="auto"/>
        </w:rPr>
        <w:t xml:space="preserve"> </w:t>
      </w:r>
      <w:r>
        <w:rPr>
          <w:rFonts w:ascii="Arial" w:cs="Arial" w:eastAsia="Arial" w:hAnsi="Arial"/>
          <w:sz w:val="18"/>
          <w:szCs w:val="18"/>
          <w:color w:val="auto"/>
        </w:rPr>
        <w:t>N.A., as Rights Agent, in connection with Rights Agreement dated as of May 20, 1998 (incorporated by reference to Exhibit 2 to Registrant’s Amendment No. 2 to Registration Statement on Form 8-A/A dated March 21, 2005, Commission File No. 1-8649).</w:t>
      </w:r>
    </w:p>
    <w:p>
      <w:pPr>
        <w:spacing w:after="0" w:line="62"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color w:val="auto"/>
        </w:rPr>
        <w:t xml:space="preserve">4(g) </w:t>
      </w:r>
      <w:r>
        <w:rPr>
          <w:rFonts w:ascii="Arial" w:cs="Arial" w:eastAsia="Arial" w:hAnsi="Arial"/>
          <w:sz w:val="18"/>
          <w:szCs w:val="18"/>
          <w:color w:val="auto"/>
        </w:rPr>
        <w:t>Indenture dated as of January 31, 1997, between Registrant and First National Trust Association, as Trustee, relating to the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7.125% Notes due June 15, 2007 and its 7.80% Debentures due June 15, 2027 (incorporated by reference to Exhibit 4(a) to Registrant’s Current Report on Form 8-K for June 24, 1997, Commission File No. 1-8649).</w:t>
      </w:r>
    </w:p>
    <w:p>
      <w:pPr>
        <w:spacing w:after="0" w:line="62"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b w:val="1"/>
          <w:bCs w:val="1"/>
          <w:color w:val="auto"/>
        </w:rPr>
        <w:t xml:space="preserve">10(a) </w:t>
      </w:r>
      <w:r>
        <w:rPr>
          <w:rFonts w:ascii="Arial" w:cs="Arial" w:eastAsia="Arial" w:hAnsi="Arial"/>
          <w:sz w:val="18"/>
          <w:szCs w:val="18"/>
          <w:color w:val="auto"/>
        </w:rPr>
        <w:t>Form of Employment Agreement in effect for executive officers of Registrant (incorporated by reference to Exhibit 10(a)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Report on Form 10-Q for the quarter ended July 30, 1999).*</w:t>
      </w:r>
    </w:p>
    <w:p>
      <w:pPr>
        <w:spacing w:after="0" w:line="45"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 xml:space="preserve">10(b) </w:t>
      </w:r>
      <w:r>
        <w:rPr>
          <w:rFonts w:ascii="Arial" w:cs="Arial" w:eastAsia="Arial" w:hAnsi="Arial"/>
          <w:sz w:val="18"/>
          <w:szCs w:val="18"/>
          <w:color w:val="auto"/>
        </w:rPr>
        <w:t>The Toro Company Annual Management Incentive Plan II (incorporated by reference to Exhibit 10(a)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April 29, 2005).*</w:t>
      </w:r>
    </w:p>
    <w:p>
      <w:pPr>
        <w:sectPr>
          <w:pgSz w:w="11900" w:h="16838" w:orient="portrait"/>
          <w:cols w:equalWidth="0" w:num="1">
            <w:col w:w="11420"/>
          </w:cols>
          <w:pgMar w:left="240" w:top="152" w:right="239" w:bottom="0" w:gutter="0" w:footer="0" w:header="0"/>
        </w:sectPr>
      </w:pPr>
    </w:p>
    <w:bookmarkStart w:id="46" w:name="page47"/>
    <w:bookmarkEnd w:id="46"/>
    <w:p>
      <w:pPr>
        <w:ind w:right="260"/>
        <w:spacing w:after="0" w:line="303" w:lineRule="auto"/>
        <w:rPr>
          <w:sz w:val="20"/>
          <w:szCs w:val="20"/>
          <w:color w:val="auto"/>
        </w:rPr>
      </w:pPr>
      <w:r>
        <w:rPr>
          <w:rFonts w:ascii="Arial" w:cs="Arial" w:eastAsia="Arial" w:hAnsi="Arial"/>
          <w:sz w:val="18"/>
          <w:szCs w:val="18"/>
          <w:b w:val="1"/>
          <w:bCs w:val="1"/>
          <w:color w:val="auto"/>
        </w:rPr>
        <w:t xml:space="preserve">10(c) </w:t>
      </w:r>
      <w:r>
        <w:rPr>
          <w:rFonts w:ascii="Arial" w:cs="Arial" w:eastAsia="Arial" w:hAnsi="Arial"/>
          <w:sz w:val="18"/>
          <w:szCs w:val="18"/>
          <w:color w:val="auto"/>
        </w:rPr>
        <w:t>The Toro Company 1993 Stock Option Plan (incorporated by reference to Exhibit 10(f) to Registrant’s Quarterly Report on Form 10-Q</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quarter ended July 30, 1999).*</w:t>
      </w:r>
    </w:p>
    <w:p>
      <w:pPr>
        <w:spacing w:after="0" w:line="45"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color w:val="auto"/>
        </w:rPr>
        <w:t xml:space="preserve">10(d) </w:t>
      </w:r>
      <w:r>
        <w:rPr>
          <w:rFonts w:ascii="Arial" w:cs="Arial" w:eastAsia="Arial" w:hAnsi="Arial"/>
          <w:sz w:val="18"/>
          <w:szCs w:val="18"/>
          <w:color w:val="auto"/>
        </w:rPr>
        <w:t>The Toro Company Performance Share Plan (incorporated by reference to the appendix to Registrant’s Definitive Proxy Statement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Commission on January 31, 2002).*</w:t>
      </w:r>
    </w:p>
    <w:p>
      <w:pPr>
        <w:spacing w:after="0" w:line="45"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b w:val="1"/>
          <w:bCs w:val="1"/>
          <w:color w:val="auto"/>
        </w:rPr>
        <w:t xml:space="preserve">10(e) </w:t>
      </w:r>
      <w:r>
        <w:rPr>
          <w:rFonts w:ascii="Arial" w:cs="Arial" w:eastAsia="Arial" w:hAnsi="Arial"/>
          <w:sz w:val="18"/>
          <w:szCs w:val="18"/>
          <w:color w:val="auto"/>
        </w:rPr>
        <w:t>The Toro Company 2000 Stock Option Plan (incorporated by reference to the appendix to Registrant’s Definitive Proxy Statement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Commission on January 31, 2002).*</w:t>
      </w:r>
    </w:p>
    <w:p>
      <w:pPr>
        <w:spacing w:after="0" w:line="45" w:lineRule="exact"/>
        <w:rPr>
          <w:sz w:val="20"/>
          <w:szCs w:val="20"/>
          <w:color w:val="auto"/>
        </w:rPr>
      </w:pPr>
    </w:p>
    <w:p>
      <w:pPr>
        <w:ind w:right="420"/>
        <w:spacing w:after="0" w:line="303" w:lineRule="auto"/>
        <w:rPr>
          <w:sz w:val="20"/>
          <w:szCs w:val="20"/>
          <w:color w:val="auto"/>
        </w:rPr>
      </w:pPr>
      <w:r>
        <w:rPr>
          <w:rFonts w:ascii="Arial" w:cs="Arial" w:eastAsia="Arial" w:hAnsi="Arial"/>
          <w:sz w:val="18"/>
          <w:szCs w:val="18"/>
          <w:b w:val="1"/>
          <w:bCs w:val="1"/>
          <w:color w:val="auto"/>
        </w:rPr>
        <w:t xml:space="preserve">10(f) </w:t>
      </w:r>
      <w:r>
        <w:rPr>
          <w:rFonts w:ascii="Arial" w:cs="Arial" w:eastAsia="Arial" w:hAnsi="Arial"/>
          <w:sz w:val="18"/>
          <w:szCs w:val="18"/>
          <w:color w:val="auto"/>
        </w:rPr>
        <w:t>The Toro Company Supplemental Management Retirement Plan (incorporated by reference to Exhibit 10(i) to Registrant’s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10-Q for the quarter ended July 30, 1999).*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10(g)  </w:t>
      </w:r>
      <w:r>
        <w:rPr>
          <w:rFonts w:ascii="Arial" w:cs="Arial" w:eastAsia="Arial" w:hAnsi="Arial"/>
          <w:sz w:val="18"/>
          <w:szCs w:val="18"/>
          <w:color w:val="auto"/>
        </w:rPr>
        <w:t>Amendment to The Toro Company Supplemental Management Retirement Plan (incorporated by reference to Exhibit 10(c) to</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Registrant’s Quarterly Report on Form 10-Q for the quarter ended July 30, 2004).*</w:t>
      </w:r>
    </w:p>
    <w:p>
      <w:pPr>
        <w:spacing w:after="0" w:line="109" w:lineRule="exact"/>
        <w:rPr>
          <w:sz w:val="20"/>
          <w:szCs w:val="20"/>
          <w:color w:val="auto"/>
        </w:rPr>
      </w:pPr>
    </w:p>
    <w:p>
      <w:pPr>
        <w:ind w:right="620"/>
        <w:spacing w:after="0" w:line="303" w:lineRule="auto"/>
        <w:rPr>
          <w:sz w:val="20"/>
          <w:szCs w:val="20"/>
          <w:color w:val="auto"/>
        </w:rPr>
      </w:pPr>
      <w:r>
        <w:rPr>
          <w:rFonts w:ascii="Arial" w:cs="Arial" w:eastAsia="Arial" w:hAnsi="Arial"/>
          <w:sz w:val="18"/>
          <w:szCs w:val="18"/>
          <w:b w:val="1"/>
          <w:bCs w:val="1"/>
          <w:color w:val="auto"/>
        </w:rPr>
        <w:t xml:space="preserve">10(h) </w:t>
      </w:r>
      <w:r>
        <w:rPr>
          <w:rFonts w:ascii="Arial" w:cs="Arial" w:eastAsia="Arial" w:hAnsi="Arial"/>
          <w:sz w:val="18"/>
          <w:szCs w:val="18"/>
          <w:color w:val="auto"/>
        </w:rPr>
        <w:t>The Toro Company Supplemental Retirement Plan (incorporated by reference to Exhibit 10(j)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July 30, 1999).*</w:t>
      </w:r>
    </w:p>
    <w:p>
      <w:pPr>
        <w:spacing w:after="0" w:line="45" w:lineRule="exact"/>
        <w:rPr>
          <w:sz w:val="20"/>
          <w:szCs w:val="20"/>
          <w:color w:val="auto"/>
        </w:rPr>
      </w:pPr>
    </w:p>
    <w:p>
      <w:pPr>
        <w:ind w:right="700"/>
        <w:spacing w:after="0" w:line="303" w:lineRule="auto"/>
        <w:rPr>
          <w:sz w:val="20"/>
          <w:szCs w:val="20"/>
          <w:color w:val="auto"/>
        </w:rPr>
      </w:pPr>
      <w:r>
        <w:rPr>
          <w:rFonts w:ascii="Arial" w:cs="Arial" w:eastAsia="Arial" w:hAnsi="Arial"/>
          <w:sz w:val="18"/>
          <w:szCs w:val="18"/>
          <w:b w:val="1"/>
          <w:bCs w:val="1"/>
          <w:color w:val="auto"/>
        </w:rPr>
        <w:t xml:space="preserve">10(i) </w:t>
      </w:r>
      <w:r>
        <w:rPr>
          <w:rFonts w:ascii="Arial" w:cs="Arial" w:eastAsia="Arial" w:hAnsi="Arial"/>
          <w:sz w:val="18"/>
          <w:szCs w:val="18"/>
          <w:color w:val="auto"/>
        </w:rPr>
        <w:t>The Toro Company Chief Executive Officer Succession Incentive Award Agreement (incorporated by reference to Exhibit 10(j)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Quarterly Report on Form 10-Q for the quarter ended August 2, 2002).*</w:t>
      </w:r>
    </w:p>
    <w:p>
      <w:pPr>
        <w:spacing w:after="0" w:line="45"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 xml:space="preserve">10(j) </w:t>
      </w:r>
      <w:r>
        <w:rPr>
          <w:rFonts w:ascii="Arial" w:cs="Arial" w:eastAsia="Arial" w:hAnsi="Arial"/>
          <w:sz w:val="18"/>
          <w:szCs w:val="18"/>
          <w:color w:val="auto"/>
        </w:rPr>
        <w:t>The Toro Company Deferred Compensation Plan for Officers (incorporated by reference to Exhibit 10(k) to Registrant’s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for the fiscal year ended October 31, 2002).*</w:t>
      </w:r>
    </w:p>
    <w:p>
      <w:pPr>
        <w:spacing w:after="0" w:line="45"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 xml:space="preserve">10(k) </w:t>
      </w:r>
      <w:r>
        <w:rPr>
          <w:rFonts w:ascii="Arial" w:cs="Arial" w:eastAsia="Arial" w:hAnsi="Arial"/>
          <w:sz w:val="18"/>
          <w:szCs w:val="18"/>
          <w:color w:val="auto"/>
        </w:rPr>
        <w:t>The Toro Company Deferred Compensation Plan for Non-Employee Directors (incorporated by reference to Exhibit 10(l)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Report on Form 10-Q for the quarter ended July 28, 2000).*</w:t>
      </w:r>
    </w:p>
    <w:p>
      <w:pPr>
        <w:spacing w:after="0" w:line="45"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color w:val="auto"/>
        </w:rPr>
        <w:t xml:space="preserve">10(l) </w:t>
      </w:r>
      <w:r>
        <w:rPr>
          <w:rFonts w:ascii="Arial" w:cs="Arial" w:eastAsia="Arial" w:hAnsi="Arial"/>
          <w:sz w:val="18"/>
          <w:szCs w:val="18"/>
          <w:color w:val="auto"/>
        </w:rPr>
        <w:t>The Toro Company 2000 Directors Stock Plan (incorporated by reference to Exhibit 2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 2005, Commission File No. 1-8649).*</w:t>
      </w:r>
    </w:p>
    <w:p>
      <w:pPr>
        <w:spacing w:after="0" w:line="45"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color w:val="auto"/>
        </w:rPr>
        <w:t xml:space="preserve">10(m) </w:t>
      </w:r>
      <w:r>
        <w:rPr>
          <w:rFonts w:ascii="Arial" w:cs="Arial" w:eastAsia="Arial" w:hAnsi="Arial"/>
          <w:sz w:val="18"/>
          <w:szCs w:val="18"/>
          <w:color w:val="auto"/>
        </w:rPr>
        <w:t>Form of Nonqualified Stock Option Agreement between The Toro Company and its Non-Employee Directors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to Exhibit 1 to Registrant’s Current Report on Form 8-K dated September 20, 2005, Commission File No. 1-8649).*</w:t>
      </w:r>
    </w:p>
    <w:p>
      <w:pPr>
        <w:spacing w:after="0" w:line="45"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b w:val="1"/>
          <w:bCs w:val="1"/>
          <w:color w:val="auto"/>
        </w:rPr>
        <w:t xml:space="preserve">10(n) </w:t>
      </w:r>
      <w:r>
        <w:rPr>
          <w:rFonts w:ascii="Arial" w:cs="Arial" w:eastAsia="Arial" w:hAnsi="Arial"/>
          <w:sz w:val="18"/>
          <w:szCs w:val="18"/>
          <w:color w:val="auto"/>
        </w:rPr>
        <w:t>Form of Nonqualified Stock Option Agreement between The Toro Company and its Officers (incorporated by reference to Exhibit 2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December 2, 2004, Commission File No. 1-8649).*</w:t>
      </w:r>
    </w:p>
    <w:p>
      <w:pPr>
        <w:spacing w:after="0" w:line="45"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color w:val="auto"/>
        </w:rPr>
        <w:t xml:space="preserve">10(o) </w:t>
      </w:r>
      <w:r>
        <w:rPr>
          <w:rFonts w:ascii="Arial" w:cs="Arial" w:eastAsia="Arial" w:hAnsi="Arial"/>
          <w:sz w:val="18"/>
          <w:szCs w:val="18"/>
          <w:color w:val="auto"/>
        </w:rPr>
        <w:t>Form of Nonqualified Stock Option Agreement (incorporated by reference to Exhibit 1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2005, Commission File No. 1-8649).*</w:t>
      </w:r>
    </w:p>
    <w:p>
      <w:pPr>
        <w:spacing w:after="0" w:line="45"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color w:val="auto"/>
        </w:rPr>
        <w:t xml:space="preserve">10(p) </w:t>
      </w:r>
      <w:r>
        <w:rPr>
          <w:rFonts w:ascii="Arial" w:cs="Arial" w:eastAsia="Arial" w:hAnsi="Arial"/>
          <w:sz w:val="18"/>
          <w:szCs w:val="18"/>
          <w:color w:val="auto"/>
        </w:rPr>
        <w:t>Form of Performance Share Award Agreement between The Toro Company and its Officers (incorporated by reference to Exhibit 3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December 2, 2004, Commission File No. 1-8649).*</w:t>
      </w:r>
    </w:p>
    <w:p>
      <w:pPr>
        <w:spacing w:after="0" w:line="45"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color w:val="auto"/>
        </w:rPr>
        <w:t xml:space="preserve">10(q) </w:t>
      </w:r>
      <w:r>
        <w:rPr>
          <w:rFonts w:ascii="Arial" w:cs="Arial" w:eastAsia="Arial" w:hAnsi="Arial"/>
          <w:sz w:val="18"/>
          <w:szCs w:val="18"/>
          <w:color w:val="auto"/>
        </w:rPr>
        <w:t>Form of Performance Share Award Agreement (incorporated by reference to Exhibit 2 to Registrant’s Current Report on Form 8-K dated</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30, 2005, Commission File No. 1-8649).*</w:t>
      </w:r>
    </w:p>
    <w:p>
      <w:pPr>
        <w:spacing w:after="0" w:line="4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color w:val="auto"/>
        </w:rPr>
        <w:t xml:space="preserve">10(r) </w:t>
      </w:r>
      <w:r>
        <w:rPr>
          <w:rFonts w:ascii="Arial" w:cs="Arial" w:eastAsia="Arial" w:hAnsi="Arial"/>
          <w:sz w:val="18"/>
          <w:szCs w:val="18"/>
          <w:color w:val="auto"/>
        </w:rPr>
        <w:t>Credit Agreement dated as of September 8, 2004, among The Toro Company, Toro Credit Company, Toro Manufacturing LLC, Exmark</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Company Incorporated, and Certain Subsidiaries, as Borrowers, the Lenders from time to time party thereto, Bank of America, N.A., as Administrative Agent, Swing Line Lender and Letter of Credit Issuer and Banc of America Securities LLC (incorporated by reference to Exhibit 10(a) to Registrant’s Current Report on Form 8-K dated September 8, 2004, Commission File No. 1-8649).</w:t>
      </w:r>
    </w:p>
    <w:p>
      <w:pPr>
        <w:spacing w:after="0" w:line="67"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b w:val="1"/>
          <w:bCs w:val="1"/>
          <w:color w:val="auto"/>
        </w:rPr>
        <w:t xml:space="preserve">10(s) </w:t>
      </w:r>
      <w:r>
        <w:rPr>
          <w:rFonts w:ascii="Arial" w:cs="Arial" w:eastAsia="Arial" w:hAnsi="Arial"/>
          <w:sz w:val="18"/>
          <w:szCs w:val="18"/>
          <w:color w:val="auto"/>
        </w:rPr>
        <w:t>Amendment No. 1 to Credit Agreement dated as of September 8, 2004, among The Toro Company, Toro Credit Company, Toro</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Company, Incorporated, and Certain Subsidiaries, as Borrowers, the Lenders from time to time party thereto, Bank of America, N.A., as Administrative Agent, Swing Line Lender and Letter of Credit Issuer.</w:t>
      </w:r>
    </w:p>
    <w:p>
      <w:pPr>
        <w:spacing w:after="0" w:line="62" w:lineRule="exact"/>
        <w:rPr>
          <w:sz w:val="20"/>
          <w:szCs w:val="20"/>
          <w:color w:val="auto"/>
        </w:rPr>
      </w:pPr>
    </w:p>
    <w:p>
      <w:pPr>
        <w:ind w:right="380"/>
        <w:spacing w:after="0" w:line="284" w:lineRule="auto"/>
        <w:rPr>
          <w:sz w:val="20"/>
          <w:szCs w:val="20"/>
          <w:color w:val="auto"/>
        </w:rPr>
      </w:pPr>
      <w:r>
        <w:rPr>
          <w:rFonts w:ascii="Arial" w:cs="Arial" w:eastAsia="Arial" w:hAnsi="Arial"/>
          <w:sz w:val="18"/>
          <w:szCs w:val="18"/>
          <w:b w:val="1"/>
          <w:bCs w:val="1"/>
          <w:color w:val="auto"/>
        </w:rPr>
        <w:t xml:space="preserve">10(t) </w:t>
      </w:r>
      <w:r>
        <w:rPr>
          <w:rFonts w:ascii="Arial" w:cs="Arial" w:eastAsia="Arial" w:hAnsi="Arial"/>
          <w:sz w:val="18"/>
          <w:szCs w:val="18"/>
          <w:color w:val="auto"/>
        </w:rPr>
        <w:t>Loan Agreement dated as of July 9, 2003 among Toro Receivables Company, as Borrower, and The Toro Company, as servicer,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Three Pillars Funding Corporation, as Lender, and Suntrust Capital Markets, Inc., as Administrator (incorporated by reference to Exhibit 10(q) to Registrant’s Quarterly Report on Form 10-Q for the quarter ended August 1, 2003).</w:t>
      </w:r>
    </w:p>
    <w:p>
      <w:pPr>
        <w:spacing w:after="0" w:line="62"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b w:val="1"/>
          <w:bCs w:val="1"/>
          <w:color w:val="auto"/>
        </w:rPr>
        <w:t xml:space="preserve">10(u) </w:t>
      </w:r>
      <w:r>
        <w:rPr>
          <w:rFonts w:ascii="Arial" w:cs="Arial" w:eastAsia="Arial" w:hAnsi="Arial"/>
          <w:sz w:val="18"/>
          <w:szCs w:val="18"/>
          <w:color w:val="auto"/>
        </w:rPr>
        <w:t>Asset Purchase Agreement, dated as of February 8, 2005, by and among Editland Limited, Toro Hayter (Guernsey) Limited, Hayter</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and The Toro Company (incorporated by reference to Exhibit 99.1 to Registrant’s Current Report on Form 8-K dated February 8, 2005, Commission File No. 1-8649).</w:t>
      </w:r>
    </w:p>
    <w:p>
      <w:pPr>
        <w:spacing w:after="0" w:line="84"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Computation of Ratio of Earnings to Fixed Charges</w:t>
      </w:r>
    </w:p>
    <w:p>
      <w:pPr>
        <w:spacing w:after="0" w:line="131"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Subsidiaries of Registrant</w:t>
      </w:r>
    </w:p>
    <w:p>
      <w:pPr>
        <w:spacing w:after="0" w:line="131" w:lineRule="exact"/>
        <w:rPr>
          <w:sz w:val="20"/>
          <w:szCs w:val="20"/>
          <w:color w:val="auto"/>
        </w:rPr>
      </w:pPr>
    </w:p>
    <w:p>
      <w:pPr>
        <w:ind w:left="360" w:hanging="352"/>
        <w:spacing w:after="0"/>
        <w:tabs>
          <w:tab w:leader="none" w:pos="3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Consent of Independent Registered Public Accounting Firm</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31(a)  </w:t>
      </w:r>
      <w:r>
        <w:rPr>
          <w:rFonts w:ascii="Arial" w:cs="Arial" w:eastAsia="Arial" w:hAnsi="Arial"/>
          <w:sz w:val="18"/>
          <w:szCs w:val="18"/>
          <w:color w:val="auto"/>
        </w:rPr>
        <w:t>Certification Pursuant to Rule 13a-14(a)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31(b)  </w:t>
      </w:r>
      <w:r>
        <w:rPr>
          <w:rFonts w:ascii="Arial" w:cs="Arial" w:eastAsia="Arial" w:hAnsi="Arial"/>
          <w:sz w:val="18"/>
          <w:szCs w:val="18"/>
          <w:color w:val="auto"/>
        </w:rPr>
        <w:t>Certification Pursuant to Rule 13a-14(a) (Section 302 of the Sarbanes-Oxley Act of 2002).</w:t>
      </w:r>
    </w:p>
    <w:p>
      <w:pPr>
        <w:spacing w:after="0" w:line="153" w:lineRule="exact"/>
        <w:rPr>
          <w:sz w:val="20"/>
          <w:szCs w:val="20"/>
          <w:color w:val="auto"/>
        </w:rPr>
      </w:pPr>
    </w:p>
    <w:p>
      <w:pPr>
        <w:ind w:left="360" w:hanging="352"/>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 required to be filed as an exhibit to this Annual Report on Form 10-K pursuant to Item 15(b).</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(b)  Exhibits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See Item 15(a)(3) above.</w:t>
      </w:r>
    </w:p>
    <w:p>
      <w:pPr>
        <w:sectPr>
          <w:pgSz w:w="11900" w:h="16838" w:orient="portrait"/>
          <w:cols w:equalWidth="0" w:num="1">
            <w:col w:w="11420"/>
          </w:cols>
          <w:pgMar w:left="240" w:top="130" w:right="239" w:bottom="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4673B6"/>
        </w:rPr>
        <w:t>(c)  Financial Statement Schedules</w:t>
      </w:r>
    </w:p>
    <w:p>
      <w:pPr>
        <w:sectPr>
          <w:pgSz w:w="11900" w:h="16838" w:orient="portrait"/>
          <w:cols w:equalWidth="0" w:num="1">
            <w:col w:w="11420"/>
          </w:cols>
          <w:pgMar w:left="240" w:top="130" w:right="239" w:bottom="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color w:val="auto"/>
        </w:rPr>
        <w:t>See Item 15(a)(2) above.</w:t>
      </w: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4673B6"/>
        </w:rPr>
        <w:t>SCHEDULE II</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4673B6"/>
        </w:rPr>
        <w:t>THE TORO COMPANY AND SUBSIDIARIES</w:t>
      </w:r>
    </w:p>
    <w:p>
      <w:pPr>
        <w:jc w:val="center"/>
        <w:ind w:right="-179"/>
        <w:spacing w:after="0"/>
        <w:rPr>
          <w:sz w:val="20"/>
          <w:szCs w:val="20"/>
          <w:color w:val="auto"/>
        </w:rPr>
      </w:pPr>
      <w:r>
        <w:rPr>
          <w:rFonts w:ascii="Arial" w:cs="Arial" w:eastAsia="Arial" w:hAnsi="Arial"/>
          <w:sz w:val="22"/>
          <w:szCs w:val="22"/>
          <w:b w:val="1"/>
          <w:bCs w:val="1"/>
          <w:color w:val="4673B6"/>
        </w:rPr>
        <w:t>Valuation and Qualifying Accounts</w:t>
      </w: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221"/>
        </w:trPr>
        <w:tc>
          <w:tcPr>
            <w:tcW w:w="47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Balance as of</w:t>
            </w:r>
          </w:p>
        </w:tc>
        <w:tc>
          <w:tcPr>
            <w:tcW w:w="9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Charged to</w:t>
            </w:r>
          </w:p>
        </w:tc>
        <w:tc>
          <w:tcPr>
            <w:tcW w:w="6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Balance as of</w:t>
            </w:r>
          </w:p>
        </w:tc>
        <w:tc>
          <w:tcPr>
            <w:tcW w:w="60" w:type="dxa"/>
            <w:vAlign w:val="bottom"/>
          </w:tcPr>
          <w:p>
            <w:pPr>
              <w:spacing w:after="0"/>
              <w:rPr>
                <w:sz w:val="19"/>
                <w:szCs w:val="19"/>
                <w:color w:val="auto"/>
              </w:rPr>
            </w:pPr>
          </w:p>
        </w:tc>
      </w:tr>
      <w:tr>
        <w:trPr>
          <w:trHeight w:val="184"/>
        </w:trPr>
        <w:tc>
          <w:tcPr>
            <w:tcW w:w="4780" w:type="dxa"/>
            <w:vAlign w:val="bottom"/>
          </w:tcPr>
          <w:p>
            <w:pPr>
              <w:spacing w:after="0"/>
              <w:rPr>
                <w:sz w:val="15"/>
                <w:szCs w:val="15"/>
                <w:color w:val="auto"/>
              </w:rPr>
            </w:pPr>
          </w:p>
        </w:tc>
        <w:tc>
          <w:tcPr>
            <w:tcW w:w="1620" w:type="dxa"/>
            <w:vAlign w:val="bottom"/>
            <w:gridSpan w:val="2"/>
          </w:tcPr>
          <w:p>
            <w:pPr>
              <w:jc w:val="right"/>
              <w:ind w:right="48"/>
              <w:spacing w:after="0"/>
              <w:rPr>
                <w:sz w:val="20"/>
                <w:szCs w:val="20"/>
                <w:color w:val="auto"/>
              </w:rPr>
            </w:pPr>
            <w:r>
              <w:rPr>
                <w:rFonts w:ascii="Arial" w:cs="Arial" w:eastAsia="Arial" w:hAnsi="Arial"/>
                <w:sz w:val="14"/>
                <w:szCs w:val="14"/>
                <w:color w:val="auto"/>
              </w:rPr>
              <w:t>the beginning</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costs and</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the end of</w:t>
            </w:r>
          </w:p>
        </w:tc>
      </w:tr>
      <w:tr>
        <w:trPr>
          <w:trHeight w:val="203"/>
        </w:trPr>
        <w:tc>
          <w:tcPr>
            <w:tcW w:w="4780" w:type="dxa"/>
            <w:vAlign w:val="bottom"/>
          </w:tcPr>
          <w:p>
            <w:pPr>
              <w:spacing w:after="0"/>
              <w:rPr>
                <w:sz w:val="20"/>
                <w:szCs w:val="20"/>
                <w:color w:val="auto"/>
              </w:rPr>
            </w:pPr>
            <w:r>
              <w:rPr>
                <w:rFonts w:ascii="Arial" w:cs="Arial" w:eastAsia="Arial" w:hAnsi="Arial"/>
                <w:sz w:val="14"/>
                <w:szCs w:val="14"/>
                <w:color w:val="auto"/>
              </w:rPr>
              <w:t>(Dollars in thousands)</w:t>
            </w:r>
          </w:p>
        </w:tc>
        <w:tc>
          <w:tcPr>
            <w:tcW w:w="1620" w:type="dxa"/>
            <w:vAlign w:val="bottom"/>
            <w:gridSpan w:val="2"/>
          </w:tcPr>
          <w:p>
            <w:pPr>
              <w:jc w:val="center"/>
              <w:ind w:left="268"/>
              <w:spacing w:after="0"/>
              <w:rPr>
                <w:sz w:val="20"/>
                <w:szCs w:val="20"/>
                <w:color w:val="auto"/>
              </w:rPr>
            </w:pPr>
            <w:r>
              <w:rPr>
                <w:rFonts w:ascii="Arial" w:cs="Arial" w:eastAsia="Arial" w:hAnsi="Arial"/>
                <w:sz w:val="14"/>
                <w:szCs w:val="14"/>
                <w:color w:val="auto"/>
              </w:rPr>
              <w:t>of the fiscal year</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expenses</w:t>
            </w:r>
            <w:r>
              <w:rPr>
                <w:rFonts w:ascii="Arial" w:cs="Arial" w:eastAsia="Arial" w:hAnsi="Arial"/>
                <w:sz w:val="17"/>
                <w:szCs w:val="17"/>
                <w:color w:val="auto"/>
                <w:vertAlign w:val="superscript"/>
              </w:rPr>
              <w:t>1</w:t>
            </w:r>
          </w:p>
        </w:tc>
        <w:tc>
          <w:tcPr>
            <w:tcW w:w="680" w:type="dxa"/>
            <w:vAlign w:val="bottom"/>
          </w:tcPr>
          <w:p>
            <w:pPr>
              <w:jc w:val="right"/>
              <w:ind w:right="9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2</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Deductions</w:t>
            </w:r>
            <w:r>
              <w:rPr>
                <w:rFonts w:ascii="Arial" w:cs="Arial" w:eastAsia="Arial" w:hAnsi="Arial"/>
                <w:sz w:val="17"/>
                <w:szCs w:val="17"/>
                <w:color w:val="auto"/>
                <w:vertAlign w:val="superscript"/>
              </w:rPr>
              <w:t>3</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the fiscal year</w:t>
            </w:r>
          </w:p>
        </w:tc>
      </w:tr>
      <w:tr>
        <w:trPr>
          <w:trHeight w:val="183"/>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Fiscal year ended October 31, 2005</w:t>
            </w:r>
          </w:p>
        </w:tc>
        <w:tc>
          <w:tcPr>
            <w:tcW w:w="10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Allowance for doubtful accounts and notes receivable reserves</w:t>
            </w:r>
          </w:p>
        </w:tc>
        <w:tc>
          <w:tcPr>
            <w:tcW w:w="108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2,195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570</w:t>
            </w:r>
          </w:p>
        </w:tc>
        <w:tc>
          <w:tcPr>
            <w:tcW w:w="680" w:type="dxa"/>
            <w:vAlign w:val="bottom"/>
            <w:tcBorders>
              <w:bottom w:val="single" w:sz="8" w:color="auto"/>
            </w:tcBorders>
          </w:tcPr>
          <w:p>
            <w:pPr>
              <w:ind w:left="12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147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563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2,349</w:t>
            </w:r>
          </w:p>
        </w:tc>
        <w:tc>
          <w:tcPr>
            <w:tcW w:w="60" w:type="dxa"/>
            <w:vAlign w:val="bottom"/>
            <w:tcBorders>
              <w:bottom w:val="single" w:sz="8" w:color="CCEEFF"/>
            </w:tcBorders>
          </w:tcPr>
          <w:p>
            <w:pPr>
              <w:spacing w:after="0"/>
              <w:rPr>
                <w:sz w:val="19"/>
                <w:szCs w:val="19"/>
                <w:color w:val="auto"/>
              </w:rPr>
            </w:pPr>
          </w:p>
        </w:tc>
      </w:tr>
      <w:tr>
        <w:trPr>
          <w:trHeight w:val="183"/>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Fiscal year ended October 31, 2004</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Allowance for doubtful accounts and notes receivable reserves</w:t>
            </w:r>
          </w:p>
        </w:tc>
        <w:tc>
          <w:tcPr>
            <w:tcW w:w="108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2,421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698</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2,195</w:t>
            </w:r>
          </w:p>
        </w:tc>
        <w:tc>
          <w:tcPr>
            <w:tcW w:w="60" w:type="dxa"/>
            <w:vAlign w:val="bottom"/>
            <w:tcBorders>
              <w:bottom w:val="single" w:sz="8" w:color="CCEEFF"/>
            </w:tcBorders>
          </w:tcPr>
          <w:p>
            <w:pPr>
              <w:spacing w:after="0"/>
              <w:rPr>
                <w:sz w:val="19"/>
                <w:szCs w:val="19"/>
                <w:color w:val="auto"/>
              </w:rPr>
            </w:pPr>
          </w:p>
        </w:tc>
      </w:tr>
      <w:tr>
        <w:trPr>
          <w:trHeight w:val="183"/>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Fiscal year ended October 31, 2003</w:t>
            </w: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56"/>
        </w:trPr>
        <w:tc>
          <w:tcPr>
            <w:tcW w:w="4780" w:type="dxa"/>
            <w:vAlign w:val="bottom"/>
          </w:tcPr>
          <w:p>
            <w:pPr>
              <w:spacing w:after="0"/>
              <w:rPr>
                <w:sz w:val="20"/>
                <w:szCs w:val="20"/>
                <w:color w:val="auto"/>
              </w:rPr>
            </w:pPr>
            <w:r>
              <w:rPr>
                <w:rFonts w:ascii="Arial" w:cs="Arial" w:eastAsia="Arial" w:hAnsi="Arial"/>
                <w:sz w:val="14"/>
                <w:szCs w:val="14"/>
                <w:color w:val="auto"/>
              </w:rPr>
              <w:t>Allowance for doubtful accounts and notes receivable reserves</w:t>
            </w:r>
          </w:p>
        </w:tc>
        <w:tc>
          <w:tcPr>
            <w:tcW w:w="1080" w:type="dxa"/>
            <w:vAlign w:val="bottom"/>
          </w:tcPr>
          <w:p>
            <w:pPr>
              <w:jc w:val="center"/>
              <w:ind w:left="8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7,209</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1,347</w:t>
            </w:r>
          </w:p>
        </w:tc>
        <w:tc>
          <w:tcPr>
            <w:tcW w:w="680" w:type="dxa"/>
            <w:vAlign w:val="bottom"/>
          </w:tcPr>
          <w:p>
            <w:pPr>
              <w:ind w:left="120"/>
              <w:spacing w:after="0" w:line="25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(249 </w:t>
            </w:r>
            <w:r>
              <w:rPr>
                <w:rFonts w:ascii="Arial" w:cs="Arial" w:eastAsia="Arial" w:hAnsi="Arial"/>
                <w:sz w:val="28"/>
                <w:szCs w:val="28"/>
                <w:color w:val="auto"/>
                <w:vertAlign w:val="subscript"/>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5,886</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2,421</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-16510</wp:posOffset>
            </wp:positionV>
            <wp:extent cx="63804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Provision.</w:t>
      </w:r>
    </w:p>
    <w:p>
      <w:pPr>
        <w:spacing w:after="0" w:line="5" w:lineRule="exact"/>
        <w:rPr>
          <w:sz w:val="20"/>
          <w:szCs w:val="20"/>
          <w:color w:val="auto"/>
        </w:rPr>
      </w:pPr>
    </w:p>
    <w:p>
      <w:pPr>
        <w:ind w:left="120" w:hanging="112"/>
        <w:spacing w:after="0"/>
        <w:tabs>
          <w:tab w:leader="none" w:pos="12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Addition (reduction) to allowance for doubtful accounts due to acquisitions and divestitures.</w:t>
      </w:r>
    </w:p>
    <w:p>
      <w:pPr>
        <w:spacing w:after="0" w:line="52"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3</w:t>
      </w:r>
      <w:r>
        <w:rPr>
          <w:rFonts w:ascii="Arial" w:cs="Arial" w:eastAsia="Arial" w:hAnsi="Arial"/>
          <w:sz w:val="14"/>
          <w:szCs w:val="14"/>
          <w:color w:val="auto"/>
        </w:rPr>
        <w:t xml:space="preserve"> Uncollectible accounts charged off.</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18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Balance as of</w:t>
            </w:r>
          </w:p>
        </w:tc>
        <w:tc>
          <w:tcPr>
            <w:tcW w:w="9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Charged to</w:t>
            </w: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Balance as of</w:t>
            </w:r>
          </w:p>
        </w:tc>
        <w:tc>
          <w:tcPr>
            <w:tcW w:w="40" w:type="dxa"/>
            <w:vAlign w:val="bottom"/>
          </w:tcPr>
          <w:p>
            <w:pPr>
              <w:spacing w:after="0"/>
              <w:rPr>
                <w:sz w:val="19"/>
                <w:szCs w:val="19"/>
                <w:color w:val="auto"/>
              </w:rPr>
            </w:pPr>
          </w:p>
        </w:tc>
      </w:tr>
      <w:tr>
        <w:trPr>
          <w:trHeight w:val="18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240" w:type="dxa"/>
            <w:vAlign w:val="bottom"/>
            <w:gridSpan w:val="2"/>
          </w:tcPr>
          <w:p>
            <w:pPr>
              <w:jc w:val="right"/>
              <w:ind w:right="48"/>
              <w:spacing w:after="0"/>
              <w:rPr>
                <w:sz w:val="20"/>
                <w:szCs w:val="20"/>
                <w:color w:val="auto"/>
              </w:rPr>
            </w:pPr>
            <w:r>
              <w:rPr>
                <w:rFonts w:ascii="Arial" w:cs="Arial" w:eastAsia="Arial" w:hAnsi="Arial"/>
                <w:sz w:val="14"/>
                <w:szCs w:val="14"/>
                <w:color w:val="auto"/>
              </w:rPr>
              <w:t>the beginning</w:t>
            </w:r>
          </w:p>
        </w:tc>
        <w:tc>
          <w:tcPr>
            <w:tcW w:w="2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costs and</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the end of</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240" w:type="dxa"/>
            <w:vAlign w:val="bottom"/>
            <w:gridSpan w:val="2"/>
          </w:tcPr>
          <w:p>
            <w:pPr>
              <w:jc w:val="right"/>
              <w:ind w:right="48"/>
              <w:spacing w:after="0"/>
              <w:rPr>
                <w:sz w:val="20"/>
                <w:szCs w:val="20"/>
                <w:color w:val="auto"/>
              </w:rPr>
            </w:pPr>
            <w:r>
              <w:rPr>
                <w:rFonts w:ascii="Arial" w:cs="Arial" w:eastAsia="Arial" w:hAnsi="Arial"/>
                <w:sz w:val="14"/>
                <w:szCs w:val="14"/>
                <w:color w:val="auto"/>
              </w:rPr>
              <w:t>of the fiscal year</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expenses</w:t>
            </w:r>
            <w:r>
              <w:rPr>
                <w:rFonts w:ascii="Arial" w:cs="Arial" w:eastAsia="Arial" w:hAnsi="Arial"/>
                <w:sz w:val="17"/>
                <w:szCs w:val="17"/>
                <w:color w:val="auto"/>
                <w:vertAlign w:val="superscript"/>
              </w:rPr>
              <w:t>1</w:t>
            </w:r>
          </w:p>
        </w:tc>
        <w:tc>
          <w:tcPr>
            <w:tcW w:w="1000" w:type="dxa"/>
            <w:vAlign w:val="bottom"/>
            <w:gridSpan w:val="2"/>
          </w:tcPr>
          <w:p>
            <w:pPr>
              <w:ind w:left="120"/>
              <w:spacing w:after="0"/>
              <w:rPr>
                <w:sz w:val="20"/>
                <w:szCs w:val="20"/>
                <w:color w:val="auto"/>
              </w:rPr>
            </w:pPr>
            <w:r>
              <w:rPr>
                <w:rFonts w:ascii="Arial" w:cs="Arial" w:eastAsia="Arial" w:hAnsi="Arial"/>
                <w:sz w:val="14"/>
                <w:szCs w:val="14"/>
                <w:color w:val="auto"/>
              </w:rPr>
              <w:t>Deductions</w:t>
            </w:r>
            <w:r>
              <w:rPr>
                <w:rFonts w:ascii="Arial" w:cs="Arial" w:eastAsia="Arial" w:hAnsi="Arial"/>
                <w:sz w:val="17"/>
                <w:szCs w:val="17"/>
                <w:color w:val="auto"/>
                <w:vertAlign w:val="superscript"/>
              </w:rPr>
              <w:t>2</w:t>
            </w:r>
          </w:p>
        </w:tc>
        <w:tc>
          <w:tcPr>
            <w:tcW w:w="680" w:type="dxa"/>
            <w:vAlign w:val="bottom"/>
            <w:gridSpan w:val="2"/>
          </w:tcPr>
          <w:p>
            <w:pPr>
              <w:jc w:val="right"/>
              <w:ind w:right="68"/>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3</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the fiscal year</w:t>
            </w:r>
          </w:p>
        </w:tc>
      </w:tr>
      <w:tr>
        <w:trPr>
          <w:trHeight w:val="183"/>
        </w:trPr>
        <w:tc>
          <w:tcPr>
            <w:tcW w:w="20" w:type="dxa"/>
            <w:vAlign w:val="bottom"/>
          </w:tcPr>
          <w:p>
            <w:pPr>
              <w:spacing w:after="0"/>
              <w:rPr>
                <w:sz w:val="15"/>
                <w:szCs w:val="15"/>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Fiscal year ended October 31, 2005</w:t>
            </w:r>
          </w:p>
        </w:tc>
        <w:tc>
          <w:tcPr>
            <w:tcW w:w="16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Accrued advertising and marketing programs</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41,973</w:t>
            </w:r>
          </w:p>
        </w:tc>
        <w:tc>
          <w:tcPr>
            <w:tcW w:w="20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174,106</w:t>
            </w:r>
          </w:p>
        </w:tc>
        <w:tc>
          <w:tcPr>
            <w:tcW w:w="2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168,301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88"/>
              <w:spacing w:after="0"/>
              <w:rPr>
                <w:sz w:val="20"/>
                <w:szCs w:val="20"/>
                <w:color w:val="auto"/>
              </w:rPr>
            </w:pPr>
            <w:r>
              <w:rPr>
                <w:rFonts w:ascii="Arial" w:cs="Arial" w:eastAsia="Arial" w:hAnsi="Arial"/>
                <w:sz w:val="14"/>
                <w:szCs w:val="14"/>
                <w:b w:val="1"/>
                <w:bCs w:val="1"/>
                <w:color w:val="auto"/>
              </w:rPr>
              <w:t>589</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48,367</w:t>
            </w:r>
          </w:p>
        </w:tc>
        <w:tc>
          <w:tcPr>
            <w:tcW w:w="4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Fiscal year ended October 31, 2004</w:t>
            </w:r>
          </w:p>
        </w:tc>
        <w:tc>
          <w:tcPr>
            <w:tcW w:w="16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4"/>
                <w:szCs w:val="14"/>
                <w:color w:val="auto"/>
              </w:rPr>
              <w:t>Accrued advertising and marketing programs</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38,107</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171,412</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167,546</w:t>
            </w:r>
          </w:p>
        </w:tc>
        <w:tc>
          <w:tcPr>
            <w:tcW w:w="240" w:type="dxa"/>
            <w:vAlign w:val="bottom"/>
          </w:tcPr>
          <w:p>
            <w:pPr>
              <w:spacing w:after="0"/>
              <w:rPr>
                <w:sz w:val="19"/>
                <w:szCs w:val="19"/>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41,973</w:t>
            </w:r>
          </w:p>
        </w:tc>
        <w:tc>
          <w:tcPr>
            <w:tcW w:w="4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Fiscal year ended October 31, 2003</w:t>
            </w:r>
          </w:p>
        </w:tc>
        <w:tc>
          <w:tcPr>
            <w:tcW w:w="16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1"/>
        </w:trPr>
        <w:tc>
          <w:tcPr>
            <w:tcW w:w="4200" w:type="dxa"/>
            <w:vAlign w:val="bottom"/>
            <w:gridSpan w:val="2"/>
          </w:tcPr>
          <w:p>
            <w:pPr>
              <w:spacing w:after="0"/>
              <w:rPr>
                <w:sz w:val="20"/>
                <w:szCs w:val="20"/>
                <w:color w:val="auto"/>
              </w:rPr>
            </w:pPr>
            <w:r>
              <w:rPr>
                <w:rFonts w:ascii="Arial" w:cs="Arial" w:eastAsia="Arial" w:hAnsi="Arial"/>
                <w:sz w:val="14"/>
                <w:szCs w:val="14"/>
                <w:color w:val="auto"/>
              </w:rPr>
              <w:t>Accrued advertising and marketing programs</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34,373</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158,872</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155,138</w:t>
            </w:r>
          </w:p>
        </w:tc>
        <w:tc>
          <w:tcPr>
            <w:tcW w:w="240" w:type="dxa"/>
            <w:vAlign w:val="bottom"/>
          </w:tcPr>
          <w:p>
            <w:pPr>
              <w:spacing w:after="0"/>
              <w:rPr>
                <w:sz w:val="20"/>
                <w:szCs w:val="20"/>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38,107</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63976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ind w:left="120" w:hanging="112"/>
        <w:spacing w:after="0" w:line="234" w:lineRule="auto"/>
        <w:tabs>
          <w:tab w:leader="none" w:pos="12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Provision consists of price protection, rebates, cooperative advertising, floor planning costs, commissions, and other promotional program expenses. The expense of each</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program is either classified as a reduction of net sales or as a component of selling, general, and administrative expense.</w:t>
      </w:r>
    </w:p>
    <w:p>
      <w:pPr>
        <w:ind w:left="120" w:hanging="112"/>
        <w:spacing w:after="0" w:line="232" w:lineRule="auto"/>
        <w:tabs>
          <w:tab w:leader="none" w:pos="12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Claims paid.</w:t>
      </w:r>
    </w:p>
    <w:p>
      <w:pPr>
        <w:spacing w:after="0" w:line="23" w:lineRule="exact"/>
        <w:rPr>
          <w:sz w:val="20"/>
          <w:szCs w:val="20"/>
          <w:color w:val="auto"/>
        </w:rPr>
      </w:pPr>
    </w:p>
    <w:p>
      <w:pPr>
        <w:ind w:left="120" w:hanging="112"/>
        <w:spacing w:after="0"/>
        <w:tabs>
          <w:tab w:leader="none" w:pos="12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Addition due to acquisition.</w:t>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4673B6"/>
        </w:rPr>
        <w:t>SIGNATURES</w:t>
      </w:r>
    </w:p>
    <w:p>
      <w:pPr>
        <w:spacing w:after="0" w:line="3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-1905</wp:posOffset>
            </wp:positionV>
            <wp:extent cx="19208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8"/>
          <w:szCs w:val="18"/>
          <w:color w:val="auto"/>
        </w:rPr>
        <w:t>(Registrant)</w:t>
      </w:r>
    </w:p>
    <w:p>
      <w:pPr>
        <w:ind w:left="1540" w:right="820" w:hanging="539"/>
        <w:spacing w:after="0" w:line="242" w:lineRule="auto"/>
        <w:tabs>
          <w:tab w:leader="none" w:pos="1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P. Wolfe Dated: December 22, 2005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-2540</wp:posOffset>
            </wp:positionV>
            <wp:extent cx="19208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8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Vice President – Finance Treasurer</w:t>
      </w:r>
    </w:p>
    <w:p>
      <w:pPr>
        <w:ind w:left="1540"/>
        <w:spacing w:after="0"/>
        <w:rPr>
          <w:sz w:val="20"/>
          <w:szCs w:val="20"/>
          <w:color w:val="auto"/>
        </w:rPr>
      </w:pPr>
      <w:r>
        <w:rPr>
          <w:rFonts w:ascii="Arial" w:cs="Arial" w:eastAsia="Arial" w:hAnsi="Arial"/>
          <w:sz w:val="18"/>
          <w:szCs w:val="18"/>
          <w:color w:val="auto"/>
        </w:rPr>
        <w:t>and Chief Financial Officer</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4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3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21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Date</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Kendrick B. Melrose</w:t>
            </w:r>
          </w:p>
        </w:tc>
        <w:tc>
          <w:tcPr>
            <w:tcW w:w="3040" w:type="dxa"/>
            <w:vAlign w:val="bottom"/>
          </w:tcPr>
          <w:p>
            <w:pPr>
              <w:spacing w:after="0"/>
              <w:rPr>
                <w:sz w:val="20"/>
                <w:szCs w:val="20"/>
                <w:color w:val="auto"/>
              </w:rPr>
            </w:pPr>
            <w:r>
              <w:rPr>
                <w:rFonts w:ascii="Arial" w:cs="Arial" w:eastAsia="Arial" w:hAnsi="Arial"/>
                <w:sz w:val="18"/>
                <w:szCs w:val="18"/>
                <w:color w:val="auto"/>
              </w:rPr>
              <w:t>Executive Chairman of the Board</w:t>
            </w:r>
          </w:p>
        </w:tc>
        <w:tc>
          <w:tcPr>
            <w:tcW w:w="2160" w:type="dxa"/>
            <w:vAlign w:val="bottom"/>
          </w:tcPr>
          <w:p>
            <w:pPr>
              <w:ind w:left="380"/>
              <w:spacing w:after="0"/>
              <w:rPr>
                <w:sz w:val="20"/>
                <w:szCs w:val="20"/>
                <w:color w:val="auto"/>
              </w:rPr>
            </w:pPr>
            <w:r>
              <w:rPr>
                <w:rFonts w:ascii="Arial" w:cs="Arial" w:eastAsia="Arial" w:hAnsi="Arial"/>
                <w:sz w:val="18"/>
                <w:szCs w:val="18"/>
                <w:color w:val="auto"/>
              </w:rPr>
              <w:t>December 22, 2005</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Kendrick B. Melrose</w:t>
            </w:r>
          </w:p>
        </w:tc>
        <w:tc>
          <w:tcPr>
            <w:tcW w:w="304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121" w:lineRule="exact"/>
        <w:rPr>
          <w:sz w:val="20"/>
          <w:szCs w:val="20"/>
          <w:color w:val="auto"/>
        </w:rPr>
      </w:pPr>
    </w:p>
    <w:p>
      <w:pPr>
        <w:sectPr>
          <w:pgSz w:w="11900" w:h="16838" w:orient="portrait"/>
          <w:cols w:equalWidth="0" w:num="1">
            <w:col w:w="11240"/>
          </w:cols>
          <w:pgMar w:left="240" w:top="152" w:right="419" w:bottom="0" w:gutter="0" w:footer="0" w:header="0"/>
        </w:sectPr>
      </w:pPr>
    </w:p>
    <w:p>
      <w:pPr>
        <w:ind w:left="1000"/>
        <w:spacing w:after="0"/>
        <w:tabs>
          <w:tab w:leader="none" w:pos="1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6350</wp:posOffset>
            </wp:positionV>
            <wp:extent cx="2693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Michael J. Hoffman</w:t>
      </w:r>
    </w:p>
    <w:p>
      <w:pPr>
        <w:spacing w:after="0" w:line="347" w:lineRule="exact"/>
        <w:rPr>
          <w:sz w:val="20"/>
          <w:szCs w:val="20"/>
          <w:color w:val="auto"/>
        </w:rPr>
      </w:pPr>
    </w:p>
    <w:p>
      <w:pPr>
        <w:ind w:left="1000"/>
        <w:spacing w:after="0"/>
        <w:tabs>
          <w:tab w:leader="none" w:pos="1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6350</wp:posOffset>
            </wp:positionV>
            <wp:extent cx="26930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Stephen P. Wolfe</w:t>
      </w:r>
    </w:p>
    <w:p>
      <w:pPr>
        <w:spacing w:after="0" w:line="347" w:lineRule="exact"/>
        <w:rPr>
          <w:sz w:val="20"/>
          <w:szCs w:val="20"/>
          <w:color w:val="auto"/>
        </w:rPr>
      </w:pPr>
    </w:p>
    <w:p>
      <w:pPr>
        <w:ind w:left="1000"/>
        <w:spacing w:after="0"/>
        <w:tabs>
          <w:tab w:leader="none" w:pos="1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Randy B.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6350</wp:posOffset>
            </wp:positionV>
            <wp:extent cx="26930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Randy B. James</w:t>
      </w:r>
    </w:p>
    <w:p>
      <w:pPr>
        <w:spacing w:after="0" w:line="131" w:lineRule="exact"/>
        <w:rPr>
          <w:sz w:val="20"/>
          <w:szCs w:val="20"/>
          <w:color w:val="auto"/>
        </w:rPr>
      </w:pPr>
    </w:p>
    <w:p>
      <w:pPr>
        <w:ind w:left="1000"/>
        <w:spacing w:after="0"/>
        <w:tabs>
          <w:tab w:leader="none" w:pos="1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Ronald O. Baukol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6350</wp:posOffset>
            </wp:positionV>
            <wp:extent cx="26930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Ronald O. Baukol</w:t>
      </w:r>
    </w:p>
    <w:p>
      <w:pPr>
        <w:spacing w:after="0" w:line="20" w:lineRule="exact"/>
        <w:rPr>
          <w:sz w:val="20"/>
          <w:szCs w:val="20"/>
          <w:color w:val="auto"/>
        </w:rPr>
      </w:pPr>
      <w:r>
        <w:rPr>
          <w:sz w:val="20"/>
          <w:szCs w:val="20"/>
          <w:color w:val="auto"/>
        </w:rPr>
        <w:br w:type="column"/>
      </w:r>
    </w:p>
    <w:p>
      <w:pPr>
        <w:spacing w:after="0"/>
        <w:tabs>
          <w:tab w:leader="none" w:pos="3400" w:val="left"/>
        </w:tabs>
        <w:rPr>
          <w:sz w:val="20"/>
          <w:szCs w:val="20"/>
          <w:color w:val="auto"/>
        </w:rPr>
      </w:pPr>
      <w:r>
        <w:rPr>
          <w:rFonts w:ascii="Arial" w:cs="Arial" w:eastAsia="Arial" w:hAnsi="Arial"/>
          <w:sz w:val="18"/>
          <w:szCs w:val="18"/>
          <w:color w:val="auto"/>
        </w:rPr>
        <w:t>President and Chief Executive Officer</w:t>
      </w:r>
      <w:r>
        <w:rPr>
          <w:sz w:val="20"/>
          <w:szCs w:val="20"/>
          <w:color w:val="auto"/>
        </w:rPr>
        <w:tab/>
      </w:r>
      <w:r>
        <w:rPr>
          <w:rFonts w:ascii="Arial" w:cs="Arial" w:eastAsia="Arial" w:hAnsi="Arial"/>
          <w:sz w:val="17"/>
          <w:szCs w:val="17"/>
          <w:color w:val="auto"/>
        </w:rPr>
        <w:t>December 22,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31"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Vice President – Finance, Treasurer</w:t>
      </w:r>
      <w:r>
        <w:rPr>
          <w:sz w:val="20"/>
          <w:szCs w:val="20"/>
          <w:color w:val="auto"/>
        </w:rPr>
        <w:tab/>
      </w:r>
      <w:r>
        <w:rPr>
          <w:rFonts w:ascii="Arial" w:cs="Arial" w:eastAsia="Arial" w:hAnsi="Arial"/>
          <w:sz w:val="17"/>
          <w:szCs w:val="17"/>
          <w:color w:val="auto"/>
        </w:rPr>
        <w:t>December 22,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131"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Vice President, Controller</w:t>
      </w:r>
      <w:r>
        <w:rPr>
          <w:sz w:val="20"/>
          <w:szCs w:val="20"/>
          <w:color w:val="auto"/>
        </w:rPr>
        <w:tab/>
      </w:r>
      <w:r>
        <w:rPr>
          <w:rFonts w:ascii="Arial" w:cs="Arial" w:eastAsia="Arial" w:hAnsi="Arial"/>
          <w:sz w:val="17"/>
          <w:szCs w:val="17"/>
          <w:color w:val="auto"/>
        </w:rPr>
        <w:t>December 22,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44" w:lineRule="exact"/>
        <w:rPr>
          <w:sz w:val="20"/>
          <w:szCs w:val="20"/>
          <w:color w:val="auto"/>
        </w:rPr>
      </w:pPr>
    </w:p>
    <w:p>
      <w:pPr>
        <w:spacing w:after="0"/>
        <w:tabs>
          <w:tab w:leader="none" w:pos="34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December 22, 2005</w:t>
      </w:r>
    </w:p>
    <w:p>
      <w:pPr>
        <w:sectPr>
          <w:pgSz w:w="11900" w:h="16838" w:orient="portrait"/>
          <w:cols w:equalWidth="0" w:num="2">
            <w:col w:w="4520" w:space="720"/>
            <w:col w:w="6000"/>
          </w:cols>
          <w:pgMar w:left="240" w:top="152" w:right="419" w:bottom="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17"/>
        </w:trPr>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Robert C. Buhrmaster</w:t>
            </w:r>
          </w:p>
        </w:tc>
        <w:tc>
          <w:tcPr>
            <w:tcW w:w="2020" w:type="dxa"/>
            <w:vAlign w:val="bottom"/>
          </w:tcPr>
          <w:p>
            <w:pPr>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400"/>
              <w:spacing w:after="0"/>
              <w:rPr>
                <w:sz w:val="20"/>
                <w:szCs w:val="20"/>
                <w:color w:val="auto"/>
              </w:rPr>
            </w:pPr>
            <w:r>
              <w:rPr>
                <w:rFonts w:ascii="Arial" w:cs="Arial" w:eastAsia="Arial" w:hAnsi="Arial"/>
                <w:sz w:val="18"/>
                <w:szCs w:val="18"/>
                <w:color w:val="auto"/>
              </w:rPr>
              <w:t>December 22, 2005</w:t>
            </w:r>
          </w:p>
        </w:tc>
      </w:tr>
      <w:tr>
        <w:trPr>
          <w:trHeight w:val="223"/>
        </w:trPr>
        <w:tc>
          <w:tcPr>
            <w:tcW w:w="100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Robert C. Buhrmaster</w:t>
            </w:r>
          </w:p>
        </w:tc>
        <w:tc>
          <w:tcPr>
            <w:tcW w:w="20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38"/>
        </w:trPr>
        <w:tc>
          <w:tcPr>
            <w:tcW w:w="100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Winslow H. Buxton</w:t>
            </w:r>
          </w:p>
        </w:tc>
        <w:tc>
          <w:tcPr>
            <w:tcW w:w="2020" w:type="dxa"/>
            <w:vAlign w:val="bottom"/>
          </w:tcPr>
          <w:p>
            <w:pPr>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400"/>
              <w:spacing w:after="0"/>
              <w:rPr>
                <w:sz w:val="20"/>
                <w:szCs w:val="20"/>
                <w:color w:val="auto"/>
              </w:rPr>
            </w:pPr>
            <w:r>
              <w:rPr>
                <w:rFonts w:ascii="Arial" w:cs="Arial" w:eastAsia="Arial" w:hAnsi="Arial"/>
                <w:sz w:val="18"/>
                <w:szCs w:val="18"/>
                <w:color w:val="auto"/>
              </w:rPr>
              <w:t>December 22, 2005</w:t>
            </w:r>
          </w:p>
        </w:tc>
      </w:tr>
      <w:tr>
        <w:trPr>
          <w:trHeight w:val="223"/>
        </w:trPr>
        <w:tc>
          <w:tcPr>
            <w:tcW w:w="100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Winslow H. Buxton</w:t>
            </w:r>
          </w:p>
        </w:tc>
        <w:tc>
          <w:tcPr>
            <w:tcW w:w="20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38"/>
        </w:trPr>
        <w:tc>
          <w:tcPr>
            <w:tcW w:w="100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Janet K. Cooper</w:t>
            </w:r>
          </w:p>
        </w:tc>
        <w:tc>
          <w:tcPr>
            <w:tcW w:w="2020" w:type="dxa"/>
            <w:vAlign w:val="bottom"/>
          </w:tcPr>
          <w:p>
            <w:pPr>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400"/>
              <w:spacing w:after="0"/>
              <w:rPr>
                <w:sz w:val="20"/>
                <w:szCs w:val="20"/>
                <w:color w:val="auto"/>
              </w:rPr>
            </w:pPr>
            <w:r>
              <w:rPr>
                <w:rFonts w:ascii="Arial" w:cs="Arial" w:eastAsia="Arial" w:hAnsi="Arial"/>
                <w:sz w:val="18"/>
                <w:szCs w:val="18"/>
                <w:color w:val="auto"/>
              </w:rPr>
              <w:t>December 22, 2005</w:t>
            </w:r>
          </w:p>
        </w:tc>
      </w:tr>
      <w:tr>
        <w:trPr>
          <w:trHeight w:val="223"/>
        </w:trPr>
        <w:tc>
          <w:tcPr>
            <w:tcW w:w="100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Janet K. Cooper</w:t>
            </w:r>
          </w:p>
        </w:tc>
        <w:tc>
          <w:tcPr>
            <w:tcW w:w="20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38"/>
        </w:trPr>
        <w:tc>
          <w:tcPr>
            <w:tcW w:w="100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Katherine J. Harless</w:t>
            </w:r>
          </w:p>
        </w:tc>
        <w:tc>
          <w:tcPr>
            <w:tcW w:w="2020" w:type="dxa"/>
            <w:vAlign w:val="bottom"/>
          </w:tcPr>
          <w:p>
            <w:pPr>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400"/>
              <w:spacing w:after="0"/>
              <w:rPr>
                <w:sz w:val="20"/>
                <w:szCs w:val="20"/>
                <w:color w:val="auto"/>
              </w:rPr>
            </w:pPr>
            <w:r>
              <w:rPr>
                <w:rFonts w:ascii="Arial" w:cs="Arial" w:eastAsia="Arial" w:hAnsi="Arial"/>
                <w:sz w:val="18"/>
                <w:szCs w:val="18"/>
                <w:color w:val="auto"/>
              </w:rPr>
              <w:t>December 22, 2005</w:t>
            </w:r>
          </w:p>
        </w:tc>
      </w:tr>
      <w:tr>
        <w:trPr>
          <w:trHeight w:val="223"/>
        </w:trPr>
        <w:tc>
          <w:tcPr>
            <w:tcW w:w="100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Katherine J. Harless</w:t>
            </w:r>
          </w:p>
        </w:tc>
        <w:tc>
          <w:tcPr>
            <w:tcW w:w="20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38"/>
        </w:trPr>
        <w:tc>
          <w:tcPr>
            <w:tcW w:w="100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Robert H. Nassau</w:t>
            </w:r>
          </w:p>
        </w:tc>
        <w:tc>
          <w:tcPr>
            <w:tcW w:w="2020" w:type="dxa"/>
            <w:vAlign w:val="bottom"/>
          </w:tcPr>
          <w:p>
            <w:pPr>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400"/>
              <w:spacing w:after="0"/>
              <w:rPr>
                <w:sz w:val="20"/>
                <w:szCs w:val="20"/>
                <w:color w:val="auto"/>
              </w:rPr>
            </w:pPr>
            <w:r>
              <w:rPr>
                <w:rFonts w:ascii="Arial" w:cs="Arial" w:eastAsia="Arial" w:hAnsi="Arial"/>
                <w:sz w:val="18"/>
                <w:szCs w:val="18"/>
                <w:color w:val="auto"/>
              </w:rPr>
              <w:t>December 22, 2005</w:t>
            </w:r>
          </w:p>
        </w:tc>
      </w:tr>
      <w:tr>
        <w:trPr>
          <w:trHeight w:val="223"/>
        </w:trPr>
        <w:tc>
          <w:tcPr>
            <w:tcW w:w="100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Robert H. Nassau</w:t>
            </w:r>
          </w:p>
        </w:tc>
        <w:tc>
          <w:tcPr>
            <w:tcW w:w="20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38"/>
        </w:trPr>
        <w:tc>
          <w:tcPr>
            <w:tcW w:w="100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Dale R. Olseth</w:t>
            </w:r>
          </w:p>
        </w:tc>
        <w:tc>
          <w:tcPr>
            <w:tcW w:w="2020" w:type="dxa"/>
            <w:vAlign w:val="bottom"/>
          </w:tcPr>
          <w:p>
            <w:pPr>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400"/>
              <w:spacing w:after="0"/>
              <w:rPr>
                <w:sz w:val="20"/>
                <w:szCs w:val="20"/>
                <w:color w:val="auto"/>
              </w:rPr>
            </w:pPr>
            <w:r>
              <w:rPr>
                <w:rFonts w:ascii="Arial" w:cs="Arial" w:eastAsia="Arial" w:hAnsi="Arial"/>
                <w:sz w:val="18"/>
                <w:szCs w:val="18"/>
                <w:color w:val="auto"/>
              </w:rPr>
              <w:t>December 22, 2005</w:t>
            </w:r>
          </w:p>
        </w:tc>
      </w:tr>
      <w:tr>
        <w:trPr>
          <w:trHeight w:val="223"/>
        </w:trPr>
        <w:tc>
          <w:tcPr>
            <w:tcW w:w="100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Dale R. Olseth</w:t>
            </w:r>
          </w:p>
        </w:tc>
        <w:tc>
          <w:tcPr>
            <w:tcW w:w="20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38"/>
        </w:trPr>
        <w:tc>
          <w:tcPr>
            <w:tcW w:w="100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Gregg W. Steinhafel</w:t>
            </w:r>
          </w:p>
        </w:tc>
        <w:tc>
          <w:tcPr>
            <w:tcW w:w="2020" w:type="dxa"/>
            <w:vAlign w:val="bottom"/>
          </w:tcPr>
          <w:p>
            <w:pPr>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400"/>
              <w:spacing w:after="0"/>
              <w:rPr>
                <w:sz w:val="20"/>
                <w:szCs w:val="20"/>
                <w:color w:val="auto"/>
              </w:rPr>
            </w:pPr>
            <w:r>
              <w:rPr>
                <w:rFonts w:ascii="Arial" w:cs="Arial" w:eastAsia="Arial" w:hAnsi="Arial"/>
                <w:sz w:val="18"/>
                <w:szCs w:val="18"/>
                <w:color w:val="auto"/>
              </w:rPr>
              <w:t>December 22, 2005</w:t>
            </w:r>
          </w:p>
        </w:tc>
      </w:tr>
      <w:tr>
        <w:trPr>
          <w:trHeight w:val="223"/>
        </w:trPr>
        <w:tc>
          <w:tcPr>
            <w:tcW w:w="100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Gregg W. Steinhafel</w:t>
            </w:r>
          </w:p>
        </w:tc>
        <w:tc>
          <w:tcPr>
            <w:tcW w:w="20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38"/>
        </w:trPr>
        <w:tc>
          <w:tcPr>
            <w:tcW w:w="100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Christopher A. Twomey</w:t>
            </w:r>
          </w:p>
        </w:tc>
        <w:tc>
          <w:tcPr>
            <w:tcW w:w="2020" w:type="dxa"/>
            <w:vAlign w:val="bottom"/>
          </w:tcPr>
          <w:p>
            <w:pPr>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400"/>
              <w:spacing w:after="0"/>
              <w:rPr>
                <w:sz w:val="20"/>
                <w:szCs w:val="20"/>
                <w:color w:val="auto"/>
              </w:rPr>
            </w:pPr>
            <w:r>
              <w:rPr>
                <w:rFonts w:ascii="Arial" w:cs="Arial" w:eastAsia="Arial" w:hAnsi="Arial"/>
                <w:sz w:val="18"/>
                <w:szCs w:val="18"/>
                <w:color w:val="auto"/>
              </w:rPr>
              <w:t>December 22, 2005</w:t>
            </w:r>
          </w:p>
        </w:tc>
      </w:tr>
      <w:tr>
        <w:trPr>
          <w:trHeight w:val="223"/>
        </w:trPr>
        <w:tc>
          <w:tcPr>
            <w:tcW w:w="100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Christopher A. Twomey</w:t>
            </w:r>
          </w:p>
        </w:tc>
        <w:tc>
          <w:tcPr>
            <w:tcW w:w="20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338"/>
        </w:trPr>
        <w:tc>
          <w:tcPr>
            <w:tcW w:w="100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Edwin H. Wingate</w:t>
            </w:r>
          </w:p>
        </w:tc>
        <w:tc>
          <w:tcPr>
            <w:tcW w:w="2020" w:type="dxa"/>
            <w:vAlign w:val="bottom"/>
          </w:tcPr>
          <w:p>
            <w:pPr>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400"/>
              <w:spacing w:after="0"/>
              <w:rPr>
                <w:sz w:val="20"/>
                <w:szCs w:val="20"/>
                <w:color w:val="auto"/>
              </w:rPr>
            </w:pPr>
            <w:r>
              <w:rPr>
                <w:rFonts w:ascii="Arial" w:cs="Arial" w:eastAsia="Arial" w:hAnsi="Arial"/>
                <w:sz w:val="18"/>
                <w:szCs w:val="18"/>
                <w:color w:val="auto"/>
              </w:rPr>
              <w:t>December 22, 2005</w:t>
            </w:r>
          </w:p>
        </w:tc>
      </w:tr>
      <w:tr>
        <w:trPr>
          <w:trHeight w:val="223"/>
        </w:trPr>
        <w:tc>
          <w:tcPr>
            <w:tcW w:w="100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Edwin H. Wingate</w:t>
            </w:r>
          </w:p>
        </w:tc>
        <w:tc>
          <w:tcPr>
            <w:tcW w:w="202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500"/>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20" w:type="dxa"/>
            <w:vAlign w:val="bottom"/>
          </w:tcPr>
          <w:p>
            <w:pPr>
              <w:ind w:left="380"/>
              <w:spacing w:after="0"/>
              <w:rPr>
                <w:sz w:val="20"/>
                <w:szCs w:val="20"/>
                <w:color w:val="auto"/>
              </w:rPr>
            </w:pPr>
            <w:r>
              <w:rPr>
                <w:rFonts w:ascii="Arial" w:cs="Arial" w:eastAsia="Arial" w:hAnsi="Arial"/>
                <w:sz w:val="18"/>
                <w:szCs w:val="18"/>
                <w:color w:val="auto"/>
              </w:rPr>
              <w:t>57</w:t>
            </w:r>
          </w:p>
        </w:tc>
        <w:tc>
          <w:tcPr>
            <w:tcW w:w="4200" w:type="dxa"/>
            <w:vAlign w:val="bottom"/>
          </w:tcPr>
          <w:p>
            <w:pPr>
              <w:spacing w:after="0"/>
              <w:rPr>
                <w:sz w:val="24"/>
                <w:szCs w:val="24"/>
                <w:color w:val="auto"/>
              </w:rPr>
            </w:pPr>
          </w:p>
        </w:tc>
      </w:tr>
      <w:tr>
        <w:trPr>
          <w:trHeight w:val="375"/>
        </w:trPr>
        <w:tc>
          <w:tcPr>
            <w:tcW w:w="10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3980" w:type="dxa"/>
            <w:vAlign w:val="bottom"/>
            <w:tcBorders>
              <w:bottom w:val="single" w:sz="8" w:color="010101"/>
            </w:tcBorders>
          </w:tcPr>
          <w:p>
            <w:pPr>
              <w:spacing w:after="0"/>
              <w:rPr>
                <w:sz w:val="24"/>
                <w:szCs w:val="24"/>
                <w:color w:val="auto"/>
              </w:rPr>
            </w:pPr>
          </w:p>
        </w:tc>
        <w:tc>
          <w:tcPr>
            <w:tcW w:w="2020" w:type="dxa"/>
            <w:vAlign w:val="bottom"/>
            <w:tcBorders>
              <w:bottom w:val="single" w:sz="8" w:color="010101"/>
            </w:tcBorders>
          </w:tcPr>
          <w:p>
            <w:pPr>
              <w:spacing w:after="0"/>
              <w:rPr>
                <w:sz w:val="24"/>
                <w:szCs w:val="24"/>
                <w:color w:val="auto"/>
              </w:rPr>
            </w:pPr>
          </w:p>
        </w:tc>
        <w:tc>
          <w:tcPr>
            <w:tcW w:w="42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52" w:right="1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 TO CREDIT AGREEMENT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This Amendment No. 1 to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dated as of October 25, 2005 is made by and among </w:t>
      </w:r>
      <w:r>
        <w:rPr>
          <w:rFonts w:ascii="Arial" w:cs="Arial" w:eastAsia="Arial" w:hAnsi="Arial"/>
          <w:sz w:val="18"/>
          <w:szCs w:val="18"/>
          <w:b w:val="1"/>
          <w:bCs w:val="1"/>
          <w:color w:val="auto"/>
        </w:rPr>
        <w:t>THE TORO COMPANY</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Toro</w:t>
      </w:r>
      <w:r>
        <w:rPr>
          <w:rFonts w:ascii="Arial" w:cs="Arial" w:eastAsia="Arial" w:hAnsi="Arial"/>
          <w:sz w:val="18"/>
          <w:szCs w:val="18"/>
          <w:color w:val="auto"/>
        </w:rPr>
        <w:t xml:space="preserve">”), </w:t>
      </w:r>
      <w:r>
        <w:rPr>
          <w:rFonts w:ascii="Arial" w:cs="Arial" w:eastAsia="Arial" w:hAnsi="Arial"/>
          <w:sz w:val="18"/>
          <w:szCs w:val="18"/>
          <w:b w:val="1"/>
          <w:bCs w:val="1"/>
          <w:color w:val="auto"/>
        </w:rPr>
        <w:t>TORO CREDIT COMPANY</w:t>
      </w:r>
      <w:r>
        <w:rPr>
          <w:rFonts w:ascii="Arial" w:cs="Arial" w:eastAsia="Arial" w:hAnsi="Arial"/>
          <w:sz w:val="18"/>
          <w:szCs w:val="18"/>
          <w:color w:val="auto"/>
        </w:rPr>
        <w:t>, a Minnesota corporation (“</w:t>
      </w:r>
      <w:r>
        <w:rPr>
          <w:rFonts w:ascii="Arial" w:cs="Arial" w:eastAsia="Arial" w:hAnsi="Arial"/>
          <w:sz w:val="18"/>
          <w:szCs w:val="18"/>
          <w:u w:val="single" w:color="auto"/>
          <w:color w:val="auto"/>
        </w:rPr>
        <w:t>TCC</w:t>
      </w:r>
      <w:r>
        <w:rPr>
          <w:rFonts w:ascii="Arial" w:cs="Arial" w:eastAsia="Arial" w:hAnsi="Arial"/>
          <w:sz w:val="18"/>
          <w:szCs w:val="18"/>
          <w:color w:val="auto"/>
        </w:rPr>
        <w:t xml:space="preserve">”), </w:t>
      </w:r>
      <w:r>
        <w:rPr>
          <w:rFonts w:ascii="Arial" w:cs="Arial" w:eastAsia="Arial" w:hAnsi="Arial"/>
          <w:sz w:val="18"/>
          <w:szCs w:val="18"/>
          <w:b w:val="1"/>
          <w:bCs w:val="1"/>
          <w:color w:val="auto"/>
        </w:rPr>
        <w:t>TORO MANUFACTURING 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Manufacturing</w:t>
      </w:r>
      <w:r>
        <w:rPr>
          <w:rFonts w:ascii="Arial" w:cs="Arial" w:eastAsia="Arial" w:hAnsi="Arial"/>
          <w:sz w:val="18"/>
          <w:szCs w:val="18"/>
          <w:color w:val="auto"/>
        </w:rPr>
        <w:t xml:space="preserve">”), </w:t>
      </w:r>
      <w:r>
        <w:rPr>
          <w:rFonts w:ascii="Arial" w:cs="Arial" w:eastAsia="Arial" w:hAnsi="Arial"/>
          <w:sz w:val="18"/>
          <w:szCs w:val="18"/>
          <w:b w:val="1"/>
          <w:bCs w:val="1"/>
          <w:color w:val="auto"/>
        </w:rPr>
        <w:t>EXMARK MANUFACTURING COMPANY INCORPORATED</w:t>
      </w:r>
      <w:r>
        <w:rPr>
          <w:rFonts w:ascii="Arial" w:cs="Arial" w:eastAsia="Arial" w:hAnsi="Arial"/>
          <w:sz w:val="18"/>
          <w:szCs w:val="18"/>
          <w:color w:val="auto"/>
        </w:rPr>
        <w:t>, a Nebraska corporation (“</w:t>
      </w:r>
      <w:r>
        <w:rPr>
          <w:rFonts w:ascii="Arial" w:cs="Arial" w:eastAsia="Arial" w:hAnsi="Arial"/>
          <w:sz w:val="18"/>
          <w:szCs w:val="18"/>
          <w:u w:val="single" w:color="auto"/>
          <w:color w:val="auto"/>
        </w:rPr>
        <w:t>Exmark</w:t>
      </w:r>
      <w:r>
        <w:rPr>
          <w:rFonts w:ascii="Arial" w:cs="Arial" w:eastAsia="Arial" w:hAnsi="Arial"/>
          <w:sz w:val="18"/>
          <w:szCs w:val="18"/>
          <w:color w:val="auto"/>
        </w:rPr>
        <w:t>”, together with Toro, TCC, and Manufacturing sometimes collectively referred to herein as the “</w:t>
      </w:r>
      <w:r>
        <w:rPr>
          <w:rFonts w:ascii="Arial" w:cs="Arial" w:eastAsia="Arial" w:hAnsi="Arial"/>
          <w:sz w:val="18"/>
          <w:szCs w:val="18"/>
          <w:u w:val="single" w:color="auto"/>
          <w:color w:val="auto"/>
        </w:rPr>
        <w:t>Companies</w:t>
      </w:r>
      <w:r>
        <w:rPr>
          <w:rFonts w:ascii="Arial" w:cs="Arial" w:eastAsia="Arial" w:hAnsi="Arial"/>
          <w:sz w:val="18"/>
          <w:szCs w:val="18"/>
          <w:color w:val="auto"/>
        </w:rPr>
        <w:t xml:space="preserve">”), and </w:t>
      </w:r>
      <w:r>
        <w:rPr>
          <w:rFonts w:ascii="Arial" w:cs="Arial" w:eastAsia="Arial" w:hAnsi="Arial"/>
          <w:sz w:val="18"/>
          <w:szCs w:val="18"/>
          <w:b w:val="1"/>
          <w:bCs w:val="1"/>
          <w:color w:val="auto"/>
        </w:rPr>
        <w:t>TORO INTERNATIONAL COMPANY</w:t>
      </w:r>
      <w:r>
        <w:rPr>
          <w:rFonts w:ascii="Arial" w:cs="Arial" w:eastAsia="Arial" w:hAnsi="Arial"/>
          <w:sz w:val="18"/>
          <w:szCs w:val="18"/>
          <w:color w:val="auto"/>
        </w:rPr>
        <w:t xml:space="preserve">, a Minnesota corporation, </w:t>
      </w:r>
      <w:r>
        <w:rPr>
          <w:rFonts w:ascii="Arial" w:cs="Arial" w:eastAsia="Arial" w:hAnsi="Arial"/>
          <w:sz w:val="18"/>
          <w:szCs w:val="18"/>
          <w:b w:val="1"/>
          <w:bCs w:val="1"/>
          <w:color w:val="auto"/>
        </w:rPr>
        <w:t>TOVER OVERSEAS B.V.</w:t>
      </w:r>
      <w:r>
        <w:rPr>
          <w:rFonts w:ascii="Arial" w:cs="Arial" w:eastAsia="Arial" w:hAnsi="Arial"/>
          <w:sz w:val="18"/>
          <w:szCs w:val="18"/>
          <w:color w:val="auto"/>
        </w:rPr>
        <w:t xml:space="preserve">, a Netherlands company, and </w:t>
      </w:r>
      <w:r>
        <w:rPr>
          <w:rFonts w:ascii="Arial" w:cs="Arial" w:eastAsia="Arial" w:hAnsi="Arial"/>
          <w:sz w:val="18"/>
          <w:szCs w:val="18"/>
          <w:b w:val="1"/>
          <w:bCs w:val="1"/>
          <w:color w:val="auto"/>
        </w:rPr>
        <w:t>TORO FACTORING COMPANY LIMITED</w:t>
      </w:r>
      <w:r>
        <w:rPr>
          <w:rFonts w:ascii="Arial" w:cs="Arial" w:eastAsia="Arial" w:hAnsi="Arial"/>
          <w:sz w:val="18"/>
          <w:szCs w:val="18"/>
          <w:color w:val="auto"/>
        </w:rPr>
        <w:t>, a Guernsey, Channel Islands company (the “</w:t>
      </w:r>
      <w:r>
        <w:rPr>
          <w:rFonts w:ascii="Arial" w:cs="Arial" w:eastAsia="Arial" w:hAnsi="Arial"/>
          <w:sz w:val="18"/>
          <w:szCs w:val="18"/>
          <w:u w:val="single" w:color="auto"/>
          <w:color w:val="auto"/>
        </w:rPr>
        <w:t>Additional Borrowers</w:t>
      </w:r>
      <w:r>
        <w:rPr>
          <w:rFonts w:ascii="Arial" w:cs="Arial" w:eastAsia="Arial" w:hAnsi="Arial"/>
          <w:sz w:val="18"/>
          <w:szCs w:val="18"/>
          <w:color w:val="auto"/>
        </w:rPr>
        <w:t>”, and together with the Companies,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and </w:t>
      </w: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 Swing Line Lender and L/C Issuer.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225"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Borrowers, the Administrative Agent and the Lenders have entered into that certain Credit Agreement dated as of September 8,</w:t>
      </w:r>
      <w:r>
        <w:rPr>
          <w:rFonts w:ascii="Arial" w:cs="Arial" w:eastAsia="Arial" w:hAnsi="Arial"/>
          <w:sz w:val="18"/>
          <w:szCs w:val="18"/>
          <w:b w:val="1"/>
          <w:bCs w:val="1"/>
          <w:color w:val="auto"/>
        </w:rPr>
        <w:t xml:space="preserve"> </w:t>
      </w:r>
      <w:r>
        <w:rPr>
          <w:rFonts w:ascii="Arial" w:cs="Arial" w:eastAsia="Arial" w:hAnsi="Arial"/>
          <w:sz w:val="18"/>
          <w:szCs w:val="18"/>
          <w:color w:val="auto"/>
        </w:rPr>
        <w:t>2004 (as hereby amended and as from time to time hereafter further amended, modified, supplemented, restated, or amended and restated,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capitalized terms as used in this Agreement not otherwise defined herein shall have the respective meanings given thereto in the Credit Agreement), pursuant to which the Lenders have made available to the Borrowers a revolving credit facility (including a letter of credit facility and a swing line facility); and</w:t>
      </w:r>
    </w:p>
    <w:p>
      <w:pPr>
        <w:spacing w:after="0" w:line="184"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Borrowers have advised the Administrative Agent and the Lenders that the Borrowers desire to amend certain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as set forth herein in connection with adjustments to the Applicable Rate, extension of the Maturity Date and the amount by which the Borrowers can increase the Aggregate Commitments, and the Administrative Agent and the Lenders have agreed so to amend the Credit Agreement on the terms and conditions set forth herein;</w:t>
      </w:r>
    </w:p>
    <w:p>
      <w:pPr>
        <w:spacing w:after="0" w:line="180" w:lineRule="exact"/>
        <w:rPr>
          <w:sz w:val="20"/>
          <w:szCs w:val="20"/>
          <w:color w:val="auto"/>
        </w:rPr>
      </w:pPr>
    </w:p>
    <w:p>
      <w:pPr>
        <w:ind w:right="84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further valuable consideration, the receipt and sufficiency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166" w:lineRule="exact"/>
        <w:rPr>
          <w:sz w:val="20"/>
          <w:szCs w:val="20"/>
          <w:color w:val="auto"/>
        </w:rPr>
      </w:pPr>
    </w:p>
    <w:p>
      <w:pPr>
        <w:ind w:left="1320" w:hanging="664"/>
        <w:spacing w:after="0"/>
        <w:tabs>
          <w:tab w:leader="none" w:pos="132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Amendments to Credit Agreement</w:t>
      </w:r>
      <w:r>
        <w:rPr>
          <w:rFonts w:ascii="Arial" w:cs="Arial" w:eastAsia="Arial" w:hAnsi="Arial"/>
          <w:sz w:val="17"/>
          <w:szCs w:val="17"/>
          <w:color w:val="auto"/>
        </w:rPr>
        <w:t>. Subject to the terms and conditions set forth herein, the Credit Agreement is hereby amended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firstLine="645"/>
        <w:spacing w:after="0" w:line="277" w:lineRule="auto"/>
        <w:tabs>
          <w:tab w:leader="none" w:pos="19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definition of “Applicable Rate”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is hereby amended by deleting the pricing grid and inserting the following new pricing grid in lieu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Eurocurrency</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Pricing</w:t>
            </w:r>
          </w:p>
        </w:tc>
        <w:tc>
          <w:tcPr>
            <w:tcW w:w="2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Debt Ratings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Rate and</w:t>
            </w: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Utilization</w:t>
            </w:r>
          </w:p>
        </w:tc>
        <w:tc>
          <w:tcPr>
            <w:tcW w:w="0" w:type="dxa"/>
            <w:vAlign w:val="bottom"/>
          </w:tcPr>
          <w:p>
            <w:pPr>
              <w:spacing w:after="0"/>
              <w:rPr>
                <w:sz w:val="1"/>
                <w:szCs w:val="1"/>
                <w:color w:val="auto"/>
              </w:rPr>
            </w:pPr>
          </w:p>
        </w:tc>
      </w:tr>
      <w:tr>
        <w:trPr>
          <w:trHeight w:val="149"/>
        </w:trPr>
        <w:tc>
          <w:tcPr>
            <w:tcW w:w="1640" w:type="dxa"/>
            <w:vAlign w:val="bottom"/>
            <w:gridSpan w:val="2"/>
            <w:vMerge w:val="continue"/>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15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Facility Fee</w:t>
            </w:r>
          </w:p>
        </w:tc>
        <w:tc>
          <w:tcPr>
            <w:tcW w:w="300" w:type="dxa"/>
            <w:vAlign w:val="bottom"/>
            <w:vMerge w:val="restart"/>
          </w:tcPr>
          <w:p>
            <w:pPr>
              <w:spacing w:after="0"/>
              <w:rPr>
                <w:sz w:val="12"/>
                <w:szCs w:val="12"/>
                <w:color w:val="auto"/>
              </w:rPr>
            </w:pPr>
          </w:p>
        </w:tc>
        <w:tc>
          <w:tcPr>
            <w:tcW w:w="1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Letters of</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w:t>
            </w:r>
          </w:p>
        </w:tc>
        <w:tc>
          <w:tcPr>
            <w:tcW w:w="380" w:type="dxa"/>
            <w:vAlign w:val="bottom"/>
            <w:tcBorders>
              <w:bottom w:val="single" w:sz="8" w:color="CCEEFF"/>
            </w:tcBorders>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S&amp;P/Moody’s</w:t>
            </w:r>
          </w:p>
        </w:tc>
        <w:tc>
          <w:tcPr>
            <w:tcW w:w="3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Credit</w:t>
            </w:r>
          </w:p>
        </w:tc>
        <w:tc>
          <w:tcPr>
            <w:tcW w:w="30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³ BBB+/Baa1</w:t>
            </w: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0.100%</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1260" w:type="dxa"/>
            <w:vAlign w:val="bottom"/>
          </w:tcPr>
          <w:p>
            <w:pPr>
              <w:jc w:val="right"/>
              <w:ind w:right="495"/>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27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BBB/Baa2</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0.125%</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0.500%</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4"/>
              </w:rPr>
              <w:t>BBB-/Baa3</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0.150%</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0.600%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1260" w:type="dxa"/>
            <w:vAlign w:val="bottom"/>
          </w:tcPr>
          <w:p>
            <w:pPr>
              <w:jc w:val="right"/>
              <w:ind w:right="495"/>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2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BB+/Ba1</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0.175%</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0.825%</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4"/>
              </w:rPr>
              <w:t>£ BB/Ba2</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0.225%</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1.025%</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00" w:firstLine="645"/>
        <w:spacing w:after="0" w:line="277" w:lineRule="auto"/>
        <w:tabs>
          <w:tab w:leader="none" w:pos="1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definition of “Maturity Date”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is hereby amended by deleting the definition in its entirety and inserting the following definition in lieu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Maturity Date</w:t>
      </w:r>
      <w:r>
        <w:rPr>
          <w:rFonts w:ascii="Arial" w:cs="Arial" w:eastAsia="Arial" w:hAnsi="Arial"/>
          <w:sz w:val="18"/>
          <w:szCs w:val="18"/>
          <w:color w:val="auto"/>
        </w:rPr>
        <w:t>’ means October 25, 2010.”</w:t>
      </w:r>
    </w:p>
    <w:p>
      <w:pPr>
        <w:spacing w:after="0" w:line="225" w:lineRule="exact"/>
        <w:rPr>
          <w:sz w:val="20"/>
          <w:szCs w:val="20"/>
          <w:color w:val="auto"/>
        </w:rPr>
      </w:pPr>
    </w:p>
    <w:p>
      <w:pPr>
        <w:ind w:left="660" w:right="540" w:firstLine="645"/>
        <w:spacing w:after="0" w:line="277" w:lineRule="auto"/>
        <w:tabs>
          <w:tab w:leader="none" w:pos="1967"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is hereby amended by deleting the number “$50,000,000” in the fourth line of such subsection and inserting “$75,000,000” in lieu thereof.</w:t>
      </w:r>
    </w:p>
    <w:p>
      <w:pPr>
        <w:spacing w:after="0" w:line="170" w:lineRule="exact"/>
        <w:rPr>
          <w:rFonts w:ascii="Arial" w:cs="Arial" w:eastAsia="Arial" w:hAnsi="Arial"/>
          <w:sz w:val="18"/>
          <w:szCs w:val="18"/>
          <w:color w:val="auto"/>
        </w:rPr>
      </w:pPr>
    </w:p>
    <w:p>
      <w:pPr>
        <w:ind w:right="60" w:firstLine="656"/>
        <w:spacing w:after="0" w:line="277" w:lineRule="auto"/>
        <w:tabs>
          <w:tab w:leader="none" w:pos="131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Agreement and the amendments to the Credit Agreement herein provided are subject to the satisfaction of the following conditions precedent:</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96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Administrative Agent shall have received each of the following documents or instruments in form and substance reasonably acceptable to the Administrative Agent:</w:t>
      </w:r>
    </w:p>
    <w:p>
      <w:pPr>
        <w:spacing w:after="0" w:line="170" w:lineRule="exact"/>
        <w:rPr>
          <w:rFonts w:ascii="Arial" w:cs="Arial" w:eastAsia="Arial" w:hAnsi="Arial"/>
          <w:sz w:val="18"/>
          <w:szCs w:val="18"/>
          <w:color w:val="auto"/>
        </w:rPr>
      </w:pPr>
    </w:p>
    <w:p>
      <w:pPr>
        <w:ind w:left="1300" w:right="420" w:firstLine="653"/>
        <w:spacing w:after="0" w:line="277" w:lineRule="auto"/>
        <w:tabs>
          <w:tab w:leader="none" w:pos="2618" w:val="left"/>
        </w:tabs>
        <w:numPr>
          <w:ilvl w:val="2"/>
          <w:numId w:val="73"/>
        </w:numPr>
        <w:rPr>
          <w:rFonts w:ascii="Arial" w:cs="Arial" w:eastAsia="Arial" w:hAnsi="Arial"/>
          <w:sz w:val="18"/>
          <w:szCs w:val="18"/>
          <w:color w:val="auto"/>
        </w:rPr>
      </w:pPr>
      <w:r>
        <w:rPr>
          <w:rFonts w:ascii="Arial" w:cs="Arial" w:eastAsia="Arial" w:hAnsi="Arial"/>
          <w:sz w:val="18"/>
          <w:szCs w:val="18"/>
          <w:color w:val="auto"/>
        </w:rPr>
        <w:t>ten (10) original counterparts of this Agreement, duly executed by the Borrowers, the Administrative Agent, and the Required Lenders, together with all schedules and exhibits thereto duly completed;</w:t>
      </w:r>
    </w:p>
    <w:p>
      <w:pPr>
        <w:spacing w:after="0" w:line="170" w:lineRule="exact"/>
        <w:rPr>
          <w:rFonts w:ascii="Arial" w:cs="Arial" w:eastAsia="Arial" w:hAnsi="Arial"/>
          <w:sz w:val="18"/>
          <w:szCs w:val="18"/>
          <w:color w:val="auto"/>
        </w:rPr>
      </w:pPr>
    </w:p>
    <w:p>
      <w:pPr>
        <w:ind w:left="1300" w:right="380" w:firstLine="653"/>
        <w:spacing w:after="0" w:line="277" w:lineRule="auto"/>
        <w:tabs>
          <w:tab w:leader="none" w:pos="2627" w:val="left"/>
        </w:tabs>
        <w:numPr>
          <w:ilvl w:val="2"/>
          <w:numId w:val="73"/>
        </w:numPr>
        <w:rPr>
          <w:rFonts w:ascii="Arial" w:cs="Arial" w:eastAsia="Arial" w:hAnsi="Arial"/>
          <w:sz w:val="18"/>
          <w:szCs w:val="18"/>
          <w:color w:val="auto"/>
        </w:rPr>
      </w:pPr>
      <w:r>
        <w:rPr>
          <w:rFonts w:ascii="Arial" w:cs="Arial" w:eastAsia="Arial" w:hAnsi="Arial"/>
          <w:sz w:val="18"/>
          <w:szCs w:val="18"/>
          <w:color w:val="auto"/>
        </w:rPr>
        <w:t>such other documents, instruments, opinions, certifications, undertakings, further assurances and other matters as the Administrative Agent shall reasonably require.</w:t>
      </w:r>
    </w:p>
    <w:p>
      <w:pPr>
        <w:spacing w:after="0" w:line="170" w:lineRule="exact"/>
        <w:rPr>
          <w:rFonts w:ascii="Arial" w:cs="Arial" w:eastAsia="Arial" w:hAnsi="Arial"/>
          <w:sz w:val="18"/>
          <w:szCs w:val="18"/>
          <w:color w:val="auto"/>
        </w:rPr>
      </w:pPr>
    </w:p>
    <w:p>
      <w:pPr>
        <w:ind w:left="660" w:right="20" w:firstLine="645"/>
        <w:spacing w:after="0" w:line="259" w:lineRule="auto"/>
        <w:tabs>
          <w:tab w:leader="none" w:pos="1964" w:val="left"/>
        </w:tabs>
        <w:numPr>
          <w:ilvl w:val="1"/>
          <w:numId w:val="73"/>
        </w:numPr>
        <w:rPr>
          <w:rFonts w:ascii="Arial" w:cs="Arial" w:eastAsia="Arial" w:hAnsi="Arial"/>
          <w:sz w:val="18"/>
          <w:szCs w:val="18"/>
          <w:color w:val="auto"/>
        </w:rPr>
      </w:pPr>
      <w:r>
        <w:rPr>
          <w:rFonts w:ascii="Arial" w:cs="Arial" w:eastAsia="Arial" w:hAnsi="Arial"/>
          <w:sz w:val="18"/>
          <w:szCs w:val="18"/>
          <w:color w:val="auto"/>
        </w:rPr>
        <w:t>payment of (i) all reasonable out of pocket fees and expenses of counsel to the Administrative Agent incurred in connection with the execution and delivery of this Agreement to the extent invoiced prior to the date hereof; (ii) an upfront fee to each Lender executing this Agreement by 12:00 noon (Eastern time) on October 25, 2005, such upfront fee for each such Lender’s own account; and (iii) all other fees agreed to be paid.</w:t>
      </w:r>
    </w:p>
    <w:p>
      <w:pPr>
        <w:spacing w:after="0" w:line="186" w:lineRule="exact"/>
        <w:rPr>
          <w:rFonts w:ascii="Arial" w:cs="Arial" w:eastAsia="Arial" w:hAnsi="Arial"/>
          <w:sz w:val="18"/>
          <w:szCs w:val="18"/>
          <w:color w:val="auto"/>
        </w:rPr>
      </w:pPr>
    </w:p>
    <w:p>
      <w:pPr>
        <w:ind w:right="480" w:firstLine="656"/>
        <w:spacing w:after="0" w:line="277" w:lineRule="auto"/>
        <w:tabs>
          <w:tab w:leader="none" w:pos="131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Reaffirmation by each of the Borrowers</w:t>
      </w:r>
      <w:r>
        <w:rPr>
          <w:rFonts w:ascii="Arial" w:cs="Arial" w:eastAsia="Arial" w:hAnsi="Arial"/>
          <w:sz w:val="18"/>
          <w:szCs w:val="18"/>
          <w:color w:val="auto"/>
        </w:rPr>
        <w:t>. Each of the Borrowers hereby consents, acknowledges and agrees to the amendments of the Credit Agreement set forth herein.</w:t>
      </w:r>
    </w:p>
    <w:p>
      <w:pPr>
        <w:sectPr>
          <w:pgSz w:w="11900" w:h="16838" w:orient="portrait"/>
          <w:cols w:equalWidth="0" w:num="1">
            <w:col w:w="11420"/>
          </w:cols>
          <w:pgMar w:left="240" w:top="121" w:right="239" w:bottom="139" w:gutter="0" w:footer="0" w:header="0"/>
        </w:sectPr>
      </w:pPr>
    </w:p>
    <w:bookmarkStart w:id="50" w:name="page51"/>
    <w:bookmarkEnd w:id="50"/>
    <w:p>
      <w:pPr>
        <w:spacing w:after="0" w:line="32" w:lineRule="exact"/>
        <w:rPr>
          <w:sz w:val="20"/>
          <w:szCs w:val="20"/>
          <w:color w:val="auto"/>
        </w:rPr>
      </w:pPr>
    </w:p>
    <w:p>
      <w:pPr>
        <w:ind w:right="400" w:firstLine="656"/>
        <w:spacing w:after="0" w:line="277" w:lineRule="auto"/>
        <w:tabs>
          <w:tab w:leader="none" w:pos="131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In order to induce the Administrative Agent and the Lenders to enter into this Agreement, each of the Borrowers represents and warrants to the Administrative Agent and the Lenders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00" w:firstLine="645"/>
        <w:spacing w:after="0" w:line="255" w:lineRule="auto"/>
        <w:tabs>
          <w:tab w:leader="none" w:pos="1967"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(i) the Borrowers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(after giving effect to this Agreement) and (ii) each Loan Party contained in each other Loan Document or in any document furnished at any time under or in connection herewith or therewith, shall be true and correct on and as of the date hereof, except to the extent that such representations and warranties specifically refer to an earlier date, in which case they shall be true and correct as of such earlier date, and except that for purposes of this Agreement, the representations and warranties contained in subsections (a) and (b)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clauses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660" w:right="380" w:firstLine="645"/>
        <w:spacing w:after="0" w:line="264" w:lineRule="auto"/>
        <w:tabs>
          <w:tab w:leader="none" w:pos="1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There does not exist any pending or threatened action, suit, investigation or proceeding in any court or before any arbitrator or Governmental Authority that purports to affect any transaction contemplated under this Agreement or the ability of any Borrower to perform its respective obligations under this Agreement;</w:t>
      </w:r>
    </w:p>
    <w:p>
      <w:pPr>
        <w:spacing w:after="0" w:line="181" w:lineRule="exact"/>
        <w:rPr>
          <w:rFonts w:ascii="Arial" w:cs="Arial" w:eastAsia="Arial" w:hAnsi="Arial"/>
          <w:sz w:val="18"/>
          <w:szCs w:val="18"/>
          <w:color w:val="auto"/>
        </w:rPr>
      </w:pPr>
    </w:p>
    <w:p>
      <w:pPr>
        <w:ind w:left="660" w:right="360" w:firstLine="645"/>
        <w:spacing w:after="0" w:line="312" w:lineRule="auto"/>
        <w:tabs>
          <w:tab w:leader="none" w:pos="1967"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There has not occurred since October 31, 2004, any event or circumstance that has resulted or could reasonably be expected to result in a Material Adverse Effect or a material adverse change in or a material adverse effect upon the business, assets, liabilities (actual or contingent), operations, condition (financial or otherwise), or prospects of Toro and its Subsidiaries taken as a whole; and</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5" w:lineRule="exact"/>
        <w:rPr>
          <w:rFonts w:ascii="Arial" w:cs="Arial" w:eastAsia="Arial" w:hAnsi="Arial"/>
          <w:sz w:val="18"/>
          <w:szCs w:val="18"/>
          <w:color w:val="auto"/>
        </w:rPr>
      </w:pPr>
    </w:p>
    <w:p>
      <w:pPr>
        <w:ind w:right="100" w:firstLine="656"/>
        <w:spacing w:after="0" w:line="255" w:lineRule="auto"/>
        <w:tabs>
          <w:tab w:leader="none" w:pos="131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all the Loan Documents (collectively, the “</w:t>
      </w:r>
      <w:r>
        <w:rPr>
          <w:rFonts w:ascii="Arial" w:cs="Arial" w:eastAsia="Arial" w:hAnsi="Arial"/>
          <w:sz w:val="18"/>
          <w:szCs w:val="18"/>
          <w:u w:val="single" w:color="auto"/>
          <w:color w:val="auto"/>
        </w:rPr>
        <w:t>Relevant Documents</w:t>
      </w:r>
      <w:r>
        <w:rPr>
          <w:rFonts w:ascii="Arial" w:cs="Arial" w:eastAsia="Arial" w:hAnsi="Arial"/>
          <w:sz w:val="18"/>
          <w:szCs w:val="18"/>
          <w:color w:val="auto"/>
        </w:rPr>
        <w:t xml:space="preserve">”), sets forth the entire understanding and agreement of the parties hereto in relation to the subject matter hereof and supersedes any prior negotiations and agreements among the parties relative to such subject matter. No promise, condition, representation or warranty, express or implied, not herein set forth shall bind any party hereto, and not one of them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None of the terms or conditions of this Agreement may be changed, modified, waived or canceled orally or otherwise, except as permitted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Credit Agreement.</w:t>
      </w:r>
    </w:p>
    <w:p>
      <w:pPr>
        <w:spacing w:after="0" w:line="189" w:lineRule="exact"/>
        <w:rPr>
          <w:rFonts w:ascii="Arial" w:cs="Arial" w:eastAsia="Arial" w:hAnsi="Arial"/>
          <w:sz w:val="18"/>
          <w:szCs w:val="18"/>
          <w:color w:val="auto"/>
        </w:rPr>
      </w:pPr>
    </w:p>
    <w:p>
      <w:pPr>
        <w:ind w:right="20" w:firstLine="656"/>
        <w:spacing w:after="0" w:line="264" w:lineRule="auto"/>
        <w:tabs>
          <w:tab w:leader="none" w:pos="131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Full Force and Effect of Agreement</w:t>
      </w:r>
      <w:r>
        <w:rPr>
          <w:rFonts w:ascii="Arial" w:cs="Arial" w:eastAsia="Arial" w:hAnsi="Arial"/>
          <w:sz w:val="18"/>
          <w:szCs w:val="18"/>
          <w:color w:val="auto"/>
        </w:rPr>
        <w:t>. Except as hereby specifically amended, modified or supplemented, the Credit Agreement and all other Loan Documents are hereby confirmed and ratified in all respects by each party hereto and shall be and remain in full force and effect according to their respective terms.</w:t>
      </w:r>
    </w:p>
    <w:p>
      <w:pPr>
        <w:spacing w:after="0" w:line="181" w:lineRule="exact"/>
        <w:rPr>
          <w:rFonts w:ascii="Arial" w:cs="Arial" w:eastAsia="Arial" w:hAnsi="Arial"/>
          <w:sz w:val="18"/>
          <w:szCs w:val="18"/>
          <w:color w:val="auto"/>
        </w:rPr>
      </w:pPr>
    </w:p>
    <w:p>
      <w:pPr>
        <w:ind w:right="220" w:firstLine="656"/>
        <w:spacing w:after="0" w:line="277" w:lineRule="auto"/>
        <w:tabs>
          <w:tab w:leader="none" w:pos="131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as against any party whose signature appears thereon, and all of which shall together constitute one and the same instrument.</w:t>
      </w:r>
    </w:p>
    <w:p>
      <w:pPr>
        <w:spacing w:after="0" w:line="170" w:lineRule="exact"/>
        <w:rPr>
          <w:rFonts w:ascii="Arial" w:cs="Arial" w:eastAsia="Arial" w:hAnsi="Arial"/>
          <w:sz w:val="18"/>
          <w:szCs w:val="18"/>
          <w:color w:val="auto"/>
        </w:rPr>
      </w:pPr>
    </w:p>
    <w:p>
      <w:pPr>
        <w:ind w:left="5660" w:right="60" w:hanging="5004"/>
        <w:spacing w:after="0" w:line="528" w:lineRule="auto"/>
        <w:tabs>
          <w:tab w:leader="none" w:pos="130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in all respects be governed by, and construed in accordance with, the laws of the state of New York. 3</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right="100" w:firstLine="656"/>
        <w:spacing w:after="0" w:line="277" w:lineRule="auto"/>
        <w:tabs>
          <w:tab w:leader="none" w:pos="131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Should any one or more of the provisions of this Agreement be determined to be illegal or unenforceable as to one or more of the parties hereto, all other provisions nevertheless shall remain effective and binding on the parties hereto.</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References</w:t>
      </w:r>
      <w:r>
        <w:rPr>
          <w:rFonts w:ascii="Arial" w:cs="Arial" w:eastAsia="Arial" w:hAnsi="Arial"/>
          <w:sz w:val="16"/>
          <w:szCs w:val="16"/>
          <w:color w:val="auto"/>
        </w:rPr>
        <w:t>. All references in any of the Loan Documents to the “Credit Agreement” shall mean the Credit Agreement, as amended hereby.</w:t>
      </w:r>
    </w:p>
    <w:p>
      <w:pPr>
        <w:spacing w:after="0" w:line="248" w:lineRule="exact"/>
        <w:rPr>
          <w:rFonts w:ascii="Arial" w:cs="Arial" w:eastAsia="Arial" w:hAnsi="Arial"/>
          <w:sz w:val="16"/>
          <w:szCs w:val="16"/>
          <w:color w:val="auto"/>
        </w:rPr>
      </w:pPr>
    </w:p>
    <w:p>
      <w:pPr>
        <w:ind w:right="160" w:firstLine="656"/>
        <w:spacing w:after="0" w:line="264" w:lineRule="auto"/>
        <w:tabs>
          <w:tab w:leader="none" w:pos="131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and inure to the benefit of the Borrowers, the Administrative Agent and each of the Lenders, and their respective successors, assigns and legal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Borrower, without the prior consent of the Required Lenders, may assign any rights, powers, duties or obligations hereunder.</w:t>
      </w:r>
    </w:p>
    <w:p>
      <w:pPr>
        <w:spacing w:after="0" w:line="181" w:lineRule="exact"/>
        <w:rPr>
          <w:rFonts w:ascii="Arial" w:cs="Arial" w:eastAsia="Arial" w:hAnsi="Arial"/>
          <w:sz w:val="18"/>
          <w:szCs w:val="18"/>
          <w:color w:val="auto"/>
        </w:rPr>
      </w:pPr>
    </w:p>
    <w:p>
      <w:pPr>
        <w:ind w:right="100" w:firstLine="656"/>
        <w:spacing w:after="0" w:line="277" w:lineRule="auto"/>
        <w:tabs>
          <w:tab w:leader="none" w:pos="131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Toro agrees to pay to the Administrative Agent all reasonable out-of-pocket expenses incurred or arising in connection with the negotiation and preparation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-1899285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No. 1 to Credit Agreement to be made, executed and delivered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officers as of the day and year first above written.</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THE TORO COMPANY</w:t>
      </w:r>
    </w:p>
    <w:p>
      <w:pPr>
        <w:spacing w:after="0" w:line="200" w:lineRule="exact"/>
        <w:rPr>
          <w:sz w:val="20"/>
          <w:szCs w:val="20"/>
          <w:color w:val="auto"/>
        </w:rPr>
      </w:pPr>
    </w:p>
    <w:p>
      <w:pPr>
        <w:spacing w:after="0" w:line="245" w:lineRule="exact"/>
        <w:rPr>
          <w:sz w:val="20"/>
          <w:szCs w:val="20"/>
          <w:color w:val="auto"/>
        </w:rPr>
      </w:pPr>
    </w:p>
    <w:tbl>
      <w:tblPr>
        <w:tblLayout w:type="fixed"/>
        <w:tblInd w:w="55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Wolfe</w:t>
            </w:r>
          </w:p>
        </w:tc>
        <w:tc>
          <w:tcPr>
            <w:tcW w:w="1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P. Wolfe</w:t>
            </w:r>
          </w:p>
        </w:tc>
        <w:tc>
          <w:tcPr>
            <w:tcW w:w="1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 Finance, Treasurer &amp; CFO</w:t>
            </w:r>
          </w:p>
        </w:tc>
        <w:tc>
          <w:tcPr>
            <w:tcW w:w="1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Larson</w:t>
            </w: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J. Larson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ectPr>
          <w:pgSz w:w="11900" w:h="16870" w:orient="portrait"/>
          <w:cols w:equalWidth="0" w:num="1">
            <w:col w:w="11420"/>
          </w:cols>
          <w:pgMar w:left="240" w:top="125" w:right="239" w:bottom="0" w:gutter="0" w:footer="0" w:header="0"/>
        </w:sectPr>
      </w:pPr>
    </w:p>
    <w:bookmarkStart w:id="51" w:name="page52"/>
    <w:bookmarkEnd w:id="51"/>
    <w:p>
      <w:pPr>
        <w:spacing w:after="0" w:line="18" w:lineRule="exact"/>
        <w:rPr>
          <w:sz w:val="20"/>
          <w:szCs w:val="20"/>
          <w:color w:val="auto"/>
        </w:rPr>
      </w:pPr>
    </w:p>
    <w:p>
      <w:pPr>
        <w:ind w:left="5560"/>
        <w:spacing w:after="0"/>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Assistant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23837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TORO CREDIT COMPANY</w:t>
      </w:r>
    </w:p>
    <w:p>
      <w:pPr>
        <w:spacing w:after="0" w:line="200" w:lineRule="exact"/>
        <w:rPr>
          <w:sz w:val="20"/>
          <w:szCs w:val="20"/>
          <w:color w:val="auto"/>
        </w:rPr>
      </w:pPr>
    </w:p>
    <w:p>
      <w:pPr>
        <w:spacing w:after="0" w:line="245" w:lineRule="exact"/>
        <w:rPr>
          <w:sz w:val="20"/>
          <w:szCs w:val="20"/>
          <w:color w:val="auto"/>
        </w:rPr>
      </w:pPr>
    </w:p>
    <w:tbl>
      <w:tblPr>
        <w:tblLayout w:type="fixed"/>
        <w:tblInd w:w="55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Larson</w:t>
            </w:r>
          </w:p>
        </w:tc>
        <w:tc>
          <w:tcPr>
            <w:tcW w:w="340" w:type="dxa"/>
            <w:vAlign w:val="bottom"/>
            <w:tcBorders>
              <w:bottom w:val="single" w:sz="8" w:color="auto"/>
            </w:tcBorders>
          </w:tcPr>
          <w:p>
            <w:pPr>
              <w:spacing w:after="0"/>
              <w:rPr>
                <w:sz w:val="20"/>
                <w:szCs w:val="20"/>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J. Larson</w:t>
            </w:r>
          </w:p>
        </w:tc>
        <w:tc>
          <w:tcPr>
            <w:tcW w:w="340" w:type="dxa"/>
            <w:vAlign w:val="bottom"/>
          </w:tcPr>
          <w:p>
            <w:pPr>
              <w:spacing w:after="0"/>
              <w:rPr>
                <w:sz w:val="18"/>
                <w:szCs w:val="18"/>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Secretary - Treasurer</w:t>
            </w:r>
          </w:p>
        </w:tc>
        <w:tc>
          <w:tcPr>
            <w:tcW w:w="340" w:type="dxa"/>
            <w:vAlign w:val="bottom"/>
          </w:tcPr>
          <w:p>
            <w:pPr>
              <w:spacing w:after="0"/>
              <w:rPr>
                <w:sz w:val="18"/>
                <w:szCs w:val="18"/>
                <w:color w:val="auto"/>
              </w:rPr>
            </w:pPr>
          </w:p>
        </w:tc>
      </w:tr>
    </w:tbl>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TORO MANUFACTURING LLC</w:t>
      </w:r>
    </w:p>
    <w:p>
      <w:pPr>
        <w:spacing w:after="0" w:line="200" w:lineRule="exact"/>
        <w:rPr>
          <w:sz w:val="20"/>
          <w:szCs w:val="20"/>
          <w:color w:val="auto"/>
        </w:rPr>
      </w:pPr>
    </w:p>
    <w:p>
      <w:pPr>
        <w:spacing w:after="0" w:line="245" w:lineRule="exact"/>
        <w:rPr>
          <w:sz w:val="20"/>
          <w:szCs w:val="20"/>
          <w:color w:val="auto"/>
        </w:rPr>
      </w:pPr>
    </w:p>
    <w:tbl>
      <w:tblPr>
        <w:tblLayout w:type="fixed"/>
        <w:tblInd w:w="55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Stephen P. Wolfe</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Stephen P. Wolfe</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4260" w:type="dxa"/>
            <w:vAlign w:val="bottom"/>
          </w:tcPr>
          <w:p>
            <w:pPr>
              <w:spacing w:after="0"/>
              <w:rPr>
                <w:sz w:val="18"/>
                <w:szCs w:val="18"/>
                <w:color w:val="auto"/>
              </w:rPr>
            </w:pPr>
          </w:p>
        </w:tc>
      </w:tr>
    </w:tbl>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EXMARK MANUFACTURING COMPANY</w:t>
      </w:r>
    </w:p>
    <w:p>
      <w:pPr>
        <w:spacing w:after="0" w:line="27"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INCORPORATED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ind w:left="55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Lawrence McIntyre</w:t>
            </w:r>
          </w:p>
        </w:tc>
        <w:tc>
          <w:tcPr>
            <w:tcW w:w="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6240" w:type="dxa"/>
            <w:vAlign w:val="bottom"/>
          </w:tcPr>
          <w:p>
            <w:pPr>
              <w:ind w:left="5560"/>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 Lawrence McIntyre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240" w:type="dxa"/>
            <w:vAlign w:val="bottom"/>
          </w:tcPr>
          <w:p>
            <w:pPr>
              <w:ind w:left="5560"/>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&amp; Secretary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6"/>
        </w:trPr>
        <w:tc>
          <w:tcPr>
            <w:tcW w:w="624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6240" w:type="dxa"/>
            <w:vAlign w:val="bottom"/>
            <w:tcBorders>
              <w:bottom w:val="single" w:sz="8" w:color="808080"/>
            </w:tcBorders>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TORO INTERNATIONAL COMPANY</w:t>
      </w:r>
    </w:p>
    <w:p>
      <w:pPr>
        <w:spacing w:after="0" w:line="200" w:lineRule="exact"/>
        <w:rPr>
          <w:sz w:val="20"/>
          <w:szCs w:val="20"/>
          <w:color w:val="auto"/>
        </w:rPr>
      </w:pPr>
    </w:p>
    <w:p>
      <w:pPr>
        <w:spacing w:after="0" w:line="245"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Lawrence McIntyre</w:t>
            </w:r>
          </w:p>
        </w:tc>
        <w:tc>
          <w:tcPr>
            <w:tcW w:w="10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 Lawrence McIntyre</w:t>
            </w:r>
          </w:p>
        </w:tc>
        <w:tc>
          <w:tcPr>
            <w:tcW w:w="104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&amp; Secretary</w:t>
            </w:r>
          </w:p>
        </w:tc>
        <w:tc>
          <w:tcPr>
            <w:tcW w:w="104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r>
      <w:tr>
        <w:trPr>
          <w:trHeight w:val="628"/>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TOVER OVERSEAS B.V.</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Paula Graff</w:t>
            </w: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Paula Graff</w:t>
            </w: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400"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TORO FACTORING COMPANY LIMITED</w:t>
      </w:r>
    </w:p>
    <w:p>
      <w:pPr>
        <w:spacing w:after="0" w:line="200" w:lineRule="exact"/>
        <w:rPr>
          <w:sz w:val="20"/>
          <w:szCs w:val="20"/>
          <w:color w:val="auto"/>
        </w:rPr>
      </w:pPr>
    </w:p>
    <w:p>
      <w:pPr>
        <w:spacing w:after="0" w:line="245"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Paula Graff</w:t>
            </w:r>
          </w:p>
        </w:tc>
        <w:tc>
          <w:tcPr>
            <w:tcW w:w="2680" w:type="dxa"/>
            <w:vAlign w:val="bottom"/>
            <w:tcBorders>
              <w:bottom w:val="single" w:sz="8" w:color="auto"/>
            </w:tcBorders>
          </w:tcPr>
          <w:p>
            <w:pPr>
              <w:spacing w:after="0"/>
              <w:rPr>
                <w:sz w:val="20"/>
                <w:szCs w:val="20"/>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Paula Graff</w:t>
            </w:r>
          </w:p>
        </w:tc>
        <w:tc>
          <w:tcPr>
            <w:tcW w:w="2680" w:type="dxa"/>
            <w:vAlign w:val="bottom"/>
          </w:tcPr>
          <w:p>
            <w:pPr>
              <w:spacing w:after="0"/>
              <w:rPr>
                <w:sz w:val="18"/>
                <w:szCs w:val="18"/>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c>
          <w:tcPr>
            <w:tcW w:w="2680" w:type="dxa"/>
            <w:vAlign w:val="bottom"/>
          </w:tcPr>
          <w:p>
            <w:pPr>
              <w:spacing w:after="0"/>
              <w:rPr>
                <w:sz w:val="18"/>
                <w:szCs w:val="18"/>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w:t>
      </w:r>
    </w:p>
    <w:p>
      <w:pPr>
        <w:spacing w:after="0" w:line="200" w:lineRule="exact"/>
        <w:rPr>
          <w:sz w:val="20"/>
          <w:szCs w:val="20"/>
          <w:color w:val="auto"/>
        </w:rPr>
      </w:pPr>
    </w:p>
    <w:p>
      <w:pPr>
        <w:spacing w:after="0" w:line="245"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Folino</w:t>
            </w:r>
          </w:p>
        </w:tc>
        <w:tc>
          <w:tcPr>
            <w:tcW w:w="2760" w:type="dxa"/>
            <w:vAlign w:val="bottom"/>
            <w:tcBorders>
              <w:bottom w:val="single" w:sz="8" w:color="auto"/>
            </w:tcBorders>
          </w:tcPr>
          <w:p>
            <w:pPr>
              <w:spacing w:after="0"/>
              <w:rPr>
                <w:sz w:val="20"/>
                <w:szCs w:val="20"/>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Folino</w:t>
            </w:r>
          </w:p>
        </w:tc>
        <w:tc>
          <w:tcPr>
            <w:tcW w:w="2760" w:type="dxa"/>
            <w:vAlign w:val="bottom"/>
          </w:tcPr>
          <w:p>
            <w:pPr>
              <w:spacing w:after="0"/>
              <w:rPr>
                <w:sz w:val="18"/>
                <w:szCs w:val="18"/>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Assistant Vice President</w:t>
            </w:r>
          </w:p>
        </w:tc>
        <w:tc>
          <w:tcPr>
            <w:tcW w:w="2760" w:type="dxa"/>
            <w:vAlign w:val="bottom"/>
          </w:tcPr>
          <w:p>
            <w:pPr>
              <w:spacing w:after="0"/>
              <w:rPr>
                <w:sz w:val="18"/>
                <w:szCs w:val="18"/>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Lender, L/C</w:t>
      </w:r>
    </w:p>
    <w:p>
      <w:pPr>
        <w:spacing w:after="0" w:line="2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Issuer and Swing Line Lender</w:t>
      </w:r>
    </w:p>
    <w:p>
      <w:pPr>
        <w:spacing w:after="0" w:line="200" w:lineRule="exact"/>
        <w:rPr>
          <w:sz w:val="20"/>
          <w:szCs w:val="20"/>
          <w:color w:val="auto"/>
        </w:rPr>
      </w:pPr>
    </w:p>
    <w:p>
      <w:pPr>
        <w:spacing w:after="0" w:line="227"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R. Dickerson</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Charles R. Dickerson</w:t>
            </w:r>
          </w:p>
        </w:tc>
      </w:tr>
    </w:tbl>
    <w:p>
      <w:pPr>
        <w:sectPr>
          <w:pgSz w:w="11900" w:h="16857" w:orient="portrait"/>
          <w:cols w:equalWidth="0" w:num="1">
            <w:col w:w="11440"/>
          </w:cols>
          <w:pgMar w:left="240" w:top="125" w:right="219" w:bottom="0" w:gutter="0" w:footer="0" w:header="0"/>
        </w:sectPr>
      </w:pPr>
    </w:p>
    <w:bookmarkStart w:id="52" w:name="page53"/>
    <w:bookmarkEnd w:id="52"/>
    <w:p>
      <w:pPr>
        <w:ind w:left="4560"/>
        <w:spacing w:after="0"/>
        <w:tabs>
          <w:tab w:leader="none" w:pos="5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14605</wp:posOffset>
            </wp:positionV>
            <wp:extent cx="10979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6757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 as a Lender and a Co-</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Syndication Agent</w:t>
      </w:r>
    </w:p>
    <w:p>
      <w:pPr>
        <w:spacing w:after="0" w:line="200" w:lineRule="exact"/>
        <w:rPr>
          <w:sz w:val="20"/>
          <w:szCs w:val="20"/>
          <w:color w:val="auto"/>
        </w:rPr>
      </w:pPr>
    </w:p>
    <w:p>
      <w:pPr>
        <w:spacing w:after="0" w:line="227"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Molly J. Drennan</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Molly J. Drennan</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4140" w:type="dxa"/>
            <w:vAlign w:val="bottom"/>
          </w:tcPr>
          <w:p>
            <w:pPr>
              <w:spacing w:after="0"/>
              <w:rPr>
                <w:sz w:val="18"/>
                <w:szCs w:val="18"/>
                <w:color w:val="auto"/>
              </w:rPr>
            </w:pP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a</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Lender and a Co-Syndication Agent</w:t>
      </w:r>
    </w:p>
    <w:p>
      <w:pPr>
        <w:sectPr>
          <w:pgSz w:w="11900" w:h="16838" w:orient="portrait"/>
          <w:cols w:equalWidth="0" w:num="1">
            <w:col w:w="10220"/>
          </w:cols>
          <w:pgMar w:left="1440" w:top="125" w:right="239" w:bottom="935" w:gutter="0" w:footer="0" w:header="0"/>
        </w:sectPr>
      </w:pPr>
    </w:p>
    <w:p>
      <w:pPr>
        <w:spacing w:after="0" w:line="200" w:lineRule="exact"/>
        <w:rPr>
          <w:sz w:val="20"/>
          <w:szCs w:val="20"/>
          <w:color w:val="auto"/>
        </w:rPr>
      </w:pPr>
    </w:p>
    <w:p>
      <w:pPr>
        <w:spacing w:after="0" w:line="2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64135</wp:posOffset>
            </wp:positionV>
            <wp:extent cx="726757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 Michael J. Staloch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Michael J. Staloch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470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12693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693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-116205</wp:posOffset>
            </wp:positionV>
            <wp:extent cx="12693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667" w:lineRule="exact"/>
        <w:rPr>
          <w:sz w:val="20"/>
          <w:szCs w:val="20"/>
          <w:color w:val="auto"/>
        </w:rPr>
      </w:pPr>
    </w:p>
    <w:p>
      <w:pPr>
        <w:sectPr>
          <w:pgSz w:w="11900" w:h="16838" w:orient="portrait"/>
          <w:cols w:equalWidth="0" w:num="2">
            <w:col w:w="5040" w:space="220"/>
            <w:col w:w="4960"/>
          </w:cols>
          <w:pgMar w:left="1440" w:top="125" w:right="239" w:bottom="935"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Harris N.A., as successor by merger to</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HARRIS TRUST AND SAVINGS BANK</w:t>
      </w:r>
      <w:r>
        <w:rPr>
          <w:rFonts w:ascii="Arial" w:cs="Arial" w:eastAsia="Arial" w:hAnsi="Arial"/>
          <w:sz w:val="17"/>
          <w:szCs w:val="17"/>
          <w:color w:val="auto"/>
        </w:rPr>
        <w:t>, as a</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Lender and a Co-Documentation Agent</w:t>
      </w:r>
    </w:p>
    <w:p>
      <w:pPr>
        <w:sectPr>
          <w:pgSz w:w="11900" w:h="16838" w:orient="portrait"/>
          <w:cols w:equalWidth="0" w:num="1">
            <w:col w:w="10220"/>
          </w:cols>
          <w:pgMar w:left="1440" w:top="125" w:right="239" w:bottom="935"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64135</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 Patrick J. McDonnell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Patrick J.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1559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0979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-130810</wp:posOffset>
            </wp:positionV>
            <wp:extent cx="31559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644" w:lineRule="exact"/>
        <w:rPr>
          <w:sz w:val="20"/>
          <w:szCs w:val="20"/>
          <w:color w:val="auto"/>
        </w:rPr>
      </w:pPr>
    </w:p>
    <w:p>
      <w:pPr>
        <w:sectPr>
          <w:pgSz w:w="11900" w:h="16838" w:orient="portrait"/>
          <w:cols w:equalWidth="0" w:num="2">
            <w:col w:w="5040" w:space="220"/>
            <w:col w:w="4960"/>
          </w:cols>
          <w:pgMar w:left="1440" w:top="125" w:right="239" w:bottom="935"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WELLS FARGO BANK, NATIONAL</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as a Lender and a Co-</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Documentation Agent</w:t>
      </w:r>
    </w:p>
    <w:p>
      <w:pPr>
        <w:spacing w:after="0" w:line="200" w:lineRule="exact"/>
        <w:rPr>
          <w:sz w:val="20"/>
          <w:szCs w:val="20"/>
          <w:color w:val="auto"/>
        </w:rPr>
      </w:pPr>
    </w:p>
    <w:p>
      <w:pPr>
        <w:spacing w:after="0" w:line="227"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Scott Bjelde</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gridSpan w:val="3"/>
          </w:tcPr>
          <w:p>
            <w:pPr>
              <w:spacing w:after="0"/>
              <w:rPr>
                <w:sz w:val="20"/>
                <w:szCs w:val="20"/>
                <w:color w:val="auto"/>
              </w:rPr>
            </w:pPr>
            <w:r>
              <w:rPr>
                <w:rFonts w:ascii="Arial" w:cs="Arial" w:eastAsia="Arial" w:hAnsi="Arial"/>
                <w:sz w:val="18"/>
                <w:szCs w:val="18"/>
                <w:color w:val="auto"/>
              </w:rPr>
              <w:t>Scott Bjelde</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Senior Vice President</w:t>
            </w:r>
          </w:p>
        </w:tc>
        <w:tc>
          <w:tcPr>
            <w:tcW w:w="1720" w:type="dxa"/>
            <w:vAlign w:val="bottom"/>
          </w:tcPr>
          <w:p>
            <w:pPr>
              <w:spacing w:after="0"/>
              <w:rPr>
                <w:sz w:val="18"/>
                <w:szCs w:val="18"/>
                <w:color w:val="auto"/>
              </w:rPr>
            </w:pPr>
          </w:p>
        </w:tc>
      </w:tr>
      <w:tr>
        <w:trPr>
          <w:trHeight w:val="62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Jennifer Barrett</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Jennifer Barrett</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3560" w:type="dxa"/>
            <w:vAlign w:val="bottom"/>
            <w:gridSpan w:val="2"/>
          </w:tcPr>
          <w:p>
            <w:pPr>
              <w:spacing w:after="0"/>
              <w:rPr>
                <w:sz w:val="18"/>
                <w:szCs w:val="18"/>
                <w:color w:val="auto"/>
              </w:rPr>
            </w:pP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THE BANK OF NEW YORK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Walter C. Parelli</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Walter C. Parelli</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36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220"/>
          </w:cols>
          <w:pgMar w:left="1440" w:top="125" w:right="239" w:bottom="935" w:gutter="0" w:footer="0" w:header="0"/>
          <w:type w:val="continuous"/>
        </w:sectPr>
      </w:pPr>
    </w:p>
    <w:p>
      <w:pPr>
        <w:spacing w:after="0" w:line="2"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80010</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5" w:right="239" w:bottom="935" w:gutter="0" w:footer="0" w:header="0"/>
          <w:type w:val="continuous"/>
        </w:sectPr>
      </w:pPr>
    </w:p>
    <w:bookmarkStart w:id="53" w:name="page54"/>
    <w:bookmarkEnd w:id="53"/>
    <w:p>
      <w:pPr>
        <w:ind w:left="10420"/>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 Covered by Independent Auditors’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8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10/31/2005</w:t>
            </w: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10/31/2004</w:t>
            </w: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10/31/2003</w:t>
            </w: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10/31/2002</w:t>
            </w: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10/31/2001</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38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6"/>
              </w:rPr>
              <w:t>Earnings before income taxes and cumulative</w:t>
            </w:r>
          </w:p>
        </w:tc>
        <w:tc>
          <w:tcPr>
            <w:tcW w:w="5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change in accounting principle</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170,272,000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153,233,000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120,918,000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86,799,000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80,077,000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Plus: Fixed charges</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24,298,000</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22,004,000</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22,251,000</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25,324,000</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27,313,000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Earnings available to cover fixed charges</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194,570,000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175,237,000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143,169,000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112,123,000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107,390,000</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8.01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7.96</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b w:val="1"/>
                <w:bCs w:val="1"/>
                <w:color w:val="auto"/>
              </w:rPr>
              <w:t>17,733,000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15,523,000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16,285,000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19,747,000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22,003,000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Rentals (interest expense)</w:t>
            </w: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6,565,000</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6,481,000</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5,966,000</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5,577,000</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5,310,000</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8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 fixed charges</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24,298,000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22,004,000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22,251,000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25,324,000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27,313,000</w:t>
            </w:r>
          </w:p>
        </w:tc>
        <w:tc>
          <w:tcPr>
            <w:tcW w:w="20" w:type="dxa"/>
            <w:vAlign w:val="bottom"/>
          </w:tcPr>
          <w:p>
            <w:pPr>
              <w:spacing w:after="0"/>
              <w:rPr>
                <w:sz w:val="18"/>
                <w:szCs w:val="18"/>
                <w:color w:val="auto"/>
              </w:rPr>
            </w:pPr>
          </w:p>
        </w:tc>
      </w:tr>
      <w:tr>
        <w:trPr>
          <w:trHeight w:val="321"/>
        </w:trPr>
        <w:tc>
          <w:tcPr>
            <w:tcW w:w="20" w:type="dxa"/>
            <w:vAlign w:val="bottom"/>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020" w:type="dxa"/>
            <w:vAlign w:val="bottom"/>
            <w:gridSpan w:val="2"/>
          </w:tcPr>
          <w:p>
            <w:pPr>
              <w:ind w:left="100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414"/>
        </w:trPr>
        <w:tc>
          <w:tcPr>
            <w:tcW w:w="3640" w:type="dxa"/>
            <w:vAlign w:val="bottom"/>
          </w:tcPr>
          <w:p>
            <w:pPr>
              <w:spacing w:after="0"/>
              <w:rPr>
                <w:sz w:val="24"/>
                <w:szCs w:val="24"/>
                <w:color w:val="auto"/>
              </w:rPr>
            </w:pPr>
          </w:p>
        </w:tc>
        <w:tc>
          <w:tcPr>
            <w:tcW w:w="5780" w:type="dxa"/>
            <w:vAlign w:val="bottom"/>
          </w:tcPr>
          <w:p>
            <w:pPr>
              <w:jc w:val="right"/>
              <w:ind w:right="1771"/>
              <w:spacing w:after="0"/>
              <w:rPr>
                <w:sz w:val="20"/>
                <w:szCs w:val="20"/>
                <w:color w:val="auto"/>
              </w:rPr>
            </w:pPr>
            <w:r>
              <w:rPr>
                <w:rFonts w:ascii="Arial" w:cs="Arial" w:eastAsia="Arial" w:hAnsi="Arial"/>
                <w:sz w:val="18"/>
                <w:szCs w:val="18"/>
                <w:b w:val="1"/>
                <w:bCs w:val="1"/>
                <w:color w:val="auto"/>
              </w:rPr>
              <w:t>THE TORO COMPANY AND SUBSIDIARIES</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5780" w:type="dxa"/>
            <w:vAlign w:val="bottom"/>
          </w:tcPr>
          <w:p>
            <w:pPr>
              <w:jc w:val="right"/>
              <w:ind w:right="2631"/>
              <w:spacing w:after="0"/>
              <w:rPr>
                <w:sz w:val="20"/>
                <w:szCs w:val="20"/>
                <w:color w:val="auto"/>
              </w:rPr>
            </w:pPr>
            <w:r>
              <w:rPr>
                <w:rFonts w:ascii="Arial" w:cs="Arial" w:eastAsia="Arial" w:hAnsi="Arial"/>
                <w:sz w:val="18"/>
                <w:szCs w:val="18"/>
                <w:b w:val="1"/>
                <w:bCs w:val="1"/>
                <w:color w:val="auto"/>
              </w:rPr>
              <w:t>Subsidiaries of Registrant</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20" w:type="dxa"/>
            <w:vAlign w:val="bottom"/>
            <w:gridSpan w:val="2"/>
          </w:tcPr>
          <w:p>
            <w:pPr>
              <w:spacing w:after="0"/>
              <w:rPr>
                <w:sz w:val="20"/>
                <w:szCs w:val="20"/>
                <w:color w:val="auto"/>
              </w:rPr>
            </w:pPr>
            <w:r>
              <w:rPr>
                <w:rFonts w:ascii="Arial" w:cs="Arial" w:eastAsia="Arial" w:hAnsi="Arial"/>
                <w:sz w:val="18"/>
                <w:szCs w:val="18"/>
                <w:color w:val="auto"/>
              </w:rPr>
              <w:t>The following are significant subsidiaries of The Toro Company as of December 16, 2005.</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20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3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5780" w:type="dxa"/>
            <w:vAlign w:val="bottom"/>
            <w:tcBorders>
              <w:top w:val="single" w:sz="8" w:color="auto"/>
            </w:tcBorders>
          </w:tcPr>
          <w:p>
            <w:pPr>
              <w:jc w:val="right"/>
              <w:ind w:right="511"/>
              <w:spacing w:after="0" w:line="126" w:lineRule="exact"/>
              <w:rPr>
                <w:sz w:val="20"/>
                <w:szCs w:val="20"/>
                <w:color w:val="auto"/>
              </w:rPr>
            </w:pPr>
            <w:r>
              <w:rPr>
                <w:rFonts w:ascii="Arial" w:cs="Arial" w:eastAsia="Arial" w:hAnsi="Arial"/>
                <w:sz w:val="14"/>
                <w:szCs w:val="14"/>
                <w:b w:val="1"/>
                <w:bCs w:val="1"/>
                <w:color w:val="auto"/>
              </w:rPr>
              <w:t>State or Other Jurisdiction</w:t>
            </w:r>
          </w:p>
        </w:tc>
        <w:tc>
          <w:tcPr>
            <w:tcW w:w="2000" w:type="dxa"/>
            <w:vAlign w:val="bottom"/>
            <w:tcBorders>
              <w:top w:val="single" w:sz="8" w:color="auto"/>
            </w:tcBorders>
          </w:tcPr>
          <w:p>
            <w:pPr>
              <w:jc w:val="center"/>
              <w:ind w:right="91"/>
              <w:spacing w:after="0" w:line="126" w:lineRule="exact"/>
              <w:rPr>
                <w:sz w:val="20"/>
                <w:szCs w:val="20"/>
                <w:color w:val="auto"/>
              </w:rPr>
            </w:pPr>
            <w:r>
              <w:rPr>
                <w:rFonts w:ascii="Arial" w:cs="Arial" w:eastAsia="Arial" w:hAnsi="Arial"/>
                <w:sz w:val="14"/>
                <w:szCs w:val="14"/>
                <w:b w:val="1"/>
                <w:bCs w:val="1"/>
                <w:color w:val="auto"/>
                <w:w w:val="89"/>
              </w:rPr>
              <w:t>Percentage of Voting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vMerge w:val="continue"/>
          </w:tcPr>
          <w:p>
            <w:pPr>
              <w:spacing w:after="0"/>
              <w:rPr>
                <w:sz w:val="14"/>
                <w:szCs w:val="14"/>
                <w:color w:val="auto"/>
              </w:rPr>
            </w:pPr>
          </w:p>
        </w:tc>
        <w:tc>
          <w:tcPr>
            <w:tcW w:w="5780" w:type="dxa"/>
            <w:vAlign w:val="bottom"/>
          </w:tcPr>
          <w:p>
            <w:pPr>
              <w:jc w:val="right"/>
              <w:ind w:right="831"/>
              <w:spacing w:after="0"/>
              <w:rPr>
                <w:sz w:val="20"/>
                <w:szCs w:val="20"/>
                <w:color w:val="auto"/>
              </w:rPr>
            </w:pPr>
            <w:r>
              <w:rPr>
                <w:rFonts w:ascii="Arial" w:cs="Arial" w:eastAsia="Arial" w:hAnsi="Arial"/>
                <w:sz w:val="14"/>
                <w:szCs w:val="14"/>
                <w:b w:val="1"/>
                <w:bCs w:val="1"/>
                <w:color w:val="auto"/>
              </w:rPr>
              <w:t>of Incorporation</w:t>
            </w:r>
          </w:p>
        </w:tc>
        <w:tc>
          <w:tcPr>
            <w:tcW w:w="2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Securities Owned</w:t>
            </w:r>
          </w:p>
        </w:tc>
        <w:tc>
          <w:tcPr>
            <w:tcW w:w="0" w:type="dxa"/>
            <w:vAlign w:val="bottom"/>
          </w:tcPr>
          <w:p>
            <w:pPr>
              <w:spacing w:after="0"/>
              <w:rPr>
                <w:sz w:val="1"/>
                <w:szCs w:val="1"/>
                <w:color w:val="auto"/>
              </w:rPr>
            </w:pPr>
          </w:p>
        </w:tc>
      </w:tr>
      <w:tr>
        <w:trPr>
          <w:trHeight w:val="210"/>
        </w:trPr>
        <w:tc>
          <w:tcPr>
            <w:tcW w:w="3640" w:type="dxa"/>
            <w:vAlign w:val="bottom"/>
            <w:tcBorders>
              <w:top w:val="single" w:sz="8" w:color="auto"/>
            </w:tcBorders>
          </w:tcPr>
          <w:p>
            <w:pPr>
              <w:spacing w:after="0"/>
              <w:rPr>
                <w:sz w:val="18"/>
                <w:szCs w:val="18"/>
                <w:color w:val="auto"/>
              </w:rPr>
            </w:pPr>
          </w:p>
        </w:tc>
        <w:tc>
          <w:tcPr>
            <w:tcW w:w="57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Electronic Industrial Controls, Inc.</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Colorado</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Exmark Manufacturing Company Incorporated</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Nebraska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Hayter Limited</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United Kingdom</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Irritrol Systems Europe, S.r.L.</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Italy</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Irritrol Systems Europe Productions, S.r.L.</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Italy</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MTI Distributing, Inc.</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Minnesota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 Iron Insurance, Limited</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Bermuda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Australia Pty. Limited</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Australia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Australia Group Sales Pty. Ltd</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Australia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Briggs &amp; Stratton LLC</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Wisconsin</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Credit Company</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Minnesota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Europe BVBA</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Belgium</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Factoring Company Limited</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Guernsey</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Finance Company</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California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Foreign Sales Corporation</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Barbados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Hayter LLP</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United Kingdom</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Hayter (Guernsey) Limited</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Guernsey</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Holdings Limited</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United Kingdom</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LLC</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Delaware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Mexico Holdings, LLC</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Minnesota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International Company</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Minnesota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Manufacturing LLC</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Delaware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Purchasing Company</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Minnesota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R&amp;D Company</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Minnesota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Receivables Company</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Minnesota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Sales Company</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Minnesota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Toro Warranty Company</w:t>
            </w:r>
          </w:p>
        </w:tc>
        <w:tc>
          <w:tcPr>
            <w:tcW w:w="57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Minnesota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Turf Professionals Equipment Company</w:t>
            </w:r>
          </w:p>
        </w:tc>
        <w:tc>
          <w:tcPr>
            <w:tcW w:w="57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Minnesota</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3640" w:type="dxa"/>
            <w:vAlign w:val="bottom"/>
            <w:tcBorders>
              <w:bottom w:val="single" w:sz="8" w:color="808080"/>
            </w:tcBorders>
          </w:tcPr>
          <w:p>
            <w:pPr>
              <w:spacing w:after="0"/>
              <w:rPr>
                <w:sz w:val="24"/>
                <w:szCs w:val="24"/>
                <w:color w:val="auto"/>
              </w:rPr>
            </w:pPr>
          </w:p>
        </w:tc>
        <w:tc>
          <w:tcPr>
            <w:tcW w:w="578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consent to incorporation by reference in the Registration Statements (Nos. 333-03505, 333-44879, 333-36166, 333-47260, 333-57198, 333-89262, 333-89260, 333-119504, and 333-119506) on Form S-8 of The Toro Company of our reports dated December 22, 2005, relating to the consolidated balance sheets of The Toro Company and subsidiaries as of October 31, 2005 and 2004, and the related consolidated statements of earnings, cash flows, and changes in stockholders’ equity and related financial statement schedule for each of the years in the three year period ended October 31, 2005, management’s assessment of the effectiveness of internal control over financial reporting as of October 31, 2005, and the effectiveness of internal control over financial reporting as of October 31, 2005, which reports are included in the annual report on Form 10-K of The Toro Company.</w:t>
      </w:r>
    </w:p>
    <w:p>
      <w:pPr>
        <w:spacing w:after="0" w:line="178"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adopted the provisions of Statement of Financial Accounting Standards No. 123 (Revised 2004), “Share-Based Payment,” on November 1,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7"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39"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7" w:val="left"/>
        </w:tabs>
        <w:numPr>
          <w:ilvl w:val="1"/>
          <w:numId w:val="7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342" w:lineRule="auto"/>
        <w:tabs>
          <w:tab w:leader="none" w:pos="639" w:val="left"/>
        </w:tabs>
        <w:numPr>
          <w:ilvl w:val="1"/>
          <w:numId w:val="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7"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39"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25"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5"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7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342" w:lineRule="auto"/>
        <w:tabs>
          <w:tab w:leader="none" w:pos="661" w:val="left"/>
        </w:tabs>
        <w:numPr>
          <w:ilvl w:val="1"/>
          <w:numId w:val="7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60" w:firstLine="8"/>
        <w:spacing w:after="0" w:line="308" w:lineRule="auto"/>
        <w:tabs>
          <w:tab w:leader="none" w:pos="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77" w:lineRule="auto"/>
        <w:tabs>
          <w:tab w:leader="none" w:pos="665"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Annual Report of The Toro Company (the “Company”) on Form 10-K for the fiscal year ended October 31, 2005 as filed with the Securities and Exchange Commission on the date hereof (the “Report”), we, Michael J. Hoffman, President and Chief Executive Officer of the Company, and Stephen P. Wolfe, Vice President-Finance, Treasurer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1000" w:hanging="344"/>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10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2005</w:t>
      </w:r>
    </w:p>
    <w:p>
      <w:pPr>
        <w:spacing w:after="0" w:line="200" w:lineRule="exact"/>
        <w:rPr>
          <w:sz w:val="20"/>
          <w:szCs w:val="20"/>
          <w:color w:val="auto"/>
        </w:rPr>
      </w:pPr>
    </w:p>
    <w:p>
      <w:pPr>
        <w:spacing w:after="0" w:line="22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1"/>
      <w:numFmt w:val="bullet"/>
      <w:start w:val="1"/>
    </w:lvl>
  </w:abstractNum>
  <w:abstractNum w:abstractNumId="12">
    <w:nsid w:val="4B588F54"/>
    <w:multiLevelType w:val="hybridMultilevel"/>
    <w:lvl w:ilvl="0">
      <w:lvlJc w:val="left"/>
      <w:lvlText w:val="2"/>
      <w:numFmt w:val="bullet"/>
      <w:start w:val="1"/>
    </w:lvl>
  </w:abstractNum>
  <w:abstractNum w:abstractNumId="13">
    <w:nsid w:val="542289EC"/>
    <w:multiLevelType w:val="hybridMultilevel"/>
    <w:lvl w:ilvl="0">
      <w:lvlJc w:val="left"/>
      <w:lvlText w:val="1"/>
      <w:numFmt w:val="bullet"/>
      <w:start w:val="1"/>
    </w:lvl>
  </w:abstractNum>
  <w:abstractNum w:abstractNumId="14">
    <w:nsid w:val="6DE91B18"/>
    <w:multiLevelType w:val="hybridMultilevel"/>
    <w:lvl w:ilvl="0">
      <w:lvlJc w:val="left"/>
      <w:lvlText w:val="2"/>
      <w:numFmt w:val="bullet"/>
      <w:start w:val="1"/>
    </w:lvl>
  </w:abstractNum>
  <w:abstractNum w:abstractNumId="15">
    <w:nsid w:val="38437FDB"/>
    <w:multiLevelType w:val="hybridMultilevel"/>
    <w:lvl w:ilvl="0">
      <w:lvlJc w:val="left"/>
      <w:lvlText w:val="3"/>
      <w:numFmt w:val="bullet"/>
      <w:start w:val="1"/>
    </w:lvl>
  </w:abstractNum>
  <w:abstractNum w:abstractNumId="16">
    <w:nsid w:val="7644A45C"/>
    <w:multiLevelType w:val="hybridMultilevel"/>
    <w:lvl w:ilvl="0">
      <w:lvlJc w:val="left"/>
      <w:lvlText w:val="1"/>
      <w:numFmt w:val="bullet"/>
      <w:start w:val="1"/>
    </w:lvl>
  </w:abstractNum>
  <w:abstractNum w:abstractNumId="17">
    <w:nsid w:val="32FFF902"/>
    <w:multiLevelType w:val="hybridMultilevel"/>
    <w:lvl w:ilvl="0">
      <w:lvlJc w:val="left"/>
      <w:lvlText w:val="2"/>
      <w:numFmt w:val="bullet"/>
      <w:start w:val="1"/>
    </w:lvl>
  </w:abstractNum>
  <w:abstractNum w:abstractNumId="18">
    <w:nsid w:val="684A481A"/>
    <w:multiLevelType w:val="hybridMultilevel"/>
    <w:lvl w:ilvl="0">
      <w:lvlJc w:val="left"/>
      <w:lvlText w:val="3"/>
      <w:numFmt w:val="bullet"/>
      <w:start w:val="1"/>
    </w:lvl>
  </w:abstractNum>
  <w:abstractNum w:abstractNumId="19">
    <w:nsid w:val="579478FE"/>
    <w:multiLevelType w:val="hybridMultilevel"/>
    <w:lvl w:ilvl="0">
      <w:lvlJc w:val="left"/>
      <w:lvlText w:val="4"/>
      <w:numFmt w:val="bullet"/>
      <w:start w:val="1"/>
    </w:lvl>
  </w:abstractNum>
  <w:abstractNum w:abstractNumId="20">
    <w:nsid w:val="749ABB43"/>
    <w:multiLevelType w:val="hybridMultilevel"/>
    <w:lvl w:ilvl="0">
      <w:lvlJc w:val="left"/>
      <w:lvlText w:val="5"/>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1"/>
      <w:numFmt w:val="bullet"/>
      <w:start w:val="1"/>
    </w:lvl>
  </w:abstractNum>
  <w:abstractNum w:abstractNumId="50">
    <w:nsid w:val="2F305DEF"/>
    <w:multiLevelType w:val="hybridMultilevel"/>
    <w:lvl w:ilvl="0">
      <w:lvlJc w:val="left"/>
      <w:lvlText w:val="2"/>
      <w:numFmt w:val="bullet"/>
      <w:start w:val="1"/>
    </w:lvl>
  </w:abstractNum>
  <w:abstractNum w:abstractNumId="51">
    <w:nsid w:val="25A70BF7"/>
    <w:multiLevelType w:val="hybridMultilevel"/>
    <w:lvl w:ilvl="0">
      <w:lvlJc w:val="left"/>
      <w:lvlText w:val="3"/>
      <w:numFmt w:val="bullet"/>
      <w:start w:val="1"/>
    </w:lvl>
  </w:abstractNum>
  <w:abstractNum w:abstractNumId="52">
    <w:nsid w:val="1DBABF00"/>
    <w:multiLevelType w:val="hybridMultilevel"/>
    <w:lvl w:ilvl="0">
      <w:lvlJc w:val="left"/>
      <w:lvlText w:val="4"/>
      <w:numFmt w:val="bullet"/>
      <w:start w:val="1"/>
    </w:lvl>
  </w:abstractNum>
  <w:abstractNum w:abstractNumId="53">
    <w:nsid w:val="4AD084E9"/>
    <w:multiLevelType w:val="hybridMultilevel"/>
    <w:lvl w:ilvl="0">
      <w:lvlJc w:val="left"/>
      <w:lvlText w:val="5"/>
      <w:numFmt w:val="bullet"/>
      <w:start w:val="1"/>
    </w:lvl>
  </w:abstractNum>
  <w:abstractNum w:abstractNumId="54">
    <w:nsid w:val="1F48EAA1"/>
    <w:multiLevelType w:val="hybridMultilevel"/>
    <w:lvl w:ilvl="0">
      <w:lvlJc w:val="left"/>
      <w:lvlText w:val="8"/>
      <w:numFmt w:val="bullet"/>
      <w:start w:val="1"/>
    </w:lvl>
  </w:abstractNum>
  <w:abstractNum w:abstractNumId="55">
    <w:nsid w:val="1381823A"/>
    <w:multiLevelType w:val="hybridMultilevel"/>
    <w:lvl w:ilvl="0">
      <w:lvlJc w:val="left"/>
      <w:lvlText w:val="1"/>
      <w:numFmt w:val="bullet"/>
      <w:start w:val="1"/>
    </w:lvl>
  </w:abstractNum>
  <w:abstractNum w:abstractNumId="56">
    <w:nsid w:val="5DB70AE5"/>
    <w:multiLevelType w:val="hybridMultilevel"/>
    <w:lvl w:ilvl="0">
      <w:lvlJc w:val="left"/>
      <w:lvlText w:val="2"/>
      <w:numFmt w:val="bullet"/>
      <w:start w:val="1"/>
    </w:lvl>
  </w:abstractNum>
  <w:abstractNum w:abstractNumId="57">
    <w:nsid w:val="100F8FCA"/>
    <w:multiLevelType w:val="hybridMultilevel"/>
    <w:lvl w:ilvl="0">
      <w:lvlJc w:val="left"/>
      <w:lvlText w:val="1"/>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1"/>
      <w:numFmt w:val="decimal"/>
      <w:start w:val="12"/>
    </w:lvl>
  </w:abstractNum>
  <w:abstractNum w:abstractNumId="61">
    <w:nsid w:val="98A3148"/>
    <w:multiLevelType w:val="hybridMultilevel"/>
    <w:lvl w:ilvl="0">
      <w:lvlJc w:val="left"/>
      <w:lvlText w:val="%1"/>
      <w:numFmt w:val="decimal"/>
      <w:start w:val="21"/>
    </w:lvl>
  </w:abstractNum>
  <w:abstractNum w:abstractNumId="62">
    <w:nsid w:val="799D0247"/>
    <w:multiLevelType w:val="hybridMultilevel"/>
    <w:lvl w:ilvl="0">
      <w:lvlJc w:val="left"/>
      <w:lvlText w:val="%1"/>
      <w:numFmt w:val="decimal"/>
      <w:start w:val="23"/>
    </w:lvl>
  </w:abstractNum>
  <w:abstractNum w:abstractNumId="63">
    <w:nsid w:val="6B94764"/>
    <w:multiLevelType w:val="hybridMultilevel"/>
    <w:lvl w:ilvl="0">
      <w:lvlJc w:val="left"/>
      <w:lvlText w:val="%1"/>
      <w:numFmt w:val="decimal"/>
      <w:start w:val="32"/>
    </w:lvl>
  </w:abstractNum>
  <w:abstractNum w:abstractNumId="64">
    <w:nsid w:val="42C296BD"/>
    <w:multiLevelType w:val="hybridMultilevel"/>
    <w:lvl w:ilvl="0">
      <w:lvlJc w:val="left"/>
      <w:lvlText w:val="2"/>
      <w:numFmt w:val="bullet"/>
      <w:start w:val="1"/>
    </w:lvl>
  </w:abstractNum>
  <w:abstractNum w:abstractNumId="65">
    <w:nsid w:val="168E121F"/>
    <w:multiLevelType w:val="hybridMultilevel"/>
    <w:lvl w:ilvl="0">
      <w:lvlJc w:val="left"/>
      <w:lvlText w:val="1"/>
      <w:numFmt w:val="bullet"/>
      <w:start w:val="1"/>
    </w:lvl>
  </w:abstractNum>
  <w:abstractNum w:abstractNumId="66">
    <w:nsid w:val="1EBA5D23"/>
    <w:multiLevelType w:val="hybridMultilevel"/>
    <w:lvl w:ilvl="0">
      <w:lvlJc w:val="left"/>
      <w:lvlText w:val="2"/>
      <w:numFmt w:val="bullet"/>
      <w:start w:val="1"/>
    </w:lvl>
  </w:abstractNum>
  <w:abstractNum w:abstractNumId="67">
    <w:nsid w:val="661E3F1E"/>
    <w:multiLevelType w:val="hybridMultilevel"/>
    <w:lvl w:ilvl="0">
      <w:lvlJc w:val="left"/>
      <w:lvlText w:val="3"/>
      <w:numFmt w:val="bullet"/>
      <w:start w:val="1"/>
    </w:lvl>
  </w:abstractNum>
  <w:abstractNum w:abstractNumId="68">
    <w:nsid w:val="5DC79EA8"/>
    <w:multiLevelType w:val="hybridMultilevel"/>
    <w:lvl w:ilvl="0">
      <w:lvlJc w:val="left"/>
      <w:lvlText w:val="%1."/>
      <w:numFmt w:val="decimal"/>
      <w:start w:val="1"/>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lowerLetter"/>
      <w:start w:val="2"/>
    </w:lvl>
  </w:abstractNum>
  <w:abstractNum w:abstractNumId="71">
    <w:nsid w:val="51D9C5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2">
    <w:nsid w:val="613EFDC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3">
    <w:nsid w:val="BF72B14"/>
    <w:multiLevelType w:val="hybridMultilevel"/>
    <w:lvl w:ilvl="0">
      <w:lvlJc w:val="left"/>
      <w:lvlText w:val="%1."/>
      <w:numFmt w:val="decimal"/>
      <w:start w:val="4"/>
    </w:lvl>
  </w:abstractNum>
  <w:abstractNum w:abstractNumId="74">
    <w:nsid w:val="11447B73"/>
    <w:multiLevelType w:val="hybridMultilevel"/>
    <w:lvl w:ilvl="0">
      <w:lvlJc w:val="left"/>
      <w:lvlText w:val="%1"/>
      <w:numFmt w:val="decimal"/>
      <w:start w:val="1"/>
    </w:lvl>
    <w:lvl w:ilvl="1">
      <w:lvlJc w:val="left"/>
      <w:lvlText w:val="(%2)"/>
      <w:numFmt w:val="lowerLetter"/>
      <w:start w:val="1"/>
    </w:lvl>
  </w:abstractNum>
  <w:abstractNum w:abstractNumId="75">
    <w:nsid w:val="42963E5A"/>
    <w:multiLevelType w:val="hybridMultilevel"/>
    <w:lvl w:ilvl="0">
      <w:lvlJc w:val="left"/>
      <w:lvlText w:val="%1."/>
      <w:numFmt w:val="decimal"/>
      <w:start w:val="5"/>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2019-12-13T13:38:12Z</dcterms:created>
  <dcterms:modified xsi:type="dcterms:W3CDTF">2019-12-13T13:38:12Z</dcterms:modified>
</cp:coreProperties>
</file>