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9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Grams Blake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12/06/2018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6"/>
        <w:spacing w:after="0"/>
        <w:rPr>
          <w:sz w:val="20"/>
          <w:szCs w:val="20"/>
          <w:color w:val="auto"/>
        </w:rPr>
      </w:pPr>
      <w:r>
        <w:rPr>
          <w:rFonts w:ascii="Arial" w:cs="Arial" w:eastAsia="Arial" w:hAnsi="Arial"/>
          <w:sz w:val="17"/>
          <w:szCs w:val="17"/>
          <w:color w:val="0000FF"/>
        </w:rPr>
        <w:t>VP, Global Operations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92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9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12/06/2018</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3,540</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1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0" w:type="dxa"/>
            <w:vAlign w:val="bottom"/>
            <w:tcBorders>
              <w:bottom w:val="single" w:sz="8" w:color="2C2C2C"/>
            </w:tcBorders>
            <w:gridSpan w:val="2"/>
          </w:tcPr>
          <w:p>
            <w:pPr>
              <w:jc w:val="center"/>
              <w:ind w:left="318"/>
              <w:spacing w:after="0"/>
              <w:rPr>
                <w:sz w:val="20"/>
                <w:szCs w:val="20"/>
                <w:color w:val="auto"/>
              </w:rPr>
            </w:pPr>
            <w:r>
              <w:rPr>
                <w:rFonts w:ascii="Arial" w:cs="Arial" w:eastAsia="Arial" w:hAnsi="Arial"/>
                <w:sz w:val="17"/>
                <w:szCs w:val="17"/>
                <w:color w:val="0000FF"/>
                <w:w w:val="93"/>
              </w:rPr>
              <w:t>3,540</w:t>
            </w: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7"/>
                <w:szCs w:val="17"/>
                <w:color w:val="0000FF"/>
              </w:rPr>
              <w:t>12/06/2018</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Pr>
          <w:p>
            <w:pPr>
              <w:ind w:left="220"/>
              <w:spacing w:after="0"/>
              <w:rPr>
                <w:sz w:val="20"/>
                <w:szCs w:val="20"/>
                <w:color w:val="auto"/>
              </w:rPr>
            </w:pPr>
            <w:r>
              <w:rPr>
                <w:rFonts w:ascii="Arial" w:cs="Arial" w:eastAsia="Arial" w:hAnsi="Arial"/>
                <w:sz w:val="17"/>
                <w:szCs w:val="17"/>
                <w:color w:val="0000FF"/>
              </w:rPr>
              <w:t>1,084</w:t>
            </w:r>
          </w:p>
        </w:tc>
        <w:tc>
          <w:tcPr>
            <w:tcW w:w="6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58.15</w:t>
            </w:r>
          </w:p>
        </w:tc>
        <w:tc>
          <w:tcPr>
            <w:tcW w:w="800" w:type="dxa"/>
            <w:vAlign w:val="bottom"/>
            <w:gridSpan w:val="2"/>
          </w:tcPr>
          <w:p>
            <w:pPr>
              <w:jc w:val="center"/>
              <w:ind w:left="318"/>
              <w:spacing w:after="0"/>
              <w:rPr>
                <w:sz w:val="20"/>
                <w:szCs w:val="20"/>
                <w:color w:val="auto"/>
              </w:rPr>
            </w:pPr>
            <w:r>
              <w:rPr>
                <w:rFonts w:ascii="Arial" w:cs="Arial" w:eastAsia="Arial" w:hAnsi="Arial"/>
                <w:sz w:val="17"/>
                <w:szCs w:val="17"/>
                <w:color w:val="0000FF"/>
                <w:w w:val="93"/>
              </w:rPr>
              <w:t>2,456</w:t>
            </w:r>
          </w:p>
        </w:tc>
        <w:tc>
          <w:tcPr>
            <w:tcW w:w="78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gridSpan w:val="3"/>
          </w:tcPr>
          <w:p>
            <w:pPr>
              <w:jc w:val="center"/>
              <w:ind w:right="299"/>
              <w:spacing w:after="0" w:line="214" w:lineRule="exact"/>
              <w:rPr>
                <w:sz w:val="20"/>
                <w:szCs w:val="20"/>
                <w:color w:val="auto"/>
              </w:rPr>
            </w:pPr>
            <w:r>
              <w:rPr>
                <w:rFonts w:ascii="Arial" w:cs="Arial" w:eastAsia="Arial" w:hAnsi="Arial"/>
                <w:sz w:val="17"/>
                <w:szCs w:val="17"/>
                <w:color w:val="0000FF"/>
                <w:w w:val="88"/>
              </w:rPr>
              <w:t>133.307</w:t>
            </w:r>
            <w:r>
              <w:rPr>
                <w:rFonts w:ascii="Arial" w:cs="Arial" w:eastAsia="Arial" w:hAnsi="Arial"/>
                <w:sz w:val="22"/>
                <w:szCs w:val="22"/>
                <w:color w:val="008000"/>
                <w:w w:val="88"/>
                <w:vertAlign w:val="superscript"/>
              </w:rPr>
              <w:t>(2)</w:t>
            </w: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89"/>
              </w:rPr>
              <w:t>35,177.584</w:t>
            </w:r>
            <w:r>
              <w:rPr>
                <w:rFonts w:ascii="Arial" w:cs="Arial" w:eastAsia="Arial" w:hAnsi="Arial"/>
                <w:sz w:val="22"/>
                <w:szCs w:val="22"/>
                <w:color w:val="008000"/>
                <w:w w:val="89"/>
                <w:vertAlign w:val="superscript"/>
              </w:rPr>
              <w:t>(3)</w:t>
            </w: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58.53</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12/07/2018</w:t>
            </w:r>
          </w:p>
        </w:tc>
        <w:tc>
          <w:tcPr>
            <w:tcW w:w="1180" w:type="dxa"/>
            <w:vAlign w:val="bottom"/>
          </w:tcPr>
          <w:p>
            <w:pPr>
              <w:spacing w:after="0"/>
              <w:rPr>
                <w:sz w:val="17"/>
                <w:szCs w:val="17"/>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7"/>
                <w:szCs w:val="17"/>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11,400</w:t>
            </w:r>
          </w:p>
        </w:tc>
        <w:tc>
          <w:tcPr>
            <w:tcW w:w="320" w:type="dxa"/>
            <w:vAlign w:val="bottom"/>
          </w:tcPr>
          <w:p>
            <w:pPr>
              <w:spacing w:after="0"/>
              <w:rPr>
                <w:sz w:val="17"/>
                <w:szCs w:val="17"/>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(4)</w:t>
            </w:r>
          </w:p>
        </w:tc>
        <w:tc>
          <w:tcPr>
            <w:tcW w:w="760" w:type="dxa"/>
            <w:vAlign w:val="bottom"/>
          </w:tcPr>
          <w:p>
            <w:pPr>
              <w:jc w:val="right"/>
              <w:ind w:right="13"/>
              <w:spacing w:after="0"/>
              <w:rPr>
                <w:sz w:val="20"/>
                <w:szCs w:val="20"/>
                <w:color w:val="auto"/>
              </w:rPr>
            </w:pPr>
            <w:r>
              <w:rPr>
                <w:rFonts w:ascii="Arial" w:cs="Arial" w:eastAsia="Arial" w:hAnsi="Arial"/>
                <w:sz w:val="13"/>
                <w:szCs w:val="13"/>
                <w:color w:val="0000FF"/>
              </w:rPr>
              <w:t>12/07/2028</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40" w:type="dxa"/>
            <w:vAlign w:val="bottom"/>
          </w:tcPr>
          <w:p>
            <w:pPr>
              <w:ind w:left="120"/>
              <w:spacing w:after="0"/>
              <w:rPr>
                <w:sz w:val="20"/>
                <w:szCs w:val="20"/>
                <w:color w:val="auto"/>
              </w:rPr>
            </w:pPr>
            <w:r>
              <w:rPr>
                <w:rFonts w:ascii="Arial" w:cs="Arial" w:eastAsia="Arial" w:hAnsi="Arial"/>
                <w:sz w:val="17"/>
                <w:szCs w:val="17"/>
                <w:color w:val="0000FF"/>
                <w:w w:val="96"/>
              </w:rPr>
              <w:t>11,400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11,400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2016 to Fiscal 2018 Performance Period under The Toro Company Amended and Restated 2010 Equity and Incentive Plan, as amended and restated (the "Amended and Restated 2010 Plan"), as approved by the issuer's Compensation &amp; Human Resources Committee of its Board of Directors on December 4, 2018, and which was conditioned upon and subject to confirmation by the issuer's Fiscal 2018 financial results that were released on December 6, 2018. Performance Share Awards are paid in shares of common stock under the Amended and Restated 2010 Plan.</w:t>
      </w:r>
    </w:p>
    <w:p>
      <w:pPr>
        <w:spacing w:after="0" w:line="25" w:lineRule="exact"/>
        <w:rPr>
          <w:rFonts w:ascii="Arial" w:cs="Arial" w:eastAsia="Arial" w:hAnsi="Arial"/>
          <w:sz w:val="13"/>
          <w:szCs w:val="13"/>
          <w:color w:val="008000"/>
        </w:rPr>
      </w:pPr>
    </w:p>
    <w:p>
      <w:pPr>
        <w:ind w:left="40" w:right="5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since the date of his last report: 1.184 net shares acquired under the dividend reinvestment feature of The Toro Company Investment, Savings &amp; ESOP (the "IS&amp;ESOP") less quarterly non-discretionary administrative fees; and 66.013 shares acquired through issuer annual investment fund contributions to and revenue credit allocations in the IS&amp;ESOP.</w:t>
      </w:r>
    </w:p>
    <w:p>
      <w:pPr>
        <w:spacing w:after="0" w:line="21"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350.515 performance share units acquired by the reporting person since the date of his last report under the dividend reinvestment feature of The Toro Company Deferred Compensation Plan for Officers.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12/10/2018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2019-12-23T21:20:09Z</dcterms:created>
  <dcterms:modified xsi:type="dcterms:W3CDTF">2019-12-23T21:20:09Z</dcterms:modified>
</cp:coreProperties>
</file>