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Rodier Richard W</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05/19/2020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00"/>
        <w:spacing w:after="0"/>
        <w:rPr>
          <w:sz w:val="20"/>
          <w:szCs w:val="20"/>
          <w:color w:val="auto"/>
        </w:rPr>
      </w:pPr>
      <w:r>
        <w:rPr>
          <w:rFonts w:ascii="Arial" w:cs="Arial" w:eastAsia="Arial" w:hAnsi="Arial"/>
          <w:sz w:val="17"/>
          <w:szCs w:val="17"/>
          <w:color w:val="0000FF"/>
        </w:rPr>
        <w:t>Group VP, Construction &amp; RLC</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00" w:type="dxa"/>
            <w:vAlign w:val="bottom"/>
          </w:tcPr>
          <w:p>
            <w:pPr>
              <w:ind w:left="440"/>
              <w:spacing w:after="0"/>
              <w:rPr>
                <w:sz w:val="20"/>
                <w:szCs w:val="20"/>
                <w:color w:val="auto"/>
              </w:rPr>
            </w:pPr>
            <w:r>
              <w:rPr>
                <w:rFonts w:ascii="Arial" w:cs="Arial" w:eastAsia="Arial" w:hAnsi="Arial"/>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908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90817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23,565</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2,741.769</w:t>
            </w:r>
            <w:r>
              <w:rPr>
                <w:rFonts w:ascii="Arial" w:cs="Arial" w:eastAsia="Arial" w:hAnsi="Arial"/>
                <w:sz w:val="21"/>
                <w:szCs w:val="21"/>
                <w:color w:val="008000"/>
                <w:w w:val="84"/>
                <w:vertAlign w:val="superscript"/>
              </w:rPr>
              <w:t>(1)</w:t>
            </w:r>
          </w:p>
        </w:tc>
        <w:tc>
          <w:tcPr>
            <w:tcW w:w="340" w:type="dxa"/>
            <w:vAlign w:val="bottom"/>
          </w:tcPr>
          <w:p>
            <w:pPr>
              <w:spacing w:after="0"/>
              <w:rPr>
                <w:sz w:val="17"/>
                <w:szCs w:val="17"/>
                <w:color w:val="auto"/>
              </w:rPr>
            </w:pPr>
          </w:p>
        </w:tc>
        <w:tc>
          <w:tcPr>
            <w:tcW w:w="540" w:type="dxa"/>
            <w:vAlign w:val="bottom"/>
            <w:vMerge w:val="restart"/>
          </w:tcPr>
          <w:p>
            <w:pPr>
              <w:jc w:val="center"/>
              <w:ind w:right="294"/>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8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4,871.105</w:t>
            </w:r>
            <w:r>
              <w:rPr>
                <w:rFonts w:ascii="Arial" w:cs="Arial" w:eastAsia="Arial" w:hAnsi="Arial"/>
                <w:sz w:val="21"/>
                <w:szCs w:val="21"/>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jc w:val="center"/>
              <w:ind w:right="12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65.77</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05/19/2020</w:t>
            </w:r>
          </w:p>
        </w:tc>
        <w:tc>
          <w:tcPr>
            <w:tcW w:w="114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6"/>
                <w:szCs w:val="16"/>
                <w:color w:val="auto"/>
              </w:rPr>
            </w:pPr>
          </w:p>
        </w:tc>
        <w:tc>
          <w:tcPr>
            <w:tcW w:w="580" w:type="dxa"/>
            <w:vAlign w:val="bottom"/>
          </w:tcPr>
          <w:p>
            <w:pPr>
              <w:jc w:val="right"/>
              <w:ind w:right="81"/>
              <w:spacing w:after="0"/>
              <w:rPr>
                <w:sz w:val="20"/>
                <w:szCs w:val="20"/>
                <w:color w:val="auto"/>
              </w:rPr>
            </w:pPr>
            <w:r>
              <w:rPr>
                <w:rFonts w:ascii="Arial" w:cs="Arial" w:eastAsia="Arial" w:hAnsi="Arial"/>
                <w:sz w:val="13"/>
                <w:szCs w:val="13"/>
                <w:color w:val="0000FF"/>
              </w:rPr>
              <w:t>25,300</w:t>
            </w:r>
          </w:p>
        </w:tc>
        <w:tc>
          <w:tcPr>
            <w:tcW w:w="280" w:type="dxa"/>
            <w:vAlign w:val="bottom"/>
          </w:tcPr>
          <w:p>
            <w:pPr>
              <w:spacing w:after="0"/>
              <w:rPr>
                <w:sz w:val="16"/>
                <w:szCs w:val="16"/>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jc w:val="right"/>
              <w:ind w:right="2"/>
              <w:spacing w:after="0"/>
              <w:rPr>
                <w:sz w:val="20"/>
                <w:szCs w:val="20"/>
                <w:color w:val="auto"/>
              </w:rPr>
            </w:pPr>
            <w:r>
              <w:rPr>
                <w:rFonts w:ascii="Arial" w:cs="Arial" w:eastAsia="Arial" w:hAnsi="Arial"/>
                <w:sz w:val="13"/>
                <w:szCs w:val="13"/>
                <w:color w:val="0000FF"/>
                <w:w w:val="89"/>
              </w:rPr>
              <w:t>05/19/2030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6"/>
              <w:spacing w:after="0" w:line="189" w:lineRule="exact"/>
              <w:rPr>
                <w:sz w:val="20"/>
                <w:szCs w:val="20"/>
                <w:color w:val="auto"/>
              </w:rPr>
            </w:pPr>
            <w:r>
              <w:rPr>
                <w:rFonts w:ascii="Arial" w:cs="Arial" w:eastAsia="Arial" w:hAnsi="Arial"/>
                <w:sz w:val="17"/>
                <w:szCs w:val="17"/>
                <w:color w:val="0000FF"/>
                <w:w w:val="84"/>
              </w:rPr>
              <w:t>25,300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00" w:type="dxa"/>
            <w:vAlign w:val="bottom"/>
            <w:gridSpan w:val="2"/>
          </w:tcPr>
          <w:p>
            <w:pPr>
              <w:jc w:val="right"/>
              <w:ind w:right="162"/>
              <w:spacing w:after="0"/>
              <w:rPr>
                <w:sz w:val="20"/>
                <w:szCs w:val="20"/>
                <w:color w:val="auto"/>
              </w:rPr>
            </w:pPr>
            <w:r>
              <w:rPr>
                <w:rFonts w:ascii="Arial" w:cs="Arial" w:eastAsia="Arial" w:hAnsi="Arial"/>
                <w:sz w:val="13"/>
                <w:szCs w:val="13"/>
                <w:color w:val="0000FF"/>
              </w:rPr>
              <w:t>25,300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3"/>
              <w:spacing w:after="0"/>
              <w:rPr>
                <w:sz w:val="20"/>
                <w:szCs w:val="20"/>
                <w:color w:val="auto"/>
              </w:rPr>
            </w:pPr>
            <w:r>
              <w:rPr>
                <w:rFonts w:ascii="Arial" w:cs="Arial" w:eastAsia="Arial" w:hAnsi="Arial"/>
                <w:sz w:val="11"/>
                <w:szCs w:val="11"/>
                <w:color w:val="008000"/>
              </w:rPr>
              <w:t>(4)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660" w:type="dxa"/>
            <w:vAlign w:val="bottom"/>
            <w:vMerge w:val="restart"/>
          </w:tcPr>
          <w:p>
            <w:pPr>
              <w:jc w:val="right"/>
              <w:ind w:right="242"/>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6"/>
              <w:spacing w:after="0"/>
              <w:rPr>
                <w:sz w:val="20"/>
                <w:szCs w:val="20"/>
                <w:color w:val="auto"/>
              </w:rPr>
            </w:pPr>
            <w:r>
              <w:rPr>
                <w:rFonts w:ascii="Arial" w:cs="Arial" w:eastAsia="Arial" w:hAnsi="Arial"/>
                <w:sz w:val="17"/>
                <w:szCs w:val="17"/>
                <w:color w:val="0000FF"/>
                <w:w w:val="93"/>
              </w:rPr>
              <w:t>1,600</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05/19/2020</w:t>
            </w:r>
          </w:p>
        </w:tc>
        <w:tc>
          <w:tcPr>
            <w:tcW w:w="1140" w:type="dxa"/>
            <w:vAlign w:val="bottom"/>
          </w:tcPr>
          <w:p>
            <w:pPr>
              <w:spacing w:after="0"/>
              <w:rPr>
                <w:sz w:val="5"/>
                <w:szCs w:val="5"/>
                <w:color w:val="auto"/>
              </w:rPr>
            </w:pPr>
          </w:p>
        </w:tc>
        <w:tc>
          <w:tcPr>
            <w:tcW w:w="6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5"/>
                <w:szCs w:val="5"/>
                <w:color w:val="auto"/>
              </w:rPr>
            </w:pPr>
          </w:p>
        </w:tc>
        <w:tc>
          <w:tcPr>
            <w:tcW w:w="580" w:type="dxa"/>
            <w:vAlign w:val="bottom"/>
            <w:vMerge w:val="restart"/>
          </w:tcPr>
          <w:p>
            <w:pPr>
              <w:jc w:val="right"/>
              <w:ind w:right="101"/>
              <w:spacing w:after="0" w:line="142" w:lineRule="exact"/>
              <w:rPr>
                <w:sz w:val="20"/>
                <w:szCs w:val="20"/>
                <w:color w:val="auto"/>
              </w:rPr>
            </w:pPr>
            <w:r>
              <w:rPr>
                <w:rFonts w:ascii="Arial" w:cs="Arial" w:eastAsia="Arial" w:hAnsi="Arial"/>
                <w:sz w:val="13"/>
                <w:szCs w:val="13"/>
                <w:color w:val="0000FF"/>
              </w:rPr>
              <w:t>1,600</w:t>
            </w:r>
          </w:p>
        </w:tc>
        <w:tc>
          <w:tcPr>
            <w:tcW w:w="2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00" w:type="dxa"/>
            <w:vAlign w:val="bottom"/>
            <w:gridSpan w:val="2"/>
            <w:vMerge w:val="restart"/>
          </w:tcPr>
          <w:p>
            <w:pPr>
              <w:jc w:val="right"/>
              <w:ind w:right="202"/>
              <w:spacing w:after="0" w:line="142" w:lineRule="exact"/>
              <w:rPr>
                <w:sz w:val="20"/>
                <w:szCs w:val="20"/>
                <w:color w:val="auto"/>
              </w:rPr>
            </w:pPr>
            <w:r>
              <w:rPr>
                <w:rFonts w:ascii="Arial" w:cs="Arial" w:eastAsia="Arial" w:hAnsi="Arial"/>
                <w:sz w:val="13"/>
                <w:szCs w:val="13"/>
                <w:color w:val="0000FF"/>
              </w:rPr>
              <w:t>1,600</w:t>
            </w:r>
          </w:p>
        </w:tc>
        <w:tc>
          <w:tcPr>
            <w:tcW w:w="54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-2406015</wp:posOffset>
            </wp:positionV>
            <wp:extent cx="7033895" cy="2448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44856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18.735 net shares of common stock acquired by the reporting person since the date of his last report under the dividend reinvestment feature of The Toro Company Retirement Plan, less quarterly non-discretionary administrative fees.</w:t>
      </w:r>
    </w:p>
    <w:p>
      <w:pPr>
        <w:spacing w:after="0" w:line="25" w:lineRule="exact"/>
        <w:rPr>
          <w:rFonts w:ascii="Arial" w:cs="Arial" w:eastAsia="Arial" w:hAnsi="Arial"/>
          <w:sz w:val="13"/>
          <w:szCs w:val="13"/>
          <w:color w:val="008000"/>
        </w:rPr>
      </w:pPr>
    </w:p>
    <w:p>
      <w:pPr>
        <w:ind w:left="40" w:right="5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33.522 performance share units acquired by the reporting person since the date of his last report under the dividend reinvestment feature of The Toro Company Deferred Compensation Plan for Officers.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Toro common stock.</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and related dividend equivalents vest and become non-forfeitable in three equal annual installments commencing on the first anniversary of the date of grant.</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and related dividend equivalents vest and become non-forfeitable in three equal annual installments commencing on the first anniversary of the date of grant.</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05/20/2020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0825"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2020-05-20T20:42:17Z</dcterms:created>
  <dcterms:modified xsi:type="dcterms:W3CDTF">2020-05-20T20:42:17Z</dcterms:modified>
</cp:coreProperties>
</file>