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204"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5"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4 )*</w:t>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Toro Co/The</w:t>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7"/>
          <w:szCs w:val="17"/>
          <w:color w:val="auto"/>
        </w:rPr>
        <w:t>CUSIP Number: 891092108</w:t>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2013</w:t>
      </w:r>
    </w:p>
    <w:p>
      <w:pPr>
        <w:spacing w:after="0" w:line="21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80" w:right="9920" w:firstLine="8"/>
        <w:spacing w:after="0" w:line="281" w:lineRule="auto"/>
        <w:tabs>
          <w:tab w:leader="none" w:pos="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63" w:lineRule="exact"/>
        <w:rPr>
          <w:sz w:val="24"/>
          <w:szCs w:val="24"/>
          <w:color w:val="auto"/>
        </w:rPr>
      </w:pPr>
    </w:p>
    <w:p>
      <w:pPr>
        <w:ind w:right="300" w:firstLine="85"/>
        <w:spacing w:after="0" w:line="277"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4" w:lineRule="exact"/>
        <w:rPr>
          <w:sz w:val="24"/>
          <w:szCs w:val="24"/>
          <w:color w:val="auto"/>
        </w:rPr>
      </w:pPr>
    </w:p>
    <w:p>
      <w:pPr>
        <w:ind w:firstLine="82"/>
        <w:spacing w:after="0" w:line="309"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7"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337185</wp:posOffset>
            </wp:positionV>
            <wp:extent cx="727456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4560" cy="20955"/>
                    </a:xfrm>
                    <a:prstGeom prst="rect">
                      <a:avLst/>
                    </a:prstGeom>
                    <a:noFill/>
                  </pic:spPr>
                </pic:pic>
              </a:graphicData>
            </a:graphic>
          </wp:anchor>
        </w:drawing>
      </w:r>
    </w:p>
    <w:p>
      <w:pPr>
        <w:sectPr>
          <w:pgSz w:w="11900" w:h="16838" w:orient="portrait"/>
          <w:cols w:equalWidth="0" w:num="1">
            <w:col w:w="11260"/>
          </w:cols>
          <w:pgMar w:left="240" w:top="435" w:right="39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891092108</w:t>
      </w:r>
    </w:p>
    <w:p>
      <w:pPr>
        <w:spacing w:after="0" w:line="200" w:lineRule="exact"/>
        <w:rPr>
          <w:sz w:val="20"/>
          <w:szCs w:val="20"/>
          <w:color w:val="auto"/>
        </w:rPr>
      </w:pPr>
    </w:p>
    <w:p>
      <w:pPr>
        <w:spacing w:after="0" w:line="209" w:lineRule="exact"/>
        <w:rPr>
          <w:sz w:val="20"/>
          <w:szCs w:val="20"/>
          <w:color w:val="auto"/>
        </w:rPr>
      </w:pPr>
    </w:p>
    <w:p>
      <w:pPr>
        <w:ind w:left="220" w:hanging="217"/>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8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gridSpan w:val="2"/>
          </w:tcPr>
          <w:p>
            <w:pPr>
              <w:ind w:left="80"/>
              <w:spacing w:after="0"/>
              <w:rPr>
                <w:sz w:val="20"/>
                <w:szCs w:val="20"/>
                <w:color w:val="auto"/>
              </w:rPr>
            </w:pPr>
            <w:r>
              <w:rPr>
                <w:rFonts w:ascii="Arial" w:cs="Arial" w:eastAsia="Arial" w:hAnsi="Arial"/>
                <w:sz w:val="17"/>
                <w:szCs w:val="17"/>
                <w:color w:val="auto"/>
              </w:rPr>
              <w:t>The Vanguard Group - 23-1945930</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10"/>
        </w:trPr>
        <w:tc>
          <w:tcPr>
            <w:tcW w:w="180" w:type="dxa"/>
            <w:vAlign w:val="bottom"/>
          </w:tcPr>
          <w:p>
            <w:pPr>
              <w:jc w:val="right"/>
              <w:spacing w:after="0"/>
              <w:rPr>
                <w:sz w:val="20"/>
                <w:szCs w:val="20"/>
                <w:color w:val="auto"/>
              </w:rPr>
            </w:pPr>
            <w:r>
              <w:rPr>
                <w:rFonts w:ascii="Arial" w:cs="Arial" w:eastAsia="Arial" w:hAnsi="Arial"/>
                <w:sz w:val="17"/>
                <w:szCs w:val="17"/>
                <w:color w:val="auto"/>
                <w:w w:val="84"/>
              </w:rPr>
              <w:t>2.</w:t>
            </w:r>
          </w:p>
        </w:tc>
        <w:tc>
          <w:tcPr>
            <w:tcW w:w="5580" w:type="dxa"/>
            <w:vAlign w:val="bottom"/>
          </w:tcPr>
          <w:p>
            <w:pPr>
              <w:ind w:left="40"/>
              <w:spacing w:after="0"/>
              <w:rPr>
                <w:sz w:val="20"/>
                <w:szCs w:val="20"/>
                <w:color w:val="auto"/>
              </w:rPr>
            </w:pPr>
            <w:r>
              <w:rPr>
                <w:rFonts w:ascii="Arial" w:cs="Arial" w:eastAsia="Arial" w:hAnsi="Arial"/>
                <w:sz w:val="17"/>
                <w:szCs w:val="17"/>
                <w:color w:val="auto"/>
              </w:rPr>
              <w:t>CHECK THE APPROPRIATE [LINE] IF A MEMBER OF A GROUP</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3"/>
        </w:trPr>
        <w:tc>
          <w:tcPr>
            <w:tcW w:w="180" w:type="dxa"/>
            <w:vAlign w:val="bottom"/>
          </w:tcPr>
          <w:p>
            <w:pPr>
              <w:spacing w:after="0"/>
              <w:rPr>
                <w:sz w:val="24"/>
                <w:szCs w:val="24"/>
                <w:color w:val="auto"/>
              </w:rPr>
            </w:pPr>
          </w:p>
        </w:tc>
        <w:tc>
          <w:tcPr>
            <w:tcW w:w="5580" w:type="dxa"/>
            <w:vAlign w:val="bottom"/>
          </w:tcPr>
          <w:p>
            <w:pPr>
              <w:ind w:left="1160"/>
              <w:spacing w:after="0"/>
              <w:rPr>
                <w:sz w:val="20"/>
                <w:szCs w:val="20"/>
                <w:color w:val="auto"/>
              </w:rPr>
            </w:pPr>
            <w:r>
              <w:rPr>
                <w:rFonts w:ascii="Arial" w:cs="Arial" w:eastAsia="Arial" w:hAnsi="Arial"/>
                <w:sz w:val="17"/>
                <w:szCs w:val="17"/>
                <w:color w:val="auto"/>
              </w:rPr>
              <w:t>A.</w:t>
            </w:r>
          </w:p>
        </w:tc>
        <w:tc>
          <w:tcPr>
            <w:tcW w:w="1040" w:type="dxa"/>
            <w:vAlign w:val="bottom"/>
            <w:gridSpan w:val="2"/>
          </w:tcPr>
          <w:p>
            <w:pPr>
              <w:ind w:left="680"/>
              <w:spacing w:after="0"/>
              <w:rPr>
                <w:sz w:val="20"/>
                <w:szCs w:val="20"/>
                <w:color w:val="auto"/>
              </w:rPr>
            </w:pPr>
            <w:r>
              <w:rPr>
                <w:rFonts w:ascii="Arial" w:cs="Arial" w:eastAsia="Arial" w:hAnsi="Arial"/>
                <w:sz w:val="17"/>
                <w:szCs w:val="17"/>
                <w:color w:val="auto"/>
              </w:rPr>
              <w:t>B. X</w:t>
            </w:r>
          </w:p>
        </w:tc>
      </w:tr>
      <w:tr>
        <w:trPr>
          <w:trHeight w:val="427"/>
        </w:trPr>
        <w:tc>
          <w:tcPr>
            <w:tcW w:w="180" w:type="dxa"/>
            <w:vAlign w:val="bottom"/>
          </w:tcPr>
          <w:p>
            <w:pPr>
              <w:jc w:val="right"/>
              <w:spacing w:after="0"/>
              <w:rPr>
                <w:sz w:val="20"/>
                <w:szCs w:val="20"/>
                <w:color w:val="auto"/>
              </w:rPr>
            </w:pPr>
            <w:r>
              <w:rPr>
                <w:rFonts w:ascii="Arial" w:cs="Arial" w:eastAsia="Arial" w:hAnsi="Arial"/>
                <w:sz w:val="17"/>
                <w:szCs w:val="17"/>
                <w:color w:val="auto"/>
                <w:w w:val="84"/>
              </w:rPr>
              <w:t>3.</w:t>
            </w:r>
          </w:p>
        </w:tc>
        <w:tc>
          <w:tcPr>
            <w:tcW w:w="5580" w:type="dxa"/>
            <w:vAlign w:val="bottom"/>
          </w:tcPr>
          <w:p>
            <w:pPr>
              <w:ind w:left="40"/>
              <w:spacing w:after="0"/>
              <w:rPr>
                <w:sz w:val="20"/>
                <w:szCs w:val="20"/>
                <w:color w:val="auto"/>
              </w:rPr>
            </w:pPr>
            <w:r>
              <w:rPr>
                <w:rFonts w:ascii="Arial" w:cs="Arial" w:eastAsia="Arial" w:hAnsi="Arial"/>
                <w:sz w:val="17"/>
                <w:szCs w:val="17"/>
                <w:color w:val="auto"/>
              </w:rPr>
              <w:t>SEC USE ONLY</w:t>
            </w:r>
          </w:p>
        </w:tc>
        <w:tc>
          <w:tcPr>
            <w:tcW w:w="8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r>
      <w:tr>
        <w:trPr>
          <w:trHeight w:val="820"/>
        </w:trPr>
        <w:tc>
          <w:tcPr>
            <w:tcW w:w="180" w:type="dxa"/>
            <w:vAlign w:val="bottom"/>
          </w:tcPr>
          <w:p>
            <w:pPr>
              <w:jc w:val="right"/>
              <w:spacing w:after="0"/>
              <w:rPr>
                <w:sz w:val="20"/>
                <w:szCs w:val="20"/>
                <w:color w:val="auto"/>
              </w:rPr>
            </w:pPr>
            <w:r>
              <w:rPr>
                <w:rFonts w:ascii="Arial" w:cs="Arial" w:eastAsia="Arial" w:hAnsi="Arial"/>
                <w:sz w:val="17"/>
                <w:szCs w:val="17"/>
                <w:color w:val="auto"/>
                <w:w w:val="84"/>
              </w:rPr>
              <w:t>4.</w:t>
            </w:r>
          </w:p>
        </w:tc>
        <w:tc>
          <w:tcPr>
            <w:tcW w:w="5580" w:type="dxa"/>
            <w:vAlign w:val="bottom"/>
          </w:tcPr>
          <w:p>
            <w:pPr>
              <w:ind w:left="40"/>
              <w:spacing w:after="0"/>
              <w:rPr>
                <w:sz w:val="20"/>
                <w:szCs w:val="20"/>
                <w:color w:val="auto"/>
              </w:rPr>
            </w:pPr>
            <w:r>
              <w:rPr>
                <w:rFonts w:ascii="Arial" w:cs="Arial" w:eastAsia="Arial" w:hAnsi="Arial"/>
                <w:sz w:val="17"/>
                <w:szCs w:val="17"/>
                <w:color w:val="auto"/>
              </w:rPr>
              <w:t>CITIZENSHIP OF PLACE OF ORGANIZATION</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6" w:lineRule="exact"/>
        <w:rPr>
          <w:sz w:val="20"/>
          <w:szCs w:val="20"/>
          <w:color w:val="auto"/>
        </w:rPr>
      </w:pPr>
    </w:p>
    <w:p>
      <w:pPr>
        <w:ind w:left="80" w:right="8239" w:hanging="77"/>
        <w:spacing w:after="0" w:line="503" w:lineRule="auto"/>
        <w:tabs>
          <w:tab w:leader="none" w:pos="20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VOTING POWER 35,846</w:t>
      </w:r>
    </w:p>
    <w:p>
      <w:pPr>
        <w:spacing w:after="0" w:line="1" w:lineRule="exact"/>
        <w:rPr>
          <w:rFonts w:ascii="Arial" w:cs="Arial" w:eastAsia="Arial" w:hAnsi="Arial"/>
          <w:sz w:val="17"/>
          <w:szCs w:val="17"/>
          <w:color w:val="auto"/>
        </w:rPr>
      </w:pPr>
    </w:p>
    <w:p>
      <w:pPr>
        <w:ind w:left="220" w:hanging="217"/>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VOTING POWER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5" w:lineRule="exact"/>
        <w:rPr>
          <w:rFonts w:ascii="Arial" w:cs="Arial" w:eastAsia="Arial" w:hAnsi="Arial"/>
          <w:sz w:val="17"/>
          <w:szCs w:val="17"/>
          <w:color w:val="auto"/>
        </w:rPr>
      </w:pPr>
    </w:p>
    <w:p>
      <w:pPr>
        <w:ind w:left="80" w:right="7859" w:hanging="77"/>
        <w:spacing w:after="0" w:line="503" w:lineRule="auto"/>
        <w:tabs>
          <w:tab w:leader="none" w:pos="20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DISPOSITIVE POWER 3,766,415</w:t>
      </w:r>
    </w:p>
    <w:p>
      <w:pPr>
        <w:spacing w:after="0" w:line="1" w:lineRule="exact"/>
        <w:rPr>
          <w:rFonts w:ascii="Arial" w:cs="Arial" w:eastAsia="Arial" w:hAnsi="Arial"/>
          <w:sz w:val="17"/>
          <w:szCs w:val="17"/>
          <w:color w:val="auto"/>
        </w:rPr>
      </w:pPr>
    </w:p>
    <w:p>
      <w:pPr>
        <w:ind w:left="140" w:right="7599" w:hanging="137"/>
        <w:spacing w:after="0" w:line="503" w:lineRule="auto"/>
        <w:tabs>
          <w:tab w:leader="none" w:pos="225"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DISPOSITIVE POWER 32,146</w:t>
      </w:r>
    </w:p>
    <w:p>
      <w:pPr>
        <w:spacing w:after="0" w:line="1" w:lineRule="exact"/>
        <w:rPr>
          <w:rFonts w:ascii="Arial" w:cs="Arial" w:eastAsia="Arial" w:hAnsi="Arial"/>
          <w:sz w:val="17"/>
          <w:szCs w:val="17"/>
          <w:color w:val="auto"/>
        </w:rPr>
      </w:pPr>
    </w:p>
    <w:p>
      <w:pPr>
        <w:ind w:left="80" w:right="3799" w:hanging="77"/>
        <w:spacing w:after="0" w:line="503" w:lineRule="auto"/>
        <w:tabs>
          <w:tab w:leader="none" w:pos="199" w:val="left"/>
        </w:tabs>
        <w:numPr>
          <w:ilvl w:val="0"/>
          <w:numId w:val="3"/>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3,798,561</w:t>
      </w:r>
    </w:p>
    <w:p>
      <w:pPr>
        <w:spacing w:after="0" w:line="1" w:lineRule="exact"/>
        <w:rPr>
          <w:rFonts w:ascii="Arial" w:cs="Arial" w:eastAsia="Arial" w:hAnsi="Arial"/>
          <w:sz w:val="17"/>
          <w:szCs w:val="17"/>
          <w:color w:val="auto"/>
        </w:rPr>
      </w:pPr>
    </w:p>
    <w:p>
      <w:pPr>
        <w:ind w:left="80" w:right="3199" w:hanging="77"/>
        <w:spacing w:after="0" w:line="503" w:lineRule="auto"/>
        <w:tabs>
          <w:tab w:leader="none" w:pos="294"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7"/>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6.68%</w:t>
      </w:r>
    </w:p>
    <w:p>
      <w:pPr>
        <w:spacing w:after="0" w:line="215" w:lineRule="exact"/>
        <w:rPr>
          <w:sz w:val="20"/>
          <w:szCs w:val="20"/>
          <w:color w:val="auto"/>
        </w:rPr>
      </w:pPr>
    </w:p>
    <w:p>
      <w:pPr>
        <w:ind w:left="300" w:hanging="297"/>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14" w:lineRule="exact"/>
        <w:rPr>
          <w:rFonts w:ascii="Arial" w:cs="Arial" w:eastAsia="Arial" w:hAnsi="Arial"/>
          <w:sz w:val="17"/>
          <w:szCs w:val="17"/>
          <w:color w:val="auto"/>
        </w:rPr>
      </w:pPr>
    </w:p>
    <w:p>
      <w:pPr>
        <w:ind w:left="8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207010</wp:posOffset>
            </wp:positionV>
            <wp:extent cx="727456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4560" cy="20955"/>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2" w:name="page3"/>
    <w:bookmarkEnd w:id="2"/>
    <w:p>
      <w:pPr>
        <w:jc w:val="center"/>
        <w:ind w:right="-12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Washington, D.C. 20549</w:t>
      </w:r>
    </w:p>
    <w:p>
      <w:pPr>
        <w:spacing w:after="0" w:line="204"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Under the Securities Act of 1934</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Toro Co/The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8111 Lyndale Avenue South</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7"/>
          <w:szCs w:val="17"/>
          <w:color w:val="auto"/>
        </w:rPr>
        <w:t>Bloomington, Minnesota 55420-1196</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Vanguard Group - 23-1945930</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7"/>
          <w:szCs w:val="17"/>
          <w:color w:val="auto"/>
        </w:rPr>
        <w:t>Malvern, PA 19355</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Pennsylvania</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891092108</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5" w:lineRule="exact"/>
        <w:rPr>
          <w:sz w:val="20"/>
          <w:szCs w:val="20"/>
          <w:color w:val="auto"/>
        </w:rPr>
      </w:pPr>
    </w:p>
    <w:p>
      <w:pPr>
        <w:ind w:left="80" w:right="7879" w:firstLine="8"/>
        <w:spacing w:after="0" w:line="503" w:lineRule="auto"/>
        <w:tabs>
          <w:tab w:leader="none" w:pos="312"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Beneficially Owned: 3,798,561</w:t>
      </w:r>
    </w:p>
    <w:p>
      <w:pPr>
        <w:spacing w:after="0" w:line="1" w:lineRule="exact"/>
        <w:rPr>
          <w:rFonts w:ascii="Arial" w:cs="Arial" w:eastAsia="Arial" w:hAnsi="Arial"/>
          <w:sz w:val="17"/>
          <w:szCs w:val="17"/>
          <w:color w:val="auto"/>
        </w:rPr>
      </w:pPr>
    </w:p>
    <w:p>
      <w:pPr>
        <w:ind w:left="340" w:hanging="252"/>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207010</wp:posOffset>
            </wp:positionV>
            <wp:extent cx="727456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4560" cy="20955"/>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3" w:name="page4"/>
    <w:bookmarkEnd w:id="3"/>
    <w:p>
      <w:pPr>
        <w:ind w:left="360" w:hanging="272"/>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14" w:lineRule="exact"/>
        <w:rPr>
          <w:rFonts w:ascii="Arial" w:cs="Arial" w:eastAsia="Arial" w:hAnsi="Arial"/>
          <w:sz w:val="17"/>
          <w:szCs w:val="17"/>
          <w:color w:val="auto"/>
        </w:rPr>
      </w:pPr>
    </w:p>
    <w:p>
      <w:pPr>
        <w:ind w:left="340" w:hanging="252"/>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sole power to vote or direct to vote: 35,846</w:t>
      </w:r>
    </w:p>
    <w:p>
      <w:pPr>
        <w:spacing w:after="0" w:line="214" w:lineRule="exact"/>
        <w:rPr>
          <w:rFonts w:ascii="Arial" w:cs="Arial" w:eastAsia="Arial" w:hAnsi="Arial"/>
          <w:sz w:val="17"/>
          <w:szCs w:val="17"/>
          <w:color w:val="auto"/>
        </w:rPr>
      </w:pPr>
    </w:p>
    <w:p>
      <w:pPr>
        <w:ind w:left="380" w:hanging="292"/>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14" w:lineRule="exact"/>
        <w:rPr>
          <w:rFonts w:ascii="Arial" w:cs="Arial" w:eastAsia="Arial" w:hAnsi="Arial"/>
          <w:sz w:val="17"/>
          <w:szCs w:val="17"/>
          <w:color w:val="auto"/>
        </w:rPr>
      </w:pPr>
    </w:p>
    <w:p>
      <w:pPr>
        <w:ind w:left="80" w:right="6480" w:firstLine="8"/>
        <w:spacing w:after="0" w:line="570" w:lineRule="auto"/>
        <w:tabs>
          <w:tab w:leader="none" w:pos="422" w:val="left"/>
        </w:tabs>
        <w:numPr>
          <w:ilvl w:val="0"/>
          <w:numId w:val="9"/>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3,766,415 (iv) shared power to dispose or to direct the disposition of: 32,146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See Attached Appendix A</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5" w:lineRule="exact"/>
        <w:rPr>
          <w:sz w:val="20"/>
          <w:szCs w:val="20"/>
          <w:color w:val="auto"/>
        </w:rPr>
      </w:pPr>
    </w:p>
    <w:p>
      <w:pPr>
        <w:ind w:firstLine="85"/>
        <w:spacing w:after="0" w:line="264"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Date: 2/6/14</w:t>
      </w:r>
    </w:p>
    <w:p>
      <w:pPr>
        <w:spacing w:after="0" w:line="21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-9525</wp:posOffset>
            </wp:positionV>
            <wp:extent cx="12084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 William McNabb III</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President and Chief Executive Officer</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207010</wp:posOffset>
            </wp:positionV>
            <wp:extent cx="727456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4560" cy="2095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4" w:name="page5"/>
    <w:bookmarkEnd w:id="4"/>
    <w:p>
      <w:pPr>
        <w:ind w:left="62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Appendix A</w:t>
      </w:r>
    </w:p>
    <w:p>
      <w:pPr>
        <w:spacing w:after="0" w:line="215" w:lineRule="exact"/>
        <w:rPr>
          <w:sz w:val="20"/>
          <w:szCs w:val="20"/>
          <w:color w:val="auto"/>
        </w:rPr>
      </w:pPr>
    </w:p>
    <w:p>
      <w:pPr>
        <w:ind w:firstLine="40"/>
        <w:spacing w:after="0" w:line="277"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32,146 shares or .05% of the Common Stock outstanding of the Company as a result of its serving as investment manager of collective trust accounts.</w:t>
      </w:r>
    </w:p>
    <w:p>
      <w:pPr>
        <w:spacing w:after="0" w:line="164"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3,700 shares or .00%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-9525</wp:posOffset>
            </wp:positionV>
            <wp:extent cx="1208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195"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F. William McNabb III</w:t>
      </w:r>
    </w:p>
    <w:p>
      <w:pPr>
        <w:spacing w:after="0" w:line="215"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President and Chief Executive Officer</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sectPr>
      <w:pgSz w:w="11900" w:h="16838" w:orient="portrait"/>
      <w:cols w:equalWidth="0" w:num="1">
        <w:col w:w="11100"/>
      </w:cols>
      <w:pgMar w:left="240" w:top="563"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2019-12-05T19:46:23Z</dcterms:created>
  <dcterms:modified xsi:type="dcterms:W3CDTF">2019-12-05T19:46:23Z</dcterms:modified>
</cp:coreProperties>
</file>