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BUHRMASTER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03/21/2012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12,000</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71.037</w:t>
            </w:r>
            <w:r>
              <w:rPr>
                <w:rFonts w:ascii="Arial" w:cs="Arial" w:eastAsia="Arial" w:hAnsi="Arial"/>
                <w:sz w:val="22"/>
                <w:szCs w:val="22"/>
                <w:color w:val="008000"/>
                <w:w w:val="91"/>
                <w:vertAlign w:val="superscript"/>
              </w:rPr>
              <w:t>(1)</w:t>
            </w:r>
          </w:p>
        </w:tc>
        <w:tc>
          <w:tcPr>
            <w:tcW w:w="126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98"/>
              </w:rPr>
              <w:t>14,135.141</w:t>
            </w:r>
            <w:r>
              <w:rPr>
                <w:rFonts w:ascii="Arial" w:cs="Arial" w:eastAsia="Arial" w:hAnsi="Arial"/>
                <w:sz w:val="22"/>
                <w:szCs w:val="22"/>
                <w:color w:val="008000"/>
                <w:w w:val="98"/>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59"/>
              <w:spacing w:after="0"/>
              <w:rPr>
                <w:sz w:val="20"/>
                <w:szCs w:val="20"/>
                <w:color w:val="auto"/>
              </w:rPr>
            </w:pPr>
            <w:r>
              <w:rPr>
                <w:rFonts w:ascii="Arial" w:cs="Arial" w:eastAsia="Arial" w:hAnsi="Arial"/>
                <w:sz w:val="18"/>
                <w:szCs w:val="18"/>
                <w:color w:val="0000FF"/>
              </w:rPr>
              <w:t>4,187.514</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ind w:left="9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$70.90 to $71.28,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43.185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14.541 common stock units acquired by the reporting person under the dividend reinvestment feature of The Toro Company Deferred Compensation Plan for Non-Employee Directors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03/23/2012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2019-12-17T00:28:00Z</dcterms:created>
  <dcterms:modified xsi:type="dcterms:W3CDTF">2019-12-17T00:28:00Z</dcterms:modified>
</cp:coreProperties>
</file>