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Irrig. &amp; Lighting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12/04/2014</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2,800</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85,106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12/04/2014</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52"/>
              <w:spacing w:after="0"/>
              <w:rPr>
                <w:sz w:val="20"/>
                <w:szCs w:val="20"/>
                <w:color w:val="auto"/>
              </w:rPr>
            </w:pPr>
            <w:r>
              <w:rPr>
                <w:rFonts w:ascii="Arial" w:cs="Arial" w:eastAsia="Arial" w:hAnsi="Arial"/>
                <w:sz w:val="18"/>
                <w:szCs w:val="18"/>
                <w:color w:val="0000FF"/>
              </w:rPr>
              <w:t>1,053</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64.97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84,053</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38,475.431</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16,915.376</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tcPr>
          <w:p>
            <w:pPr>
              <w:ind w:left="260"/>
              <w:spacing w:after="0"/>
              <w:rPr>
                <w:sz w:val="20"/>
                <w:szCs w:val="20"/>
                <w:color w:val="auto"/>
              </w:rPr>
            </w:pPr>
            <w:r>
              <w:rPr>
                <w:rFonts w:ascii="Arial" w:cs="Arial" w:eastAsia="Arial" w:hAnsi="Arial"/>
                <w:sz w:val="14"/>
                <w:szCs w:val="14"/>
                <w:color w:val="0000FF"/>
              </w:rPr>
              <w:t>12/05/2014</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4,400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12/05/2024</w:t>
            </w: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ind w:left="100"/>
              <w:spacing w:after="0" w:line="200" w:lineRule="exact"/>
              <w:rPr>
                <w:sz w:val="20"/>
                <w:szCs w:val="20"/>
                <w:color w:val="auto"/>
              </w:rPr>
            </w:pPr>
            <w:r>
              <w:rPr>
                <w:rFonts w:ascii="Arial" w:cs="Arial" w:eastAsia="Arial" w:hAnsi="Arial"/>
                <w:sz w:val="18"/>
                <w:szCs w:val="18"/>
                <w:color w:val="0000FF"/>
              </w:rPr>
              <w:t>4,400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4,400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2012 to Fiscal 2014 Performance Period under The Toro Company 2010 Equity and Incentive Plan, as amended (the "2010 Plan"), as approved by the registrant's Compensation &amp; Human Resources Committee of its Board of Directors on December 2, 2014, and which was conditioned upon and subject to confirmation by the registrant's Fiscal 2014 financial results that were released on December 4, 2014. Performance Share Awards are paid in shares of common stock under the 2010 Plan.</w:t>
      </w:r>
    </w:p>
    <w:p>
      <w:pPr>
        <w:spacing w:after="0" w:line="2"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257.293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113.642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2019-12-17T03:08:29Z</dcterms:created>
  <dcterms:modified xsi:type="dcterms:W3CDTF">2019-12-17T03:08:29Z</dcterms:modified>
</cp:coreProperties>
</file>