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0" w:lineRule="exact"/>
        <w:rPr>
          <w:sz w:val="20"/>
          <w:szCs w:val="20"/>
          <w:color w:val="auto"/>
        </w:rPr>
      </w:pPr>
    </w:p>
    <w:p>
      <w:pPr>
        <w:spacing w:after="0" w:line="228" w:lineRule="exact"/>
        <w:rPr>
          <w:sz w:val="20"/>
          <w:szCs w:val="20"/>
          <w:color w:val="auto"/>
        </w:rPr>
      </w:pPr>
    </w:p>
    <w:p>
      <w:pPr>
        <w:ind w:left="1100" w:right="900" w:hanging="518"/>
        <w:spacing w:after="0" w:line="262" w:lineRule="auto"/>
        <w:tabs>
          <w:tab w:leader="none" w:pos="11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fiscal year ended </w:t>
      </w:r>
      <w:r>
        <w:rPr>
          <w:rFonts w:ascii="Times New Roman" w:cs="Times New Roman" w:eastAsia="Times New Roman" w:hAnsi="Times New Roman"/>
          <w:sz w:val="18"/>
          <w:szCs w:val="18"/>
          <w:u w:val="single" w:color="auto"/>
          <w:color w:val="auto"/>
        </w:rPr>
        <w:t>December 31, 2004.</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00" w:lineRule="exact"/>
        <w:rPr>
          <w:sz w:val="20"/>
          <w:szCs w:val="20"/>
          <w:color w:val="auto"/>
        </w:rPr>
      </w:pPr>
    </w:p>
    <w:p>
      <w:pPr>
        <w:spacing w:after="0" w:line="228" w:lineRule="exact"/>
        <w:rPr>
          <w:sz w:val="20"/>
          <w:szCs w:val="20"/>
          <w:color w:val="auto"/>
        </w:rPr>
      </w:pPr>
    </w:p>
    <w:p>
      <w:pPr>
        <w:ind w:left="1100" w:right="820" w:hanging="518"/>
        <w:spacing w:after="0" w:line="262" w:lineRule="auto"/>
        <w:tabs>
          <w:tab w:leader="none" w:pos="11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123" w:lineRule="exact"/>
        <w:rPr>
          <w:sz w:val="20"/>
          <w:szCs w:val="20"/>
          <w:color w:val="auto"/>
        </w:rPr>
      </w:pPr>
    </w:p>
    <w:p>
      <w:pPr>
        <w:spacing w:after="0"/>
        <w:tabs>
          <w:tab w:leader="none" w:pos="3120" w:val="left"/>
          <w:tab w:leader="none" w:pos="42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1392555</wp:posOffset>
            </wp:positionH>
            <wp:positionV relativeFrom="paragraph">
              <wp:posOffset>-7620</wp:posOffset>
            </wp:positionV>
            <wp:extent cx="1289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0" cy="8890"/>
                    </a:xfrm>
                    <a:prstGeom prst="rect">
                      <a:avLst/>
                    </a:prstGeom>
                    <a:noFill/>
                  </pic:spPr>
                </pic:pic>
              </a:graphicData>
            </a:graphic>
          </wp:anchor>
        </w:drawing>
      </w:r>
    </w:p>
    <w:p>
      <w:pPr>
        <w:spacing w:after="0" w:line="16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1-8649.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Full title of the plan and address of the plan if different from that of the issuer named below:</w:t>
      </w:r>
    </w:p>
    <w:p>
      <w:pPr>
        <w:spacing w:after="0" w:line="200" w:lineRule="exact"/>
        <w:rPr>
          <w:sz w:val="20"/>
          <w:szCs w:val="20"/>
          <w:color w:val="auto"/>
        </w:rPr>
      </w:pPr>
    </w:p>
    <w:p>
      <w:pPr>
        <w:spacing w:after="0" w:line="208" w:lineRule="exact"/>
        <w:rPr>
          <w:sz w:val="20"/>
          <w:szCs w:val="20"/>
          <w:color w:val="auto"/>
        </w:rPr>
      </w:pPr>
    </w:p>
    <w:p>
      <w:pPr>
        <w:jc w:val="center"/>
        <w:ind w:left="260"/>
        <w:spacing w:after="0" w:line="281" w:lineRule="auto"/>
        <w:rPr>
          <w:sz w:val="20"/>
          <w:szCs w:val="20"/>
          <w:color w:val="auto"/>
        </w:rPr>
      </w:pPr>
      <w:r>
        <w:rPr>
          <w:rFonts w:ascii="Times New Roman" w:cs="Times New Roman" w:eastAsia="Times New Roman" w:hAnsi="Times New Roman"/>
          <w:sz w:val="43"/>
          <w:szCs w:val="43"/>
          <w:b w:val="1"/>
          <w:bCs w:val="1"/>
          <w:color w:val="auto"/>
        </w:rPr>
        <w:t>The Toro Company Investment, Savings, and Employee Stock Ownership Plan</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Minneapolis, MN 55420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Attn: Director, Tax Accounting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Name of issuer of the securities held pursuant to the plan and the address of its principal executive office: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Minneapolis, MN 55420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t>THE TORO COMPANY INVESTMENT, SAVINGS,</w:t>
      </w:r>
    </w:p>
    <w:p>
      <w:pPr>
        <w:spacing w:after="0" w:line="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t>AND EMPLOYEE STOCK OWNERSHIP PLAN</w:t>
      </w:r>
    </w:p>
    <w:p>
      <w:pPr>
        <w:spacing w:after="0" w:line="2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Financial Statements and Supplemental Schedules</w:t>
      </w:r>
    </w:p>
    <w:p>
      <w:pPr>
        <w:spacing w:after="0" w:line="2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December 31, 2004 and 2003</w:t>
      </w:r>
    </w:p>
    <w:p>
      <w:pPr>
        <w:spacing w:after="0" w:line="2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(With Independent Registered Public Accounting Firm’s Report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421005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THE TORO COMPANY INVESTMENT, SAVINGS,</w:t>
      </w:r>
    </w:p>
    <w:p>
      <w:pPr>
        <w:spacing w:after="0" w:line="18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AND EMPLOYEE STOCK OWNERSHIP PLAN</w:t>
      </w:r>
    </w:p>
    <w:p>
      <w:pPr>
        <w:spacing w:after="0" w:line="1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416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Independent Registered Public Accounting Firm’s Report</w:t>
              </w:r>
            </w:hyperlink>
          </w:p>
        </w:tc>
        <w:tc>
          <w:tcPr>
            <w:tcW w:w="3400" w:type="dxa"/>
            <w:vAlign w:val="bottom"/>
            <w:gridSpan w:val="2"/>
          </w:tcPr>
          <w:p>
            <w:pPr>
              <w:spacing w:after="0"/>
              <w:rPr>
                <w:sz w:val="16"/>
                <w:szCs w:val="16"/>
                <w:color w:val="auto"/>
              </w:rPr>
            </w:pPr>
          </w:p>
        </w:tc>
        <w:tc>
          <w:tcPr>
            <w:tcW w:w="35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412"/>
        </w:trPr>
        <w:tc>
          <w:tcPr>
            <w:tcW w:w="7560" w:type="dxa"/>
            <w:vAlign w:val="bottom"/>
            <w:gridSpan w:val="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Statements of Net Assets Available for Benefits</w:t>
              </w:r>
            </w:hyperlink>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412"/>
        </w:trPr>
        <w:tc>
          <w:tcPr>
            <w:tcW w:w="43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Statements of Changes in Net Assets Available for Benefits</w:t>
              </w:r>
            </w:hyperlink>
          </w:p>
        </w:tc>
        <w:tc>
          <w:tcPr>
            <w:tcW w:w="326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7560" w:type="dxa"/>
            <w:vAlign w:val="bottom"/>
            <w:gridSpan w:val="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Financial Statements</w:t>
              </w:r>
            </w:hyperlink>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53"/>
        </w:trPr>
        <w:tc>
          <w:tcPr>
            <w:tcW w:w="21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5400" w:type="dxa"/>
            <w:vAlign w:val="bottom"/>
            <w:gridSpan w:val="6"/>
          </w:tcPr>
          <w:p>
            <w:pPr>
              <w:spacing w:after="0"/>
              <w:rPr>
                <w:sz w:val="24"/>
                <w:szCs w:val="24"/>
                <w:color w:val="auto"/>
              </w:rPr>
            </w:pPr>
          </w:p>
        </w:tc>
        <w:tc>
          <w:tcPr>
            <w:tcW w:w="3580" w:type="dxa"/>
            <w:vAlign w:val="bottom"/>
          </w:tcPr>
          <w:p>
            <w:pPr>
              <w:spacing w:after="0"/>
              <w:rPr>
                <w:sz w:val="24"/>
                <w:szCs w:val="24"/>
                <w:color w:val="auto"/>
              </w:rPr>
            </w:pPr>
          </w:p>
        </w:tc>
      </w:tr>
      <w:tr>
        <w:trPr>
          <w:trHeight w:val="392"/>
        </w:trPr>
        <w:tc>
          <w:tcPr>
            <w:tcW w:w="220" w:type="dxa"/>
            <w:vAlign w:val="bottom"/>
            <w:tcBorders>
              <w:bottom w:val="single" w:sz="8" w:color="0000EE"/>
            </w:tcBorders>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1</w:t>
              </w:r>
            </w:hyperlink>
          </w:p>
        </w:tc>
        <w:tc>
          <w:tcPr>
            <w:tcW w:w="3340" w:type="dxa"/>
            <w:vAlign w:val="bottom"/>
            <w:tcBorders>
              <w:bottom w:val="single" w:sz="8" w:color="0000EE"/>
            </w:tcBorders>
            <w:gridSpan w:val="4"/>
          </w:tcPr>
          <w:p>
            <w:pPr>
              <w:ind w:left="100"/>
              <w:spacing w:after="0"/>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Schedule of Assets (Held at End of the Year)</w:t>
              </w:r>
            </w:hyperlink>
          </w:p>
        </w:tc>
        <w:tc>
          <w:tcPr>
            <w:tcW w:w="4000" w:type="dxa"/>
            <w:vAlign w:val="bottom"/>
            <w:gridSpan w:val="3"/>
          </w:tcPr>
          <w:p>
            <w:pPr>
              <w:spacing w:after="0"/>
              <w:rPr>
                <w:sz w:val="24"/>
                <w:szCs w:val="24"/>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2"/>
        </w:trPr>
        <w:tc>
          <w:tcPr>
            <w:tcW w:w="220" w:type="dxa"/>
            <w:vAlign w:val="bottom"/>
            <w:tcBorders>
              <w:bottom w:val="single" w:sz="8" w:color="0000EE"/>
            </w:tcBorders>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2</w:t>
              </w:r>
            </w:hyperlink>
          </w:p>
        </w:tc>
        <w:tc>
          <w:tcPr>
            <w:tcW w:w="2760" w:type="dxa"/>
            <w:vAlign w:val="bottom"/>
            <w:tcBorders>
              <w:bottom w:val="single" w:sz="8" w:color="0000EE"/>
            </w:tcBorders>
            <w:gridSpan w:val="2"/>
          </w:tcPr>
          <w:p>
            <w:pPr>
              <w:ind w:left="100"/>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Schedule of Reportable Transactions</w:t>
              </w:r>
            </w:hyperlink>
          </w:p>
        </w:tc>
        <w:tc>
          <w:tcPr>
            <w:tcW w:w="4580" w:type="dxa"/>
            <w:vAlign w:val="bottom"/>
            <w:gridSpan w:val="5"/>
          </w:tcPr>
          <w:p>
            <w:pPr>
              <w:spacing w:after="0"/>
              <w:rPr>
                <w:sz w:val="24"/>
                <w:szCs w:val="24"/>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0" w:lineRule="exact"/>
        <w:rPr>
          <w:sz w:val="20"/>
          <w:szCs w:val="20"/>
          <w:color w:val="auto"/>
        </w:rPr>
      </w:pPr>
    </w:p>
    <w:p>
      <w:pPr>
        <w:ind w:left="460" w:right="16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schedules required by 29 CFR 2520.103-10 of the Department of Labor’s Rules and Regulations for Reporting and Disclosure under the Employee Retirement Income Security Act of 1974 are not included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5" w:right="51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Report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Administrator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Investment, Savings,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and Employee Stock Ownership Plan:</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Toro Company Investment, Savings, and Employee Stock Ownership Plan (the Plan) as of December 31, 2004 and 2003,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7"/>
          <w:szCs w:val="17"/>
          <w:color w:val="auto"/>
        </w:rPr>
        <w:t>In our opinion, the financial statements referred to above present fairly, in all material respects, the net assets available for benefits as of December 31, 2004 and 2003, and the changes in net assets available for benefits for the years then ended, in conformity with U.S. generally accepted accounting principles.</w:t>
      </w:r>
    </w:p>
    <w:p>
      <w:pPr>
        <w:spacing w:after="0" w:line="9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audits were performed for the purpose of forming an opinion on the basic financial statements taken as a whole. The supplemental schedules of assets (held at end of the year) and reportable transactions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supplemental schedules have been subjected to the auditing procedures applied in the audits of the basic financial statements and, in our opinion, are fairly stated in all material respects in relation to the basic financial statements taken as a whole.</w:t>
      </w:r>
    </w:p>
    <w:p>
      <w:pPr>
        <w:spacing w:after="0" w:line="16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5" w:right="3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 INVESTMENT, SAVINGS,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EMPLOYEE STOCK OWNERSHIP PLAN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2004 and 2003</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528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2004</w:t>
            </w:r>
          </w:p>
        </w:tc>
        <w:tc>
          <w:tcPr>
            <w:tcW w:w="440" w:type="dxa"/>
            <w:vAlign w:val="bottom"/>
          </w:tcPr>
          <w:p>
            <w:pPr>
              <w:spacing w:after="0"/>
              <w:rPr>
                <w:sz w:val="15"/>
                <w:szCs w:val="15"/>
                <w:color w:val="auto"/>
              </w:rPr>
            </w:pP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by Trustee:</w:t>
            </w:r>
          </w:p>
        </w:tc>
        <w:tc>
          <w:tcPr>
            <w:tcW w:w="42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Mutual funds</w:t>
            </w:r>
          </w:p>
        </w:tc>
        <w:tc>
          <w:tcPr>
            <w:tcW w:w="5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$ 197,327,369</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159,717,065</w:t>
            </w:r>
          </w:p>
        </w:tc>
        <w:tc>
          <w:tcPr>
            <w:tcW w:w="0" w:type="dxa"/>
            <w:vAlign w:val="bottom"/>
          </w:tcPr>
          <w:p>
            <w:pPr>
              <w:spacing w:after="0"/>
              <w:rPr>
                <w:sz w:val="1"/>
                <w:szCs w:val="1"/>
                <w:color w:val="auto"/>
              </w:rPr>
            </w:pPr>
          </w:p>
        </w:tc>
      </w:tr>
      <w:tr>
        <w:trPr>
          <w:trHeight w:val="216"/>
        </w:trPr>
        <w:tc>
          <w:tcPr>
            <w:tcW w:w="4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Common stock</w:t>
            </w:r>
          </w:p>
        </w:tc>
        <w:tc>
          <w:tcPr>
            <w:tcW w:w="5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215,455,478</w:t>
            </w: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151,174,067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Bond collective funds</w:t>
            </w:r>
          </w:p>
        </w:tc>
        <w:tc>
          <w:tcPr>
            <w:tcW w:w="57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14,560,204</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Master trust fund</w:t>
            </w:r>
          </w:p>
        </w:tc>
        <w:tc>
          <w:tcPr>
            <w:tcW w:w="57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76,578,056</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67,642,827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Loans</w:t>
            </w:r>
          </w:p>
        </w:tc>
        <w:tc>
          <w:tcPr>
            <w:tcW w:w="4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42,748</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63,887</w:t>
            </w:r>
          </w:p>
        </w:tc>
        <w:tc>
          <w:tcPr>
            <w:tcW w:w="0" w:type="dxa"/>
            <w:vAlign w:val="bottom"/>
          </w:tcPr>
          <w:p>
            <w:pPr>
              <w:spacing w:after="0"/>
              <w:rPr>
                <w:sz w:val="1"/>
                <w:szCs w:val="1"/>
                <w:color w:val="auto"/>
              </w:rPr>
            </w:pPr>
          </w:p>
        </w:tc>
      </w:tr>
      <w:tr>
        <w:trPr>
          <w:trHeight w:val="439"/>
        </w:trPr>
        <w:tc>
          <w:tcPr>
            <w:tcW w:w="45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investments</w:t>
            </w:r>
          </w:p>
        </w:tc>
        <w:tc>
          <w:tcPr>
            <w:tcW w:w="4280" w:type="dxa"/>
            <w:vAlign w:val="bottom"/>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503,963,855</w:t>
            </w:r>
          </w:p>
        </w:tc>
        <w:tc>
          <w:tcPr>
            <w:tcW w:w="440" w:type="dxa"/>
            <w:vAlign w:val="bottom"/>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378,597,846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Employee contribution receivable</w:t>
            </w:r>
          </w:p>
        </w:tc>
        <w:tc>
          <w:tcPr>
            <w:tcW w:w="57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40,279</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30,769</w:t>
            </w:r>
          </w:p>
        </w:tc>
        <w:tc>
          <w:tcPr>
            <w:tcW w:w="0" w:type="dxa"/>
            <w:vAlign w:val="bottom"/>
          </w:tcPr>
          <w:p>
            <w:pPr>
              <w:spacing w:after="0"/>
              <w:rPr>
                <w:sz w:val="1"/>
                <w:szCs w:val="1"/>
                <w:color w:val="auto"/>
              </w:rPr>
            </w:pPr>
          </w:p>
        </w:tc>
      </w:tr>
      <w:tr>
        <w:trPr>
          <w:trHeight w:val="216"/>
        </w:trPr>
        <w:tc>
          <w:tcPr>
            <w:tcW w:w="4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Employer contribution receivable</w:t>
            </w:r>
          </w:p>
        </w:tc>
        <w:tc>
          <w:tcPr>
            <w:tcW w:w="57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11,958,915</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10,907,437</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5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515,963,049</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389,536,052</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tc>
        <w:tc>
          <w:tcPr>
            <w:tcW w:w="4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580" w:type="dxa"/>
            <w:vAlign w:val="bottom"/>
            <w:vMerge w:val="continue"/>
          </w:tcPr>
          <w:p>
            <w:pPr>
              <w:spacing w:after="0"/>
              <w:rPr>
                <w:sz w:val="24"/>
                <w:szCs w:val="24"/>
                <w:color w:val="auto"/>
              </w:rPr>
            </w:pPr>
          </w:p>
        </w:tc>
        <w:tc>
          <w:tcPr>
            <w:tcW w:w="4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580" w:type="dxa"/>
            <w:vAlign w:val="bottom"/>
          </w:tcPr>
          <w:p>
            <w:pPr>
              <w:spacing w:after="0"/>
              <w:rPr>
                <w:sz w:val="24"/>
                <w:szCs w:val="24"/>
                <w:color w:val="auto"/>
              </w:rPr>
            </w:pPr>
          </w:p>
        </w:tc>
        <w:tc>
          <w:tcPr>
            <w:tcW w:w="4280" w:type="dxa"/>
            <w:vAlign w:val="bottom"/>
          </w:tcPr>
          <w:p>
            <w:pPr>
              <w:jc w:val="right"/>
              <w:ind w:right="3012"/>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8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 INVESTMENT, SAVINGS,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EMPLOYEE STOCK OWNERSHIP PLAN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2004 and 2003</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2004</w:t>
            </w:r>
          </w:p>
        </w:tc>
        <w:tc>
          <w:tcPr>
            <w:tcW w:w="440" w:type="dxa"/>
            <w:vAlign w:val="bottom"/>
          </w:tcPr>
          <w:p>
            <w:pPr>
              <w:spacing w:after="0"/>
              <w:rPr>
                <w:sz w:val="15"/>
                <w:szCs w:val="15"/>
                <w:color w:val="auto"/>
              </w:rPr>
            </w:pPr>
          </w:p>
        </w:tc>
        <w:tc>
          <w:tcPr>
            <w:tcW w:w="10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and dividends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4,517,908</w:t>
            </w: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1,525,992</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realized/unrealized gain in the fair value of investments including realized gains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120,932,082</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80,300,538</w:t>
            </w:r>
          </w:p>
        </w:tc>
        <w:tc>
          <w:tcPr>
            <w:tcW w:w="0" w:type="dxa"/>
            <w:vAlign w:val="bottom"/>
          </w:tcPr>
          <w:p>
            <w:pPr>
              <w:spacing w:after="0"/>
              <w:rPr>
                <w:sz w:val="1"/>
                <w:szCs w:val="1"/>
                <w:color w:val="auto"/>
              </w:rPr>
            </w:pPr>
          </w:p>
        </w:tc>
      </w:tr>
      <w:tr>
        <w:trPr>
          <w:trHeight w:val="216"/>
        </w:trPr>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 rata share of investment income from Master Investment Trust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2,856,668</w:t>
            </w: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3,034,320</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128,306,658</w:t>
            </w:r>
          </w:p>
        </w:tc>
        <w:tc>
          <w:tcPr>
            <w:tcW w:w="4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84,860,850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100" w:type="dxa"/>
            <w:vAlign w:val="bottom"/>
          </w:tcPr>
          <w:p>
            <w:pPr>
              <w:spacing w:after="0"/>
              <w:rPr>
                <w:sz w:val="24"/>
                <w:szCs w:val="24"/>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15,357,212</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13,370,895</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11,177,119</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9,940,458</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Rollover contributions</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515,300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182,050</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contributions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27,049,631</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23,493,403</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10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(28,929,292)</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(23,228,417)</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of assets from other plan</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8,786,358</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 payments and transfers</w:t>
            </w:r>
          </w:p>
        </w:tc>
        <w:tc>
          <w:tcPr>
            <w:tcW w:w="10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(28,929,292)</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(14,442,059)</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126,426,997</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93,912,194</w:t>
            </w:r>
          </w:p>
        </w:tc>
        <w:tc>
          <w:tcPr>
            <w:tcW w:w="0" w:type="dxa"/>
            <w:vAlign w:val="bottom"/>
          </w:tcPr>
          <w:p>
            <w:pPr>
              <w:spacing w:after="0"/>
              <w:rPr>
                <w:sz w:val="1"/>
                <w:szCs w:val="1"/>
                <w:color w:val="auto"/>
              </w:rPr>
            </w:pPr>
          </w:p>
        </w:tc>
      </w:tr>
      <w:tr>
        <w:trPr>
          <w:trHeight w:val="432"/>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389,536,052</w:t>
            </w:r>
          </w:p>
        </w:tc>
        <w:tc>
          <w:tcPr>
            <w:tcW w:w="4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295,623,858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End of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515,963,049</w:t>
            </w:r>
          </w:p>
        </w:tc>
        <w:tc>
          <w:tcPr>
            <w:tcW w:w="4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389,536,052</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6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 INVESTMENT, SAVINGS,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EMPLOYEE STOCK OWNERSHIP PLAN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2004 and 2003</w:t>
      </w:r>
    </w:p>
    <w:p>
      <w:pPr>
        <w:spacing w:after="0" w:line="22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Description of Plan</w:t>
      </w:r>
    </w:p>
    <w:p>
      <w:pPr>
        <w:spacing w:after="0" w:line="229" w:lineRule="exact"/>
        <w:rPr>
          <w:rFonts w:ascii="Times New Roman" w:cs="Times New Roman" w:eastAsia="Times New Roman" w:hAnsi="Times New Roman"/>
          <w:sz w:val="18"/>
          <w:szCs w:val="18"/>
          <w:b w:val="1"/>
          <w:bCs w:val="1"/>
          <w:color w:val="auto"/>
        </w:rPr>
      </w:pPr>
    </w:p>
    <w:p>
      <w:pPr>
        <w:ind w:left="34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description of The Toro Company Investment, Savings, and Employee Stock Ownership Plan (the Plan) is provided for general information purposes only. Participants should refer to the Plan document restated as of January 1, 2003 for more complete information. The Plan is subject to the provisions of the Employee Retirement Income Security Act of 1974 (ERISA). Effective January 1, 2002, The Toro Company Employee Stock Ownership Plan was merged into The Toro Company Investment and Savings Plan to become The Toro Company Investment, Savings, and Employee Stock Ownership Plan. However, there continues to be an Employee Stock Ownership (ESOP) portion and a profit sharing portion of the Plan. Effective September 2, 2003, the Exmark Manufacturing Company, Inc. 401(k) Profit Sharing Plan was merged into the Plan. The Exmark Manufacturing Company, Inc. 401(k) Profit Sharing Plan offered loans to participants. Since loans are not offered under the Plan, outstanding loan balances were transferred as a result of the merger into the Plan and continue to be repaid by participants.</w:t>
      </w:r>
    </w:p>
    <w:p>
      <w:pPr>
        <w:spacing w:after="0" w:line="185" w:lineRule="exact"/>
        <w:rPr>
          <w:rFonts w:ascii="Times New Roman" w:cs="Times New Roman" w:eastAsia="Times New Roman" w:hAnsi="Times New Roman"/>
          <w:sz w:val="18"/>
          <w:szCs w:val="18"/>
          <w:b w:val="1"/>
          <w:bCs w:val="1"/>
          <w:color w:val="auto"/>
        </w:rPr>
      </w:pPr>
    </w:p>
    <w:p>
      <w:pPr>
        <w:ind w:left="34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primary purpose of the ESOP portion of the Plan is to provide employees who become participants in the Plan an opportunity to have their account balances invested in Common Stock of The Toro Company (the Company). The portions of participant accounts that hold Company Common Stock are included in the ESOP portion of the Plan. The portions of participant accounts that do not hold such stock are included in the profit sharing portion of the Plan.</w:t>
      </w:r>
    </w:p>
    <w:p>
      <w:pPr>
        <w:spacing w:after="0" w:line="180"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Participants may make their own contributions to the Plan. These are initially made to the profit sharing portion of the Plan.</w:t>
      </w:r>
    </w:p>
    <w:p>
      <w:pPr>
        <w:spacing w:after="0" w:line="225" w:lineRule="exact"/>
        <w:rPr>
          <w:rFonts w:ascii="Times New Roman" w:cs="Times New Roman" w:eastAsia="Times New Roman" w:hAnsi="Times New Roman"/>
          <w:sz w:val="18"/>
          <w:szCs w:val="18"/>
          <w:b w:val="1"/>
          <w:bCs w:val="1"/>
          <w:color w:val="auto"/>
        </w:rPr>
      </w:pPr>
    </w:p>
    <w:p>
      <w:pPr>
        <w:ind w:left="34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 participants are also eligible to have the Company make ESOP and Investment Fund contributions to the Plan on their behalf after two years of qualifying service with the Company. Participants are fully vested in the entire balance of their individual accounts attributable to those contributions. The Company also makes matching contributions to the Plan with respect to Participant contributions. Participants are eligible for matching contributions after completing one year of qualifying service with the Company. Company matching contributions, together with income attributable thereto, vest at a rate of 20% after one year of vesting service, with an additional 20% being accumulated annually thereafter until the participant is 100% vested. ESOP contributions and matching contributions are initially invested in Company Common Stock.</w:t>
      </w:r>
    </w:p>
    <w:p>
      <w:pPr>
        <w:spacing w:after="0" w:line="187" w:lineRule="exact"/>
        <w:rPr>
          <w:rFonts w:ascii="Times New Roman" w:cs="Times New Roman" w:eastAsia="Times New Roman" w:hAnsi="Times New Roman"/>
          <w:sz w:val="18"/>
          <w:szCs w:val="18"/>
          <w:b w:val="1"/>
          <w:bCs w:val="1"/>
          <w:color w:val="auto"/>
        </w:rPr>
      </w:pPr>
    </w:p>
    <w:p>
      <w:pPr>
        <w:ind w:left="340" w:right="8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Participants may choose to have their accounts, including those initially invested in Company Common Stock, invested in any of the investment funds made available under the Plan or in Company Common Stock. All contributions under the Plan are made to a trust that holds all of the assets of the Plan.</w:t>
      </w:r>
    </w:p>
    <w:p>
      <w:pPr>
        <w:spacing w:after="0" w:line="138" w:lineRule="exact"/>
        <w:rPr>
          <w:rFonts w:ascii="Times New Roman" w:cs="Times New Roman" w:eastAsia="Times New Roman" w:hAnsi="Times New Roman"/>
          <w:sz w:val="18"/>
          <w:szCs w:val="18"/>
          <w:b w:val="1"/>
          <w:bCs w:val="1"/>
          <w:color w:val="auto"/>
        </w:rPr>
      </w:pPr>
    </w:p>
    <w:p>
      <w:pPr>
        <w:ind w:left="340" w:right="1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September 3, 2004, a new Trustee was appointed (JP Morgan Retirement Plan Services) to the Plan. Plan assets transferred to the new Trustee were transferred into funds comparable to those offered by the former Trustee (Putnam Fiduciary Trust Company). The conversion initiated a “Black Out” period beginning August 30, 2004 and continued through September 7, 2004. Prior to this period, employees were notified and able to select funds with the new Trustee. During the Black Out period, fund elections could not be changed or withdrawn from the Plan until the Trustee had time to accurately complete the conversion. Employee contributions continued to be made through payroll deductions and contributions were deposited directly into the participant accounts based on their elections until the completion of the Black Out period.</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 INVESTMENT, SAVINGS,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EMPLOYEE STOCK OWNERSHIP PLAN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9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December 31, 2004 and 2003</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Benefit payments and transfers of participants’ interests are made by the Trustee.</w:t>
      </w:r>
    </w:p>
    <w:p>
      <w:pPr>
        <w:spacing w:after="0" w:line="225"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2004 and 2003, forfeited nonvested accounts totaled $88,911 and $33,970, respectively. These accounts are used to offset future employer contributions.</w:t>
      </w:r>
    </w:p>
    <w:p>
      <w:pPr>
        <w:spacing w:after="0" w:line="162" w:lineRule="exact"/>
        <w:rPr>
          <w:sz w:val="20"/>
          <w:szCs w:val="20"/>
          <w:color w:val="auto"/>
        </w:rPr>
      </w:pPr>
    </w:p>
    <w:p>
      <w:pPr>
        <w:ind w:left="340" w:right="520"/>
        <w:spacing w:after="0" w:line="282" w:lineRule="auto"/>
        <w:rPr>
          <w:sz w:val="20"/>
          <w:szCs w:val="20"/>
          <w:color w:val="auto"/>
        </w:rPr>
      </w:pPr>
      <w:r>
        <w:rPr>
          <w:rFonts w:ascii="Times New Roman" w:cs="Times New Roman" w:eastAsia="Times New Roman" w:hAnsi="Times New Roman"/>
          <w:sz w:val="18"/>
          <w:szCs w:val="18"/>
          <w:color w:val="auto"/>
        </w:rPr>
        <w:t>The Company absorbs all administrative costs of the Plan, with the exception of investment management fees, which are netted against investment income.</w:t>
      </w:r>
    </w:p>
    <w:p>
      <w:pPr>
        <w:spacing w:after="0" w:line="15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1"/>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Financial Statement Presentation</w:t>
      </w:r>
    </w:p>
    <w:p>
      <w:pPr>
        <w:spacing w:after="0" w:line="229" w:lineRule="exact"/>
        <w:rPr>
          <w:rFonts w:ascii="Times New Roman" w:cs="Times New Roman" w:eastAsia="Times New Roman" w:hAnsi="Times New Roman"/>
          <w:sz w:val="18"/>
          <w:szCs w:val="18"/>
          <w:b w:val="1"/>
          <w:bCs w:val="1"/>
          <w:i w:val="1"/>
          <w:iCs w:val="1"/>
          <w:color w:val="auto"/>
        </w:rPr>
      </w:pPr>
    </w:p>
    <w:p>
      <w:pPr>
        <w:ind w:left="660" w:right="78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accompanying financial statements of The Toro Company Investment, Savings, and Employee Stock Ownership Plan are presented in accordance with U.S. generally accepted accounting principles. The accounting records of the Plan are maintained on the accrual basis.</w:t>
      </w:r>
    </w:p>
    <w:p>
      <w:pPr>
        <w:spacing w:after="0" w:line="157" w:lineRule="exact"/>
        <w:rPr>
          <w:rFonts w:ascii="Times New Roman" w:cs="Times New Roman" w:eastAsia="Times New Roman" w:hAnsi="Times New Roman"/>
          <w:sz w:val="18"/>
          <w:szCs w:val="18"/>
          <w:b w:val="1"/>
          <w:bCs w:val="1"/>
          <w:i w:val="1"/>
          <w:iCs w:val="1"/>
          <w:color w:val="auto"/>
        </w:rPr>
      </w:pPr>
    </w:p>
    <w:p>
      <w:pPr>
        <w:ind w:left="660" w:hanging="436"/>
        <w:spacing w:after="0"/>
        <w:tabs>
          <w:tab w:leader="none" w:pos="660" w:val="left"/>
        </w:tabs>
        <w:numPr>
          <w:ilvl w:val="1"/>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rFonts w:ascii="Times New Roman" w:cs="Times New Roman" w:eastAsia="Times New Roman" w:hAnsi="Times New Roman"/>
          <w:sz w:val="18"/>
          <w:szCs w:val="18"/>
          <w:b w:val="1"/>
          <w:bCs w:val="1"/>
          <w:i w:val="1"/>
          <w:iCs w:val="1"/>
          <w:color w:val="auto"/>
        </w:rPr>
      </w:pPr>
    </w:p>
    <w:p>
      <w:pPr>
        <w:ind w:left="660" w:right="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Plan’s investments are held by the Trustee. The investment securities are stated at fair values based upon published quotations or, in the absence of available quotations, at fair values determined by the Trustee. Purchases and sales of securities are recorded on a trade-date basis.</w:t>
      </w:r>
    </w:p>
    <w:p>
      <w:pPr>
        <w:spacing w:after="0" w:line="161" w:lineRule="exact"/>
        <w:rPr>
          <w:rFonts w:ascii="Times New Roman" w:cs="Times New Roman" w:eastAsia="Times New Roman" w:hAnsi="Times New Roman"/>
          <w:sz w:val="18"/>
          <w:szCs w:val="18"/>
          <w:b w:val="1"/>
          <w:bCs w:val="1"/>
          <w:i w:val="1"/>
          <w:iCs w:val="1"/>
          <w:color w:val="auto"/>
        </w:rPr>
      </w:pPr>
    </w:p>
    <w:p>
      <w:pPr>
        <w:ind w:left="660" w:right="32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maintains one master trust, the Wells Fargo Stable Value Fund (master trust) for three profit sharing and retirement plans that are sponsored by the Company. The three plans are the Plan, The Toro Company Profit Sharing Plan for Plymouth Union Employees, and The Hahn Equipment Company Savings Plan for Union Employees. The purpose of the master trust is to pool investment transactions and achieve uniform rates of return on comparable funds under all plans.</w:t>
      </w:r>
    </w:p>
    <w:p>
      <w:pPr>
        <w:spacing w:after="0" w:line="180" w:lineRule="exact"/>
        <w:rPr>
          <w:rFonts w:ascii="Times New Roman" w:cs="Times New Roman" w:eastAsia="Times New Roman" w:hAnsi="Times New Roman"/>
          <w:sz w:val="18"/>
          <w:szCs w:val="18"/>
          <w:b w:val="1"/>
          <w:bCs w:val="1"/>
          <w:i w:val="1"/>
          <w:iCs w:val="1"/>
          <w:color w:val="auto"/>
        </w:rPr>
      </w:pPr>
    </w:p>
    <w:p>
      <w:pPr>
        <w:ind w:left="660" w:right="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Plan’s proportionate share of net investment income from the master trust is based upon the percentage of the fair value of the Plan’s investment in the master trust’s net assets. The Plan’s percentage interest in the net assets of the master trust was approximately 99% as of December 31, 2004 and 2003.</w:t>
      </w:r>
    </w:p>
    <w:p>
      <w:pPr>
        <w:spacing w:after="0" w:line="172" w:lineRule="exact"/>
        <w:rPr>
          <w:rFonts w:ascii="Times New Roman" w:cs="Times New Roman" w:eastAsia="Times New Roman" w:hAnsi="Times New Roman"/>
          <w:sz w:val="18"/>
          <w:szCs w:val="18"/>
          <w:b w:val="1"/>
          <w:bCs w:val="1"/>
          <w:i w:val="1"/>
          <w:iCs w:val="1"/>
          <w:color w:val="auto"/>
        </w:rPr>
      </w:pPr>
    </w:p>
    <w:p>
      <w:pPr>
        <w:ind w:left="660" w:hanging="436"/>
        <w:spacing w:after="0"/>
        <w:tabs>
          <w:tab w:leader="none" w:pos="660" w:val="left"/>
        </w:tabs>
        <w:numPr>
          <w:ilvl w:val="1"/>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Accounting Estimates</w:t>
      </w:r>
    </w:p>
    <w:p>
      <w:pPr>
        <w:spacing w:after="0" w:line="229" w:lineRule="exact"/>
        <w:rPr>
          <w:rFonts w:ascii="Times New Roman" w:cs="Times New Roman" w:eastAsia="Times New Roman" w:hAnsi="Times New Roman"/>
          <w:sz w:val="18"/>
          <w:szCs w:val="18"/>
          <w:b w:val="1"/>
          <w:bCs w:val="1"/>
          <w:i w:val="1"/>
          <w:iCs w:val="1"/>
          <w:color w:val="auto"/>
        </w:rPr>
      </w:pPr>
    </w:p>
    <w:p>
      <w:pPr>
        <w:ind w:left="6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the Plan Administrator to make estimates and assumptions that affect the reported amounts of net assets available for benefits and disclosure of contingent assets and liabilities as of the date of the financial statements and the reported amounts of changes in net assets available for benefits during the reporting period. Actual results could differ from those estimates.</w:t>
      </w:r>
    </w:p>
    <w:p>
      <w:pPr>
        <w:spacing w:after="0" w:line="176" w:lineRule="exact"/>
        <w:rPr>
          <w:rFonts w:ascii="Times New Roman" w:cs="Times New Roman" w:eastAsia="Times New Roman" w:hAnsi="Times New Roman"/>
          <w:sz w:val="18"/>
          <w:szCs w:val="18"/>
          <w:b w:val="1"/>
          <w:bCs w:val="1"/>
          <w:i w:val="1"/>
          <w:iCs w:val="1"/>
          <w:color w:val="auto"/>
        </w:rPr>
      </w:pPr>
    </w:p>
    <w:p>
      <w:pPr>
        <w:ind w:left="660" w:hanging="436"/>
        <w:spacing w:after="0"/>
        <w:tabs>
          <w:tab w:leader="none" w:pos="660" w:val="left"/>
        </w:tabs>
        <w:numPr>
          <w:ilvl w:val="1"/>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rFonts w:ascii="Times New Roman" w:cs="Times New Roman" w:eastAsia="Times New Roman" w:hAnsi="Times New Roman"/>
          <w:sz w:val="18"/>
          <w:szCs w:val="18"/>
          <w:b w:val="1"/>
          <w:bCs w:val="1"/>
          <w:i w:val="1"/>
          <w:iCs w:val="1"/>
          <w:color w:val="auto"/>
        </w:rPr>
      </w:pP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Certain amounts from prior years’ financial statements have been reclassified to conform to the current year presentation.</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 INVESTMENT, SAVINGS,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EMPLOYEE STOCK OWNERSHIP PLAN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2004 and 2003</w:t>
      </w:r>
    </w:p>
    <w:p>
      <w:pPr>
        <w:spacing w:after="0" w:line="221" w:lineRule="exact"/>
        <w:rPr>
          <w:sz w:val="20"/>
          <w:szCs w:val="20"/>
          <w:color w:val="auto"/>
        </w:rPr>
      </w:pPr>
    </w:p>
    <w:p>
      <w:pPr>
        <w:ind w:left="660" w:hanging="436"/>
        <w:spacing w:after="0"/>
        <w:tabs>
          <w:tab w:leader="none" w:pos="660" w:val="left"/>
        </w:tabs>
        <w:numPr>
          <w:ilvl w:val="1"/>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Concentrations of Risk</w:t>
      </w:r>
    </w:p>
    <w:p>
      <w:pPr>
        <w:spacing w:after="0" w:line="229" w:lineRule="exact"/>
        <w:rPr>
          <w:rFonts w:ascii="Times New Roman" w:cs="Times New Roman" w:eastAsia="Times New Roman" w:hAnsi="Times New Roman"/>
          <w:sz w:val="18"/>
          <w:szCs w:val="18"/>
          <w:b w:val="1"/>
          <w:bCs w:val="1"/>
          <w:i w:val="1"/>
          <w:iCs w:val="1"/>
          <w:color w:val="auto"/>
        </w:rPr>
      </w:pPr>
    </w:p>
    <w:p>
      <w:pPr>
        <w:ind w:left="660" w:right="22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the amounts reported in the statements of net assets available for benefits.</w:t>
      </w:r>
    </w:p>
    <w:p>
      <w:pPr>
        <w:spacing w:after="0" w:line="180" w:lineRule="exact"/>
        <w:rPr>
          <w:rFonts w:ascii="Times New Roman" w:cs="Times New Roman" w:eastAsia="Times New Roman" w:hAnsi="Times New Roman"/>
          <w:sz w:val="18"/>
          <w:szCs w:val="18"/>
          <w:b w:val="1"/>
          <w:bCs w:val="1"/>
          <w:i w:val="1"/>
          <w:iCs w:val="1"/>
          <w:color w:val="auto"/>
        </w:rPr>
      </w:pPr>
    </w:p>
    <w:p>
      <w:pPr>
        <w:ind w:left="660" w:right="1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Since the assets held by the Trust include The Toro Company Common Stock, the anticipated assets available for benefits in 2005 will be the result of the Company’s future stock market performance, which is subject to various risk factors described more fully in the Company’s periodic filings with the Securities and Exchange Commission.</w:t>
      </w:r>
    </w:p>
    <w:p>
      <w:pPr>
        <w:spacing w:after="0" w:line="172"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Funding Policy, Contributions, and Plan Transfers</w:t>
      </w:r>
    </w:p>
    <w:p>
      <w:pPr>
        <w:spacing w:after="0" w:line="229" w:lineRule="exact"/>
        <w:rPr>
          <w:rFonts w:ascii="Times New Roman" w:cs="Times New Roman" w:eastAsia="Times New Roman" w:hAnsi="Times New Roman"/>
          <w:sz w:val="18"/>
          <w:szCs w:val="18"/>
          <w:b w:val="1"/>
          <w:bCs w:val="1"/>
          <w:color w:val="auto"/>
        </w:rPr>
      </w:pPr>
    </w:p>
    <w:p>
      <w:pPr>
        <w:ind w:left="34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ESOP portion of the plan, the funding policy is to make annual contributions pursuant to a formula and to make matching contributions. The formula contribution is made by the Company and equals 1.5% of total participant compensation earned during the plan year. The formula contribution is allocated to participants based on the participants’ compensation earned during the plan year as a percentage of total plan year compensation.</w:t>
      </w:r>
    </w:p>
    <w:p>
      <w:pPr>
        <w:spacing w:after="0" w:line="176" w:lineRule="exact"/>
        <w:rPr>
          <w:rFonts w:ascii="Times New Roman" w:cs="Times New Roman" w:eastAsia="Times New Roman" w:hAnsi="Times New Roman"/>
          <w:sz w:val="18"/>
          <w:szCs w:val="18"/>
          <w:b w:val="1"/>
          <w:bCs w:val="1"/>
          <w:color w:val="auto"/>
        </w:rPr>
      </w:pPr>
    </w:p>
    <w:p>
      <w:pPr>
        <w:ind w:left="34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profit sharing portion of the Plan, the funding policy is to make annual investment fund contributions to the Plan in amounts determined by a formula set forth in the Plan. The contribution formula is based on 5.5% of the participants’ total compensation earned during the plan year plus 5.5% of the participants’ compensation above the Social Security taxable wage base as of the beginning of the plan year. Investment income is allocated based on participants’ account balances.</w:t>
      </w:r>
    </w:p>
    <w:p>
      <w:pPr>
        <w:spacing w:after="0" w:line="180" w:lineRule="exact"/>
        <w:rPr>
          <w:rFonts w:ascii="Times New Roman" w:cs="Times New Roman" w:eastAsia="Times New Roman" w:hAnsi="Times New Roman"/>
          <w:sz w:val="18"/>
          <w:szCs w:val="18"/>
          <w:b w:val="1"/>
          <w:bCs w:val="1"/>
          <w:color w:val="auto"/>
        </w:rPr>
      </w:pPr>
    </w:p>
    <w:p>
      <w:pPr>
        <w:ind w:left="34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Participant contributions are made to the profit sharing portion of the Plan. They consist of salary reduction elections under a 401(k) feature, voluntary after-tax contributions, and rollover funds from other qualified plans. The Company is required to make a matching contribution into the ESOP portion of the plan equal to 50% of the participants’ contributions to the Plan not to exceed 2% of the participants’ total compensation made. That contribution is invested in Company Common Stock.</w:t>
      </w:r>
    </w:p>
    <w:p>
      <w:pPr>
        <w:spacing w:after="0" w:line="180"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Transfers to/from other funds represent participant-elected rollovers to/from plans of other employers or other transfers to/from other plans.</w:t>
      </w:r>
    </w:p>
    <w:p>
      <w:pPr>
        <w:spacing w:after="0" w:line="2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Party-in-interest Transactions</w:t>
      </w:r>
    </w:p>
    <w:p>
      <w:pPr>
        <w:spacing w:after="0" w:line="229" w:lineRule="exact"/>
        <w:rPr>
          <w:rFonts w:ascii="Times New Roman" w:cs="Times New Roman" w:eastAsia="Times New Roman" w:hAnsi="Times New Roman"/>
          <w:sz w:val="18"/>
          <w:szCs w:val="18"/>
          <w:b w:val="1"/>
          <w:bCs w:val="1"/>
          <w:color w:val="auto"/>
        </w:rPr>
      </w:pPr>
    </w:p>
    <w:p>
      <w:pPr>
        <w:jc w:val="both"/>
        <w:ind w:left="34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JP Morgan Retirement Plan Services (Trustee of the Plan effective September 3, 2004), Putnam Fiduciary Trust Company (former Trustee of the Plan), and The Toro Company are parties-in-interest with respect to the Plan. In the opinion of the Plan’s legal counsel, certain transactions between the Plan, the Trustee, and the Company are exempt from being considered as “prohibited transactions” under ERISA Section 408(b).</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 INVESTMENT, SAVINGS,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EMPLOYEE STOCK OWNERSHIP PLAN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2004 and 2003</w:t>
      </w:r>
    </w:p>
    <w:p>
      <w:pPr>
        <w:spacing w:after="0" w:line="22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Termination</w:t>
      </w:r>
    </w:p>
    <w:p>
      <w:pPr>
        <w:spacing w:after="0" w:line="229" w:lineRule="exact"/>
        <w:rPr>
          <w:rFonts w:ascii="Times New Roman" w:cs="Times New Roman" w:eastAsia="Times New Roman" w:hAnsi="Times New Roman"/>
          <w:sz w:val="18"/>
          <w:szCs w:val="18"/>
          <w:b w:val="1"/>
          <w:bCs w:val="1"/>
          <w:color w:val="auto"/>
        </w:rPr>
      </w:pPr>
    </w:p>
    <w:p>
      <w:pPr>
        <w:jc w:val="both"/>
        <w:ind w:left="34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172"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rFonts w:ascii="Times New Roman" w:cs="Times New Roman" w:eastAsia="Times New Roman" w:hAnsi="Times New Roman"/>
          <w:sz w:val="18"/>
          <w:szCs w:val="18"/>
          <w:b w:val="1"/>
          <w:bCs w:val="1"/>
          <w:color w:val="auto"/>
        </w:rPr>
      </w:pPr>
    </w:p>
    <w:p>
      <w:pPr>
        <w:jc w:val="both"/>
        <w:ind w:left="34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certain assets of the Plan are held together with assets of other plans sponsored by the Company in the master trust.</w:t>
      </w:r>
    </w:p>
    <w:p>
      <w:pPr>
        <w:spacing w:after="0" w:line="180" w:lineRule="exact"/>
        <w:rPr>
          <w:rFonts w:ascii="Times New Roman" w:cs="Times New Roman" w:eastAsia="Times New Roman" w:hAnsi="Times New Roman"/>
          <w:sz w:val="18"/>
          <w:szCs w:val="18"/>
          <w:b w:val="1"/>
          <w:bCs w:val="1"/>
          <w:color w:val="auto"/>
        </w:rPr>
      </w:pPr>
    </w:p>
    <w:p>
      <w:pPr>
        <w:ind w:left="34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assets available for benefits of the master trust as of December 31, 2004 and 2003 were $77,386,548 and $67,780,597, respectively. All assets of the master trust were held in short-term investment funds.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changes in net assets available for benefits of the master trust for the years ended December 31, 2004 and 2003 were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on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7,543,835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120" w:type="dxa"/>
            <w:vAlign w:val="bottom"/>
          </w:tcPr>
          <w:p>
            <w:pPr>
              <w:spacing w:after="0"/>
              <w:rPr>
                <w:sz w:val="18"/>
                <w:szCs w:val="18"/>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(4,680,681)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by participating plans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35,179,681</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24,207,841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Withdrawals by participating plans</w:t>
            </w:r>
          </w:p>
        </w:tc>
        <w:tc>
          <w:tcPr>
            <w:tcW w:w="120" w:type="dxa"/>
            <w:vAlign w:val="bottom"/>
          </w:tcPr>
          <w:p>
            <w:pPr>
              <w:spacing w:after="0"/>
              <w:rPr>
                <w:sz w:val="18"/>
                <w:szCs w:val="18"/>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8"/>
              </w:rPr>
              <w:t>(28,436,884)</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(16,983,391)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Increase in net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9,605,951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10,264,336</w:t>
            </w:r>
          </w:p>
        </w:tc>
        <w:tc>
          <w:tcPr>
            <w:tcW w:w="0" w:type="dxa"/>
            <w:vAlign w:val="bottom"/>
          </w:tcPr>
          <w:p>
            <w:pPr>
              <w:spacing w:after="0"/>
              <w:rPr>
                <w:sz w:val="1"/>
                <w:szCs w:val="1"/>
                <w:color w:val="auto"/>
              </w:rPr>
            </w:pPr>
          </w:p>
        </w:tc>
      </w:tr>
      <w:tr>
        <w:trPr>
          <w:trHeight w:val="432"/>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Beginning of year</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67,780,597</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57,516,261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77,386,548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67,780,597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 INVESTMENT, SAVINGS,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EMPLOYEE STOCK OWNERSHIP PLAN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2004 and 2003</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investments represent more than 5% of the Plan’s net assets available for benefits as of December 31, 2004 and 2003:</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60" w:type="dxa"/>
            <w:vAlign w:val="bottom"/>
          </w:tcPr>
          <w:p>
            <w:pPr>
              <w:spacing w:after="0"/>
              <w:rPr>
                <w:sz w:val="15"/>
                <w:szCs w:val="15"/>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2004</w:t>
            </w:r>
          </w:p>
        </w:tc>
        <w:tc>
          <w:tcPr>
            <w:tcW w:w="440" w:type="dxa"/>
            <w:vAlign w:val="bottom"/>
          </w:tcPr>
          <w:p>
            <w:pPr>
              <w:spacing w:after="0"/>
              <w:rPr>
                <w:sz w:val="15"/>
                <w:szCs w:val="15"/>
                <w:color w:val="auto"/>
              </w:rPr>
            </w:pPr>
          </w:p>
        </w:tc>
        <w:tc>
          <w:tcPr>
            <w:tcW w:w="1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r>
      <w:tr>
        <w:trPr>
          <w:trHeight w:val="21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Growth Fund of America</w:t>
            </w: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$ 48,556,136</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Vanguard Institutional Index</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27,337,545</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Century Large Company Value Fund</w:t>
            </w: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57,737,164</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ICM Small Company</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25,310,277</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UAM-ICM Small Company Portfolio</w:t>
            </w: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20,226,485</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Putnam S&amp;P 500 Index Fund*</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19,943,340</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Putnam Voyager Fund CL Y*</w:t>
            </w: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39,843,256</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Lord Abbett Affiliated Fund</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50,770,709</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Toro Company Common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215,455,478</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151,174,067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*Party-in-interest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**Party-in-interest, participant and nonparticipant directed investment</w:t>
      </w:r>
    </w:p>
    <w:p>
      <w:pPr>
        <w:spacing w:after="0" w:line="225" w:lineRule="exact"/>
        <w:rPr>
          <w:sz w:val="20"/>
          <w:szCs w:val="20"/>
          <w:color w:val="auto"/>
        </w:rPr>
      </w:pPr>
    </w:p>
    <w:p>
      <w:pPr>
        <w:ind w:left="220" w:right="160"/>
        <w:spacing w:after="0" w:line="282" w:lineRule="auto"/>
        <w:rPr>
          <w:sz w:val="20"/>
          <w:szCs w:val="20"/>
          <w:color w:val="auto"/>
        </w:rPr>
      </w:pPr>
      <w:r>
        <w:rPr>
          <w:rFonts w:ascii="Times New Roman" w:cs="Times New Roman" w:eastAsia="Times New Roman" w:hAnsi="Times New Roman"/>
          <w:sz w:val="18"/>
          <w:szCs w:val="18"/>
          <w:color w:val="auto"/>
        </w:rPr>
        <w:t>During 2004 and 2003, the Plan’s investments (including gains and losses on investments bought and sold, as well as held during the year) appreciated in value by $120,932,082 and $80,300,538, respectively,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r>
      <w:tr>
        <w:trPr>
          <w:trHeight w:val="210"/>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16,905,641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31,796,043</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stocks</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103,805,571</w:t>
            </w: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48,504,495</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 collective funds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220,870</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120,932,082</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80,300,538</w:t>
            </w:r>
          </w:p>
        </w:tc>
        <w:tc>
          <w:tcPr>
            <w:tcW w:w="10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 INVESTMENT, SAVINGS,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EMPLOYEE STOCK OWNERSHIP PLAN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2004 and 2003</w:t>
      </w:r>
    </w:p>
    <w:p>
      <w:pPr>
        <w:spacing w:after="0" w:line="225" w:lineRule="exact"/>
        <w:rPr>
          <w:sz w:val="20"/>
          <w:szCs w:val="20"/>
          <w:color w:val="auto"/>
        </w:rPr>
      </w:pPr>
    </w:p>
    <w:p>
      <w:pPr>
        <w:ind w:left="220" w:right="380"/>
        <w:spacing w:after="0" w:line="282" w:lineRule="auto"/>
        <w:rPr>
          <w:sz w:val="20"/>
          <w:szCs w:val="20"/>
          <w:color w:val="auto"/>
        </w:rPr>
      </w:pPr>
      <w:r>
        <w:rPr>
          <w:rFonts w:ascii="Times New Roman" w:cs="Times New Roman" w:eastAsia="Times New Roman" w:hAnsi="Times New Roman"/>
          <w:sz w:val="18"/>
          <w:szCs w:val="18"/>
          <w:color w:val="auto"/>
        </w:rPr>
        <w:t>Information about the net assets and the significant components of the changes in net assets relating to the investment in The Toro Company Common Stock is as follows: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participant</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directed</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directed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Toro Company Common Stock</w:t>
            </w:r>
          </w:p>
        </w:tc>
        <w:tc>
          <w:tcPr>
            <w:tcW w:w="2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7"/>
              </w:rPr>
              <w:t>215,455,478</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132,509,284</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82,946,194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Dividends</w:t>
            </w:r>
          </w:p>
        </w:tc>
        <w:tc>
          <w:tcPr>
            <w:tcW w:w="2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728,610</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330,995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realized/unrealized gain in the fair value of investments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7"/>
              </w:rPr>
              <w:t>103,805,570</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51,133,136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52,672,434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investment income</w:t>
            </w: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7"/>
              </w:rPr>
              <w:t>104,534,180</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51,464,131</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53,070,049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contributions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6,447,971</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4,982,054</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1,465,917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(10,375,075)</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(4,238,815)</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(6,136,260)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to/from other funds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(36,325,665)</w:t>
            </w: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(27,614,695)</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(8,710,970)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Increase in net assets available for benefits</w:t>
            </w: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64,281,411</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24,592,675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39,688,736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Beginning of year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7"/>
              </w:rPr>
              <w:t>151,174,067</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107,916,610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43,257,457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End of year</w:t>
            </w:r>
          </w:p>
        </w:tc>
        <w:tc>
          <w:tcPr>
            <w:tcW w:w="2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7"/>
              </w:rPr>
              <w:t>215,455,478</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132,509,285</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82,946,193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(Continued)</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34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 INVESTMENT, SAVINGS,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EMPLOYEE STOCK OWNERSHIP PLAN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2004 and 2003</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participant</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directed</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directed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2003</w:t>
            </w:r>
          </w:p>
        </w:tc>
        <w:tc>
          <w:tcPr>
            <w:tcW w:w="4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2003</w:t>
            </w:r>
          </w:p>
        </w:tc>
        <w:tc>
          <w:tcPr>
            <w:tcW w:w="4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Toro Company Common Stock</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7"/>
              </w:rPr>
              <w:t>151,174,067</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107,916,610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43,257,457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Dividends</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810,966</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534,803</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realized/unrealized gain in the fair value of investments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48,504,495</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33,061,745</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15,442,750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investment income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49,315,461</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33,596,548</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15,718,913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contributions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5,596,763</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4,631,887</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Benefit payments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(7,747,557)</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(5,239,979)</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(2,507,578)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to/from other funds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(5,920,447)</w:t>
            </w: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(19,469,384)</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13,548,937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Increase in net assets available for benefits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41,244,220</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13,519,072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27,725,148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Beginning of year</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7"/>
              </w:rPr>
              <w:t>109,929,847</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94,397,539</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15,532,308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End of year</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7"/>
              </w:rPr>
              <w:t>151,174,067</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107,916,611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43,257,456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Federal Income Taxes</w:t>
      </w:r>
    </w:p>
    <w:p>
      <w:pPr>
        <w:spacing w:after="0" w:line="229" w:lineRule="exact"/>
        <w:rPr>
          <w:rFonts w:ascii="Times New Roman" w:cs="Times New Roman" w:eastAsia="Times New Roman" w:hAnsi="Times New Roman"/>
          <w:sz w:val="18"/>
          <w:szCs w:val="18"/>
          <w:b w:val="1"/>
          <w:bCs w:val="1"/>
          <w:color w:val="auto"/>
        </w:rPr>
      </w:pPr>
    </w:p>
    <w:p>
      <w:pPr>
        <w:ind w:left="34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Administrator has received a determination letter from the Internal Revenue Service, dated October 23, 2002, stating that the Plan is qualified under Section 401(a) of the Internal Revenue Code (the Code), and that the trust created under the Plan is exempt from federal income taxes under Section 501(a) of the Code. The Plan has been amended since the date of this letter; however, the Plan Administrator believes that the Plan and its related trust continue to qualify under the provisions of Sections 401(a) and 501(a) of the Code and are exempt from federal income taxes. Therefore, no provision for income taxes has been included in the Plan’s financial statements.</w:t>
      </w:r>
    </w:p>
    <w:p>
      <w:pPr>
        <w:spacing w:after="0" w:line="179"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w:t>
      </w:r>
    </w:p>
    <w:p>
      <w:pPr>
        <w:spacing w:after="0" w:line="229" w:lineRule="exact"/>
        <w:rPr>
          <w:rFonts w:ascii="Times New Roman" w:cs="Times New Roman" w:eastAsia="Times New Roman" w:hAnsi="Times New Roman"/>
          <w:sz w:val="18"/>
          <w:szCs w:val="18"/>
          <w:b w:val="1"/>
          <w:bCs w:val="1"/>
          <w:color w:val="auto"/>
        </w:rPr>
      </w:pPr>
    </w:p>
    <w:p>
      <w:pPr>
        <w:ind w:left="34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Plan’s investments are held by JP Morgan Retirement Plan Services (Trustee of the Plan effective September 3, 2004) and Putnam Fiduciary Trust Company (former Trustee of the Plan). Some of the investment funds available to participants also include mutual funds managed by Putnam Investments and JP Morgan.</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 INVESTMENT, SAVINGS,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EMPLOYEE STOCK OWNERSHIP PLAN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2004 and 2003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Reconciliation of Differences Between these Financial Statements and the Financial Information Required on Form 5500:</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0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0"/>
        </w:trPr>
        <w:tc>
          <w:tcPr>
            <w:tcW w:w="10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as presented in these financial statements</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$ 515,963,049</w:t>
            </w:r>
          </w:p>
        </w:tc>
        <w:tc>
          <w:tcPr>
            <w:tcW w:w="80" w:type="dxa"/>
            <w:vAlign w:val="bottom"/>
            <w:shd w:val="clear" w:color="auto" w:fill="CCEEFF"/>
          </w:tcPr>
          <w:p>
            <w:pPr>
              <w:spacing w:after="0"/>
              <w:rPr>
                <w:sz w:val="18"/>
                <w:szCs w:val="18"/>
                <w:color w:val="auto"/>
              </w:rPr>
            </w:pPr>
          </w:p>
        </w:tc>
      </w:tr>
      <w:tr>
        <w:trPr>
          <w:trHeight w:val="216"/>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employer contribution receivable</w:t>
            </w: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(11,312)</w:t>
            </w:r>
          </w:p>
        </w:tc>
      </w:tr>
      <w:tr>
        <w:trPr>
          <w:trHeight w:val="216"/>
        </w:trPr>
        <w:tc>
          <w:tcPr>
            <w:tcW w:w="10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employee contribution receivable</w:t>
            </w: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(40,883)</w:t>
            </w:r>
          </w:p>
        </w:tc>
      </w:tr>
      <w:tr>
        <w:trPr>
          <w:trHeight w:val="223"/>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 as presented on Form 5500</w:t>
            </w: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515,910,854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left="102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10200"/>
        <w:spacing w:after="0" w:line="229" w:lineRule="auto"/>
        <w:rPr>
          <w:sz w:val="20"/>
          <w:szCs w:val="20"/>
          <w:color w:val="auto"/>
        </w:rPr>
      </w:pPr>
      <w:r>
        <w:rPr>
          <w:rFonts w:ascii="Times New Roman" w:cs="Times New Roman" w:eastAsia="Times New Roman" w:hAnsi="Times New Roman"/>
          <w:sz w:val="14"/>
          <w:szCs w:val="14"/>
          <w:b w:val="1"/>
          <w:bCs w:val="1"/>
          <w:color w:val="auto"/>
        </w:rPr>
        <w:t>December 31,</w:t>
      </w:r>
    </w:p>
    <w:p>
      <w:pPr>
        <w:spacing w:after="0" w:line="1" w:lineRule="exact"/>
        <w:rPr>
          <w:sz w:val="20"/>
          <w:szCs w:val="20"/>
          <w:color w:val="auto"/>
        </w:rPr>
      </w:pPr>
    </w:p>
    <w:p>
      <w:pPr>
        <w:jc w:val="center"/>
        <w:ind w:left="10200"/>
        <w:spacing w:after="0"/>
        <w:rPr>
          <w:sz w:val="20"/>
          <w:szCs w:val="20"/>
          <w:color w:val="auto"/>
        </w:rPr>
      </w:pPr>
      <w:r>
        <w:rPr>
          <w:rFonts w:ascii="Times New Roman" w:cs="Times New Roman" w:eastAsia="Times New Roman" w:hAnsi="Times New Roman"/>
          <w:sz w:val="14"/>
          <w:szCs w:val="14"/>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 as presented in these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for employer contribution receivable at December 31, 2004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for employee contribution receivable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Adjustment for employer contribution receivable at December 31, 2003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for employee contribution receivable 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 as presented on Form 5500</w:t>
      </w:r>
    </w:p>
    <w:p>
      <w:pPr>
        <w:spacing w:after="0" w:line="20" w:lineRule="exact"/>
        <w:rPr>
          <w:sz w:val="20"/>
          <w:szCs w:val="20"/>
          <w:color w:val="auto"/>
        </w:rPr>
      </w:pPr>
      <w:r>
        <w:rPr>
          <w:sz w:val="20"/>
          <w:szCs w:val="20"/>
          <w:color w:val="auto"/>
        </w:rPr>
        <w:br w:type="column"/>
      </w:r>
    </w:p>
    <w:p>
      <w:pPr>
        <w:ind w:left="121" w:hanging="121"/>
        <w:spacing w:after="0"/>
        <w:tabs>
          <w:tab w:leader="none" w:pos="12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126,426,997</w:t>
      </w:r>
    </w:p>
    <w:p>
      <w:pPr>
        <w:spacing w:after="0" w:line="7" w:lineRule="exact"/>
        <w:rPr>
          <w:rFonts w:ascii="Times New Roman" w:cs="Times New Roman" w:eastAsia="Times New Roman" w:hAnsi="Times New Roman"/>
          <w:sz w:val="18"/>
          <w:szCs w:val="18"/>
          <w:color w:val="auto"/>
        </w:rPr>
      </w:pPr>
    </w:p>
    <w:p>
      <w:pPr>
        <w:ind w:left="46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(11,312)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(40,883)</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10,907,437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30,769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43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1"/>
        <w:spacing w:after="0"/>
        <w:rPr>
          <w:sz w:val="20"/>
          <w:szCs w:val="20"/>
          <w:color w:val="auto"/>
        </w:rPr>
      </w:pPr>
      <w:r>
        <w:rPr>
          <w:rFonts w:ascii="Times New Roman" w:cs="Times New Roman" w:eastAsia="Times New Roman" w:hAnsi="Times New Roman"/>
          <w:sz w:val="18"/>
          <w:szCs w:val="18"/>
          <w:u w:val="single" w:color="auto"/>
          <w:color w:val="auto"/>
        </w:rPr>
        <w:t>$ 137,313,008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43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December 31,</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2003</w:t>
      </w:r>
    </w:p>
    <w:p>
      <w:pPr>
        <w:spacing w:after="0" w:line="20" w:lineRule="exact"/>
        <w:rPr>
          <w:sz w:val="20"/>
          <w:szCs w:val="20"/>
          <w:color w:val="auto"/>
        </w:rPr>
      </w:pPr>
    </w:p>
    <w:p>
      <w:pPr>
        <w:sectPr>
          <w:pgSz w:w="11900" w:h="16838" w:orient="portrait"/>
          <w:cols w:equalWidth="0" w:num="2">
            <w:col w:w="9579" w:space="720"/>
            <w:col w:w="1121"/>
          </w:cols>
          <w:pgMar w:left="240" w:top="41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0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103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assets available for benefits as presented in these financial statements</w:t>
            </w:r>
          </w:p>
        </w:tc>
        <w:tc>
          <w:tcPr>
            <w:tcW w:w="104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w w:val="96"/>
              </w:rPr>
              <w:t>$ 389,536,052</w:t>
            </w:r>
          </w:p>
        </w:tc>
        <w:tc>
          <w:tcPr>
            <w:tcW w:w="80" w:type="dxa"/>
            <w:vAlign w:val="bottom"/>
            <w:shd w:val="clear" w:color="auto" w:fill="CCEEFF"/>
          </w:tcPr>
          <w:p>
            <w:pPr>
              <w:spacing w:after="0"/>
              <w:rPr>
                <w:sz w:val="16"/>
                <w:szCs w:val="16"/>
                <w:color w:val="auto"/>
              </w:rPr>
            </w:pPr>
          </w:p>
        </w:tc>
      </w:tr>
      <w:tr>
        <w:trPr>
          <w:trHeight w:val="216"/>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employer contribution receivable</w:t>
            </w: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(10,907,437)</w:t>
            </w:r>
          </w:p>
        </w:tc>
      </w:tr>
      <w:tr>
        <w:trPr>
          <w:trHeight w:val="216"/>
        </w:trPr>
        <w:tc>
          <w:tcPr>
            <w:tcW w:w="10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employee contribution receivable</w:t>
            </w: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(30,769)</w:t>
            </w:r>
          </w:p>
        </w:tc>
      </w:tr>
      <w:tr>
        <w:trPr>
          <w:trHeight w:val="223"/>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 as presented on Form 5500</w:t>
            </w: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378,597,846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left="1820"/>
        <w:spacing w:after="0"/>
        <w:rPr>
          <w:sz w:val="20"/>
          <w:szCs w:val="20"/>
          <w:color w:val="auto"/>
        </w:rPr>
      </w:pPr>
      <w:r>
        <w:rPr>
          <w:rFonts w:ascii="Times New Roman" w:cs="Times New Roman" w:eastAsia="Times New Roman" w:hAnsi="Times New Roman"/>
          <w:sz w:val="17"/>
          <w:szCs w:val="17"/>
          <w:b w:val="1"/>
          <w:bCs w:val="1"/>
          <w:color w:val="auto"/>
        </w:rPr>
        <w:t>THE TORO COMPANY INVESTMENT, SAVINGS,</w:t>
      </w:r>
    </w:p>
    <w:p>
      <w:pPr>
        <w:spacing w:after="0" w:line="43" w:lineRule="exact"/>
        <w:rPr>
          <w:sz w:val="20"/>
          <w:szCs w:val="20"/>
          <w:color w:val="auto"/>
        </w:rPr>
      </w:pPr>
    </w:p>
    <w:p>
      <w:pPr>
        <w:jc w:val="center"/>
        <w:ind w:left="1820"/>
        <w:spacing w:after="0"/>
        <w:rPr>
          <w:sz w:val="20"/>
          <w:szCs w:val="20"/>
          <w:color w:val="auto"/>
        </w:rPr>
      </w:pPr>
      <w:r>
        <w:rPr>
          <w:rFonts w:ascii="Times New Roman" w:cs="Times New Roman" w:eastAsia="Times New Roman" w:hAnsi="Times New Roman"/>
          <w:sz w:val="18"/>
          <w:szCs w:val="18"/>
          <w:b w:val="1"/>
          <w:bCs w:val="1"/>
          <w:color w:val="auto"/>
        </w:rPr>
        <w:t>AND EMPLOYEE STOCK OWNERSHIP PLAN</w:t>
      </w:r>
    </w:p>
    <w:p>
      <w:pPr>
        <w:spacing w:after="0" w:line="18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8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December 31, 2004 and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 as presented in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for employer contribution receivable at December 31, 2003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for employee contribution receivable 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Adjustment for employer contribution receivable at December 31,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for employee contribution receivable at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 as presented on Form 5500</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December 31,</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6261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ind w:left="180" w:hanging="174"/>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93,912,194</w:t>
      </w:r>
    </w:p>
    <w:p>
      <w:pPr>
        <w:spacing w:after="0" w:line="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(10,907,437)</w:t>
      </w:r>
    </w:p>
    <w:p>
      <w:pPr>
        <w:spacing w:after="0" w:line="9"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(30,769)</w:t>
      </w:r>
    </w:p>
    <w:p>
      <w:pPr>
        <w:spacing w:after="0" w:line="9"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10,284,557</w:t>
      </w:r>
    </w:p>
    <w:p>
      <w:pPr>
        <w:spacing w:after="0" w:line="9"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261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$ 93,321,358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6261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ectPr>
          <w:pgSz w:w="11900" w:h="16838" w:orient="portrait"/>
          <w:cols w:equalWidth="0" w:num="2">
            <w:col w:w="9600" w:space="720"/>
            <w:col w:w="1060"/>
          </w:cols>
          <w:pgMar w:left="240" w:top="41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 INVESTMENT, SAVINGS,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EMPLOYEE STOCK OWNERSHIP PLAN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Assets (Held at End of the Year)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2004</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Face</w:t>
            </w: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3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or shares</w:t>
            </w:r>
          </w:p>
        </w:tc>
        <w:tc>
          <w:tcPr>
            <w:tcW w:w="1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Global Investors</w:t>
            </w:r>
          </w:p>
        </w:tc>
        <w:tc>
          <w:tcPr>
            <w:tcW w:w="3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1,151,376</w:t>
            </w:r>
          </w:p>
        </w:tc>
        <w:tc>
          <w:tcPr>
            <w:tcW w:w="4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14,560,204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Artisan Mid Cap Fund</w:t>
            </w:r>
          </w:p>
        </w:tc>
        <w:tc>
          <w:tcPr>
            <w:tcW w:w="15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148,677</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4,394,882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MidCap Value*</w:t>
            </w:r>
          </w:p>
        </w:tc>
        <w:tc>
          <w:tcPr>
            <w:tcW w:w="15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287,076</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6,367,345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STI Classics Small Cap Growth Stock Fund</w:t>
            </w:r>
          </w:p>
        </w:tc>
        <w:tc>
          <w:tcPr>
            <w:tcW w:w="15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125,210</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2,623,151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Diversified International Fund</w:t>
            </w:r>
          </w:p>
        </w:tc>
        <w:tc>
          <w:tcPr>
            <w:tcW w:w="15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872,935</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25,000,869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Growth Fund of America</w:t>
            </w:r>
          </w:p>
        </w:tc>
        <w:tc>
          <w:tcPr>
            <w:tcW w:w="15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1,783,185</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48,556,136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ICM Small Company</w:t>
            </w:r>
          </w:p>
        </w:tc>
        <w:tc>
          <w:tcPr>
            <w:tcW w:w="15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689,653</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25,310,277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Vanguard Institutional Index</w:t>
            </w:r>
          </w:p>
        </w:tc>
        <w:tc>
          <w:tcPr>
            <w:tcW w:w="15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246,929</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27,337,545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Century Large Company Value Fund</w:t>
            </w:r>
          </w:p>
        </w:tc>
        <w:tc>
          <w:tcPr>
            <w:tcW w:w="15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8,896,327</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57,737,164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Loan Fund</w:t>
            </w:r>
          </w:p>
        </w:tc>
        <w:tc>
          <w:tcPr>
            <w:tcW w:w="15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42,748</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42,748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Toro Company Common Stock**</w:t>
            </w:r>
          </w:p>
        </w:tc>
        <w:tc>
          <w:tcPr>
            <w:tcW w:w="15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2,648,159</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45,971,082</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215,455,478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427,385,799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Party-in-interest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**Party-in-interest, participant- and nonparticipant-directed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independent auditors’ report.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 INVESTMENT, SAVINGS,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EMPLOYEE STOCK OWNERSHIP PLAN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Reportable Transactions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 ended December 31, 2004</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vMerge w:val="restart"/>
          </w:tcPr>
          <w:p>
            <w:pPr>
              <w:jc w:val="right"/>
              <w:ind w:right="5774"/>
              <w:spacing w:after="0"/>
              <w:rPr>
                <w:sz w:val="20"/>
                <w:szCs w:val="20"/>
                <w:color w:val="auto"/>
              </w:rPr>
            </w:pPr>
            <w:r>
              <w:rPr>
                <w:rFonts w:ascii="Times New Roman" w:cs="Times New Roman" w:eastAsia="Times New Roman" w:hAnsi="Times New Roman"/>
                <w:sz w:val="14"/>
                <w:szCs w:val="14"/>
                <w:b w:val="1"/>
                <w:bCs w:val="1"/>
                <w:color w:val="auto"/>
              </w:rPr>
              <w:t>Description of assets</w:t>
            </w:r>
          </w:p>
        </w:tc>
        <w:tc>
          <w:tcPr>
            <w:tcW w:w="320" w:type="dxa"/>
            <w:vAlign w:val="bottom"/>
          </w:tcPr>
          <w:p>
            <w:pPr>
              <w:spacing w:after="0"/>
              <w:rPr>
                <w:sz w:val="13"/>
                <w:szCs w:val="13"/>
                <w:color w:val="auto"/>
              </w:rPr>
            </w:pPr>
          </w:p>
        </w:tc>
        <w:tc>
          <w:tcPr>
            <w:tcW w:w="10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420" w:type="dxa"/>
            <w:vAlign w:val="bottom"/>
          </w:tcPr>
          <w:p>
            <w:pPr>
              <w:spacing w:after="0"/>
              <w:rPr>
                <w:sz w:val="13"/>
                <w:szCs w:val="13"/>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Net gain</w:t>
            </w:r>
          </w:p>
        </w:tc>
        <w:tc>
          <w:tcPr>
            <w:tcW w:w="0" w:type="dxa"/>
            <w:vAlign w:val="bottom"/>
          </w:tcPr>
          <w:p>
            <w:pPr>
              <w:spacing w:after="0"/>
              <w:rPr>
                <w:sz w:val="1"/>
                <w:szCs w:val="1"/>
                <w:color w:val="auto"/>
              </w:rPr>
            </w:pPr>
          </w:p>
        </w:tc>
      </w:tr>
      <w:tr>
        <w:trPr>
          <w:trHeight w:val="173"/>
        </w:trPr>
        <w:tc>
          <w:tcPr>
            <w:tcW w:w="71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120" w:type="dxa"/>
            <w:vAlign w:val="bottom"/>
            <w:tcBorders>
              <w:top w:val="single" w:sz="8" w:color="auto"/>
            </w:tcBorders>
          </w:tcPr>
          <w:p>
            <w:pPr>
              <w:jc w:val="right"/>
              <w:ind w:right="5014"/>
              <w:spacing w:after="0" w:line="191" w:lineRule="exact"/>
              <w:rPr>
                <w:sz w:val="20"/>
                <w:szCs w:val="20"/>
                <w:color w:val="auto"/>
              </w:rPr>
            </w:pPr>
            <w:r>
              <w:rPr>
                <w:rFonts w:ascii="Times New Roman" w:cs="Times New Roman" w:eastAsia="Times New Roman" w:hAnsi="Times New Roman"/>
                <w:sz w:val="18"/>
                <w:szCs w:val="18"/>
                <w:color w:val="auto"/>
                <w:w w:val="99"/>
              </w:rPr>
              <w:t>5% series of transactions by</w:t>
            </w:r>
          </w:p>
        </w:tc>
        <w:tc>
          <w:tcPr>
            <w:tcW w:w="3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20" w:type="dxa"/>
            <w:vAlign w:val="bottom"/>
          </w:tcPr>
          <w:p>
            <w:pPr>
              <w:jc w:val="right"/>
              <w:ind w:right="4674"/>
              <w:spacing w:after="0"/>
              <w:rPr>
                <w:sz w:val="20"/>
                <w:szCs w:val="20"/>
                <w:color w:val="auto"/>
              </w:rPr>
            </w:pPr>
            <w:r>
              <w:rPr>
                <w:rFonts w:ascii="Times New Roman" w:cs="Times New Roman" w:eastAsia="Times New Roman" w:hAnsi="Times New Roman"/>
                <w:sz w:val="18"/>
                <w:szCs w:val="18"/>
                <w:color w:val="auto"/>
              </w:rPr>
              <w:t>Rule 2520.103-6(c)(1)(iii):</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jc w:val="right"/>
              <w:ind w:right="5014"/>
              <w:spacing w:after="0"/>
              <w:rPr>
                <w:sz w:val="20"/>
                <w:szCs w:val="20"/>
                <w:color w:val="auto"/>
              </w:rPr>
            </w:pPr>
            <w:r>
              <w:rPr>
                <w:rFonts w:ascii="Times New Roman" w:cs="Times New Roman" w:eastAsia="Times New Roman" w:hAnsi="Times New Roman"/>
                <w:sz w:val="18"/>
                <w:szCs w:val="18"/>
                <w:color w:val="auto"/>
              </w:rPr>
              <w:t>The Toro Company</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20" w:type="dxa"/>
            <w:vAlign w:val="bottom"/>
          </w:tcPr>
          <w:p>
            <w:pPr>
              <w:jc w:val="right"/>
              <w:ind w:right="4994"/>
              <w:spacing w:after="0"/>
              <w:rPr>
                <w:sz w:val="20"/>
                <w:szCs w:val="20"/>
                <w:color w:val="auto"/>
              </w:rPr>
            </w:pPr>
            <w:r>
              <w:rPr>
                <w:rFonts w:ascii="Times New Roman" w:cs="Times New Roman" w:eastAsia="Times New Roman" w:hAnsi="Times New Roman"/>
                <w:sz w:val="18"/>
                <w:szCs w:val="18"/>
                <w:color w:val="auto"/>
              </w:rPr>
              <w:t>Common Stock*</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199,725,099</w:t>
            </w:r>
          </w:p>
        </w:tc>
        <w:tc>
          <w:tcPr>
            <w:tcW w:w="18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386,444,921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186,719,822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Party-in-interest, participant- and nonparticipant-directed investment</w:t>
      </w:r>
    </w:p>
    <w:p>
      <w:pPr>
        <w:sectPr>
          <w:pgSz w:w="11900" w:h="16838" w:orient="portrait"/>
          <w:cols w:equalWidth="0" w:num="1">
            <w:col w:w="11420"/>
          </w:cols>
          <w:pgMar w:left="240" w:top="415" w:right="2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Reportable transactions are those transactions which either singly or in a series of combined purchases and sales during the year exceed 5% of the fair value of the Plan’s assets at the beginning of the year.</w:t>
      </w:r>
    </w:p>
    <w:p>
      <w:pPr>
        <w:spacing w:after="0" w:line="162" w:lineRule="exact"/>
        <w:rPr>
          <w:sz w:val="20"/>
          <w:szCs w:val="20"/>
          <w:color w:val="auto"/>
        </w:rPr>
      </w:pPr>
    </w:p>
    <w:p>
      <w:pPr>
        <w:sectPr>
          <w:pgSz w:w="11900" w:h="16838" w:orient="portrait"/>
          <w:cols w:equalWidth="0" w:num="2">
            <w:col w:w="400" w:space="340"/>
            <w:col w:w="10680"/>
          </w:cols>
          <w:pgMar w:left="240" w:top="41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See accompanying independent auditors’ report.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The Toro Company Investment, Savings,</w:t>
            </w:r>
          </w:p>
        </w:tc>
        <w:tc>
          <w:tcPr>
            <w:tcW w:w="1700" w:type="dxa"/>
            <w:vAlign w:val="bottom"/>
          </w:tcPr>
          <w:p>
            <w:pPr>
              <w:spacing w:after="0"/>
              <w:rPr>
                <w:sz w:val="18"/>
                <w:szCs w:val="18"/>
                <w:color w:val="auto"/>
              </w:rPr>
            </w:pP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and Employee Stock Ownership Plan</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Dated June 27, 2005</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P. Wolfe</w:t>
            </w:r>
          </w:p>
        </w:tc>
        <w:tc>
          <w:tcPr>
            <w:tcW w:w="1700" w:type="dxa"/>
            <w:vAlign w:val="bottom"/>
          </w:tcPr>
          <w:p>
            <w:pPr>
              <w:spacing w:after="0"/>
              <w:rPr>
                <w:sz w:val="24"/>
                <w:szCs w:val="24"/>
                <w:color w:val="auto"/>
              </w:rPr>
            </w:pP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P. Wolfe</w:t>
            </w:r>
          </w:p>
        </w:tc>
        <w:tc>
          <w:tcPr>
            <w:tcW w:w="170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 Finance, Treasurer and Chief Financial</w:t>
            </w:r>
          </w:p>
        </w:tc>
        <w:tc>
          <w:tcPr>
            <w:tcW w:w="1700" w:type="dxa"/>
            <w:vAlign w:val="bottom"/>
          </w:tcPr>
          <w:p>
            <w:pPr>
              <w:spacing w:after="0"/>
              <w:rPr>
                <w:sz w:val="18"/>
                <w:szCs w:val="18"/>
                <w:color w:val="auto"/>
              </w:rPr>
            </w:pP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Officer of The Toro Company</w:t>
            </w:r>
          </w:p>
        </w:tc>
        <w:tc>
          <w:tcPr>
            <w:tcW w:w="1700" w:type="dxa"/>
            <w:vAlign w:val="bottom"/>
          </w:tcPr>
          <w:p>
            <w:pPr>
              <w:spacing w:after="0"/>
              <w:rPr>
                <w:sz w:val="20"/>
                <w:szCs w:val="20"/>
                <w:color w:val="auto"/>
              </w:rPr>
            </w:pPr>
          </w:p>
        </w:tc>
      </w:tr>
      <w:tr>
        <w:trPr>
          <w:trHeight w:val="442"/>
        </w:trPr>
        <w:tc>
          <w:tcPr>
            <w:tcW w:w="550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54"/>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Number</w:t>
            </w:r>
          </w:p>
        </w:tc>
        <w:tc>
          <w:tcPr>
            <w:tcW w:w="220" w:type="dxa"/>
            <w:vAlign w:val="bottom"/>
          </w:tcPr>
          <w:p>
            <w:pPr>
              <w:spacing w:after="0"/>
              <w:rPr>
                <w:sz w:val="24"/>
                <w:szCs w:val="24"/>
                <w:color w:val="auto"/>
              </w:rPr>
            </w:pPr>
          </w:p>
        </w:tc>
        <w:tc>
          <w:tcPr>
            <w:tcW w:w="10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42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23(a)</w:t>
            </w:r>
          </w:p>
        </w:tc>
        <w:tc>
          <w:tcPr>
            <w:tcW w:w="2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bl>
    <w:p>
      <w:pPr>
        <w:sectPr>
          <w:pgSz w:w="11900" w:h="16838" w:orient="portrait"/>
          <w:cols w:equalWidth="0" w:num="1">
            <w:col w:w="11420"/>
          </w:cols>
          <w:pgMar w:left="240" w:top="415" w:right="2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23(a)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16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consent to incorporation by reference in the Registration Statements (Nos. 333-119504, 333-119506, and 333-100004 as amended by Post-Effective Amendment No. 1) on Form S-8 of The Toro Company, of our report dated June 17, 2005, relating to the statements of net assets available for benefits of The Toro Company Investment, Savings, and Employee Stock Ownership Plan as of December 31, 2004 and 2003, the related statements of changes in net assets available for benefits for the years then ended, and the related supplemental schedules as of December 31, 2004 and for the year then ended, which report appears in the December 31, 2004 annual report on Form 11-K of The Toro Company Investment, Savings, and Employee Stock Ownership Plan.</w:t>
      </w:r>
    </w:p>
    <w:p>
      <w:pPr>
        <w:spacing w:after="0" w:line="15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2005</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2"/>
    </w:lvl>
    <w:lvl w:ilvl="1">
      <w:lvlJc w:val="left"/>
      <w:lvlText w:val="(%2)"/>
      <w:numFmt w:val="lowerLetter"/>
      <w:start w:val="1"/>
    </w:lvl>
  </w:abstractNum>
  <w:abstractNum w:abstractNumId="5">
    <w:nsid w:val="515F007C"/>
    <w:multiLevelType w:val="hybridMultilevel"/>
    <w:lvl w:ilvl="0">
      <w:lvlJc w:val="left"/>
      <w:lvlText w:val="%1"/>
      <w:numFmt w:val="decimal"/>
      <w:start w:val="1"/>
    </w:lvl>
    <w:lvl w:ilvl="1">
      <w:lvlJc w:val="left"/>
      <w:lvlText w:val="(%2)"/>
      <w:numFmt w:val="lowerLetter"/>
      <w:start w:val="5"/>
    </w:lvl>
  </w:abstractNum>
  <w:abstractNum w:abstractNumId="6">
    <w:nsid w:val="5BD062C2"/>
    <w:multiLevelType w:val="hybridMultilevel"/>
    <w:lvl w:ilvl="0">
      <w:lvlJc w:val="left"/>
      <w:lvlText w:val="(%1)"/>
      <w:numFmt w:val="decimal"/>
      <w:start w:val="3"/>
    </w:lvl>
    <w:lvl w:ilvl="1">
      <w:lvlJc w:val="left"/>
      <w:lvlText w:val="%2"/>
      <w:numFmt w:val="lowerLetter"/>
      <w:start w:val="1"/>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decimal"/>
      <w:start w:val="7"/>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2019-12-13T14:05:00Z</dcterms:created>
  <dcterms:modified xsi:type="dcterms:W3CDTF">2019-12-13T14:05:00Z</dcterms:modified>
</cp:coreProperties>
</file>