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54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12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Larson Thomas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06/30/2017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VP, Corporate Controller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12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12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06/30/2017</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M</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6,600</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660" w:type="dxa"/>
            <w:vAlign w:val="bottom"/>
            <w:tcBorders>
              <w:bottom w:val="single" w:sz="8" w:color="2C2C2C"/>
            </w:tcBorders>
          </w:tcPr>
          <w:p>
            <w:pPr>
              <w:jc w:val="center"/>
              <w:ind w:right="1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15.88</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32,239.386</w:t>
            </w:r>
            <w:r>
              <w:rPr>
                <w:rFonts w:ascii="Arial" w:cs="Arial" w:eastAsia="Arial" w:hAnsi="Arial"/>
                <w:sz w:val="22"/>
                <w:szCs w:val="22"/>
                <w:color w:val="008000"/>
                <w:w w:val="85"/>
                <w:vertAlign w:val="superscript"/>
              </w:rPr>
              <w:t>(1)</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0000FF"/>
              </w:rPr>
              <w:t>06/30/2017</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Pr>
          <w:p>
            <w:pPr>
              <w:ind w:left="200"/>
              <w:spacing w:after="0"/>
              <w:rPr>
                <w:sz w:val="20"/>
                <w:szCs w:val="20"/>
                <w:color w:val="auto"/>
              </w:rPr>
            </w:pPr>
            <w:r>
              <w:rPr>
                <w:rFonts w:ascii="Arial" w:cs="Arial" w:eastAsia="Arial" w:hAnsi="Arial"/>
                <w:sz w:val="18"/>
                <w:szCs w:val="18"/>
                <w:color w:val="0000FF"/>
              </w:rPr>
              <w:t>6,600</w:t>
            </w:r>
          </w:p>
        </w:tc>
        <w:tc>
          <w:tcPr>
            <w:tcW w:w="60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69.037</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25,639.386</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158.718</w:t>
            </w:r>
            <w:r>
              <w:rPr>
                <w:rFonts w:ascii="Arial" w:cs="Arial" w:eastAsia="Arial" w:hAnsi="Arial"/>
                <w:sz w:val="22"/>
                <w:szCs w:val="22"/>
                <w:color w:val="008000"/>
                <w:w w:val="84"/>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19,546.021</w:t>
            </w:r>
            <w:r>
              <w:rPr>
                <w:rFonts w:ascii="Arial" w:cs="Arial" w:eastAsia="Arial" w:hAnsi="Arial"/>
                <w:sz w:val="22"/>
                <w:szCs w:val="22"/>
                <w:color w:val="008000"/>
                <w:w w:val="85"/>
                <w:vertAlign w:val="superscript"/>
              </w:rPr>
              <w:t>(3)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0"/>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8"/>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15.88</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06/30/2017</w:t>
            </w:r>
          </w:p>
        </w:tc>
        <w:tc>
          <w:tcPr>
            <w:tcW w:w="1140" w:type="dxa"/>
            <w:vAlign w:val="bottom"/>
          </w:tcPr>
          <w:p>
            <w:pPr>
              <w:spacing w:after="0"/>
              <w:rPr>
                <w:sz w:val="12"/>
                <w:szCs w:val="12"/>
                <w:color w:val="auto"/>
              </w:rPr>
            </w:pPr>
          </w:p>
        </w:tc>
        <w:tc>
          <w:tcPr>
            <w:tcW w:w="46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2"/>
                <w:szCs w:val="12"/>
                <w:color w:val="auto"/>
              </w:rPr>
            </w:pPr>
          </w:p>
        </w:tc>
        <w:tc>
          <w:tcPr>
            <w:tcW w:w="740" w:type="dxa"/>
            <w:vAlign w:val="bottom"/>
            <w:vMerge w:val="restart"/>
          </w:tcPr>
          <w:p>
            <w:pPr>
              <w:ind w:left="340"/>
              <w:spacing w:after="0"/>
              <w:rPr>
                <w:sz w:val="20"/>
                <w:szCs w:val="20"/>
                <w:color w:val="auto"/>
              </w:rPr>
            </w:pPr>
            <w:r>
              <w:rPr>
                <w:rFonts w:ascii="Arial" w:cs="Arial" w:eastAsia="Arial" w:hAnsi="Arial"/>
                <w:sz w:val="14"/>
                <w:szCs w:val="14"/>
                <w:color w:val="0000FF"/>
              </w:rPr>
              <w:t>6,600</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760" w:type="dxa"/>
            <w:vAlign w:val="bottom"/>
            <w:vMerge w:val="restart"/>
          </w:tcPr>
          <w:p>
            <w:pPr>
              <w:ind w:left="80"/>
              <w:spacing w:after="0"/>
              <w:rPr>
                <w:sz w:val="20"/>
                <w:szCs w:val="20"/>
                <w:color w:val="auto"/>
              </w:rPr>
            </w:pPr>
            <w:r>
              <w:rPr>
                <w:rFonts w:ascii="Arial" w:cs="Arial" w:eastAsia="Arial" w:hAnsi="Arial"/>
                <w:sz w:val="14"/>
                <w:szCs w:val="14"/>
                <w:color w:val="0000FF"/>
                <w:w w:val="94"/>
              </w:rPr>
              <w:t>12/08/2020</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0000FF"/>
                <w:w w:val="87"/>
              </w:rPr>
              <w:t>Common</w:t>
            </w:r>
          </w:p>
        </w:tc>
        <w:tc>
          <w:tcPr>
            <w:tcW w:w="660" w:type="dxa"/>
            <w:vAlign w:val="bottom"/>
            <w:vMerge w:val="restart"/>
          </w:tcPr>
          <w:p>
            <w:pPr>
              <w:ind w:left="160"/>
              <w:spacing w:after="0"/>
              <w:rPr>
                <w:sz w:val="20"/>
                <w:szCs w:val="20"/>
                <w:color w:val="auto"/>
              </w:rPr>
            </w:pPr>
            <w:r>
              <w:rPr>
                <w:rFonts w:ascii="Arial" w:cs="Arial" w:eastAsia="Arial" w:hAnsi="Arial"/>
                <w:sz w:val="18"/>
                <w:szCs w:val="18"/>
                <w:color w:val="0000FF"/>
              </w:rPr>
              <w:t>6,600</w:t>
            </w:r>
          </w:p>
        </w:tc>
        <w:tc>
          <w:tcPr>
            <w:tcW w:w="76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00" w:type="dxa"/>
            <w:vAlign w:val="bottom"/>
            <w:vMerge w:val="restart"/>
          </w:tcPr>
          <w:p>
            <w:pPr>
              <w:ind w:left="420"/>
              <w:spacing w:after="0"/>
              <w:rPr>
                <w:sz w:val="20"/>
                <w:szCs w:val="20"/>
                <w:color w:val="auto"/>
              </w:rPr>
            </w:pPr>
            <w:r>
              <w:rPr>
                <w:rFonts w:ascii="Arial" w:cs="Arial" w:eastAsia="Arial" w:hAnsi="Arial"/>
                <w:sz w:val="14"/>
                <w:szCs w:val="14"/>
                <w:color w:val="0000FF"/>
                <w:w w:val="76"/>
              </w:rPr>
              <w:t>0</w:t>
            </w:r>
          </w:p>
        </w:tc>
        <w:tc>
          <w:tcPr>
            <w:tcW w:w="320" w:type="dxa"/>
            <w:vAlign w:val="bottom"/>
          </w:tcPr>
          <w:p>
            <w:pPr>
              <w:spacing w:after="0"/>
              <w:rPr>
                <w:sz w:val="12"/>
                <w:szCs w:val="12"/>
                <w:color w:val="auto"/>
              </w:rPr>
            </w:pPr>
          </w:p>
        </w:tc>
        <w:tc>
          <w:tcPr>
            <w:tcW w:w="600" w:type="dxa"/>
            <w:vAlign w:val="bottom"/>
            <w:vMerge w:val="restart"/>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color w:val="0000FF"/>
                <w:w w:val="91"/>
              </w:rPr>
              <w:t>Stock</w:t>
            </w:r>
          </w:p>
        </w:tc>
        <w:tc>
          <w:tcPr>
            <w:tcW w:w="6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29.047 shares of common stock acquired by the reporting person under the dividend reinvestment feature of The Toro Company Direct Stock Purchase Plan since the date of his last report, less an account adjustment of 0.42 shares.</w:t>
      </w:r>
    </w:p>
    <w:p>
      <w:pPr>
        <w:spacing w:after="0" w:line="30" w:lineRule="exact"/>
        <w:rPr>
          <w:rFonts w:ascii="Arial" w:cs="Arial" w:eastAsia="Arial" w:hAnsi="Arial"/>
          <w:sz w:val="14"/>
          <w:szCs w:val="14"/>
          <w:color w:val="008000"/>
        </w:rPr>
      </w:pPr>
    </w:p>
    <w:p>
      <w:pPr>
        <w:ind w:left="40" w:right="4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0.731 net shares acquired under the dividend reinvestment feature of The Toro Company Investment, Savings &amp; ESOP (the "IS&amp;ESOP") less quarterly non-discretionary administrative fees; and 65.429 shares acquired through issuer annual investment fund contributions to the IS&amp;ESOP.</w:t>
      </w: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115.046 performance share units acquired by the reporting person since the date of his last report under the dividend reinvestment feature of The Toro Company Deferred Compensation Plan for Officers.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December 8, 2010.</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07/05/2017</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12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081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2019-12-23T21:03:46Z</dcterms:created>
  <dcterms:modified xsi:type="dcterms:W3CDTF">2019-12-23T21:03:46Z</dcterms:modified>
</cp:coreProperties>
</file>