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00" w:type="dxa"/>
            <w:vAlign w:val="bottom"/>
            <w:gridSpan w:val="19"/>
            <w:vMerge w:val="restart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Totsky Joanna M.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VP, GC &amp; Corp Secretary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8111 LYNDALE AVENUE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13,878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13,878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13,878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-5815965</wp:posOffset>
            </wp:positionV>
            <wp:extent cx="7045325" cy="5829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and become non-forfeitable in three equal annual installments commencing on the first anniversary of the June 20, 2023 grant date.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Amy E. Dahl,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80696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2023-06-22T15:40:02Z</dcterms:created>
  <dcterms:modified xsi:type="dcterms:W3CDTF">2023-06-22T15:40:02Z</dcterms:modified>
</cp:coreProperties>
</file>