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45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5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16.9675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19,894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2,057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20,847.414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11/01/2014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29, 2012, the common stock of the issuer split two-for-one (the "Stock Split"), resulting in the reporting person's ownership of 5,947 additional shares of common stock. All future Form 4 and 5 filings made by the reporting person will include adjustments, as necessary, to reflect the Stock Split.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197.616 post-split common stock units acquired by the reporting person under the dividend reinvestment feature of The Toro Company Deferred Compensation Plan for Non-Employee Directors since the date of her last report and 10,324.899 additional common stock units as a result of the Stock Split.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stock option was previously reported as covering 4,000 shares of common stock at an exercise price of $33.935 per share, and has been adjusted to reflect the Stock Split.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2019-12-17T01:31:38Z</dcterms:created>
  <dcterms:modified xsi:type="dcterms:W3CDTF">2019-12-17T01:31:38Z</dcterms:modified>
</cp:coreProperties>
</file>