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050"/>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10-Q</w:t>
      </w:r>
    </w:p>
    <w:p>
      <w:pPr>
        <w:spacing w:after="0" w:line="342"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For the Quarter Ended August 2, 1996 Commission File Number 1-8649</w:t>
      </w:r>
    </w:p>
    <w:p>
      <w:pPr>
        <w:spacing w:after="0" w:line="1" w:lineRule="exact"/>
        <w:rPr>
          <w:sz w:val="24"/>
          <w:szCs w:val="24"/>
          <w:color w:val="auto"/>
        </w:rPr>
      </w:pPr>
    </w:p>
    <w:p>
      <w:pPr>
        <w:ind w:left="2569"/>
        <w:spacing w:after="0"/>
        <w:tabs>
          <w:tab w:leader="none" w:pos="59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574" w:right="1440" w:bottom="1440" w:gutter="0" w:footer="0" w:header="0"/>
        </w:sectPr>
      </w:pPr>
    </w:p>
    <w:p>
      <w:pPr>
        <w:spacing w:after="0" w:line="342"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41-0580470</w:t>
      </w:r>
    </w:p>
    <w:p>
      <w:pPr>
        <w:spacing w:after="0" w:line="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909" w:space="720"/>
            <w:col w:w="6599"/>
          </w:cols>
          <w:pgMar w:left="231" w:top="574" w:right="1440" w:bottom="1440" w:gutter="0" w:footer="0" w:header="0"/>
          <w:type w:val="continuous"/>
        </w:sectPr>
      </w:pPr>
    </w:p>
    <w:p>
      <w:pPr>
        <w:spacing w:after="0" w:line="15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8111 LYNDALE AVENUE SOUTH</w:t>
      </w:r>
    </w:p>
    <w:p>
      <w:pPr>
        <w:spacing w:after="0" w:line="1" w:lineRule="exact"/>
        <w:rPr>
          <w:sz w:val="24"/>
          <w:szCs w:val="24"/>
          <w:color w:val="auto"/>
        </w:rPr>
      </w:pPr>
    </w:p>
    <w:p>
      <w:pPr>
        <w:ind w:left="2309"/>
        <w:spacing w:after="0"/>
        <w:tabs>
          <w:tab w:leader="none" w:pos="4409" w:val="left"/>
        </w:tabs>
        <w:rPr>
          <w:sz w:val="20"/>
          <w:szCs w:val="20"/>
          <w:color w:val="auto"/>
        </w:rPr>
      </w:pPr>
      <w:r>
        <w:rPr>
          <w:rFonts w:ascii="Courier New" w:cs="Courier New" w:eastAsia="Courier New" w:hAnsi="Courier New"/>
          <w:sz w:val="15"/>
          <w:szCs w:val="15"/>
          <w:color w:val="auto"/>
        </w:rPr>
        <w:t>BLOOMINGTON, MINNESOTA</w:t>
        <w:tab/>
        <w:t>55420</w:t>
      </w:r>
    </w:p>
    <w:p>
      <w:pPr>
        <w:spacing w:after="0" w:line="3" w:lineRule="exact"/>
        <w:rPr>
          <w:sz w:val="24"/>
          <w:szCs w:val="24"/>
          <w:color w:val="auto"/>
        </w:rPr>
      </w:pPr>
    </w:p>
    <w:p>
      <w:pPr>
        <w:ind w:left="2129"/>
        <w:spacing w:after="0"/>
        <w:rPr>
          <w:sz w:val="20"/>
          <w:szCs w:val="20"/>
          <w:color w:val="auto"/>
        </w:rPr>
      </w:pPr>
      <w:r>
        <w:rPr>
          <w:rFonts w:ascii="Courier New" w:cs="Courier New" w:eastAsia="Courier New" w:hAnsi="Courier New"/>
          <w:sz w:val="14"/>
          <w:szCs w:val="14"/>
          <w:color w:val="auto"/>
        </w:rPr>
        <w:t>TELEPHONE NUMBER: (612) 888-8801</w:t>
      </w:r>
    </w:p>
    <w:p>
      <w:pPr>
        <w:spacing w:after="0" w:line="180"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574" w:right="1440" w:bottom="1440" w:gutter="0" w:footer="0" w:header="0"/>
          <w:type w:val="continuous"/>
        </w:sectPr>
      </w:pP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(Address, including zip code, and telephone number, including</w:t>
      </w:r>
    </w:p>
    <w:p>
      <w:pPr>
        <w:spacing w:after="0" w:line="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8"/>
          </w:cols>
          <w:pgMar w:left="231" w:top="574" w:right="1440" w:bottom="1440" w:gutter="0" w:footer="0" w:header="0"/>
          <w:type w:val="continuous"/>
        </w:sectPr>
      </w:pPr>
    </w:p>
    <w:p>
      <w:pPr>
        <w:spacing w:after="0" w:line="342"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4"/>
          <w:szCs w:val="24"/>
          <w:color w:val="auto"/>
        </w:rPr>
      </w:pPr>
    </w:p>
    <w:p>
      <w:pPr>
        <w:sectPr>
          <w:pgSz w:w="11900" w:h="16838" w:orient="portrait"/>
          <w:cols w:equalWidth="0" w:num="3">
            <w:col w:w="1869" w:space="260"/>
            <w:col w:w="440" w:space="720"/>
            <w:col w:w="6939"/>
          </w:cols>
          <w:pgMar w:left="231" w:top="574" w:right="1440" w:bottom="1440" w:gutter="0" w:footer="0" w:header="0"/>
          <w:type w:val="continuous"/>
        </w:sectPr>
      </w:pPr>
    </w:p>
    <w:p>
      <w:pPr>
        <w:ind w:left="194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2829" w:space="720"/>
            <w:col w:w="6679"/>
          </w:cols>
          <w:pgMar w:left="231" w:top="574" w:right="1440" w:bottom="1440" w:gutter="0" w:footer="0" w:header="0"/>
          <w:type w:val="continuous"/>
        </w:sectPr>
      </w:pPr>
    </w:p>
    <w:p>
      <w:pPr>
        <w:ind w:left="9" w:right="3659"/>
        <w:spacing w:after="0" w:line="238" w:lineRule="auto"/>
        <w:rPr>
          <w:sz w:val="20"/>
          <w:szCs w:val="20"/>
          <w:color w:val="auto"/>
        </w:rPr>
      </w:pPr>
      <w:r>
        <w:rPr>
          <w:rFonts w:ascii="Courier New" w:cs="Courier New" w:eastAsia="Courier New" w:hAnsi="Courier New"/>
          <w:sz w:val="15"/>
          <w:szCs w:val="15"/>
          <w:color w:val="auto"/>
        </w:rPr>
        <w:t>The number of shares of Common Stock outstanding as of August 30, 1996 was 11,997,663.</w:t>
      </w:r>
    </w:p>
    <w:p>
      <w:pPr>
        <w:sectPr>
          <w:pgSz w:w="11900" w:h="16838" w:orient="portrait"/>
          <w:cols w:equalWidth="0" w:num="1">
            <w:col w:w="10228"/>
          </w:cols>
          <w:pgMar w:left="231" w:top="574" w:right="1440" w:bottom="1440" w:gutter="0" w:footer="0" w:header="0"/>
          <w:type w:val="continuous"/>
        </w:sectPr>
      </w:pPr>
    </w:p>
    <w:p>
      <w:pPr>
        <w:spacing w:after="0" w:line="175"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574" w:right="1440" w:bottom="1440" w:gutter="0" w:footer="0" w:header="0"/>
          <w:type w:val="continuous"/>
        </w:sectPr>
      </w:pPr>
    </w:p>
    <w:bookmarkStart w:id="1" w:name="page2"/>
    <w:bookmarkEnd w:id="1"/>
    <w:p>
      <w:pPr>
        <w:jc w:val="center"/>
        <w:ind w:right="311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INDEX TO FORM 10-Q</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Number</w:t>
      </w:r>
    </w:p>
    <w:p>
      <w:pPr>
        <w:spacing w:after="0" w:line="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Condensed Consolidated Statements of Earnings and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Retained Earnings -</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Three and Nine Months Ended</w:t>
      </w:r>
    </w:p>
    <w:p>
      <w:pPr>
        <w:spacing w:after="0" w:line="1" w:lineRule="exact"/>
        <w:rPr>
          <w:sz w:val="20"/>
          <w:szCs w:val="20"/>
          <w:color w:val="auto"/>
        </w:rPr>
      </w:pPr>
    </w:p>
    <w:p>
      <w:pPr>
        <w:ind w:left="1140"/>
        <w:spacing w:after="0"/>
        <w:tabs>
          <w:tab w:leader="none" w:pos="6620" w:val="left"/>
        </w:tabs>
        <w:rPr>
          <w:sz w:val="20"/>
          <w:szCs w:val="20"/>
          <w:color w:val="auto"/>
        </w:rPr>
      </w:pPr>
      <w:r>
        <w:rPr>
          <w:rFonts w:ascii="Courier New" w:cs="Courier New" w:eastAsia="Courier New" w:hAnsi="Courier New"/>
          <w:sz w:val="15"/>
          <w:szCs w:val="15"/>
          <w:color w:val="auto"/>
        </w:rPr>
        <w:t>August 2, 1996 and July 31, 1995. . . . . . . . . . . . . .</w:t>
        <w:tab/>
        <w:t>3</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 w:lineRule="exact"/>
        <w:rPr>
          <w:sz w:val="20"/>
          <w:szCs w:val="20"/>
          <w:color w:val="auto"/>
        </w:rPr>
      </w:pPr>
    </w:p>
    <w:p>
      <w:pPr>
        <w:ind w:left="1140"/>
        <w:spacing w:after="0"/>
        <w:tabs>
          <w:tab w:leader="none" w:pos="6620" w:val="left"/>
        </w:tabs>
        <w:rPr>
          <w:sz w:val="20"/>
          <w:szCs w:val="20"/>
          <w:color w:val="auto"/>
        </w:rPr>
      </w:pPr>
      <w:r>
        <w:rPr>
          <w:rFonts w:ascii="Courier New" w:cs="Courier New" w:eastAsia="Courier New" w:hAnsi="Courier New"/>
          <w:sz w:val="15"/>
          <w:szCs w:val="15"/>
          <w:color w:val="auto"/>
        </w:rPr>
        <w:t>August 2, 1996, July 31, 1995 and October 31, 1995, . . . .</w:t>
        <w:tab/>
        <w:t>4</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Consolidated Statements of Cash Flows -</w:t>
      </w:r>
    </w:p>
    <w:p>
      <w:pPr>
        <w:spacing w:after="0" w:line="1" w:lineRule="exact"/>
        <w:rPr>
          <w:sz w:val="20"/>
          <w:szCs w:val="20"/>
          <w:color w:val="auto"/>
        </w:rPr>
      </w:pPr>
    </w:p>
    <w:p>
      <w:pPr>
        <w:ind w:left="1140"/>
        <w:spacing w:after="0"/>
        <w:tabs>
          <w:tab w:leader="none" w:pos="6620" w:val="left"/>
        </w:tabs>
        <w:rPr>
          <w:sz w:val="20"/>
          <w:szCs w:val="20"/>
          <w:color w:val="auto"/>
        </w:rPr>
      </w:pPr>
      <w:r>
        <w:rPr>
          <w:rFonts w:ascii="Courier New" w:cs="Courier New" w:eastAsia="Courier New" w:hAnsi="Courier New"/>
          <w:sz w:val="15"/>
          <w:szCs w:val="15"/>
          <w:color w:val="auto"/>
        </w:rPr>
        <w:t>Nine Months Ended August 2, 1996 and July 31, 1995. . . . .</w:t>
        <w:tab/>
        <w:t>5</w:t>
      </w:r>
    </w:p>
    <w:p>
      <w:pPr>
        <w:spacing w:after="0" w:line="171" w:lineRule="exact"/>
        <w:rPr>
          <w:sz w:val="20"/>
          <w:szCs w:val="20"/>
          <w:color w:val="auto"/>
        </w:rPr>
      </w:pPr>
    </w:p>
    <w:p>
      <w:pPr>
        <w:ind w:left="960"/>
        <w:spacing w:after="0"/>
        <w:tabs>
          <w:tab w:leader="none" w:pos="6540" w:val="left"/>
        </w:tabs>
        <w:rPr>
          <w:sz w:val="20"/>
          <w:szCs w:val="20"/>
          <w:color w:val="auto"/>
        </w:rPr>
      </w:pPr>
      <w:r>
        <w:rPr>
          <w:rFonts w:ascii="Courier New" w:cs="Courier New" w:eastAsia="Courier New" w:hAnsi="Courier New"/>
          <w:sz w:val="15"/>
          <w:szCs w:val="15"/>
          <w:color w:val="auto"/>
        </w:rPr>
        <w:t>Notes to Condensed Consolidated Financial Statements. . . . .</w:t>
      </w:r>
      <w:r>
        <w:rPr>
          <w:sz w:val="20"/>
          <w:szCs w:val="20"/>
          <w:color w:val="auto"/>
        </w:rPr>
        <w:tab/>
      </w:r>
      <w:r>
        <w:rPr>
          <w:rFonts w:ascii="Courier New" w:cs="Courier New" w:eastAsia="Courier New" w:hAnsi="Courier New"/>
          <w:sz w:val="14"/>
          <w:szCs w:val="14"/>
          <w:color w:val="auto"/>
        </w:rPr>
        <w:t>6-7</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Management's Discussion</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and Analysis of Financial</w:t>
            </w:r>
          </w:p>
        </w:tc>
        <w:tc>
          <w:tcPr>
            <w:tcW w:w="400" w:type="dxa"/>
            <w:vAlign w:val="bottom"/>
          </w:tcPr>
          <w:p>
            <w:pPr>
              <w:spacing w:after="0"/>
              <w:rPr>
                <w:sz w:val="14"/>
                <w:szCs w:val="14"/>
                <w:color w:val="auto"/>
              </w:rPr>
            </w:pPr>
          </w:p>
        </w:tc>
      </w:tr>
      <w:tr>
        <w:trPr>
          <w:trHeight w:val="171"/>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Condition and Results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w w:val="99"/>
              </w:rPr>
              <w:t>of Operations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8-11</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1" w:lineRule="exact"/>
        <w:rPr>
          <w:sz w:val="20"/>
          <w:szCs w:val="20"/>
          <w:color w:val="auto"/>
        </w:rPr>
      </w:pPr>
    </w:p>
    <w:p>
      <w:pPr>
        <w:ind w:left="960"/>
        <w:spacing w:after="0"/>
        <w:tabs>
          <w:tab w:leader="none" w:pos="16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 . . . . . . . . . . . 12</w:t>
      </w:r>
    </w:p>
    <w:p>
      <w:pPr>
        <w:spacing w:after="0" w:line="171" w:lineRule="exact"/>
        <w:rPr>
          <w:sz w:val="20"/>
          <w:szCs w:val="20"/>
          <w:color w:val="auto"/>
        </w:rPr>
      </w:pPr>
    </w:p>
    <w:p>
      <w:pPr>
        <w:ind w:left="960"/>
        <w:spacing w:after="0"/>
        <w:tabs>
          <w:tab w:leader="none" w:pos="2020" w:val="left"/>
        </w:tabs>
        <w:rPr>
          <w:sz w:val="20"/>
          <w:szCs w:val="20"/>
          <w:color w:val="auto"/>
        </w:rPr>
      </w:pPr>
      <w:r>
        <w:rPr>
          <w:rFonts w:ascii="Courier New" w:cs="Courier New" w:eastAsia="Courier New" w:hAnsi="Courier New"/>
          <w:sz w:val="15"/>
          <w:szCs w:val="15"/>
          <w:color w:val="auto"/>
        </w:rPr>
        <w:t>Exhibit 11</w:t>
      </w:r>
      <w:r>
        <w:rPr>
          <w:sz w:val="20"/>
          <w:szCs w:val="20"/>
          <w:color w:val="auto"/>
        </w:rPr>
        <w:tab/>
      </w:r>
      <w:r>
        <w:rPr>
          <w:rFonts w:ascii="Courier New" w:cs="Courier New" w:eastAsia="Courier New" w:hAnsi="Courier New"/>
          <w:sz w:val="14"/>
          <w:szCs w:val="14"/>
          <w:color w:val="auto"/>
        </w:rPr>
        <w:t>Computation of Earnings Per Common Share. . . . . . 13</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2" w:name="page3"/>
    <w:bookmarkEnd w:id="2"/>
    <w:p>
      <w:pPr>
        <w:jc w:val="center"/>
        <w:ind w:right="4340"/>
        <w:spacing w:after="0"/>
        <w:rPr>
          <w:sz w:val="20"/>
          <w:szCs w:val="20"/>
          <w:color w:val="auto"/>
        </w:rPr>
      </w:pPr>
      <w:r>
        <w:rPr>
          <w:rFonts w:ascii="Courier New" w:cs="Courier New" w:eastAsia="Courier New" w:hAnsi="Courier New"/>
          <w:sz w:val="15"/>
          <w:szCs w:val="15"/>
          <w:color w:val="auto"/>
        </w:rPr>
        <w:t>PART I. FINANCIAL INFORMATION</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CONDENSED CONSOLIDATED STATEMENTS OF EARNINGS AND RETAINED EARNINGS (UNAUDITED)</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27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August 2,</w:t>
            </w:r>
          </w:p>
        </w:tc>
        <w:tc>
          <w:tcPr>
            <w:tcW w:w="48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July 31,</w:t>
            </w:r>
          </w:p>
        </w:tc>
        <w:tc>
          <w:tcPr>
            <w:tcW w:w="22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August 2,</w:t>
            </w:r>
          </w:p>
        </w:tc>
        <w:tc>
          <w:tcPr>
            <w:tcW w:w="40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July 31,</w:t>
            </w:r>
          </w:p>
        </w:tc>
      </w:tr>
      <w:tr>
        <w:trPr>
          <w:trHeight w:val="17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3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232,565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202,586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732,712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727,149</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Cost of sales. . . . . . . . . . .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146,681</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127,483</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466,689</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468,636</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Gross profit. . . . . . . . .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85,884</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75,103</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266,023</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258,513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expense . . . . . . . . . . .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72,909</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66,841</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210,273</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207,080</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Earnings from operations. . .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12,975</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8,262</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55,750</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51,433</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Interest expense . . . . . . . . .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3,755</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3,399</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10,858</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9,422</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Other income, net. . . . . . . . . . . . . . . . . . . . . .</w:t>
            </w:r>
          </w:p>
        </w:tc>
        <w:tc>
          <w:tcPr>
            <w:tcW w:w="3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(1,489)</w:t>
            </w:r>
          </w:p>
        </w:tc>
        <w:tc>
          <w:tcPr>
            <w:tcW w:w="4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(1,849)</w:t>
            </w:r>
          </w:p>
        </w:tc>
        <w:tc>
          <w:tcPr>
            <w:tcW w:w="2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(7,642)</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(5,264)</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Earnings before income taxes.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10,709</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6,712</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52,534</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47,275</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Provision for income taxes . . . .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4,244</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20,751</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18,910</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earnings.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6,465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31,783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28,365</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Retained earnings at beginning of period . . . . . . . . . .</w:t>
            </w:r>
          </w:p>
        </w:tc>
        <w:tc>
          <w:tcPr>
            <w:tcW w:w="320" w:type="dxa"/>
            <w:vAlign w:val="bottom"/>
          </w:tcPr>
          <w:p>
            <w:pPr>
              <w:spacing w:after="0"/>
              <w:rPr>
                <w:sz w:val="24"/>
                <w:szCs w:val="2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165,274</w:t>
            </w:r>
          </w:p>
        </w:tc>
        <w:tc>
          <w:tcPr>
            <w:tcW w:w="48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137,762</w:t>
            </w:r>
          </w:p>
        </w:tc>
        <w:tc>
          <w:tcPr>
            <w:tcW w:w="220" w:type="dxa"/>
            <w:vAlign w:val="bottom"/>
          </w:tcPr>
          <w:p>
            <w:pPr>
              <w:spacing w:after="0"/>
              <w:rPr>
                <w:sz w:val="24"/>
                <w:szCs w:val="2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142,891</w:t>
            </w:r>
          </w:p>
        </w:tc>
        <w:tc>
          <w:tcPr>
            <w:tcW w:w="4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116,482</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Other  . . . . . . . . . . . . . . . . . . . . . . . . . . .</w:t>
            </w:r>
          </w:p>
        </w:tc>
        <w:tc>
          <w:tcPr>
            <w:tcW w:w="32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164</w:t>
            </w:r>
          </w:p>
        </w:tc>
        <w:tc>
          <w:tcPr>
            <w:tcW w:w="4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164</w:t>
            </w:r>
          </w:p>
        </w:tc>
        <w:tc>
          <w:tcPr>
            <w:tcW w:w="4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Dividends on common stock of $0.12, $0.12,</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$0.36 and $0.36 per share, respectively . . . . . . . .</w:t>
            </w:r>
          </w:p>
        </w:tc>
        <w:tc>
          <w:tcPr>
            <w:tcW w:w="3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(1,458)</w:t>
            </w:r>
          </w:p>
        </w:tc>
        <w:tc>
          <w:tcPr>
            <w:tcW w:w="4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(1,436)</w:t>
            </w:r>
          </w:p>
        </w:tc>
        <w:tc>
          <w:tcPr>
            <w:tcW w:w="2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(4,393)</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(4,494)</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Retained earnings at end of period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170,445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140,353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170,445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140,353</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earnings per share of common stock and</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common stock equivalent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0.52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earnings per share of common stock and</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common stock equivalent -</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assuming full dilution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0.52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6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628" w:right="139" w:bottom="1440" w:gutter="0" w:footer="0" w:header="0"/>
        </w:sectPr>
      </w:pPr>
    </w:p>
    <w:bookmarkStart w:id="3" w:name="page4"/>
    <w:bookmarkEnd w:id="3"/>
    <w:p>
      <w:pPr>
        <w:jc w:val="center"/>
        <w:ind w:right="3039"/>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CONDENSED CONSOLIDATED BALANCE SHEETS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2560"/>
              <w:spacing w:after="0"/>
              <w:rPr>
                <w:sz w:val="20"/>
                <w:szCs w:val="20"/>
                <w:color w:val="auto"/>
              </w:rPr>
            </w:pPr>
            <w:r>
              <w:rPr>
                <w:rFonts w:ascii="Courier New" w:cs="Courier New" w:eastAsia="Courier New" w:hAnsi="Courier New"/>
                <w:sz w:val="15"/>
                <w:szCs w:val="15"/>
                <w:color w:val="auto"/>
              </w:rPr>
              <w:t>(DOLLARS IN THOUSANDS)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3"/>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August 2,</w:t>
            </w:r>
          </w:p>
        </w:tc>
        <w:tc>
          <w:tcPr>
            <w:tcW w:w="280" w:type="dxa"/>
            <w:vAlign w:val="bottom"/>
          </w:tcPr>
          <w:p>
            <w:pPr>
              <w:spacing w:after="0"/>
              <w:rPr>
                <w:sz w:val="24"/>
                <w:szCs w:val="24"/>
                <w:color w:val="auto"/>
              </w:rPr>
            </w:pP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July 31,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31,</w:t>
            </w: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cash equivalents.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11,924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7,702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Receivables, net . . . . .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265,772</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210,125</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198,816</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Inventories. . . . . . . .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143,339</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123,720</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145,862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current assets . . .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34,370</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35,841</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33,879</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444,632</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381,610</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386,259</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 . . . . . . . . . .</w:t>
            </w:r>
          </w:p>
        </w:tc>
        <w:tc>
          <w:tcPr>
            <w:tcW w:w="32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220,443</w:t>
            </w:r>
          </w:p>
        </w:tc>
        <w:tc>
          <w:tcPr>
            <w:tcW w:w="28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208,621</w:t>
            </w:r>
          </w:p>
        </w:tc>
        <w:tc>
          <w:tcPr>
            <w:tcW w:w="40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211,681</w:t>
            </w: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 and amortization.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151,626</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138,550</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141,726</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68,817</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70,071</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69,955</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assets . . . . . . .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18,481</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16,634</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16,439</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Total assets.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531,930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468,315</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$ 472,653</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15,334</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Short-term borrowing . . .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83,600</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22,535</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41,575</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Accounts payable . . . . .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26,160</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41,072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51,052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accrued liabilities.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136,603</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132,962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113,212</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246,736</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212,659</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221,173</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 . . . . . . . . .</w:t>
            </w:r>
          </w:p>
        </w:tc>
        <w:tc>
          <w:tcPr>
            <w:tcW w:w="32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53,046</w:t>
            </w:r>
          </w:p>
        </w:tc>
        <w:tc>
          <w:tcPr>
            <w:tcW w:w="28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64,935</w:t>
            </w:r>
          </w:p>
        </w:tc>
        <w:tc>
          <w:tcPr>
            <w:tcW w:w="40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53,365</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long-term liabilities.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22,586</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5,250</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7,223</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Common stockholders'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Common stock par value $1.00,</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authorized 35,000,000 shares; issued and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outstanding 11,990,873 shares at August 2,</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1996 (net of 919,131 treasury shares),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12,039,776 shares at July 31, 1995</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(net of 802,549 treasury shares), and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12,167,835 shares at October 31, 1995 (net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of 674,490 treasury shares)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11,991</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12,040</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12,168</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27,817</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33,145</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35,712</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 . . . . . . . .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170,445</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140,353</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142,891</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 adjustment . . . . . .</w:t>
            </w:r>
          </w:p>
        </w:tc>
        <w:tc>
          <w:tcPr>
            <w:tcW w:w="3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(691)</w:t>
            </w:r>
          </w:p>
        </w:tc>
        <w:tc>
          <w:tcPr>
            <w:tcW w:w="28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Total common stockholders' equity . . . . . . . . .</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209,562</w:t>
            </w:r>
          </w:p>
        </w:tc>
        <w:tc>
          <w:tcPr>
            <w:tcW w:w="2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185,471</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190,892</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common stockholders' equity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531,930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468,315</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$ 472,653</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4" w:name="page5"/>
    <w:bookmarkEnd w:id="4"/>
    <w:p>
      <w:pPr>
        <w:jc w:val="center"/>
        <w:ind w:right="3039"/>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jc w:val="right"/>
              <w:ind w:right="1826"/>
              <w:spacing w:after="0"/>
              <w:rPr>
                <w:sz w:val="20"/>
                <w:szCs w:val="20"/>
                <w:color w:val="auto"/>
              </w:rPr>
            </w:pPr>
            <w:r>
              <w:rPr>
                <w:rFonts w:ascii="Courier New" w:cs="Courier New" w:eastAsia="Courier New" w:hAnsi="Courier New"/>
                <w:sz w:val="15"/>
                <w:szCs w:val="15"/>
                <w:color w:val="auto"/>
              </w:rPr>
              <w:t>(DOLLARS IN THOUSANDS)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642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August 2,</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July 31,</w:t>
            </w:r>
          </w:p>
        </w:tc>
      </w:tr>
      <w:tr>
        <w:trPr>
          <w:trHeight w:val="171"/>
        </w:trPr>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Net earnings.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31,783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28,365</w:t>
            </w:r>
          </w:p>
        </w:tc>
      </w:tr>
      <w:tr>
        <w:trPr>
          <w:trHeight w:val="171"/>
        </w:trPr>
        <w:tc>
          <w:tcPr>
            <w:tcW w:w="6420" w:type="dxa"/>
            <w:vAlign w:val="bottom"/>
          </w:tcPr>
          <w:p>
            <w:pPr>
              <w:jc w:val="right"/>
              <w:ind w:right="1746"/>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420" w:type="dxa"/>
            <w:vAlign w:val="bottom"/>
          </w:tcPr>
          <w:p>
            <w:pPr>
              <w:jc w:val="right"/>
              <w:ind w:right="2186"/>
              <w:spacing w:after="0"/>
              <w:rPr>
                <w:sz w:val="20"/>
                <w:szCs w:val="20"/>
                <w:color w:val="auto"/>
              </w:rPr>
            </w:pPr>
            <w:r>
              <w:rPr>
                <w:rFonts w:ascii="Courier New" w:cs="Courier New" w:eastAsia="Courier New" w:hAnsi="Courier New"/>
                <w:sz w:val="15"/>
                <w:szCs w:val="15"/>
                <w:color w:val="auto"/>
              </w:rPr>
              <w:t>(used) provided in operating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Provision for depreciation and amortization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13,228</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13,395</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Loss on disposal of property, plant and equipment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Deferred income taxes . . . . . . . .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(1,283)</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Tax benefits related to employee stock option transactions.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1,490</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1,178</w:t>
            </w:r>
          </w:p>
        </w:tc>
      </w:tr>
      <w:tr>
        <w:trPr>
          <w:trHeight w:val="171"/>
        </w:trPr>
        <w:tc>
          <w:tcPr>
            <w:tcW w:w="6420" w:type="dxa"/>
            <w:vAlign w:val="bottom"/>
          </w:tcPr>
          <w:p>
            <w:pPr>
              <w:jc w:val="right"/>
              <w:ind w:right="2186"/>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receivables. . . . . . . . .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(66,956)</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(12,546)</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Inventories. . . . . . . . . . . .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2,523</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9,133</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Other current assets . . . . . .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(491)</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(7,621)</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Accounts payable and accrued expenses.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(1,502)</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1,133</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Accrued income taxes . . . . . . .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(3,231)</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cash (used) provided in operating activities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(20,101)</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28,410</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Purchases of property, plant and equipment.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(11,655)</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(23,556)</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Proceeds from asset disposals . . . .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439</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807</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(Increase) decrease in other assets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(2,740)</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2,225</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cash used in investing activities.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(13,956)</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(20,524)</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Increase in sale of receivables . . .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2,331</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Increase in short-term borrowing. . .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42,025</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22,535</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Repayments of long-term debt. . . .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(15,280)</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(10,429)</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Change in other long-term liabilities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15,363</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Proceeds from exercise of stock options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3,673</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4,033</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Purchases of common stock . . . . .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(13,071)</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(25,120)</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Dividends on common stock . . . . .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(4,393)</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(4,494)</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Repayments from ESOP. . . . . . . . . . . . .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2,612</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cash (used) provided by financing activities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28,317</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(8,532)</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Foreign currency translation adjustment.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(811)</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Net decrease in cash and cash equivalents.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(6,551)</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Cash and cash equivalents at beginning of period . . . . . . . . . . .</w:t>
            </w: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7,702</w:t>
            </w:r>
          </w:p>
        </w:tc>
        <w:tc>
          <w:tcPr>
            <w:tcW w:w="3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12,402</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Cash and cash equivalents at end of period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11,924</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14"/>
                <w:szCs w:val="14"/>
                <w:color w:val="auto"/>
              </w:rPr>
            </w:pP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5" w:name="page6"/>
    <w:bookmarkEnd w:id="5"/>
    <w:p>
      <w:pPr>
        <w:jc w:val="center"/>
        <w:ind w:right="3130"/>
        <w:spacing w:after="0"/>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AUGUST 2, 1996</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rFonts w:ascii="Courier New" w:cs="Courier New" w:eastAsia="Courier New" w:hAnsi="Courier New"/>
          <w:sz w:val="15"/>
          <w:szCs w:val="15"/>
          <w:color w:val="auto"/>
        </w:rPr>
      </w:pPr>
    </w:p>
    <w:p>
      <w:pPr>
        <w:ind w:left="44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unaudited consolidated financial statements have been prepared in accordance with the instructions to Form 10-Q and do not include all the information and notes required by generally accepted accounting principles for complete financial statements. In the opinion of management, the unaudited consolidated financial statements include all adjustments, consisting primarily of recurring accruals, considered necessary for a fair presentation of the financial position and the results of operations. The Toro Company's business is seasonal. Operating results for the nine months ended August 2, 1996 are not necessarily indicative of the results that may be expected for the year ending October 31, 1996.</w:t>
      </w:r>
    </w:p>
    <w:p>
      <w:pPr>
        <w:spacing w:after="0" w:line="165" w:lineRule="exact"/>
        <w:rPr>
          <w:rFonts w:ascii="Courier New" w:cs="Courier New" w:eastAsia="Courier New" w:hAnsi="Courier New"/>
          <w:sz w:val="15"/>
          <w:szCs w:val="15"/>
          <w:color w:val="auto"/>
        </w:rPr>
      </w:pPr>
    </w:p>
    <w:p>
      <w:pPr>
        <w:ind w:left="449" w:right="38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1995, the company changed its fiscal year from a fiscal year ended July 31 to a fiscal year ended October 31.</w:t>
      </w:r>
    </w:p>
    <w:p>
      <w:pPr>
        <w:spacing w:after="0" w:line="174" w:lineRule="exact"/>
        <w:rPr>
          <w:rFonts w:ascii="Courier New" w:cs="Courier New" w:eastAsia="Courier New" w:hAnsi="Courier New"/>
          <w:sz w:val="15"/>
          <w:szCs w:val="15"/>
          <w:color w:val="auto"/>
        </w:rPr>
      </w:pPr>
    </w:p>
    <w:p>
      <w:pPr>
        <w:ind w:left="449" w:right="31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July 31, 1995 (the company's former fiscal year end). The policies described in that report are used for preparing quarterly reports.</w:t>
      </w:r>
    </w:p>
    <w:p>
      <w:pPr>
        <w:spacing w:after="0" w:line="158"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rFonts w:ascii="Courier New" w:cs="Courier New" w:eastAsia="Courier New" w:hAnsi="Courier New"/>
          <w:sz w:val="15"/>
          <w:szCs w:val="15"/>
          <w:color w:val="auto"/>
        </w:rPr>
      </w:pPr>
    </w:p>
    <w:p>
      <w:pPr>
        <w:ind w:left="449" w:right="35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majority of inventories are valued at the lower of cost or net realizable value with cost determined by the last-in, first-out (LIFO) method. Had the first-in, first-out (FIFO) method of cost determination been used, inventories would have been $24,841,000 and $24,730,000 higher than reported at August 2, 1996, and July 31, 1995, respectively. Under the FIFO method, work-in-process inventories were $68,952,000 and $68,683,000 and finished goods inventories were $99,228,000 and $79,767,000 at August 2, 1996, and July 31, 1995, respectively.</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31" w:right="1440" w:bottom="1440" w:gutter="0" w:footer="0" w:header="0"/>
        </w:sectPr>
      </w:pPr>
    </w:p>
    <w:bookmarkStart w:id="6" w:name="page7"/>
    <w:bookmarkEnd w:id="6"/>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w:t>
      </w:r>
    </w:p>
    <w:p>
      <w:pPr>
        <w:spacing w:after="0" w:line="174" w:lineRule="exact"/>
        <w:rPr>
          <w:rFonts w:ascii="Courier New" w:cs="Courier New" w:eastAsia="Courier New" w:hAnsi="Courier New"/>
          <w:sz w:val="15"/>
          <w:szCs w:val="15"/>
          <w:color w:val="auto"/>
        </w:rPr>
      </w:pPr>
    </w:p>
    <w:p>
      <w:pPr>
        <w:ind w:left="44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entered into a forward starting interest rate exchange agreement with a bank on March 6, 1996 to hedge the anticipated refinancing of its $50 million, 11% long-term sinking fund debentures callable August 1, 1997, and to realize the benefit of current favorable interest rates. Simultaneously with entering into this interest rate exchange agreement, the company terminated its interest rate exchange agreement entered into during February 1994. The effect of this transaction was to extend the original forward starting interest rate exchange agreement from 5 years to 30 years. As a result of this transaction, the deferred income balance was increased from $5.25 million in 1994 to $17.3 in March of 1996. The net additional cash received in March 1996 was $12.1 million. In return for the net proceeds, the company will pay the bank 10.55% on a notational amount of $50 million from August 1, 1997 through August 2, 2027 and the company will receive payments based on a floating rate equal to LIBOR on the notational amount over the same period.</w:t>
      </w:r>
    </w:p>
    <w:p>
      <w:pPr>
        <w:spacing w:after="0" w:line="334" w:lineRule="exact"/>
        <w:rPr>
          <w:rFonts w:ascii="Courier New" w:cs="Courier New" w:eastAsia="Courier New" w:hAnsi="Courier New"/>
          <w:sz w:val="15"/>
          <w:szCs w:val="15"/>
          <w:color w:val="auto"/>
        </w:rPr>
      </w:pPr>
    </w:p>
    <w:p>
      <w:pPr>
        <w:ind w:left="44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interest rate differential to be received or paid and the $17.3 million deferred income will be recognized commencing August 1, 1997 as an adjustment to interest expense over the term of the agreement.</w:t>
      </w:r>
    </w:p>
    <w:p>
      <w:pPr>
        <w:spacing w:after="0" w:line="175" w:lineRule="exact"/>
        <w:rPr>
          <w:rFonts w:ascii="Courier New" w:cs="Courier New" w:eastAsia="Courier New" w:hAnsi="Courier New"/>
          <w:sz w:val="15"/>
          <w:szCs w:val="15"/>
          <w:color w:val="auto"/>
        </w:rPr>
      </w:pPr>
    </w:p>
    <w:p>
      <w:pPr>
        <w:ind w:left="449" w:right="329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FASB statement 107 "Disclosures about Fair Value of Financial Instruments" the cost to terminate this agreement at August 2, 1996, had management elected to do so, was approximately $18.5 million which would have resulted in a loss of approximately $0.8 million.</w:t>
      </w:r>
    </w:p>
    <w:p>
      <w:pPr>
        <w:spacing w:after="0" w:line="161" w:lineRule="exact"/>
        <w:rPr>
          <w:sz w:val="20"/>
          <w:szCs w:val="20"/>
          <w:color w:val="auto"/>
        </w:rPr>
      </w:pPr>
    </w:p>
    <w:p>
      <w:pPr>
        <w:ind w:left="449" w:right="3399"/>
        <w:spacing w:after="0"/>
        <w:rPr>
          <w:sz w:val="20"/>
          <w:szCs w:val="20"/>
          <w:color w:val="auto"/>
        </w:rPr>
      </w:pPr>
      <w:r>
        <w:rPr>
          <w:rFonts w:ascii="Courier New" w:cs="Courier New" w:eastAsia="Courier New" w:hAnsi="Courier New"/>
          <w:sz w:val="15"/>
          <w:szCs w:val="15"/>
          <w:color w:val="auto"/>
        </w:rPr>
        <w:t>Subsequent to August 2, 1996 the company entered into a forward starting interest rate exchange agreement with a bank to hedge the anticipated refinancing of $50 million currently financed under short-term credit agreements. The company received or paid no cash as a result of this transaction.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28" w:right="1440" w:bottom="1440" w:gutter="0" w:footer="0" w:header="0"/>
        </w:sectPr>
      </w:pPr>
    </w:p>
    <w:bookmarkStart w:id="7" w:name="page8"/>
    <w:bookmarkEnd w:id="7"/>
    <w:p>
      <w:pPr>
        <w:jc w:val="center"/>
        <w:ind w:right="30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 RESULTS OF OPERATIONS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74" w:lineRule="exact"/>
        <w:rPr>
          <w:sz w:val="20"/>
          <w:szCs w:val="20"/>
          <w:color w:val="auto"/>
        </w:rPr>
      </w:pPr>
    </w:p>
    <w:p>
      <w:pPr>
        <w:ind w:right="3479"/>
        <w:spacing w:after="0" w:line="26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 looking statements within the meaning of Section 27A of the Securities Act of 1933 and Section 21E of the Securities Exchange Act of 1934. In addition, forward looking statements may be made orally in the future by or on behalf of the company.</w:t>
      </w:r>
    </w:p>
    <w:p>
      <w:pPr>
        <w:spacing w:after="0" w:line="16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Forward 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 looking statements as a result of these risk factors, and should not be relied upon as a prediction of actual future results. Further, Toro undertakes no obligation to update any forward looking statement to reflect events or circumstances after the date on which such statement is made, or to reflect the occurrence of unanticipated events.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sales by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54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6"/>
              </w:rPr>
              <w:t>(Dollars in thousands)</w:t>
            </w:r>
          </w:p>
        </w:tc>
        <w:tc>
          <w:tcPr>
            <w:tcW w:w="1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August 2,</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July 31,</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740" w:type="dxa"/>
            <w:vAlign w:val="bottom"/>
          </w:tcPr>
          <w:p>
            <w:pPr>
              <w:jc w:val="center"/>
              <w:ind w:left="443"/>
              <w:spacing w:after="0"/>
              <w:rPr>
                <w:sz w:val="20"/>
                <w:szCs w:val="20"/>
                <w:color w:val="auto"/>
              </w:rPr>
            </w:pPr>
            <w:r>
              <w:rPr>
                <w:rFonts w:ascii="Courier New" w:cs="Courier New" w:eastAsia="Courier New" w:hAnsi="Courier New"/>
                <w:sz w:val="15"/>
                <w:szCs w:val="15"/>
                <w:color w:val="auto"/>
                <w:w w:val="99"/>
              </w:rPr>
              <w:t>1996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1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CHANGE</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CHANGE</w:t>
            </w:r>
          </w:p>
        </w:tc>
      </w:tr>
      <w:tr>
        <w:trPr>
          <w:trHeight w:val="171"/>
        </w:trPr>
        <w:tc>
          <w:tcPr>
            <w:tcW w:w="3400" w:type="dxa"/>
            <w:vAlign w:val="bottom"/>
          </w:tcPr>
          <w:p>
            <w:pPr>
              <w:spacing w:after="0"/>
              <w:rPr>
                <w:sz w:val="14"/>
                <w:szCs w:val="14"/>
                <w:color w:val="auto"/>
              </w:rPr>
            </w:pPr>
          </w:p>
        </w:tc>
        <w:tc>
          <w:tcPr>
            <w:tcW w:w="1740" w:type="dxa"/>
            <w:vAlign w:val="bottom"/>
          </w:tcPr>
          <w:p>
            <w:pPr>
              <w:jc w:val="center"/>
              <w:ind w:left="443"/>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Consumer products. .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.$102,290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$ 76,375</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$ 25,915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Commercial products.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.84,828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82,372</w:t>
            </w:r>
          </w:p>
        </w:tc>
        <w:tc>
          <w:tcPr>
            <w:tcW w:w="5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Irrigation products.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.45,447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43,839</w:t>
            </w:r>
          </w:p>
        </w:tc>
        <w:tc>
          <w:tcPr>
            <w:tcW w:w="5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Total * . . . . .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.$232,565</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$202,586</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$ 29,979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14"/>
                <w:szCs w:val="14"/>
                <w:color w:val="auto"/>
              </w:rPr>
            </w:pP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 Includes international sales of.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.$ 43,238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$ 37,426</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3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Nine Months Ended</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1"/>
        </w:trPr>
        <w:tc>
          <w:tcPr>
            <w:tcW w:w="3400" w:type="dxa"/>
            <w:vAlign w:val="bottom"/>
          </w:tcPr>
          <w:p>
            <w:pPr>
              <w:spacing w:after="0"/>
              <w:rPr>
                <w:sz w:val="14"/>
                <w:szCs w:val="14"/>
                <w:color w:val="auto"/>
              </w:rPr>
            </w:pPr>
          </w:p>
        </w:tc>
        <w:tc>
          <w:tcPr>
            <w:tcW w:w="54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6"/>
              </w:rPr>
              <w:t>(Dollars in thousands)</w:t>
            </w:r>
          </w:p>
        </w:tc>
        <w:tc>
          <w:tcPr>
            <w:tcW w:w="1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August 2,</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July 31,</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740" w:type="dxa"/>
            <w:vAlign w:val="bottom"/>
          </w:tcPr>
          <w:p>
            <w:pPr>
              <w:jc w:val="center"/>
              <w:ind w:left="443"/>
              <w:spacing w:after="0"/>
              <w:rPr>
                <w:sz w:val="20"/>
                <w:szCs w:val="20"/>
                <w:color w:val="auto"/>
              </w:rPr>
            </w:pPr>
            <w:r>
              <w:rPr>
                <w:rFonts w:ascii="Courier New" w:cs="Courier New" w:eastAsia="Courier New" w:hAnsi="Courier New"/>
                <w:sz w:val="15"/>
                <w:szCs w:val="15"/>
                <w:color w:val="auto"/>
                <w:w w:val="99"/>
              </w:rPr>
              <w:t>1996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1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CHANGE</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CHANGE</w:t>
            </w:r>
          </w:p>
        </w:tc>
      </w:tr>
      <w:tr>
        <w:trPr>
          <w:trHeight w:val="171"/>
        </w:trPr>
        <w:tc>
          <w:tcPr>
            <w:tcW w:w="3400" w:type="dxa"/>
            <w:vAlign w:val="bottom"/>
          </w:tcPr>
          <w:p>
            <w:pPr>
              <w:spacing w:after="0"/>
              <w:rPr>
                <w:sz w:val="14"/>
                <w:szCs w:val="14"/>
                <w:color w:val="auto"/>
              </w:rPr>
            </w:pP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Consumer products. .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.$342,722</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$361,279</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$(18,557)</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(5.1)%</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Commercial products.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.271,684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256,662</w:t>
            </w:r>
          </w:p>
        </w:tc>
        <w:tc>
          <w:tcPr>
            <w:tcW w:w="5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15,022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Irrigation products.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.118,306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109,208</w:t>
            </w:r>
          </w:p>
        </w:tc>
        <w:tc>
          <w:tcPr>
            <w:tcW w:w="5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Total *. . . . . . . . . . . .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.$732,712</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$727,149</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14"/>
                <w:szCs w:val="14"/>
                <w:color w:val="auto"/>
              </w:rPr>
            </w:pP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 Includes international sales of. . .</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.$146,996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$128,669</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$ 18,327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400" w:type="dxa"/>
            <w:vAlign w:val="bottom"/>
          </w:tcPr>
          <w:p>
            <w:pPr>
              <w:spacing w:after="0"/>
              <w:rPr>
                <w:sz w:val="24"/>
                <w:szCs w:val="24"/>
                <w:color w:val="auto"/>
              </w:rPr>
            </w:pPr>
          </w:p>
        </w:tc>
        <w:tc>
          <w:tcPr>
            <w:tcW w:w="174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-8-</w:t>
            </w: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 w:name="page9"/>
    <w:bookmarkEnd w:id="8"/>
    <w:p>
      <w:pPr>
        <w:ind w:right="3119"/>
        <w:spacing w:after="0"/>
        <w:rPr>
          <w:sz w:val="20"/>
          <w:szCs w:val="20"/>
          <w:color w:val="auto"/>
        </w:rPr>
      </w:pPr>
      <w:r>
        <w:rPr>
          <w:rFonts w:ascii="Courier New" w:cs="Courier New" w:eastAsia="Courier New" w:hAnsi="Courier New"/>
          <w:sz w:val="15"/>
          <w:szCs w:val="15"/>
          <w:color w:val="auto"/>
        </w:rPr>
        <w:t>Worldwide net sales for the three months ended August 2, 1996 of $232.6 million increased by $30.0 million from the prior year. The increase in consumer product sales occurred primarily as a result of significant snow sales early in the season. Good performance for riding products and electric products also contributed to the increase. The commercial product sales increase was primarily the result of a strong European golf market and increased sales to the landscape contractors market, fueled by a new product introduced in the quarter and successful marketing programs. Sales of irrigation products increased as sales of do-it-yourself products remained strong. International sales, reported within the consumer, commercial and irrigation results above, increased from the prior year due to strong commercial sales to the European golf market. Consumer riding product sales to Australia and early snow shipments also fueled the increase.</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Worldwide net sales for the nine months ended August 2, 1996 of $732.7 million increased $5.6 million from the prior year. The consumer product sales decline is the result of the slow start to the lawn and garden retail season because of the unseasonable weather over most of the United States. This decline was partially offset by the early snow sales described above. The increase in commercial products was primarily the result of strong sales to the European golf market. Irrigation sales are up with increases in both the golf and do-it-yourself markets. International sales for the nine months are above the prior year due to the reasons previously noted.</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Gross profit of $85.9 million for the third quarter increased $10.8 million from the prior year. As a percent of sales, gross profit for the third quarter ended August 2, 1996 was 36.9% compared with 37.1% for the period ended July 31, 1995 due primarily to a change in product mix. Gross profit of $266.0 million for the nine months ended August 2, 1996 increased $7.5 million from the prior year. As a percent of sales, gross profit for the nine months ended August 2, 1996 was 36.3% compared with 35.6% for the prior period. This increase was also due primarily to favorable product costs and product mix.</w:t>
      </w:r>
    </w:p>
    <w:p>
      <w:pPr>
        <w:spacing w:after="0" w:line="200" w:lineRule="exact"/>
        <w:rPr>
          <w:sz w:val="20"/>
          <w:szCs w:val="20"/>
          <w:color w:val="auto"/>
        </w:rPr>
      </w:pPr>
    </w:p>
    <w:p>
      <w:pPr>
        <w:spacing w:after="0" w:line="31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left="880" w:right="3039"/>
        <w:spacing w:after="0" w:line="238" w:lineRule="auto"/>
        <w:rPr>
          <w:sz w:val="20"/>
          <w:szCs w:val="20"/>
          <w:color w:val="auto"/>
        </w:rPr>
      </w:pPr>
      <w:r>
        <w:rPr>
          <w:rFonts w:ascii="Courier New" w:cs="Courier New" w:eastAsia="Courier New" w:hAnsi="Courier New"/>
          <w:sz w:val="15"/>
          <w:szCs w:val="15"/>
          <w:color w:val="auto"/>
        </w:rPr>
        <w:t>Aug 2,    % of Net      Jul 31,  % of Net S G &amp; A                         1996       Sales         1995     Sales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4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$ 25.5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40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4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14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Warranty</w:t>
            </w:r>
          </w:p>
        </w:tc>
        <w:tc>
          <w:tcPr>
            <w:tcW w:w="40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4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Distributor/Dealer Financing</w:t>
            </w:r>
          </w:p>
        </w:tc>
        <w:tc>
          <w:tcPr>
            <w:tcW w:w="40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4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4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Warehousing</w:t>
            </w:r>
          </w:p>
        </w:tc>
        <w:tc>
          <w:tcPr>
            <w:tcW w:w="40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Service/Quality Assurance</w:t>
            </w:r>
          </w:p>
        </w:tc>
        <w:tc>
          <w:tcPr>
            <w:tcW w:w="40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4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$ 66.8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Selling, General and Administrative Expense (S G &amp; A) for the third quarter increased $6.1 million from the prior year but as a percent of sales decreased to 31.3%. Administrative expense was flat from the prior year and as a percent of sales was down 1.6% as the company leverages fixed expenses on increased sales. Sales and marketing expense increased primarily because of the sales increase. The percent of sales change in sales and marketing expense was the result of marketing incentives used in the quarter to stimulate lawn and garden sales. Warranty expense decreased from the prior year primarily as a result of lower warranty reserve requirements due to product quality improvement. Research and development expenditures were above the prior year reflecting the company's continued commitment to product innovation.</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FINANCIAL POSITION AS OF AUGUST 2, 1996</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AUGUST 2, 1996 COMPARED TO JULY 31, 1995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Total assets as of August 2, 1996 were $531.9 million, up $63.6 million from July 31, 1995. The primary increases occurred in accounts receivable and inventory. The increase in inventory comes as a result of the slow retail season in some product categories. Production schedule changes and a pick up in retail demand is expected to bring inventory levels back in line with prior periods by October 31, 1996.</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Historically, accounts receivable balances increase in March and April as a result of extended payment terms made available to the company's customers and decrease throughout the summer months as payments become due. Accounts receivable at August 2, 1996 showed an increase of $55.6 million over the prior year. Of the receivables increase approximately $38.8 million is due to the large volume of snow sales made at the end of the quarter and a slowdown in retail commercial product movement. Approximately $5.3 million relates to the expansion of the dealer financing customer base which is financed by the company. Approximately $2.3 million of the increase was due to the sale of receivables in the prior year with no receivables being sold in the current year. The remaining change is primarily due to increases in consumer and international sales.</w:t>
      </w:r>
    </w:p>
    <w:p>
      <w:pPr>
        <w:spacing w:after="0" w:line="180"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Total current liabilities of $246.7 million at August 2, 1996 increased $34.1 million compared with current liabilities at July 31, 1995. The majority of this increase occurred in short-term borrowing, which was up $61.1 million over the prior year. The increase in short-term borrowing reflects the company's cash management strategy of utilizing short-term borrowing to fund the company's seasonal working capital needs. The company's peak borrowing usually occurs in late winter/early spring. The company also acquired $5.9 million of Toro stock in the third quarter. The purchased stock will be used primarily to fulfill the company's obligations under a variety of benefit plans. The increase in short-term borrowing was offset by a decrease in both accounts payable, due to normal seasonal production slowdowns within the past few months, and a reduction in the current portion of long-term debt due to scheduled payments.</w:t>
      </w:r>
    </w:p>
    <w:p>
      <w:pPr>
        <w:spacing w:after="0" w:line="16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Other long-term liabilities increased $17.3 million over the prior year because the company entered into a forward starting interest rate exchange agreement. See footnote 3 on page 7.</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AUGUST 2, 1996 COMPARED TO OCTOBER 31, 1995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Total assets as of August 2, 1996 were $531.9 million, up $59.3 million from October 31, 1995. The majority of this increase occurred in accounts receivable ($67.0 million). The increase in accounts receivable is attributable to the fact that the company's business is cyclical with receivables increasing in the winter months as extended payment terms are offered to customers. Receivable balances are highest at the end of the second quarter with third quarter the next largest. In addition, accounts receivable have increased due to the expansion of the dealer financing customer base.</w:t>
      </w:r>
    </w:p>
    <w:p>
      <w:pPr>
        <w:spacing w:after="0" w:line="177"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Total current liabilities of $246.7 million at August 2, 1996 increased $25.6 million compared with current liabilities at October 31, 1995. The majority of this increase was the result of additional short-term borrowing of $42.0 million and other accrued liabilities of $23.4 million. The increase in short-term borrowing reflects the company's strategy of utilizing short-term borrowing to fund the company's seasonal working capital needs. The company also acquired $13.1 million of Toro stock in the nine months ended August 2, 1996.</w:t>
      </w:r>
    </w:p>
    <w:p>
      <w:pPr>
        <w:spacing w:after="0" w:line="16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Other long-term liabilities increased $15.4 million mainly because the company entered into a forward starting interest rate exchange agreement. See footnote 3 on page 7.</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w:t>
      </w:r>
    </w:p>
    <w:p>
      <w:pPr>
        <w:spacing w:after="0" w:line="174"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Equity increased $24.1 million compared with the prior year. Retained earnings increased $30.1 million. This was offset by a decrease in additional paid in capital because the company acquired $14.0 million of Toro stock in the twelve months ended August 2, 1996. The purchased stock will be used primarily to fulfill the company's obligations under a variety of benefit plans.</w:t>
      </w:r>
    </w:p>
    <w:p>
      <w:pPr>
        <w:spacing w:after="0" w:line="162"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Equity as of August 2, 1996 increased $18.7 million compared to October 31, 1995. The increase reflects the earnings over the period offset by the acquisition of Toro stock.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FLOWS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seasonal working capital requirements of the business are financed with short-term debt. Management believes that the combination of funds available through its existing financing arrangements, coupled with forecasted cash flows, will provide the capital resources for its anticipated needs.</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Net cash used in operating activities was primarily to support the increase in accounts receivable explained above. Partially offsetting these operating cash outflows was cash provided from net earnings and the provision for depreciation and amortization.</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Net cash used in investing activities was the result of spending related to consumer tooling, and several new molding machines used in the irrigation facilities and building improvements at the Windom plant. Purchases of property, plant, and equipment are down due to several one-time expenditures on facility expansions in the prior year.</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cash provided by financing activities was the result of proceeds from short-term borrowing used to fulfill the operating cash flow requirements described above in addition to reducing long-term debt. The cash provided from the change in other long-term liabilities is the cash received from the forward starting interest rate exchange agreement entered into on March 6, 1996. See footnote 3 on page 7. In addition, the company acquired $13.1 million of Toro stock in the nine months ended August 2, 1996.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628" w:right="1440" w:bottom="1440" w:gutter="0" w:footer="0" w:header="0"/>
        </w:sectPr>
      </w:pPr>
    </w:p>
    <w:bookmarkStart w:id="11" w:name="page12"/>
    <w:bookmarkEnd w:id="11"/>
    <w:p>
      <w:pPr>
        <w:ind w:left="2380"/>
        <w:spacing w:after="0"/>
        <w:tabs>
          <w:tab w:leader="none" w:pos="32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  Computation of Earnings per Common Share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27  Financial Data Schedule</w:t>
      </w:r>
    </w:p>
    <w:p>
      <w:pPr>
        <w:spacing w:after="0" w:line="17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data; electronic filing only.</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880"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Form 8-K reports during the third quarter of 1996.</w:t>
      </w:r>
    </w:p>
    <w:p>
      <w:pPr>
        <w:spacing w:after="0" w:line="34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left="440" w:right="339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5"/>
          <w:szCs w:val="15"/>
          <w:color w:val="auto"/>
        </w:rPr>
        <w:t>THE TORO COMPANY</w:t>
      </w:r>
    </w:p>
    <w:p>
      <w:pPr>
        <w:spacing w:after="0" w:line="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5"/>
          <w:szCs w:val="15"/>
          <w:color w:val="auto"/>
        </w:rPr>
        <w:t>(Registrant)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Gerald T. Knight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Gerald T. Knight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Vice President, Finance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Chief Financial Officer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(principal financial officer)</w:t>
      </w:r>
    </w:p>
    <w:p>
      <w:pPr>
        <w:spacing w:after="0" w:line="34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September 16, 1996</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2" w:name="page13"/>
    <w:bookmarkEnd w:id="12"/>
    <w:p>
      <w:pPr>
        <w:ind w:left="6209"/>
        <w:spacing w:after="0"/>
        <w:rPr>
          <w:sz w:val="20"/>
          <w:szCs w:val="20"/>
          <w:color w:val="auto"/>
        </w:rPr>
      </w:pPr>
      <w:r>
        <w:rPr>
          <w:rFonts w:ascii="Courier New" w:cs="Courier New" w:eastAsia="Courier New" w:hAnsi="Courier New"/>
          <w:sz w:val="15"/>
          <w:szCs w:val="15"/>
          <w:color w:val="auto"/>
        </w:rPr>
        <w:t>Exhibit 11</w:t>
      </w:r>
    </w:p>
    <w:p>
      <w:pPr>
        <w:spacing w:after="0" w:line="171"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COMPUTATION OF EARNINGS PER COMMON SHARE (UNAUDITED)</w:t>
      </w:r>
    </w:p>
    <w:p>
      <w:pPr>
        <w:spacing w:after="0" w:line="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22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500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3"/>
              </w:rPr>
              <w:t>--------------------------</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August 2,</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July 31,</w:t>
            </w:r>
          </w:p>
        </w:tc>
        <w:tc>
          <w:tcPr>
            <w:tcW w:w="2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August 2,</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July 31,</w:t>
            </w: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Net earnings . . . . . . . . . . . . . . . . . . . .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4,027</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31,783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28,365</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Shares of common stock and common</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stock equivalents: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ind w:left="700"/>
              <w:spacing w:after="0"/>
              <w:rPr>
                <w:sz w:val="20"/>
                <w:szCs w:val="20"/>
                <w:color w:val="auto"/>
              </w:rPr>
            </w:pPr>
            <w:r>
              <w:rPr>
                <w:rFonts w:ascii="Courier New" w:cs="Courier New" w:eastAsia="Courier New" w:hAnsi="Courier New"/>
                <w:sz w:val="15"/>
                <w:szCs w:val="15"/>
                <w:color w:val="auto"/>
              </w:rPr>
              <w:t>Weighted average number of common shares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outstanding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12,108,554</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12,270,005</w:t>
            </w:r>
          </w:p>
        </w:tc>
        <w:tc>
          <w:tcPr>
            <w:tcW w:w="2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12,183,841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12,591,164</w:t>
            </w:r>
          </w:p>
        </w:tc>
      </w:tr>
      <w:tr>
        <w:trPr>
          <w:trHeight w:val="171"/>
        </w:trPr>
        <w:tc>
          <w:tcPr>
            <w:tcW w:w="5000" w:type="dxa"/>
            <w:vAlign w:val="bottom"/>
          </w:tcPr>
          <w:p>
            <w:pPr>
              <w:ind w:left="700"/>
              <w:spacing w:after="0"/>
              <w:rPr>
                <w:sz w:val="20"/>
                <w:szCs w:val="20"/>
                <w:color w:val="auto"/>
              </w:rPr>
            </w:pPr>
            <w:r>
              <w:rPr>
                <w:rFonts w:ascii="Courier New" w:cs="Courier New" w:eastAsia="Courier New" w:hAnsi="Courier New"/>
                <w:sz w:val="15"/>
                <w:szCs w:val="15"/>
                <w:color w:val="auto"/>
              </w:rPr>
              <w:t>Dilutive effect of outstanding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stock options (1)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398,235</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440,202</w:t>
            </w:r>
          </w:p>
        </w:tc>
        <w:tc>
          <w:tcPr>
            <w:tcW w:w="2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424,403</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499,037</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12,506,789</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12,710,207</w:t>
            </w:r>
          </w:p>
        </w:tc>
        <w:tc>
          <w:tcPr>
            <w:tcW w:w="2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12,608,244</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13,090,201</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700"/>
              <w:spacing w:after="0"/>
              <w:rPr>
                <w:sz w:val="20"/>
                <w:szCs w:val="20"/>
                <w:color w:val="auto"/>
              </w:rPr>
            </w:pPr>
            <w:r>
              <w:rPr>
                <w:rFonts w:ascii="Courier New" w:cs="Courier New" w:eastAsia="Courier New" w:hAnsi="Courier New"/>
                <w:sz w:val="15"/>
                <w:szCs w:val="15"/>
                <w:color w:val="auto"/>
              </w:rPr>
              <w:t>Net earnings per share of common stock</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and common stock equivalent . . . . . . .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0.32</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Shares of common stock and common</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stock equivalents: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ind w:left="700"/>
              <w:spacing w:after="0"/>
              <w:rPr>
                <w:sz w:val="20"/>
                <w:szCs w:val="20"/>
                <w:color w:val="auto"/>
              </w:rPr>
            </w:pPr>
            <w:r>
              <w:rPr>
                <w:rFonts w:ascii="Courier New" w:cs="Courier New" w:eastAsia="Courier New" w:hAnsi="Courier New"/>
                <w:sz w:val="15"/>
                <w:szCs w:val="15"/>
                <w:color w:val="auto"/>
              </w:rPr>
              <w:t>Weighted average number of common shares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outstanding . . .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12,108,554</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12,270,005</w:t>
            </w:r>
          </w:p>
        </w:tc>
        <w:tc>
          <w:tcPr>
            <w:tcW w:w="2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12,183,841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12,591,164</w:t>
            </w:r>
          </w:p>
        </w:tc>
      </w:tr>
      <w:tr>
        <w:trPr>
          <w:trHeight w:val="171"/>
        </w:trPr>
        <w:tc>
          <w:tcPr>
            <w:tcW w:w="5000" w:type="dxa"/>
            <w:vAlign w:val="bottom"/>
          </w:tcPr>
          <w:p>
            <w:pPr>
              <w:ind w:left="700"/>
              <w:spacing w:after="0"/>
              <w:rPr>
                <w:sz w:val="20"/>
                <w:szCs w:val="20"/>
                <w:color w:val="auto"/>
              </w:rPr>
            </w:pPr>
            <w:r>
              <w:rPr>
                <w:rFonts w:ascii="Courier New" w:cs="Courier New" w:eastAsia="Courier New" w:hAnsi="Courier New"/>
                <w:sz w:val="15"/>
                <w:szCs w:val="15"/>
                <w:color w:val="auto"/>
              </w:rPr>
              <w:t>Dilutive effect of outstanding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stock options (2) . . . . . . . . . . . . .</w:t>
            </w: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398,235</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458,282</w:t>
            </w:r>
          </w:p>
        </w:tc>
        <w:tc>
          <w:tcPr>
            <w:tcW w:w="2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424,403</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512,895</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12,506,789</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12,728,287</w:t>
            </w:r>
          </w:p>
        </w:tc>
        <w:tc>
          <w:tcPr>
            <w:tcW w:w="2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12,608,244</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13,104,059</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ind w:left="700"/>
              <w:spacing w:after="0"/>
              <w:rPr>
                <w:sz w:val="20"/>
                <w:szCs w:val="20"/>
                <w:color w:val="auto"/>
              </w:rPr>
            </w:pPr>
            <w:r>
              <w:rPr>
                <w:rFonts w:ascii="Courier New" w:cs="Courier New" w:eastAsia="Courier New" w:hAnsi="Courier New"/>
                <w:sz w:val="15"/>
                <w:szCs w:val="15"/>
                <w:color w:val="auto"/>
              </w:rPr>
              <w:t>Net earnings per share of common stock</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and common stock equivalent . . . . . . .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0.32</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9" w:right="3119" w:hanging="349"/>
        <w:spacing w:after="0" w:line="239"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average market price of the company's stock during each period.</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200" w:lineRule="exact"/>
        <w:rPr>
          <w:sz w:val="20"/>
          <w:szCs w:val="20"/>
          <w:color w:val="auto"/>
        </w:rPr>
      </w:pPr>
    </w:p>
    <w:p>
      <w:pPr>
        <w:spacing w:after="0" w:line="31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480"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55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 OF EARNINGS AND RETAINED EARNINGS, THE CONDENSED CONSOLIDATED BALANCE SHEET AND EXHIBIT 11 AND IS QUALIFIED IN ITS ENTIRETY BY REFERENCE TO SUCH FINANCIAL STATEMENTS.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OCT-31-1996</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NOV-01-1995</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AUG-02-1996</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1,151</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265,772</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143,339</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444,632</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220,443</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151,626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531,930</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246,736</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53,419</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11,991</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197,571</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531,930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232,565</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232,565</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146,681</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72,909</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(1,489)</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3,755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10,709</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4,244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6,465</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6,465</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.52</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net receivables.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included in quarterly financial information.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long-term debt.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Does not include additional paid-in-capital.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income-net.</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2019-12-13T13:58:32Z</dcterms:created>
  <dcterms:modified xsi:type="dcterms:W3CDTF">2019-12-13T13:58:32Z</dcterms:modified>
</cp:coreProperties>
</file>