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Drake Angela 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04/01/2020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TORO CO</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TTC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00" w:type="dxa"/>
            <w:vAlign w:val="bottom"/>
          </w:tcPr>
          <w:p>
            <w:pPr>
              <w:ind w:left="280"/>
              <w:spacing w:after="0"/>
              <w:rPr>
                <w:sz w:val="20"/>
                <w:szCs w:val="20"/>
                <w:color w:val="auto"/>
              </w:rPr>
            </w:pPr>
            <w:r>
              <w:rPr>
                <w:rFonts w:ascii="Arial" w:cs="Arial" w:eastAsia="Arial" w:hAnsi="Arial"/>
                <w:sz w:val="15"/>
                <w:szCs w:val="15"/>
                <w:color w:val="auto"/>
              </w:rPr>
              <w:t>(First)</w:t>
            </w:r>
          </w:p>
        </w:tc>
        <w:tc>
          <w:tcPr>
            <w:tcW w:w="1120" w:type="dxa"/>
            <w:vAlign w:val="bottom"/>
          </w:tcPr>
          <w:p>
            <w:pPr>
              <w:ind w:left="12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9"/>
              </w:rPr>
              <w:t>8111 LYNDALE AVENUE SOUTH</w:t>
            </w:r>
          </w:p>
        </w:tc>
      </w:tr>
      <w:tr>
        <w:trPr>
          <w:trHeight w:val="237"/>
        </w:trPr>
        <w:tc>
          <w:tcPr>
            <w:tcW w:w="78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9"/>
        </w:trPr>
        <w:tc>
          <w:tcPr>
            <w:tcW w:w="1980" w:type="dxa"/>
            <w:vAlign w:val="bottom"/>
            <w:gridSpan w:val="2"/>
          </w:tcPr>
          <w:p>
            <w:pPr>
              <w:ind w:left="40"/>
              <w:spacing w:after="0"/>
              <w:rPr>
                <w:sz w:val="20"/>
                <w:szCs w:val="20"/>
                <w:color w:val="auto"/>
              </w:rPr>
            </w:pPr>
            <w:r>
              <w:rPr>
                <w:rFonts w:ascii="Arial" w:cs="Arial" w:eastAsia="Arial" w:hAnsi="Arial"/>
                <w:sz w:val="20"/>
                <w:szCs w:val="20"/>
                <w:color w:val="0000FF"/>
              </w:rPr>
              <w:t>BLOOMINGTON MN</w:t>
            </w:r>
          </w:p>
        </w:tc>
        <w:tc>
          <w:tcPr>
            <w:tcW w:w="1120" w:type="dxa"/>
            <w:vAlign w:val="bottom"/>
          </w:tcPr>
          <w:p>
            <w:pPr>
              <w:jc w:val="right"/>
              <w:ind w:right="237"/>
              <w:spacing w:after="0"/>
              <w:rPr>
                <w:sz w:val="20"/>
                <w:szCs w:val="20"/>
                <w:color w:val="auto"/>
              </w:rPr>
            </w:pPr>
            <w:r>
              <w:rPr>
                <w:rFonts w:ascii="Arial" w:cs="Arial" w:eastAsia="Arial" w:hAnsi="Arial"/>
                <w:sz w:val="20"/>
                <w:szCs w:val="20"/>
                <w:color w:val="0000FF"/>
              </w:rPr>
              <w:t>55420</w:t>
            </w:r>
          </w:p>
        </w:tc>
      </w:tr>
      <w:tr>
        <w:trPr>
          <w:trHeight w:val="177"/>
        </w:trPr>
        <w:tc>
          <w:tcPr>
            <w:tcW w:w="7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00" w:type="dxa"/>
            <w:vAlign w:val="bottom"/>
          </w:tcPr>
          <w:p>
            <w:pPr>
              <w:ind w:left="280"/>
              <w:spacing w:after="0"/>
              <w:rPr>
                <w:sz w:val="20"/>
                <w:szCs w:val="20"/>
                <w:color w:val="auto"/>
              </w:rPr>
            </w:pPr>
            <w:r>
              <w:rPr>
                <w:rFonts w:ascii="Arial" w:cs="Arial" w:eastAsia="Arial" w:hAnsi="Arial"/>
                <w:sz w:val="15"/>
                <w:szCs w:val="15"/>
                <w:color w:val="auto"/>
              </w:rPr>
              <w:t>(State)</w:t>
            </w:r>
          </w:p>
        </w:tc>
        <w:tc>
          <w:tcPr>
            <w:tcW w:w="1120" w:type="dxa"/>
            <w:vAlign w:val="bottom"/>
          </w:tcPr>
          <w:p>
            <w:pPr>
              <w:ind w:left="1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903"/>
        <w:spacing w:after="0"/>
        <w:rPr>
          <w:sz w:val="20"/>
          <w:szCs w:val="20"/>
          <w:color w:val="auto"/>
        </w:rPr>
      </w:pPr>
      <w:r>
        <w:rPr>
          <w:rFonts w:ascii="Arial" w:cs="Arial" w:eastAsia="Arial" w:hAnsi="Arial"/>
          <w:sz w:val="20"/>
          <w:szCs w:val="20"/>
          <w:color w:val="0000FF"/>
        </w:rPr>
        <w:t>VP, Construction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488950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962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627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9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9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940" w:type="dxa"/>
            <w:vAlign w:val="bottom"/>
          </w:tcPr>
          <w:p>
            <w:pPr>
              <w:ind w:left="80"/>
              <w:spacing w:after="0"/>
              <w:rPr>
                <w:sz w:val="20"/>
                <w:szCs w:val="20"/>
                <w:color w:val="auto"/>
              </w:rPr>
            </w:pPr>
            <w:r>
              <w:rPr>
                <w:rFonts w:ascii="Arial" w:cs="Arial" w:eastAsia="Arial" w:hAnsi="Arial"/>
                <w:sz w:val="20"/>
                <w:szCs w:val="20"/>
                <w:color w:val="0000FF"/>
              </w:rPr>
              <w:t>Non-Qualified Stock Option</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12/19/2029</w:t>
            </w:r>
          </w:p>
        </w:tc>
        <w:tc>
          <w:tcPr>
            <w:tcW w:w="1680" w:type="dxa"/>
            <w:vAlign w:val="bottom"/>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Pr>
          <w:p>
            <w:pPr>
              <w:jc w:val="center"/>
              <w:ind w:left="34"/>
              <w:spacing w:after="0"/>
              <w:rPr>
                <w:sz w:val="20"/>
                <w:szCs w:val="20"/>
                <w:color w:val="auto"/>
              </w:rPr>
            </w:pPr>
            <w:r>
              <w:rPr>
                <w:rFonts w:ascii="Arial" w:cs="Arial" w:eastAsia="Arial" w:hAnsi="Arial"/>
                <w:sz w:val="20"/>
                <w:szCs w:val="20"/>
                <w:color w:val="0000FF"/>
                <w:w w:val="87"/>
              </w:rPr>
              <w:t>4,900</w:t>
            </w:r>
          </w:p>
        </w:tc>
        <w:tc>
          <w:tcPr>
            <w:tcW w:w="980" w:type="dxa"/>
            <w:vAlign w:val="bottom"/>
          </w:tcPr>
          <w:p>
            <w:pPr>
              <w:jc w:val="center"/>
              <w:spacing w:after="0"/>
              <w:rPr>
                <w:sz w:val="20"/>
                <w:szCs w:val="20"/>
                <w:color w:val="auto"/>
              </w:rPr>
            </w:pPr>
            <w:r>
              <w:rPr>
                <w:rFonts w:ascii="Arial" w:cs="Arial" w:eastAsia="Arial" w:hAnsi="Arial"/>
                <w:sz w:val="20"/>
                <w:szCs w:val="20"/>
                <w:color w:val="0000FF"/>
                <w:w w:val="87"/>
              </w:rPr>
              <w:t>76.53</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9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940" w:type="dxa"/>
            <w:vAlign w:val="bottom"/>
          </w:tcPr>
          <w:p>
            <w:pPr>
              <w:ind w:left="80"/>
              <w:spacing w:after="0"/>
              <w:rPr>
                <w:sz w:val="20"/>
                <w:szCs w:val="20"/>
                <w:color w:val="auto"/>
              </w:rPr>
            </w:pPr>
            <w:r>
              <w:rPr>
                <w:rFonts w:ascii="Arial" w:cs="Arial" w:eastAsia="Arial" w:hAnsi="Arial"/>
                <w:sz w:val="20"/>
                <w:szCs w:val="20"/>
                <w:color w:val="0000FF"/>
              </w:rPr>
              <w:t>Restricted Stock Units</w:t>
            </w:r>
          </w:p>
        </w:tc>
        <w:tc>
          <w:tcPr>
            <w:tcW w:w="980" w:type="dxa"/>
            <w:vAlign w:val="bottom"/>
          </w:tcPr>
          <w:p>
            <w:pPr>
              <w:ind w:left="420"/>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3"/>
                <w:szCs w:val="13"/>
                <w:color w:val="008000"/>
                <w:w w:val="87"/>
              </w:rPr>
              <w:t>(2)</w:t>
            </w:r>
          </w:p>
        </w:tc>
        <w:tc>
          <w:tcPr>
            <w:tcW w:w="1680" w:type="dxa"/>
            <w:vAlign w:val="bottom"/>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Pr>
          <w:p>
            <w:pPr>
              <w:jc w:val="center"/>
              <w:ind w:left="14"/>
              <w:spacing w:after="0"/>
              <w:rPr>
                <w:sz w:val="20"/>
                <w:szCs w:val="20"/>
                <w:color w:val="auto"/>
              </w:rPr>
            </w:pPr>
            <w:r>
              <w:rPr>
                <w:rFonts w:ascii="Arial" w:cs="Arial" w:eastAsia="Arial" w:hAnsi="Arial"/>
                <w:sz w:val="20"/>
                <w:szCs w:val="20"/>
                <w:color w:val="0000FF"/>
                <w:w w:val="87"/>
              </w:rPr>
              <w:t>1,564.799</w:t>
            </w:r>
          </w:p>
        </w:tc>
        <w:tc>
          <w:tcPr>
            <w:tcW w:w="980" w:type="dxa"/>
            <w:vAlign w:val="bottom"/>
          </w:tcPr>
          <w:p>
            <w:pPr>
              <w:jc w:val="center"/>
              <w:spacing w:after="0"/>
              <w:rPr>
                <w:sz w:val="20"/>
                <w:szCs w:val="20"/>
                <w:color w:val="auto"/>
              </w:rPr>
            </w:pPr>
            <w:r>
              <w:rPr>
                <w:rFonts w:ascii="Arial" w:cs="Arial" w:eastAsia="Arial" w:hAnsi="Arial"/>
                <w:sz w:val="13"/>
                <w:szCs w:val="13"/>
                <w:color w:val="008000"/>
              </w:rPr>
              <w:t>(3)</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9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940" w:type="dxa"/>
            <w:vAlign w:val="bottom"/>
          </w:tcPr>
          <w:p>
            <w:pPr>
              <w:ind w:left="80"/>
              <w:spacing w:after="0"/>
              <w:rPr>
                <w:sz w:val="20"/>
                <w:szCs w:val="20"/>
                <w:color w:val="auto"/>
              </w:rPr>
            </w:pPr>
            <w:r>
              <w:rPr>
                <w:rFonts w:ascii="Arial" w:cs="Arial" w:eastAsia="Arial" w:hAnsi="Arial"/>
                <w:sz w:val="20"/>
                <w:szCs w:val="20"/>
                <w:color w:val="0000FF"/>
              </w:rPr>
              <w:t>Restricted Stock Units</w:t>
            </w:r>
          </w:p>
        </w:tc>
        <w:tc>
          <w:tcPr>
            <w:tcW w:w="980" w:type="dxa"/>
            <w:vAlign w:val="bottom"/>
          </w:tcPr>
          <w:p>
            <w:pPr>
              <w:ind w:left="420"/>
              <w:spacing w:after="0"/>
              <w:rPr>
                <w:sz w:val="20"/>
                <w:szCs w:val="20"/>
                <w:color w:val="auto"/>
              </w:rPr>
            </w:pPr>
            <w:r>
              <w:rPr>
                <w:rFonts w:ascii="Arial" w:cs="Arial" w:eastAsia="Arial" w:hAnsi="Arial"/>
                <w:sz w:val="13"/>
                <w:szCs w:val="13"/>
                <w:color w:val="008000"/>
              </w:rPr>
              <w:t>(4)</w:t>
            </w:r>
          </w:p>
        </w:tc>
        <w:tc>
          <w:tcPr>
            <w:tcW w:w="900" w:type="dxa"/>
            <w:vAlign w:val="bottom"/>
          </w:tcPr>
          <w:p>
            <w:pPr>
              <w:jc w:val="center"/>
              <w:spacing w:after="0"/>
              <w:rPr>
                <w:sz w:val="20"/>
                <w:szCs w:val="20"/>
                <w:color w:val="auto"/>
              </w:rPr>
            </w:pPr>
            <w:r>
              <w:rPr>
                <w:rFonts w:ascii="Arial" w:cs="Arial" w:eastAsia="Arial" w:hAnsi="Arial"/>
                <w:sz w:val="13"/>
                <w:szCs w:val="13"/>
                <w:color w:val="008000"/>
                <w:w w:val="87"/>
              </w:rPr>
              <w:t>(4)</w:t>
            </w:r>
          </w:p>
        </w:tc>
        <w:tc>
          <w:tcPr>
            <w:tcW w:w="1680" w:type="dxa"/>
            <w:vAlign w:val="bottom"/>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Pr>
          <w:p>
            <w:pPr>
              <w:jc w:val="center"/>
              <w:ind w:left="34"/>
              <w:spacing w:after="0"/>
              <w:rPr>
                <w:sz w:val="20"/>
                <w:szCs w:val="20"/>
                <w:color w:val="auto"/>
              </w:rPr>
            </w:pPr>
            <w:r>
              <w:rPr>
                <w:rFonts w:ascii="Arial" w:cs="Arial" w:eastAsia="Arial" w:hAnsi="Arial"/>
                <w:sz w:val="20"/>
                <w:szCs w:val="20"/>
                <w:color w:val="0000FF"/>
                <w:w w:val="87"/>
              </w:rPr>
              <w:t>1,918.14</w:t>
            </w:r>
          </w:p>
        </w:tc>
        <w:tc>
          <w:tcPr>
            <w:tcW w:w="980" w:type="dxa"/>
            <w:vAlign w:val="bottom"/>
          </w:tcPr>
          <w:p>
            <w:pPr>
              <w:jc w:val="center"/>
              <w:spacing w:after="0"/>
              <w:rPr>
                <w:sz w:val="20"/>
                <w:szCs w:val="20"/>
                <w:color w:val="auto"/>
              </w:rPr>
            </w:pPr>
            <w:r>
              <w:rPr>
                <w:rFonts w:ascii="Arial" w:cs="Arial" w:eastAsia="Arial" w:hAnsi="Arial"/>
                <w:sz w:val="13"/>
                <w:szCs w:val="13"/>
                <w:color w:val="008000"/>
              </w:rPr>
              <w:t>(3)</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9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-894715</wp:posOffset>
            </wp:positionV>
            <wp:extent cx="6927850" cy="743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743585"/>
                    </a:xfrm>
                    <a:prstGeom prst="rect">
                      <a:avLst/>
                    </a:prstGeom>
                    <a:noFill/>
                  </pic:spPr>
                </pic:pic>
              </a:graphicData>
            </a:graphic>
          </wp:anchor>
        </w:drawing>
      </w:r>
    </w:p>
    <w:p>
      <w:pPr>
        <w:spacing w:after="0" w:line="1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vests in three equal annual installments commencing on the first anniversary of the date of grant.</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restricted stock units and related dividend equivalents vest and become non-forfeitable in full on the April 1, 2022, which is the third anniversary of the date of grant.</w:t>
      </w:r>
    </w:p>
    <w:p>
      <w:pPr>
        <w:spacing w:after="0" w:line="64" w:lineRule="exact"/>
        <w:rPr>
          <w:rFonts w:ascii="Arial" w:cs="Arial" w:eastAsia="Arial" w:hAnsi="Arial"/>
          <w:sz w:val="14"/>
          <w:szCs w:val="14"/>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restricted stock unit represents a contingent right to receive one share of Toro common stock.</w:t>
      </w:r>
    </w:p>
    <w:p>
      <w:pPr>
        <w:spacing w:after="0" w:line="52" w:lineRule="exact"/>
        <w:rPr>
          <w:rFonts w:ascii="Arial" w:cs="Arial" w:eastAsia="Arial" w:hAnsi="Arial"/>
          <w:sz w:val="15"/>
          <w:szCs w:val="15"/>
          <w:color w:val="008000"/>
        </w:rPr>
      </w:pPr>
    </w:p>
    <w:p>
      <w:pPr>
        <w:ind w:left="40" w:right="3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restricted stock units and related dividend equivalents vest and become non-forfeitable in three equal annual installments commencing on April 1, 2020, which is the first anniversary of the date of grant.</w:t>
      </w:r>
    </w:p>
    <w:p>
      <w:pPr>
        <w:spacing w:after="0" w:line="3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Nancy A. McGrath,</w:t>
            </w:r>
          </w:p>
        </w:tc>
        <w:tc>
          <w:tcPr>
            <w:tcW w:w="4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04/02/2020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vMerge w:val="restart"/>
          </w:tcPr>
          <w:p>
            <w:pPr>
              <w:spacing w:after="0" w:line="220" w:lineRule="exact"/>
              <w:rPr>
                <w:sz w:val="20"/>
                <w:szCs w:val="20"/>
                <w:color w:val="auto"/>
              </w:rPr>
            </w:pPr>
            <w:r>
              <w:rPr>
                <w:rFonts w:ascii="Arial" w:cs="Arial" w:eastAsia="Arial" w:hAnsi="Arial"/>
                <w:sz w:val="20"/>
                <w:szCs w:val="20"/>
                <w:color w:val="0000FF"/>
                <w:w w:val="90"/>
              </w:rPr>
              <w:t>Attorney-In-Fact</w:t>
            </w:r>
          </w:p>
        </w:tc>
        <w:tc>
          <w:tcPr>
            <w:tcW w:w="86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LIMITED POWER OF ATTORNEY</w:t>
      </w:r>
    </w:p>
    <w:p>
      <w:pPr>
        <w:spacing w:after="0" w:line="230" w:lineRule="exact"/>
        <w:rPr>
          <w:sz w:val="20"/>
          <w:szCs w:val="20"/>
          <w:color w:val="auto"/>
        </w:rPr>
      </w:pPr>
    </w:p>
    <w:p>
      <w:pPr>
        <w:ind w:right="2139"/>
        <w:spacing w:after="0" w:line="26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Amy E. Dahl, Nancy A. McGrath and</w:t>
      </w:r>
    </w:p>
    <w:p>
      <w:pPr>
        <w:spacing w:after="0" w:line="2"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20"/>
          <w:szCs w:val="20"/>
          <w:color w:val="auto"/>
        </w:rPr>
        <w:t>Angela D. Snavely, signing singly, true and lawful attorneys-in-fact relative to the filings identified below in connection with the undersigned's derivative and non-derivative securities of The Toro Company (the ?Company?) to:</w:t>
      </w:r>
    </w:p>
    <w:p>
      <w:pPr>
        <w:spacing w:after="0" w:line="231" w:lineRule="exact"/>
        <w:rPr>
          <w:sz w:val="20"/>
          <w:szCs w:val="20"/>
          <w:color w:val="auto"/>
        </w:rPr>
      </w:pPr>
    </w:p>
    <w:p>
      <w:pPr>
        <w:ind w:right="2019"/>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31" w:lineRule="exact"/>
        <w:rPr>
          <w:rFonts w:ascii="Courier New" w:cs="Courier New" w:eastAsia="Courier New" w:hAnsi="Courier New"/>
          <w:sz w:val="20"/>
          <w:szCs w:val="20"/>
          <w:color w:val="auto"/>
        </w:rPr>
      </w:pPr>
    </w:p>
    <w:p>
      <w:pPr>
        <w:ind w:right="2379"/>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31" w:lineRule="exact"/>
        <w:rPr>
          <w:rFonts w:ascii="Courier New" w:cs="Courier New" w:eastAsia="Courier New" w:hAnsi="Courier New"/>
          <w:sz w:val="20"/>
          <w:szCs w:val="20"/>
          <w:color w:val="auto"/>
        </w:rPr>
      </w:pPr>
    </w:p>
    <w:p>
      <w:pPr>
        <w:ind w:right="2019"/>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31" w:lineRule="exact"/>
        <w:rPr>
          <w:rFonts w:ascii="Courier New" w:cs="Courier New" w:eastAsia="Courier New" w:hAnsi="Courier New"/>
          <w:sz w:val="20"/>
          <w:szCs w:val="20"/>
          <w:color w:val="auto"/>
        </w:rPr>
      </w:pPr>
    </w:p>
    <w:p>
      <w:pPr>
        <w:ind w:right="2599"/>
        <w:spacing w:after="0" w:line="26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including administration of EDGAR filing codes, in connection with the foregoing which, in the opinion of such attorney-in-fact, may be of benefit to, in the best interest of, or legally required</w:t>
      </w:r>
    </w:p>
    <w:p>
      <w:pPr>
        <w:spacing w:after="0" w:line="3" w:lineRule="exact"/>
        <w:rPr>
          <w:rFonts w:ascii="Courier New" w:cs="Courier New" w:eastAsia="Courier New" w:hAnsi="Courier New"/>
          <w:sz w:val="18"/>
          <w:szCs w:val="18"/>
          <w:color w:val="auto"/>
        </w:rPr>
      </w:pPr>
    </w:p>
    <w:p>
      <w:pPr>
        <w:ind w:right="2019"/>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right="189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20" w:type="dxa"/>
            <w:vAlign w:val="bottom"/>
            <w:gridSpan w:val="2"/>
          </w:tcPr>
          <w:p>
            <w:pPr>
              <w:spacing w:after="0"/>
              <w:rPr>
                <w:sz w:val="20"/>
                <w:szCs w:val="20"/>
                <w:color w:val="auto"/>
              </w:rPr>
            </w:pPr>
            <w:r>
              <w:rPr>
                <w:rFonts w:ascii="Courier New" w:cs="Courier New" w:eastAsia="Courier New" w:hAnsi="Courier New"/>
                <w:sz w:val="20"/>
                <w:szCs w:val="20"/>
                <w:color w:val="auto"/>
                <w:w w:val="98"/>
              </w:rPr>
              <w:t>IN WITNESS WHEREOF, the undersigned has</w:t>
            </w:r>
          </w:p>
        </w:tc>
        <w:tc>
          <w:tcPr>
            <w:tcW w:w="820" w:type="dxa"/>
            <w:vAlign w:val="bottom"/>
          </w:tcPr>
          <w:p>
            <w:pPr>
              <w:ind w:left="60"/>
              <w:spacing w:after="0"/>
              <w:rPr>
                <w:sz w:val="20"/>
                <w:szCs w:val="20"/>
                <w:color w:val="auto"/>
              </w:rPr>
            </w:pPr>
            <w:r>
              <w:rPr>
                <w:rFonts w:ascii="Courier New" w:cs="Courier New" w:eastAsia="Courier New" w:hAnsi="Courier New"/>
                <w:sz w:val="20"/>
                <w:szCs w:val="20"/>
                <w:color w:val="auto"/>
              </w:rPr>
              <w:t>caused</w:t>
            </w:r>
          </w:p>
        </w:tc>
        <w:tc>
          <w:tcPr>
            <w:tcW w:w="2520" w:type="dxa"/>
            <w:vAlign w:val="bottom"/>
          </w:tcPr>
          <w:p>
            <w:pPr>
              <w:ind w:left="60"/>
              <w:spacing w:after="0"/>
              <w:rPr>
                <w:sz w:val="20"/>
                <w:szCs w:val="20"/>
                <w:color w:val="auto"/>
              </w:rPr>
            </w:pPr>
            <w:r>
              <w:rPr>
                <w:rFonts w:ascii="Courier New" w:cs="Courier New" w:eastAsia="Courier New" w:hAnsi="Courier New"/>
                <w:sz w:val="20"/>
                <w:szCs w:val="20"/>
                <w:color w:val="auto"/>
              </w:rPr>
              <w:t>this Limited Power</w:t>
            </w:r>
          </w:p>
        </w:tc>
      </w:tr>
      <w:tr>
        <w:trPr>
          <w:trHeight w:val="225"/>
        </w:trPr>
        <w:tc>
          <w:tcPr>
            <w:tcW w:w="4620" w:type="dxa"/>
            <w:vAlign w:val="bottom"/>
            <w:gridSpan w:val="2"/>
          </w:tcPr>
          <w:p>
            <w:pPr>
              <w:spacing w:after="0" w:line="225" w:lineRule="exact"/>
              <w:rPr>
                <w:sz w:val="20"/>
                <w:szCs w:val="20"/>
                <w:color w:val="auto"/>
              </w:rPr>
            </w:pPr>
            <w:r>
              <w:rPr>
                <w:rFonts w:ascii="Courier New" w:cs="Courier New" w:eastAsia="Courier New" w:hAnsi="Courier New"/>
                <w:sz w:val="20"/>
                <w:szCs w:val="20"/>
                <w:color w:val="auto"/>
                <w:w w:val="98"/>
              </w:rPr>
              <w:t>of Attorney to be executed effective as</w:t>
            </w:r>
          </w:p>
        </w:tc>
        <w:tc>
          <w:tcPr>
            <w:tcW w:w="8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of the</w:t>
            </w:r>
          </w:p>
        </w:tc>
        <w:tc>
          <w:tcPr>
            <w:tcW w:w="25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w w:val="96"/>
              </w:rPr>
              <w:t>date indicated below,</w:t>
            </w:r>
          </w:p>
        </w:tc>
      </w:tr>
      <w:tr>
        <w:trPr>
          <w:trHeight w:val="225"/>
        </w:trPr>
        <w:tc>
          <w:tcPr>
            <w:tcW w:w="4620" w:type="dxa"/>
            <w:vAlign w:val="bottom"/>
            <w:gridSpan w:val="2"/>
          </w:tcPr>
          <w:p>
            <w:pPr>
              <w:spacing w:after="0" w:line="225" w:lineRule="exact"/>
              <w:rPr>
                <w:sz w:val="20"/>
                <w:szCs w:val="20"/>
                <w:color w:val="auto"/>
              </w:rPr>
            </w:pPr>
            <w:r>
              <w:rPr>
                <w:rFonts w:ascii="Courier New" w:cs="Courier New" w:eastAsia="Courier New" w:hAnsi="Courier New"/>
                <w:sz w:val="20"/>
                <w:szCs w:val="20"/>
                <w:color w:val="auto"/>
                <w:w w:val="98"/>
              </w:rPr>
              <w:t>and said Power of Attorney shall remain</w:t>
            </w:r>
          </w:p>
        </w:tc>
        <w:tc>
          <w:tcPr>
            <w:tcW w:w="3340" w:type="dxa"/>
            <w:vAlign w:val="bottom"/>
            <w:gridSpan w:val="2"/>
          </w:tcPr>
          <w:p>
            <w:pPr>
              <w:ind w:left="60"/>
              <w:spacing w:after="0" w:line="225" w:lineRule="exact"/>
              <w:rPr>
                <w:sz w:val="20"/>
                <w:szCs w:val="20"/>
                <w:color w:val="auto"/>
              </w:rPr>
            </w:pPr>
            <w:r>
              <w:rPr>
                <w:rFonts w:ascii="Courier New" w:cs="Courier New" w:eastAsia="Courier New" w:hAnsi="Courier New"/>
                <w:sz w:val="20"/>
                <w:szCs w:val="20"/>
                <w:color w:val="auto"/>
              </w:rPr>
              <w:t>in effect until revoked by</w:t>
            </w:r>
          </w:p>
        </w:tc>
      </w:tr>
      <w:tr>
        <w:trPr>
          <w:trHeight w:val="225"/>
        </w:trPr>
        <w:tc>
          <w:tcPr>
            <w:tcW w:w="5440" w:type="dxa"/>
            <w:vAlign w:val="bottom"/>
            <w:gridSpan w:val="3"/>
          </w:tcPr>
          <w:p>
            <w:pPr>
              <w:spacing w:after="0" w:line="225" w:lineRule="exact"/>
              <w:rPr>
                <w:sz w:val="20"/>
                <w:szCs w:val="20"/>
                <w:color w:val="auto"/>
              </w:rPr>
            </w:pPr>
            <w:r>
              <w:rPr>
                <w:rFonts w:ascii="Courier New" w:cs="Courier New" w:eastAsia="Courier New" w:hAnsi="Courier New"/>
                <w:sz w:val="20"/>
                <w:szCs w:val="20"/>
                <w:color w:val="auto"/>
                <w:w w:val="98"/>
              </w:rPr>
              <w:t>the undersigned in writing, or at such time as</w:t>
            </w:r>
          </w:p>
        </w:tc>
        <w:tc>
          <w:tcPr>
            <w:tcW w:w="25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the undersigned is</w:t>
            </w:r>
          </w:p>
        </w:tc>
      </w:tr>
      <w:tr>
        <w:trPr>
          <w:trHeight w:val="225"/>
        </w:trPr>
        <w:tc>
          <w:tcPr>
            <w:tcW w:w="5440" w:type="dxa"/>
            <w:vAlign w:val="bottom"/>
            <w:gridSpan w:val="3"/>
          </w:tcPr>
          <w:p>
            <w:pPr>
              <w:spacing w:after="0" w:line="225" w:lineRule="exact"/>
              <w:rPr>
                <w:sz w:val="20"/>
                <w:szCs w:val="20"/>
                <w:color w:val="auto"/>
              </w:rPr>
            </w:pPr>
            <w:r>
              <w:rPr>
                <w:rFonts w:ascii="Courier New" w:cs="Courier New" w:eastAsia="Courier New" w:hAnsi="Courier New"/>
                <w:sz w:val="20"/>
                <w:szCs w:val="20"/>
                <w:color w:val="auto"/>
                <w:w w:val="98"/>
              </w:rPr>
              <w:t>no longer an officer of the Company, whichever</w:t>
            </w:r>
          </w:p>
        </w:tc>
        <w:tc>
          <w:tcPr>
            <w:tcW w:w="25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first occurs.</w:t>
            </w:r>
          </w:p>
        </w:tc>
      </w:tr>
      <w:tr>
        <w:trPr>
          <w:trHeight w:val="675"/>
        </w:trPr>
        <w:tc>
          <w:tcPr>
            <w:tcW w:w="880" w:type="dxa"/>
            <w:vAlign w:val="bottom"/>
          </w:tcPr>
          <w:p>
            <w:pPr>
              <w:spacing w:after="0"/>
              <w:rPr>
                <w:sz w:val="20"/>
                <w:szCs w:val="20"/>
                <w:color w:val="auto"/>
              </w:rPr>
            </w:pPr>
            <w:r>
              <w:rPr>
                <w:rFonts w:ascii="Courier New" w:cs="Courier New" w:eastAsia="Courier New" w:hAnsi="Courier New"/>
                <w:sz w:val="20"/>
                <w:szCs w:val="20"/>
                <w:color w:val="auto"/>
              </w:rPr>
              <w:t>Signed:</w:t>
            </w:r>
          </w:p>
        </w:tc>
        <w:tc>
          <w:tcPr>
            <w:tcW w:w="3740" w:type="dxa"/>
            <w:vAlign w:val="bottom"/>
          </w:tcPr>
          <w:p>
            <w:pPr>
              <w:ind w:left="1000"/>
              <w:spacing w:after="0"/>
              <w:rPr>
                <w:sz w:val="20"/>
                <w:szCs w:val="20"/>
                <w:color w:val="auto"/>
              </w:rPr>
            </w:pPr>
            <w:r>
              <w:rPr>
                <w:rFonts w:ascii="Courier New" w:cs="Courier New" w:eastAsia="Courier New" w:hAnsi="Courier New"/>
                <w:sz w:val="20"/>
                <w:szCs w:val="20"/>
                <w:color w:val="auto"/>
              </w:rPr>
              <w:t>/s/ Angela C. Drake</w:t>
            </w:r>
          </w:p>
        </w:tc>
        <w:tc>
          <w:tcPr>
            <w:tcW w:w="8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880" w:type="dxa"/>
            <w:vAlign w:val="bottom"/>
          </w:tcPr>
          <w:p>
            <w:pPr>
              <w:spacing w:after="0"/>
              <w:rPr>
                <w:sz w:val="19"/>
                <w:szCs w:val="19"/>
                <w:color w:val="auto"/>
              </w:rPr>
            </w:pPr>
          </w:p>
        </w:tc>
        <w:tc>
          <w:tcPr>
            <w:tcW w:w="3740" w:type="dxa"/>
            <w:vAlign w:val="bottom"/>
          </w:tcPr>
          <w:p>
            <w:pPr>
              <w:ind w:left="1000"/>
              <w:spacing w:after="0" w:line="225" w:lineRule="exact"/>
              <w:rPr>
                <w:sz w:val="20"/>
                <w:szCs w:val="20"/>
                <w:color w:val="auto"/>
              </w:rPr>
            </w:pPr>
            <w:r>
              <w:rPr>
                <w:rFonts w:ascii="Courier New" w:cs="Courier New" w:eastAsia="Courier New" w:hAnsi="Courier New"/>
                <w:sz w:val="20"/>
                <w:szCs w:val="20"/>
                <w:color w:val="auto"/>
              </w:rPr>
              <w:t>Angela C. Drake</w:t>
            </w:r>
          </w:p>
        </w:tc>
        <w:tc>
          <w:tcPr>
            <w:tcW w:w="8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50"/>
        </w:trPr>
        <w:tc>
          <w:tcPr>
            <w:tcW w:w="880" w:type="dxa"/>
            <w:vAlign w:val="bottom"/>
          </w:tcPr>
          <w:p>
            <w:pPr>
              <w:spacing w:after="0"/>
              <w:rPr>
                <w:sz w:val="20"/>
                <w:szCs w:val="20"/>
                <w:color w:val="auto"/>
              </w:rPr>
            </w:pPr>
            <w:r>
              <w:rPr>
                <w:rFonts w:ascii="Courier New" w:cs="Courier New" w:eastAsia="Courier New" w:hAnsi="Courier New"/>
                <w:sz w:val="20"/>
                <w:szCs w:val="20"/>
                <w:color w:val="auto"/>
              </w:rPr>
              <w:t>Dated:</w:t>
            </w:r>
          </w:p>
        </w:tc>
        <w:tc>
          <w:tcPr>
            <w:tcW w:w="3740" w:type="dxa"/>
            <w:vAlign w:val="bottom"/>
          </w:tcPr>
          <w:p>
            <w:pPr>
              <w:jc w:val="right"/>
              <w:ind w:right="2422"/>
              <w:spacing w:after="0"/>
              <w:rPr>
                <w:sz w:val="20"/>
                <w:szCs w:val="20"/>
                <w:color w:val="auto"/>
              </w:rPr>
            </w:pPr>
            <w:r>
              <w:rPr>
                <w:rFonts w:ascii="Courier New" w:cs="Courier New" w:eastAsia="Courier New" w:hAnsi="Courier New"/>
                <w:sz w:val="20"/>
                <w:szCs w:val="20"/>
                <w:color w:val="auto"/>
                <w:w w:val="99"/>
              </w:rPr>
              <w:t>03/25/2020</w:t>
            </w:r>
          </w:p>
        </w:tc>
        <w:tc>
          <w:tcPr>
            <w:tcW w:w="82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807854" TargetMode="External"/><Relationship Id="rId11"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2020-04-02T14:23:37Z</dcterms:created>
  <dcterms:modified xsi:type="dcterms:W3CDTF">2020-04-02T14:23:37Z</dcterms:modified>
</cp:coreProperties>
</file>