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Global Micro Irrigation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12/03/2015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3,160</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56,011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0000FF"/>
              </w:rPr>
              <w:t>12/03/2015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Pr>
          <w:p>
            <w:pPr>
              <w:jc w:val="right"/>
              <w:ind w:right="92"/>
              <w:spacing w:after="0"/>
              <w:rPr>
                <w:sz w:val="20"/>
                <w:szCs w:val="20"/>
                <w:color w:val="auto"/>
              </w:rPr>
            </w:pPr>
            <w:r>
              <w:rPr>
                <w:rFonts w:ascii="Arial" w:cs="Arial" w:eastAsia="Arial" w:hAnsi="Arial"/>
                <w:sz w:val="18"/>
                <w:szCs w:val="18"/>
                <w:color w:val="0000FF"/>
              </w:rPr>
              <w:t>1,524</w:t>
            </w:r>
          </w:p>
        </w:tc>
        <w:tc>
          <w:tcPr>
            <w:tcW w:w="480" w:type="dxa"/>
            <w:vAlign w:val="bottom"/>
          </w:tcPr>
          <w:p>
            <w:pPr>
              <w:ind w:left="2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74.33</w:t>
            </w: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54,487</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3"/>
              </w:rPr>
              <w:t>4,674.367</w:t>
            </w:r>
            <w:r>
              <w:rPr>
                <w:rFonts w:ascii="Arial" w:cs="Arial" w:eastAsia="Arial" w:hAnsi="Arial"/>
                <w:sz w:val="22"/>
                <w:szCs w:val="22"/>
                <w:color w:val="008000"/>
                <w:w w:val="83"/>
                <w:vertAlign w:val="superscript"/>
              </w:rPr>
              <w:t>(2)</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27,827.083</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2013 to Fiscal 2015 Performance Period under The Toro Company Amended and Restated 2010 Equity and Incentive Plan, as amended, (the "Amended and Restated 2010 Plan") as approved by the registrant's Compensation &amp; Human Resources Committee of its Board of Directors on December 1, 2015, and which was conditioned upon and subject to confirmation by the registrant's Fiscal 2015 financial results that were released on December 3, 2015.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15.422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93.214 performance share units acquired by the reporting person since the date of his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12/07/2015</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2019-12-23T20:46:34Z</dcterms:created>
  <dcterms:modified xsi:type="dcterms:W3CDTF">2019-12-23T20:46:34Z</dcterms:modified>
</cp:coreProperties>
</file>