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-224155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980" w:hanging="340"/>
        <w:spacing w:after="0"/>
        <w:tabs>
          <w:tab w:leader="none" w:pos="19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August 2, 2019</w:t>
      </w:r>
    </w:p>
    <w:p>
      <w:pPr>
        <w:spacing w:after="0" w:line="135" w:lineRule="exact"/>
        <w:rPr>
          <w:sz w:val="24"/>
          <w:szCs w:val="24"/>
          <w:color w:val="auto"/>
        </w:rPr>
      </w:pPr>
    </w:p>
    <w:p>
      <w:pPr>
        <w:ind w:left="1980" w:hanging="376"/>
        <w:spacing w:after="0"/>
        <w:tabs>
          <w:tab w:leader="none" w:pos="19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40"/>
          </w:cols>
          <w:pgMar w:left="240" w:top="233" w:right="219" w:bottom="1440" w:gutter="0" w:footer="0" w:header="0"/>
        </w:sectPr>
      </w:pPr>
    </w:p>
    <w:p>
      <w:pPr>
        <w:spacing w:after="0" w:line="209"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76" w:lineRule="exact"/>
        <w:rPr>
          <w:sz w:val="24"/>
          <w:szCs w:val="24"/>
          <w:color w:val="auto"/>
        </w:rPr>
      </w:pPr>
    </w:p>
    <w:p>
      <w:pPr>
        <w:sectPr>
          <w:pgSz w:w="11900" w:h="16838" w:orient="portrait"/>
          <w:cols w:equalWidth="0" w:num="2">
            <w:col w:w="6360" w:space="500"/>
            <w:col w:w="4580"/>
          </w:cols>
          <w:pgMar w:left="240" w:top="233" w:right="21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1-8649</w:t>
      </w:r>
    </w:p>
    <w:p>
      <w:pPr>
        <w:sectPr>
          <w:pgSz w:w="11900" w:h="16838" w:orient="portrait"/>
          <w:cols w:equalWidth="0" w:num="1">
            <w:col w:w="11440"/>
          </w:cols>
          <w:pgMar w:left="240" w:top="233" w:right="219" w:bottom="1440" w:gutter="0" w:footer="0" w:header="0"/>
          <w:type w:val="continuous"/>
        </w:sectPr>
      </w:pP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233" w:right="219" w:bottom="1440" w:gutter="0" w:footer="0" w:header="0"/>
          <w:type w:val="continuous"/>
        </w:sectPr>
      </w:pPr>
    </w:p>
    <w:p>
      <w:pPr>
        <w:spacing w:after="0" w:line="174"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5" w:lineRule="exact"/>
        <w:rPr>
          <w:sz w:val="24"/>
          <w:szCs w:val="24"/>
          <w:color w:val="auto"/>
        </w:rPr>
      </w:pPr>
    </w:p>
    <w:p>
      <w:pPr>
        <w:sectPr>
          <w:pgSz w:w="11900" w:h="16838" w:orient="portrait"/>
          <w:cols w:equalWidth="0" w:num="2">
            <w:col w:w="8220" w:space="720"/>
            <w:col w:w="2500"/>
          </w:cols>
          <w:pgMar w:left="240" w:top="233" w:right="219"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State or Other Jurisdiction of</w:t>
      </w:r>
    </w:p>
    <w:p>
      <w:pPr>
        <w:spacing w:after="0" w:line="34"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Number</w:t>
      </w:r>
    </w:p>
    <w:p>
      <w:pPr>
        <w:spacing w:after="0" w:line="372" w:lineRule="exact"/>
        <w:rPr>
          <w:sz w:val="24"/>
          <w:szCs w:val="24"/>
          <w:color w:val="auto"/>
        </w:rPr>
      </w:pPr>
    </w:p>
    <w:p>
      <w:pPr>
        <w:sectPr>
          <w:pgSz w:w="11900" w:h="16838" w:orient="portrait"/>
          <w:cols w:equalWidth="0" w:num="2">
            <w:col w:w="7380" w:space="720"/>
            <w:col w:w="3340"/>
          </w:cols>
          <w:pgMar w:left="240" w:top="233" w:right="219" w:bottom="1440" w:gutter="0" w:footer="0" w:header="0"/>
          <w:type w:val="continuous"/>
        </w:sectPr>
      </w:pPr>
    </w:p>
    <w:p>
      <w:pPr>
        <w:ind w:left="46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37"/>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214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August 30, 2019 was 106,602,338.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 Number</w:t>
            </w:r>
          </w:p>
        </w:tc>
      </w:tr>
      <w:tr>
        <w:trPr>
          <w:trHeight w:val="473"/>
        </w:trPr>
        <w:tc>
          <w:tcPr>
            <w:tcW w:w="13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52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80" w:type="dxa"/>
            <w:vAlign w:val="bottom"/>
            <w:tcBorders>
              <w:top w:val="single" w:sz="8" w:color="0000EE"/>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940" w:type="dxa"/>
            <w:vAlign w:val="bottom"/>
            <w:tcBorders>
              <w:top w:val="single" w:sz="8" w:color="0000EE"/>
            </w:tcBorders>
            <w:gridSpan w:val="3"/>
          </w:tcPr>
          <w:p>
            <w:pPr>
              <w:spacing w:after="0"/>
              <w:rPr>
                <w:sz w:val="24"/>
                <w:szCs w:val="24"/>
                <w:color w:val="auto"/>
              </w:rPr>
            </w:pPr>
          </w:p>
        </w:tc>
        <w:tc>
          <w:tcPr>
            <w:tcW w:w="608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(Unaudited)</w:t>
              </w:r>
            </w:hyperlink>
          </w:p>
        </w:tc>
        <w:tc>
          <w:tcPr>
            <w:tcW w:w="1640" w:type="dxa"/>
            <w:vAlign w:val="bottom"/>
            <w:tcBorders>
              <w:top w:val="single" w:sz="8" w:color="0000EE"/>
            </w:tcBorders>
            <w:gridSpan w:val="6"/>
          </w:tcPr>
          <w:p>
            <w:pPr>
              <w:spacing w:after="0"/>
              <w:rPr>
                <w:sz w:val="24"/>
                <w:szCs w:val="24"/>
                <w:color w:val="auto"/>
              </w:rPr>
            </w:pPr>
          </w:p>
        </w:tc>
        <w:tc>
          <w:tcPr>
            <w:tcW w:w="26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3540" w:type="dxa"/>
            <w:vAlign w:val="bottom"/>
            <w:gridSpan w:val="5"/>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57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60" w:type="dxa"/>
            <w:vAlign w:val="bottom"/>
            <w:tcBorders>
              <w:top w:val="single" w:sz="8" w:color="0000EE"/>
            </w:tcBorders>
          </w:tcPr>
          <w:p>
            <w:pPr>
              <w:spacing w:after="0"/>
              <w:rPr>
                <w:sz w:val="24"/>
                <w:szCs w:val="24"/>
                <w:color w:val="auto"/>
              </w:rPr>
            </w:pPr>
          </w:p>
        </w:tc>
        <w:tc>
          <w:tcPr>
            <w:tcW w:w="290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33">
              <w:r>
                <w:rPr>
                  <w:rFonts w:ascii="Arial" w:cs="Arial" w:eastAsia="Arial" w:hAnsi="Arial"/>
                  <w:sz w:val="18"/>
                  <w:szCs w:val="18"/>
                  <w:b w:val="1"/>
                  <w:bCs w:val="1"/>
                  <w:color w:val="0000EE"/>
                  <w:w w:val="91"/>
                </w:rPr>
                <w:t>Item 2.</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Item 3.</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Quantitative and Qualitative Disclosures about Market Risk</w:t>
              </w:r>
            </w:hyperlink>
          </w:p>
        </w:tc>
        <w:tc>
          <w:tcPr>
            <w:tcW w:w="2140" w:type="dxa"/>
            <w:vAlign w:val="bottom"/>
            <w:gridSpan w:val="6"/>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52">
              <w:r>
                <w:rPr>
                  <w:rFonts w:ascii="Arial" w:cs="Arial" w:eastAsia="Arial" w:hAnsi="Arial"/>
                  <w:sz w:val="18"/>
                  <w:szCs w:val="18"/>
                  <w:b w:val="1"/>
                  <w:bCs w:val="1"/>
                  <w:color w:val="0000EE"/>
                  <w:w w:val="91"/>
                </w:rPr>
                <w:t>Item 4.</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Controls and Procedures</w:t>
              </w:r>
            </w:hyperlink>
          </w:p>
        </w:tc>
        <w:tc>
          <w:tcPr>
            <w:tcW w:w="2540" w:type="dxa"/>
            <w:vAlign w:val="bottom"/>
            <w:gridSpan w:val="3"/>
          </w:tcPr>
          <w:p>
            <w:pPr>
              <w:spacing w:after="0"/>
              <w:rPr>
                <w:sz w:val="24"/>
                <w:szCs w:val="24"/>
                <w:color w:val="auto"/>
              </w:rPr>
            </w:pPr>
          </w:p>
        </w:tc>
        <w:tc>
          <w:tcPr>
            <w:tcW w:w="386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54">
              <w:r>
                <w:rPr>
                  <w:rFonts w:ascii="Arial" w:cs="Arial" w:eastAsia="Arial" w:hAnsi="Arial"/>
                  <w:sz w:val="18"/>
                  <w:szCs w:val="18"/>
                  <w:b w:val="1"/>
                  <w:bCs w:val="1"/>
                  <w:color w:val="0000EE"/>
                  <w:w w:val="98"/>
                </w:rPr>
                <w:t>PART II.</w:t>
              </w:r>
            </w:hyperlink>
          </w:p>
        </w:tc>
        <w:tc>
          <w:tcPr>
            <w:tcW w:w="680" w:type="dxa"/>
            <w:vAlign w:val="bottom"/>
          </w:tcPr>
          <w:p>
            <w:pPr>
              <w:spacing w:after="0"/>
              <w:rPr>
                <w:sz w:val="24"/>
                <w:szCs w:val="24"/>
                <w:color w:val="auto"/>
              </w:rPr>
            </w:pPr>
          </w:p>
        </w:tc>
        <w:tc>
          <w:tcPr>
            <w:tcW w:w="21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OTHER INFORMATION:</w:t>
              </w:r>
            </w:hyperlink>
          </w:p>
        </w:tc>
        <w:tc>
          <w:tcPr>
            <w:tcW w:w="6400" w:type="dxa"/>
            <w:vAlign w:val="bottom"/>
            <w:gridSpan w:val="10"/>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54">
              <w:r>
                <w:rPr>
                  <w:rFonts w:ascii="Arial" w:cs="Arial" w:eastAsia="Arial" w:hAnsi="Arial"/>
                  <w:sz w:val="18"/>
                  <w:szCs w:val="18"/>
                  <w:b w:val="1"/>
                  <w:bCs w:val="1"/>
                  <w:color w:val="0000EE"/>
                  <w:w w:val="91"/>
                </w:rPr>
                <w:t>Item 1.</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5"/>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Legal Proceedings</w:t>
              </w:r>
            </w:hyperlink>
          </w:p>
        </w:tc>
        <w:tc>
          <w:tcPr>
            <w:tcW w:w="684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gridSpan w:val="5"/>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Item 1A.</w:t>
              </w:r>
            </w:hyperlink>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55">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Unregistered Sales of Equity Securities and Use of Proceeds</w:t>
              </w:r>
            </w:hyperlink>
          </w:p>
        </w:tc>
        <w:tc>
          <w:tcPr>
            <w:tcW w:w="382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40" w:type="dxa"/>
            <w:vAlign w:val="bottom"/>
          </w:tcPr>
          <w:p>
            <w:pPr>
              <w:spacing w:after="0"/>
              <w:rPr>
                <w:rFonts w:ascii="Arial" w:cs="Arial" w:eastAsia="Arial" w:hAnsi="Arial"/>
                <w:sz w:val="18"/>
                <w:szCs w:val="18"/>
                <w:b w:val="1"/>
                <w:bCs w:val="1"/>
                <w:color w:val="0000EE"/>
                <w:w w:val="91"/>
              </w:rPr>
            </w:pPr>
            <w:hyperlink w:anchor="page56">
              <w:r>
                <w:rPr>
                  <w:rFonts w:ascii="Arial" w:cs="Arial" w:eastAsia="Arial" w:hAnsi="Arial"/>
                  <w:sz w:val="18"/>
                  <w:szCs w:val="18"/>
                  <w:b w:val="1"/>
                  <w:bCs w:val="1"/>
                  <w:color w:val="0000EE"/>
                  <w:w w:val="91"/>
                </w:rPr>
                <w:t>Item 6.</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382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72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7"/>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702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5000" w:type="dxa"/>
            <w:vAlign w:val="bottom"/>
            <w:gridSpan w:val="2"/>
          </w:tcPr>
          <w:p>
            <w:pPr>
              <w:spacing w:after="0"/>
              <w:rPr>
                <w:sz w:val="20"/>
                <w:szCs w:val="20"/>
                <w:color w:val="auto"/>
              </w:rPr>
            </w:pPr>
            <w:r>
              <w:rPr>
                <w:rFonts w:ascii="Arial" w:cs="Arial" w:eastAsia="Arial" w:hAnsi="Arial"/>
                <w:sz w:val="18"/>
                <w:szCs w:val="18"/>
                <w:color w:val="auto"/>
              </w:rPr>
              <w:t>THE TORO COMPANY AND SUBSIDIARIES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Earnings (Unaudited)</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(Dollars and shares in thousands, except per share data)</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2, 2019</w:t>
            </w:r>
          </w:p>
        </w:tc>
        <w:tc>
          <w:tcPr>
            <w:tcW w:w="2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2, 2019</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838,713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655,821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2,403,705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2,079,347</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572,732</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422,168</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1,600,809</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1,317,399</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265,981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233,653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802,896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761,948</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192,037</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140,759</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521,173</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431,859</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73,944</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92,894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281,723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330,089</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(9,004)</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(20,440)</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(14,214)</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6,295</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5,057</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17,152</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12,951</w:t>
            </w:r>
          </w:p>
        </w:tc>
      </w:tr>
      <w:tr>
        <w:trPr>
          <w:trHeight w:val="237"/>
        </w:trPr>
        <w:tc>
          <w:tcPr>
            <w:tcW w:w="5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71,235</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93,275</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278,435</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328,826</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10,628</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14,266</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42,718</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95,924</w:t>
            </w:r>
          </w:p>
        </w:tc>
      </w:tr>
      <w:tr>
        <w:trPr>
          <w:trHeight w:val="237"/>
        </w:trPr>
        <w:tc>
          <w:tcPr>
            <w:tcW w:w="5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60,607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79,009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235,717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232,902</w:t>
            </w:r>
          </w:p>
        </w:tc>
      </w:tr>
      <w:tr>
        <w:trPr>
          <w:trHeight w:val="67"/>
        </w:trPr>
        <w:tc>
          <w:tcPr>
            <w:tcW w:w="128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9"/>
        </w:trPr>
        <w:tc>
          <w:tcPr>
            <w:tcW w:w="5000" w:type="dxa"/>
            <w:vAlign w:val="bottom"/>
            <w:gridSpan w:val="2"/>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 Basic</w:t>
            </w:r>
          </w:p>
        </w:tc>
        <w:tc>
          <w:tcPr>
            <w:tcW w:w="3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107,005</w:t>
            </w:r>
          </w:p>
        </w:tc>
        <w:tc>
          <w:tcPr>
            <w:tcW w:w="2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105,751</w:t>
            </w:r>
          </w:p>
        </w:tc>
        <w:tc>
          <w:tcPr>
            <w:tcW w:w="2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106,644</w:t>
            </w:r>
          </w:p>
        </w:tc>
        <w:tc>
          <w:tcPr>
            <w:tcW w:w="2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106,474</w:t>
            </w:r>
          </w:p>
        </w:tc>
      </w:tr>
      <w:tr>
        <w:trPr>
          <w:trHeight w:val="27"/>
        </w:trPr>
        <w:tc>
          <w:tcPr>
            <w:tcW w:w="1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9"/>
        </w:trPr>
        <w:tc>
          <w:tcPr>
            <w:tcW w:w="5000" w:type="dxa"/>
            <w:vAlign w:val="bottom"/>
            <w:gridSpan w:val="2"/>
          </w:tcPr>
          <w:p>
            <w:pPr>
              <w:ind w:left="40"/>
              <w:spacing w:after="0"/>
              <w:rPr>
                <w:sz w:val="20"/>
                <w:szCs w:val="20"/>
                <w:color w:val="auto"/>
              </w:rPr>
            </w:pPr>
            <w:r>
              <w:rPr>
                <w:rFonts w:ascii="Arial" w:cs="Arial" w:eastAsia="Arial" w:hAnsi="Arial"/>
                <w:sz w:val="18"/>
                <w:szCs w:val="18"/>
                <w:color w:val="auto"/>
                <w:w w:val="92"/>
              </w:rPr>
              <w:t>Weighted-average number of shares of common stock outstanding</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 Diluted</w:t>
            </w:r>
          </w:p>
        </w:tc>
        <w:tc>
          <w:tcPr>
            <w:tcW w:w="3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108,253</w:t>
            </w:r>
          </w:p>
        </w:tc>
        <w:tc>
          <w:tcPr>
            <w:tcW w:w="2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108,070</w:t>
            </w:r>
          </w:p>
        </w:tc>
        <w:tc>
          <w:tcPr>
            <w:tcW w:w="2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108,024</w:t>
            </w:r>
          </w:p>
        </w:tc>
        <w:tc>
          <w:tcPr>
            <w:tcW w:w="2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108,930</w:t>
            </w:r>
          </w:p>
        </w:tc>
      </w:tr>
      <w:tr>
        <w:trPr>
          <w:trHeight w:val="27"/>
        </w:trPr>
        <w:tc>
          <w:tcPr>
            <w:tcW w:w="12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2, 2019</w:t>
            </w:r>
          </w:p>
        </w:tc>
        <w:tc>
          <w:tcPr>
            <w:tcW w:w="2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2, 2019</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4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60,607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79,009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235,717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232,902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w w:val="98"/>
              </w:rPr>
              <w:t>Derivative instruments, net of tax of $701; $485; $347; and</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$1,318, respectively</w:t>
            </w:r>
          </w:p>
        </w:tc>
        <w:tc>
          <w:tcPr>
            <w:tcW w:w="48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2,263</w:t>
            </w:r>
          </w:p>
        </w:tc>
        <w:tc>
          <w:tcPr>
            <w:tcW w:w="2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1,449</w:t>
            </w:r>
          </w:p>
        </w:tc>
        <w:tc>
          <w:tcPr>
            <w:tcW w:w="2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1,420</w:t>
            </w:r>
          </w:p>
        </w:tc>
        <w:tc>
          <w:tcPr>
            <w:tcW w:w="2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2,705</w:t>
            </w:r>
          </w:p>
        </w:tc>
      </w:tr>
      <w:tr>
        <w:trPr>
          <w:trHeight w:val="27"/>
        </w:trPr>
        <w:tc>
          <w:tcPr>
            <w:tcW w:w="4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37"/>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59,055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76,170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232,986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233,443</w:t>
            </w:r>
          </w:p>
        </w:tc>
      </w:tr>
      <w:tr>
        <w:trPr>
          <w:trHeight w:val="27"/>
        </w:trPr>
        <w:tc>
          <w:tcPr>
            <w:tcW w:w="4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 2019</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October 31, 2018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67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143,317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250,871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289,124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312,239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219,469</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193,178</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620,612</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364,497</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358,259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54,235</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38,187</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54,076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1,130,403</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873,024</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894,637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gross</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1,122,150</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915,667</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928,981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695,735</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666,165</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657,522</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426,415</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249,502</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271,459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3,603</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43,590</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38,252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380,503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225,369</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225,290</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319,886</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107,700</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105,649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48,923</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35,572</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35,697</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2,309,733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1,534,757</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1,570,984</w:t>
            </w:r>
          </w:p>
        </w:tc>
      </w:tr>
      <w:tr>
        <w:trPr>
          <w:trHeight w:val="67"/>
        </w:trPr>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03"/>
        </w:trPr>
        <w:tc>
          <w:tcPr>
            <w:tcW w:w="6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99,877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304,661</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229,041</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256,575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351,865</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282,634</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276,060</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756,403</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511,675</w:t>
            </w: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532,635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620,804</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312,481</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312,549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46,940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1,728</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41,764</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58,629</w:t>
            </w:r>
          </w:p>
        </w:tc>
        <w:tc>
          <w:tcPr>
            <w:tcW w:w="4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55,487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Preferred stock, par value $1.00 per share, authorized 1,000,000 voting and 850,000 non-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voting shares, none issued and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4"/>
              </w:rPr>
              <w:t>Common stock, par value $1.00 per share, authorized 175,000,000 shares; issued and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w w:val="90"/>
              </w:rPr>
              <w:t>outstanding 106,549,344 shares as of August 2, 2019, 105,297,097 shares as of August 3,</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2018, and 105,600,652 shares as of October 31, 2018</w:t>
            </w:r>
          </w:p>
        </w:tc>
        <w:tc>
          <w:tcPr>
            <w:tcW w:w="2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106,549</w:t>
            </w:r>
          </w:p>
        </w:tc>
        <w:tc>
          <w:tcPr>
            <w:tcW w:w="2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105,297</w:t>
            </w:r>
          </w:p>
        </w:tc>
        <w:tc>
          <w:tcPr>
            <w:tcW w:w="4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105,601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763,941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568,385</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587,252</w:t>
            </w:r>
          </w:p>
        </w:tc>
      </w:tr>
      <w:tr>
        <w:trPr>
          <w:trHeight w:val="243"/>
        </w:trPr>
        <w:tc>
          <w:tcPr>
            <w:tcW w:w="40" w:type="dxa"/>
            <w:vAlign w:val="bottom"/>
          </w:tcPr>
          <w:p>
            <w:pPr>
              <w:spacing w:after="0"/>
              <w:rPr>
                <w:sz w:val="21"/>
                <w:szCs w:val="21"/>
                <w:color w:val="auto"/>
              </w:rPr>
            </w:pPr>
          </w:p>
        </w:tc>
        <w:tc>
          <w:tcPr>
            <w:tcW w:w="6660" w:type="dxa"/>
            <w:vAlign w:val="bottom"/>
            <w:gridSpan w:val="3"/>
          </w:tcPr>
          <w:p>
            <w:pPr>
              <w:ind w:left="1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(26,668)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(23,438)</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(23,937)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843,822</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650,244</w:t>
            </w: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668,916</w:t>
            </w:r>
          </w:p>
        </w:tc>
      </w:tr>
      <w:tr>
        <w:trPr>
          <w:trHeight w:val="237"/>
        </w:trPr>
        <w:tc>
          <w:tcPr>
            <w:tcW w:w="6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2,309,733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1,534,757</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1,570,984</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 2019</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235,717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232,902</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(9,135)</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(8,564)</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finance affiliate, net</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6,569</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11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48,770</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36,183</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other intangible assets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13,633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5,725</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Fair value step-up adjustment to acquired inventory</w:t>
            </w:r>
          </w:p>
        </w:tc>
        <w:tc>
          <w:tcPr>
            <w:tcW w:w="11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31,304</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10,258</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8,588</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20,381</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4,440</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(34,996)</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(54,541)</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(33,554)</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10,734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1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15,361</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32,690</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259,113</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259,369</w:t>
            </w:r>
          </w:p>
        </w:tc>
      </w:tr>
      <w:tr>
        <w:trPr>
          <w:trHeight w:val="291"/>
        </w:trPr>
        <w:tc>
          <w:tcPr>
            <w:tcW w:w="7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(56,801)</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(51,938)</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disposals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4,636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Investment in unconsolidated entities</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(6,417)</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(691,822)</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(31,202)</w:t>
            </w:r>
          </w:p>
        </w:tc>
      </w:tr>
      <w:tr>
        <w:trPr>
          <w:trHeight w:val="237"/>
        </w:trPr>
        <w:tc>
          <w:tcPr>
            <w:tcW w:w="7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(744,137)</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(89,557)</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debt arrangements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900,000</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Repayments under debt arrangements</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(491,000)</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(19,757)</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25,482</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10,165</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(3,884)</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Toro common stock</w:t>
            </w: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(151,481)</w:t>
            </w:r>
          </w:p>
        </w:tc>
      </w:tr>
      <w:tr>
        <w:trPr>
          <w:trHeight w:val="243"/>
        </w:trPr>
        <w:tc>
          <w:tcPr>
            <w:tcW w:w="7340" w:type="dxa"/>
            <w:vAlign w:val="bottom"/>
          </w:tcPr>
          <w:p>
            <w:pPr>
              <w:ind w:left="180"/>
              <w:spacing w:after="0"/>
              <w:rPr>
                <w:sz w:val="20"/>
                <w:szCs w:val="20"/>
                <w:color w:val="auto"/>
              </w:rPr>
            </w:pPr>
            <w:r>
              <w:rPr>
                <w:rFonts w:ascii="Arial" w:cs="Arial" w:eastAsia="Arial" w:hAnsi="Arial"/>
                <w:sz w:val="18"/>
                <w:szCs w:val="18"/>
                <w:color w:val="auto"/>
              </w:rPr>
              <w:t>Dividends paid on Toro common stock</w:t>
            </w:r>
          </w:p>
        </w:tc>
        <w:tc>
          <w:tcPr>
            <w:tcW w:w="1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(72,009)</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(63,808)</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339,798</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(228,765)</w:t>
            </w:r>
          </w:p>
        </w:tc>
      </w:tr>
      <w:tr>
        <w:trPr>
          <w:trHeight w:val="291"/>
        </w:trPr>
        <w:tc>
          <w:tcPr>
            <w:tcW w:w="7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91"/>
        </w:trPr>
        <w:tc>
          <w:tcPr>
            <w:tcW w:w="7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(145,807)</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(59,385)</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289,124</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310,256</w:t>
            </w:r>
          </w:p>
        </w:tc>
      </w:tr>
      <w:tr>
        <w:trPr>
          <w:trHeight w:val="27"/>
        </w:trPr>
        <w:tc>
          <w:tcPr>
            <w:tcW w:w="7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143,317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250,871</w:t>
            </w:r>
          </w:p>
        </w:tc>
      </w:tr>
      <w:tr>
        <w:trPr>
          <w:trHeight w:val="20"/>
        </w:trPr>
        <w:tc>
          <w:tcPr>
            <w:tcW w:w="7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Accumulated Other</w:t>
            </w:r>
          </w:p>
        </w:tc>
        <w:tc>
          <w:tcPr>
            <w:tcW w:w="220" w:type="dxa"/>
            <w:vAlign w:val="bottom"/>
          </w:tcPr>
          <w:p>
            <w:pPr>
              <w:spacing w:after="0"/>
              <w:rPr>
                <w:sz w:val="14"/>
                <w:szCs w:val="14"/>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Total Stockholders'</w:t>
            </w:r>
          </w:p>
        </w:tc>
      </w:tr>
      <w:tr>
        <w:trPr>
          <w:trHeight w:val="192"/>
        </w:trPr>
        <w:tc>
          <w:tcPr>
            <w:tcW w:w="5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0"/>
              </w:rPr>
              <w:t>Comprehensive Loss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Equity</w:t>
            </w:r>
          </w:p>
        </w:tc>
      </w:tr>
      <w:tr>
        <w:trPr>
          <w:trHeight w:val="264"/>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May 3, 2019</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106,434</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723,959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805,277</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Cash dividends paid on common stock - $0.225 per share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(24,079)</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(24,079)</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Issuance of 126,514 shares for stock options exercised and restricted stock units vested</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948</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3,233</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3,233</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10,885 shares of common stock</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(1,552)</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(1,552)</w:t>
            </w:r>
          </w:p>
        </w:tc>
      </w:tr>
      <w:tr>
        <w:trPr>
          <w:trHeight w:val="270"/>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60,607</w:t>
            </w: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60,607</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August 2, 2019</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106,549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763,941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(26,668)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843,822</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5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58"/>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October 31, 2018</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105,601</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587,252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668,916</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Cash dividends paid on common stock - $0.675 per share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(72,009)</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(72,009)</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Issuance of 1,351,822 shares for stock options exercised and restricted stock units vested</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1,351</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22,727</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24,078</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10,258</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10,258</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 of stock to a deferred compensation trust</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1,404</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1,404</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Purchase of 403,130 shares of common stock</w:t>
            </w:r>
          </w:p>
        </w:tc>
        <w:tc>
          <w:tcPr>
            <w:tcW w:w="4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(22,272)</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(22,675)</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transition adjustment due to the adoption of ASU 2014-09</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864</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(2,731)</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(2,731)</w:t>
            </w:r>
          </w:p>
        </w:tc>
      </w:tr>
      <w:tr>
        <w:trPr>
          <w:trHeight w:val="270"/>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235,717</w:t>
            </w: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235,717</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August 2, 2019</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106,549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763,941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(26,668)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843,822</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5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58"/>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May 4, 2018</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105,456</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538,470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(20,599)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623,327</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Cash dividends paid on common stock - $0.20 per share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(21,129)</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(21,129)</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Issuance of 435,347 shares for stock options exercised and restricted stock units vested</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3,951</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4,387</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3,023</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3,023</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 of stock to a deferred compensation trust</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Purchase of 594,438 shares of common stock</w:t>
            </w:r>
          </w:p>
        </w:tc>
        <w:tc>
          <w:tcPr>
            <w:tcW w:w="4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(595)</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(35,068)</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(35,663)</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(2,839)</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earnings</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79,009</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79,009</w:t>
            </w:r>
          </w:p>
        </w:tc>
      </w:tr>
      <w:tr>
        <w:trPr>
          <w:trHeight w:val="264"/>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August 3, 2018</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105,297</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568,385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650,244</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5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58"/>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October 31, 2017</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106,883</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534,329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617,092</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Cash dividends paid on common stock - $0.60 per share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(63,808)</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(63,808)</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Issuance of 1,044,600 shares for stock options exercised and restricted stock units vested</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1,045</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7,683</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8,728</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8,588</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8,588</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 of stock to a deferred compensation trust</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1,566</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1,566</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Purchase of 2,630,475 shares of common stock</w:t>
            </w:r>
          </w:p>
        </w:tc>
        <w:tc>
          <w:tcPr>
            <w:tcW w:w="4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(2,631)</w:t>
            </w: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(152,734)</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(155,365)</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due to the adoption of ASU 2018-02</w:t>
            </w: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4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541</w:t>
            </w:r>
          </w:p>
        </w:tc>
        <w:tc>
          <w:tcPr>
            <w:tcW w:w="2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541</w:t>
            </w:r>
          </w:p>
        </w:tc>
      </w:tr>
      <w:tr>
        <w:trPr>
          <w:trHeight w:val="270"/>
        </w:trPr>
        <w:tc>
          <w:tcPr>
            <w:tcW w:w="5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232,902</w:t>
            </w: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232,902</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August 3, 2018</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105,297</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568,385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650,244</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2"/>
        </w:trPr>
        <w:tc>
          <w:tcPr>
            <w:tcW w:w="54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"Toro," "we," "our," or "us" refer to The Toro Company and its consolidated subsidiaries. All intercompany accounts and transactions have been eliminated from the unaudited Condensed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Since the company’s business is seasonal, operating results for the nine months ended August 2, 2019 cannot be annualized to determine the expected results for the fiscal year ending October 31, 2019.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completed its acquisition of The Charles Machine Works, Inc. ("CMW") on April 1, 2019. CMW's financial position, results of operations, and cash flows are reported based on a calendar month end; and accordingly, July 31, 2019 was the period end closest to the company's fiscal third quarter ended August 2, 2019. This reporting period difference did not have a significant impact on the Consolidated Financial Position, Results of Operations, and Cash Flows of the company as of and for the three and nine month periods ended August 2, 2019.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 regarding the company's acquisition of CMW.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information regarding the company's basis of presentation, refer to the Consolidated Financial Statements and Notes to Consolidated Financial Statements included in the company’s Annual Report on Form 10-K for the fiscal year ended October 31, 2018. The policies described in that report are used for preparing quarterly reports.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reserves, allowance for doubtful accounts, pension and post-retirement accruals, self-insurance accruals, useful lives for tangible and definite-lived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Updates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that updates the principles for recognizing revenue. The core principle of the guidance is that an entity should recognize revenue to depict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deferred the effective date of this standard by one year. The company adopted ASU 2014-09 effective November 1, 2018, during the first quarter of fiscal 2019, using the modified retrospective method of adoption, which was applied to all contracts for which the company's performance obligations were not completed as of October 31, 2018. In adopting ASU 2014-09, the company elected the following allowable exemptions or practical expedients:</w:t>
      </w:r>
    </w:p>
    <w:p>
      <w:pPr>
        <w:spacing w:after="0" w:line="18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Portfolio approach practical expedient relative to the estimation of variable consideration.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Shipping and handling practical expedient to account for shipping and handling activities that occur after control of the related good transfers as fulfillment activities.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obtaining a contract practical expedient to recognize the incremental costs of obtaining a contract as an expense when incurred if the amortization period of the asset is one year or less.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Immaterial goods or services practical expedient to not assess whether promised goods or services are performance obligations if they are immaterial in the context of the contract with the customer.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taxes practical expedient to exclude sales taxes and other similar taxes from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Exemption to not disclose the unfulfilled performance obligation balance for contracts with an original length of one year or less.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Upon adoption of ASU 2014-09, the company recognized an immaterial transition adjustment within the company's fiscal 2019 beginning retained earnings balance on the Condensed Consolidated Balance Sheets for the cumulative effect of the change in accounting standard. Results for reporting periods beginning after November 1, 2018 are presented under the guidelines of Accounting Standards Codification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while prior reporting period amounts have not been adjusted and continue to be reported under ASC 605,</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The adoption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ASU 2014-09 did not materially impact the amount of revenue recognized or any other financial statement line item as of and for the three and nine months ended August 2, 2019. Additionally, the company identified and implemented the appropriate changes to its business processes, information systems, and internal controls to support the preparation of financial information, which did not materially affect the company's internal controls over financial reporting. Refer to Note 4, </w:t>
      </w:r>
      <w:r>
        <w:rPr>
          <w:rFonts w:ascii="Arial" w:cs="Arial" w:eastAsia="Arial" w:hAnsi="Arial"/>
          <w:sz w:val="17"/>
          <w:szCs w:val="17"/>
          <w:i w:val="1"/>
          <w:iCs w:val="1"/>
          <w:color w:val="auto"/>
        </w:rPr>
        <w:t>Revenue</w:t>
      </w:r>
      <w:r>
        <w:rPr>
          <w:rFonts w:ascii="Arial" w:cs="Arial" w:eastAsia="Arial" w:hAnsi="Arial"/>
          <w:sz w:val="17"/>
          <w:szCs w:val="17"/>
          <w:color w:val="auto"/>
        </w:rPr>
        <w:t>, for the additional disclosures required under ASC 606.</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on the types of changes to the terms or conditions of share-based payment awards to which an entity would be required to apply modification accounting under Topic 718. The amended guidance was adopted in the first quarter of fiscal 2019 and did not have a material impact on the company's Condensed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2019, the FASB issued ASU No. 2019-07, </w:t>
      </w:r>
      <w:r>
        <w:rPr>
          <w:rFonts w:ascii="Arial" w:cs="Arial" w:eastAsia="Arial" w:hAnsi="Arial"/>
          <w:sz w:val="18"/>
          <w:szCs w:val="18"/>
          <w:i w:val="1"/>
          <w:iCs w:val="1"/>
          <w:color w:val="auto"/>
        </w:rPr>
        <w:t>Codification Updates to SEC Sections - Amendments to SEC Paragraphs Pursuant to SEC Final Rule</w:t>
      </w:r>
      <w:r>
        <w:rPr>
          <w:rFonts w:ascii="Arial" w:cs="Arial" w:eastAsia="Arial" w:hAnsi="Arial"/>
          <w:sz w:val="18"/>
          <w:szCs w:val="18"/>
          <w:color w:val="auto"/>
        </w:rPr>
        <w:t xml:space="preserve"> </w:t>
      </w:r>
      <w:r>
        <w:rPr>
          <w:rFonts w:ascii="Arial" w:cs="Arial" w:eastAsia="Arial" w:hAnsi="Arial"/>
          <w:sz w:val="18"/>
          <w:szCs w:val="18"/>
          <w:i w:val="1"/>
          <w:iCs w:val="1"/>
          <w:color w:val="auto"/>
        </w:rPr>
        <w:t>Releases No. 33-10532, Disclosure Update and Simplification, and Nos. 33-10231 and 33-10442, Investment Company Reporting Modernization, and Miscellaneous Updates</w:t>
      </w:r>
      <w:r>
        <w:rPr>
          <w:rFonts w:ascii="Arial" w:cs="Arial" w:eastAsia="Arial" w:hAnsi="Arial"/>
          <w:sz w:val="18"/>
          <w:szCs w:val="18"/>
          <w:color w:val="auto"/>
        </w:rPr>
        <w:t>, which aligns the guidance in various SEC sections of the FASB ASC with the requirements of certain already effective SEC final</w:t>
      </w:r>
      <w:r>
        <w:rPr>
          <w:rFonts w:ascii="Arial" w:cs="Arial" w:eastAsia="Arial" w:hAnsi="Arial"/>
          <w:sz w:val="18"/>
          <w:szCs w:val="18"/>
          <w:i w:val="1"/>
          <w:iCs w:val="1"/>
          <w:color w:val="auto"/>
        </w:rPr>
        <w:t xml:space="preserve"> </w:t>
      </w:r>
      <w:r>
        <w:rPr>
          <w:rFonts w:ascii="Arial" w:cs="Arial" w:eastAsia="Arial" w:hAnsi="Arial"/>
          <w:sz w:val="18"/>
          <w:szCs w:val="18"/>
          <w:color w:val="auto"/>
        </w:rPr>
        <w:t>rules. ASU 2019-07 is effective immediately during the company's third quarter of fiscal 2019 and did not have a material impact on the company's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Charles Machine Works, Inc.</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 2019 ("closing date"), pursuant to the Agreement and Plan of Merger dated February 14, 2019 ("merger agreement"), the company completed the acquisition of CMW, a privately held Oklahoma corporation. CMW designs, manufactures, and sells a range of professional products to serve the underground construction market, including horizontal directional drills, walk and ride trenchers, utility loaders, vacuum excavators, asset locators, pipe rehabilitation solutions, and after-market tools. CMW provides innovative product offerings that broaden and strengthen the company's Professional segment product portfolio and expands its dealer network, while also providing a complementary geographic manufacturing footprint. The transaction was structured as a merger, pursuant to which a wholly-owned subsidiary of the company merged with and into CMW, with CMW continuing as the surviving entity and a wholly-owned subsidiary of the company. As a result of the merger, all of the outstanding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equity securities of CMW were canceled and now only represent the right to receive the applicable consideration as described in the merger agreement. The preliminary aggregate merger consideration was $679.3 million ("purchase price"), and remains subject to customary adjustments based on, among other things, the amount of actual cash, debt and working capital in the business of CMW at the closing date. Such customary adjustments are expected to be completed during fiscal 2019. The company funded the preliminary purchase price for the acquisition by using a combination of cash proceeds from the issuance of borrowings under the company's unsecured senior term loan credit agreement and borrowings from the company's unsecured senior revolving credit facility. For additional information regarding the financing agreements utilized to fund the purchase price, refer to Note 6, </w:t>
      </w:r>
      <w:r>
        <w:rPr>
          <w:rFonts w:ascii="Arial" w:cs="Arial" w:eastAsia="Arial" w:hAnsi="Arial"/>
          <w:sz w:val="17"/>
          <w:szCs w:val="17"/>
          <w:i w:val="1"/>
          <w:iCs w:val="1"/>
          <w:color w:val="auto"/>
        </w:rPr>
        <w:t>Indebtedness</w:t>
      </w:r>
      <w:r>
        <w:rPr>
          <w:rFonts w:ascii="Arial" w:cs="Arial" w:eastAsia="Arial" w:hAnsi="Arial"/>
          <w:sz w:val="17"/>
          <w:szCs w:val="17"/>
          <w:color w:val="auto"/>
        </w:rPr>
        <w:t>. The company has incurred approximately $0.5 million and $10.2 million of acquisition-related transaction costs during the three and nine month periods ended August 2, 2019, respectively. These acquisition-related transaction costs are recorded within selling, general and administrative expense within the Condensed Consolidated Statements of Earnings.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accounted for the acquisition in accordance with the accounting standards codification guidance for business combinations, whereby the total preliminary purchase price was allocated to the acquired net tangible and intangible assets of CMW based on their fair values as of the closing date. The company believes that the information available as of the closing date provides a reasonable basis for estimating the fair values of the assets acquired and liabilities assumed; however, the company is continuing to finalize these amounts, particularly with respect to income taxes and valuations of inventories, fixed assets, and intangible assets. Thus, the preliminary measurements of fair value reflected are subject to change as additional information becomes available and as additional analysis is performed. The company expects to finalize the valuation and complete the allocation of the purchase price as soon as practicable, but no later than one year from the closing date of the acquisition, as required.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allocation of the preliminary purchase price to the values assigned to the CMW assets acquired and liabilities assumed. These values are based on internal company and independent external third-party valuations and are subject to change as certain asset and liability valuations are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35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1, 2019</w:t>
            </w:r>
          </w:p>
        </w:tc>
      </w:tr>
      <w:tr>
        <w:trPr>
          <w:trHeight w:val="27"/>
        </w:trPr>
        <w:tc>
          <w:tcPr>
            <w:tcW w:w="65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Receivables</w:t>
            </w:r>
          </w:p>
        </w:tc>
        <w:tc>
          <w:tcPr>
            <w:tcW w:w="3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65,674</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242,594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9,218</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142,405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154,040</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227,280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35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7,971</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(46,866)</w:t>
            </w:r>
          </w:p>
        </w:tc>
      </w:tr>
      <w:tr>
        <w:trPr>
          <w:trHeight w:val="27"/>
        </w:trPr>
        <w:tc>
          <w:tcPr>
            <w:tcW w:w="65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(79,628)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(6,709)</w:t>
            </w:r>
          </w:p>
        </w:tc>
      </w:tr>
      <w:tr>
        <w:trPr>
          <w:trHeight w:val="27"/>
        </w:trPr>
        <w:tc>
          <w:tcPr>
            <w:tcW w:w="65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net assets acquired</w:t>
            </w:r>
          </w:p>
        </w:tc>
        <w:tc>
          <w:tcPr>
            <w:tcW w:w="35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695,665</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Less: cash and cash equivalents acquired</w:t>
            </w:r>
          </w:p>
        </w:tc>
        <w:tc>
          <w:tcPr>
            <w:tcW w:w="3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(16,341)</w:t>
            </w:r>
          </w:p>
        </w:tc>
      </w:tr>
      <w:tr>
        <w:trPr>
          <w:trHeight w:val="27"/>
        </w:trPr>
        <w:tc>
          <w:tcPr>
            <w:tcW w:w="65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3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679,324</w:t>
            </w:r>
          </w:p>
        </w:tc>
      </w:tr>
      <w:tr>
        <w:trPr>
          <w:trHeight w:val="20"/>
        </w:trPr>
        <w:tc>
          <w:tcPr>
            <w:tcW w:w="654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goodwill recognized is primarily attributable to the value of the workforce, the reputation of CMW and its family of brands, customer and dealer growth opportunities, and expected synergies. Key areas of expected cost synergies include increased purchasing power for commodities and component parts, supply chain consolidation, and administrative efficiencies. The goodwill resulting from the acquisition of CMW was recognized within the company's Professional segment and increased Professional segment goodwill to $368.6 million as of August 2, 2019 from $214.8 million as of October 31, 2018. Goodwill is expected to be mostly non-deductible for tax purposes. As permitted under the accounting standards codification guidance for business combinations, the company recorded a change in the carrying amount of goodwill for the three months ended August 2, 2019 as a result of purchase accounting adjustments primarily related to changes in the preliminary fair value calculations of acquired trade name intangible assets of $5.7 million, other long-term assets of $5.0 million, and deferred income tax liabilities of $4.1 million. Such purchase accounting adjustments did not have a material impact on the company's Condensed Consolidated Statements of Earnings for the three and nine month periods ended August 2, 2019.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 Acquired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allocation of the preliminary purchase price to the net assets acquired resulted in the recognition of $227.3 million of other intangible assets as of the closing date. The preliminary fair values of the acquired trade name, customer-related, developed technology and backlog intangible assets were estimated using the income approach. Under the income approach, an intangible asset's fair value is equal to the present value of future economic benefits to be derived from ownership of the asset. The preliminary fair values of the trade names were estimated using the relief from royalty method, which is based on the hypothetical royalty stream that would be received if the company were to license the trade name and was based on expected future revenues. The preliminary fair values of the customer-related, developed technology, and backlog intangible assets were determined using the excess earnings method. The preliminary fair values of such other intangible assets under the excess earnings method are based on the expected operating cash flows attributable to the respective other intangible asset, which were estimated by deducting economic costs, including operating expenses and contributory asset charges, from revenue expected to be generated from the respective other intangible asset. The preliminary useful lives of the intangible assets were determined based on the period of expected cash flows used to measure the preliminary fair value of the intangible assets adjusted as appropriate for entity-specific factors including legal, regulatory, contractual, competitive, economic, and/or other factors that may limit the useful life of the respective intangible asset.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preliminary fair values of the other intangible assets acquired on the closing date, related accumulated amortization from the closing date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2, 2019, and preliminary weighted-average useful lives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91440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Weighted-Average</w:t>
            </w:r>
          </w:p>
        </w:tc>
        <w:tc>
          <w:tcPr>
            <w:tcW w:w="1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Gross Carrying</w:t>
            </w:r>
          </w:p>
        </w:tc>
        <w:tc>
          <w:tcPr>
            <w:tcW w:w="26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2900" w:type="dxa"/>
            <w:vAlign w:val="bottom"/>
          </w:tcPr>
          <w:p>
            <w:pPr>
              <w:jc w:val="right"/>
              <w:ind w:right="270"/>
              <w:spacing w:after="0"/>
              <w:rPr>
                <w:sz w:val="20"/>
                <w:szCs w:val="20"/>
                <w:color w:val="auto"/>
              </w:rPr>
            </w:pPr>
            <w:r>
              <w:rPr>
                <w:rFonts w:ascii="Arial" w:cs="Arial" w:eastAsia="Arial" w:hAnsi="Arial"/>
                <w:sz w:val="18"/>
                <w:szCs w:val="18"/>
                <w:b w:val="1"/>
                <w:bCs w:val="1"/>
                <w:color w:val="auto"/>
              </w:rPr>
              <w:t>Useful Life</w:t>
            </w:r>
          </w:p>
        </w:tc>
        <w:tc>
          <w:tcPr>
            <w:tcW w:w="1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3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Customer-related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103,520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9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19,300</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18,236</w:t>
            </w:r>
          </w:p>
        </w:tc>
      </w:tr>
      <w:tr>
        <w:trPr>
          <w:trHeight w:val="27"/>
        </w:trPr>
        <w:tc>
          <w:tcPr>
            <w:tcW w:w="3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5,212</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Backlog</w:t>
            </w:r>
          </w:p>
        </w:tc>
        <w:tc>
          <w:tcPr>
            <w:tcW w:w="29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6,580</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(4,387)</w:t>
            </w: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2,193</w:t>
            </w:r>
          </w:p>
        </w:tc>
      </w:tr>
      <w:tr>
        <w:trPr>
          <w:trHeight w:val="27"/>
        </w:trPr>
        <w:tc>
          <w:tcPr>
            <w:tcW w:w="3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amortizable</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136,880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129,161</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Non-amortizable - trade names</w:t>
            </w: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90,400</w:t>
            </w:r>
          </w:p>
        </w:tc>
        <w:tc>
          <w:tcPr>
            <w:tcW w:w="2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90,400</w:t>
            </w:r>
          </w:p>
        </w:tc>
      </w:tr>
      <w:tr>
        <w:trPr>
          <w:trHeight w:val="27"/>
        </w:trPr>
        <w:tc>
          <w:tcPr>
            <w:tcW w:w="3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 net</w:t>
            </w:r>
          </w:p>
        </w:tc>
        <w:tc>
          <w:tcPr>
            <w:tcW w:w="2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227,280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219,561</w:t>
            </w:r>
          </w:p>
        </w:tc>
      </w:tr>
      <w:tr>
        <w:trPr>
          <w:trHeight w:val="20"/>
        </w:trPr>
        <w:tc>
          <w:tcPr>
            <w:tcW w:w="376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the definite-lived intangible assets resulting from the acquisition of CMW for the three and nine month periods ended August 2, 2019 was $5.8 million and $7.7 million, respectively. Estimated amortization expense for the remainder of fiscal 2019 and succeeding fiscal years is as follows: fiscal 2019 (remainder), $4.7 million; fiscal 2020, $10.0 million; fiscal 2021, $10.0 million; fiscal 2022, $9.4 million; fiscal 2023, $8.5 million; fiscal 2024, $8.1 million; and after fiscal 2024, $78.5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CMW's results of operations have been included within the Professional segment in the company's Condensed Consolidated Financial Statements from the closing date. During the three month period ended August 2, 2019, the company recognized $199.6 million and $8.4 million of net sales and segment loss from CMW's operations, respectively. During the nine month period ended August 2, 2019, the company recognized $270.5 million and $12.5 million of net sales and segment loss from CMW's operations, respectively. Segment loss for the three and nine month periods ended August 2, 2019 includes charges of $26.2 million and $35.7 million, respectively, for the take-down of the inventory fair value step-up amount and amortization of the backlog intangible asset resulting from purchase accounting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Unaudited pro forma financial information has been prepared as if the acquisition had taken place on November 1, 2017 and has been prepared for comparative purposes only. The unaudited pro forma financial information is not necessarily indicative of the results that would have been achieved had the acquisition actually taken place on November 1, 2017 and the unaudited pro forma financial information does not purport to be indicative of future Consolidated Results of Operations. The unaudited pro forma financial information does not reflect any synergies, operating efficiencies, and/or cost savings that may be realized from the integration of the acquisition. The unaudited pro forma results for the three and nine month periods ended August 2, 2019 and August 3, 2018 have been adjusted to exclude the pro forma impact of the take-down of the inventory fair value step-up amount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amortization of the backlog intangible asset; include the pro forma impact of amortization of other intangible assets, excluding backlog, based on the estimated purchase price allocations and estimated useful lives; include the pro forma impact of the depreciation of property, plant, and equipment based on the estimated purchase price allocations and estimated useful lives; include the pro forma impact of additional interest expense relating to the acquisition; exclude the pro forma impact of transaction costs incurred by the company directly attributable to the acquisition; and include the pro forma tax effect of both earnings before income taxes and the pro forma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unaudited pro forma financial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 except per share data)</w:t>
            </w:r>
          </w:p>
        </w:tc>
        <w:tc>
          <w:tcPr>
            <w:tcW w:w="94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August 2, 2019</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2, 2019</w:t>
            </w:r>
          </w:p>
        </w:tc>
        <w:tc>
          <w:tcPr>
            <w:tcW w:w="2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4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838,713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854,314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2,702,956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2,603,850</w:t>
            </w:r>
          </w:p>
        </w:tc>
      </w:tr>
      <w:tr>
        <w:trPr>
          <w:trHeight w:val="270"/>
        </w:trPr>
        <w:tc>
          <w:tcPr>
            <w:tcW w:w="4360" w:type="dxa"/>
            <w:vAlign w:val="bottom"/>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940" w:type="dxa"/>
            <w:vAlign w:val="bottom"/>
          </w:tcPr>
          <w:p>
            <w:pPr>
              <w:spacing w:after="0"/>
              <w:rPr>
                <w:sz w:val="23"/>
                <w:szCs w:val="23"/>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87,180</w:t>
            </w:r>
          </w:p>
        </w:tc>
        <w:tc>
          <w:tcPr>
            <w:tcW w:w="2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85,647</w:t>
            </w:r>
          </w:p>
        </w:tc>
        <w:tc>
          <w:tcPr>
            <w:tcW w:w="2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320,740</w:t>
            </w:r>
          </w:p>
        </w:tc>
        <w:tc>
          <w:tcPr>
            <w:tcW w:w="2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237,935</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70"/>
        </w:trPr>
        <w:tc>
          <w:tcPr>
            <w:tcW w:w="43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Diluted net earnings per share of common stock</w:t>
            </w:r>
            <w:r>
              <w:rPr>
                <w:rFonts w:ascii="Arial" w:cs="Arial" w:eastAsia="Arial" w:hAnsi="Arial"/>
                <w:sz w:val="25"/>
                <w:szCs w:val="25"/>
                <w:color w:val="auto"/>
                <w:vertAlign w:val="superscript"/>
              </w:rPr>
              <w:t>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bl>
    <w:p>
      <w:pPr>
        <w:spacing w:after="0" w:line="162" w:lineRule="exact"/>
        <w:rPr>
          <w:sz w:val="20"/>
          <w:szCs w:val="20"/>
          <w:color w:val="auto"/>
        </w:rPr>
      </w:pPr>
    </w:p>
    <w:p>
      <w:pPr>
        <w:jc w:val="both"/>
        <w:ind w:left="180" w:hanging="172"/>
        <w:spacing w:after="0" w:line="236" w:lineRule="auto"/>
        <w:tabs>
          <w:tab w:leader="none" w:pos="18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On January 1, 2019, CMW amended its retiree medical plans so that no employee hired, or rehired, after that date would be eligible for such retiree medical plans. CMW further amended its retiree medical plans on February 14, 2019 so that no employee who terminates employment after February 14, 2019 is eligible to participate in the retiree medical plans and to terminate its retiree medical plans effective December 31, 2019. The amendments and resulting termination of CMW's retiree medical plans resulted in a gain of approximately $45.8 million. This gain is reflected within net earnings in the unaudited pro forma financial information for the nine month period ended August 2, 2019. The impact on diluted net earnings per share of common stock for the nine month period ended August 2, 2019 was $0.42 per diluted share of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Northeastern U.S. Distribution Company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November 30, 2018, during the first quarter of fiscal 2019, the company completed the acquisition of substantially all of the assets of, and assumed certain liabilities of, a Northeastern U.S. distribution company.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 Additional purchase accounting disclosures have been omitted given the immateriality of this acquisition in relation to the company's Consolidated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 Rich Products, Inc.</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March 19, 2018, during the second quarter of fiscal 2018, the company completed the acquisition of substantially all of the assets of, and assumed certain liabilities of, L.T. Rich Products, Inc., a manufacturer of professional zero-turn spreader/sprayers, aerators, and snow and ice management equipment. The addition of these products has broadened and strengthened the company’s Professional segment solutions for landscape contractors and grounds professionals.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 Additional purchase accounting disclosures have been omitted given the immateriality of this acquisition in relation to the company's Consolidated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Segment Data</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determined it has ten operating segments and has aggregated certain of those operating segments into two reportable segments: Professional and Residential. The aggregation of the company's operating segments is based on the operating segments having the following similarities: economic characteristics, types of products and services, types of production processes, type or class of customers, and method of distribution. The company's remaining activities are presented as "Other" due to their insignificance. These Other activities consist of the company's wholly-owned domestic distribution companies, the company's corporate activities, and the elimination of intersegment revenues and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August 2, 2019</w:t>
            </w:r>
          </w:p>
        </w:tc>
        <w:tc>
          <w:tcPr>
            <w:tcW w:w="134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Residential</w:t>
            </w:r>
          </w:p>
        </w:tc>
        <w:tc>
          <w:tcPr>
            <w:tcW w:w="400" w:type="dxa"/>
            <w:vAlign w:val="bottom"/>
          </w:tcPr>
          <w:p>
            <w:pPr>
              <w:spacing w:after="0"/>
              <w:rPr>
                <w:sz w:val="23"/>
                <w:szCs w:val="23"/>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676,756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148,234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838,713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Intersegment gross sales (eliminations)</w:t>
            </w:r>
          </w:p>
        </w:tc>
        <w:tc>
          <w:tcPr>
            <w:tcW w:w="13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13,779</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(13,857)</w:t>
            </w:r>
          </w:p>
        </w:tc>
        <w:tc>
          <w:tcPr>
            <w:tcW w:w="4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81,592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71,235</w:t>
            </w:r>
          </w:p>
        </w:tc>
        <w:tc>
          <w:tcPr>
            <w:tcW w:w="20" w:type="dxa"/>
            <w:vAlign w:val="bottom"/>
            <w:tcBorders>
              <w:bottom w:val="single" w:sz="8" w:color="CCEEFF"/>
            </w:tcBorders>
            <w:shd w:val="clear" w:color="auto" w:fill="CCEEFF"/>
          </w:tcPr>
          <w:p>
            <w:pPr>
              <w:spacing w:after="0"/>
              <w:rPr>
                <w:sz w:val="23"/>
                <w:szCs w:val="23"/>
                <w:color w:val="auto"/>
              </w:rPr>
            </w:pPr>
          </w:p>
        </w:tc>
      </w:tr>
      <w:tr>
        <w:trPr>
          <w:trHeight w:val="129"/>
        </w:trPr>
        <w:tc>
          <w:tcPr>
            <w:tcW w:w="40" w:type="dxa"/>
            <w:vAlign w:val="bottom"/>
            <w:tcBorders>
              <w:top w:val="single" w:sz="8" w:color="auto"/>
            </w:tcBorders>
          </w:tcPr>
          <w:p>
            <w:pPr>
              <w:spacing w:after="0"/>
              <w:rPr>
                <w:sz w:val="11"/>
                <w:szCs w:val="11"/>
                <w:color w:val="auto"/>
              </w:rPr>
            </w:pPr>
          </w:p>
        </w:tc>
        <w:tc>
          <w:tcPr>
            <w:tcW w:w="398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r>
      <w:tr>
        <w:trPr>
          <w:trHeight w:val="237"/>
        </w:trPr>
        <w:tc>
          <w:tcPr>
            <w:tcW w:w="4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Nine Months Ended August 2, 2019</w:t>
            </w:r>
          </w:p>
        </w:tc>
        <w:tc>
          <w:tcPr>
            <w:tcW w:w="134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Residential</w:t>
            </w:r>
          </w:p>
        </w:tc>
        <w:tc>
          <w:tcPr>
            <w:tcW w:w="40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1,855,268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525,539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22,898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2,403,705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Intersegment gross sales (eliminations)</w:t>
            </w:r>
          </w:p>
        </w:tc>
        <w:tc>
          <w:tcPr>
            <w:tcW w:w="13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51,104</w:t>
            </w:r>
          </w:p>
        </w:tc>
        <w:tc>
          <w:tcPr>
            <w:tcW w:w="3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257</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(51,361)</w:t>
            </w:r>
          </w:p>
        </w:tc>
        <w:tc>
          <w:tcPr>
            <w:tcW w:w="4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319,689</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51,253</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278,435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1,784,707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218,528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306,498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2,309,733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9"/>
        </w:trPr>
        <w:tc>
          <w:tcPr>
            <w:tcW w:w="40" w:type="dxa"/>
            <w:vAlign w:val="bottom"/>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37"/>
        </w:trPr>
        <w:tc>
          <w:tcPr>
            <w:tcW w:w="4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August 3, 2018</w:t>
            </w:r>
          </w:p>
        </w:tc>
        <w:tc>
          <w:tcPr>
            <w:tcW w:w="134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Residential</w:t>
            </w:r>
          </w:p>
        </w:tc>
        <w:tc>
          <w:tcPr>
            <w:tcW w:w="40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482,494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166,513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6,814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655,821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Intersegment gross sales (eliminations)</w:t>
            </w:r>
          </w:p>
        </w:tc>
        <w:tc>
          <w:tcPr>
            <w:tcW w:w="13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6,772</w:t>
            </w:r>
          </w:p>
        </w:tc>
        <w:tc>
          <w:tcPr>
            <w:tcW w:w="3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(6,862)</w:t>
            </w:r>
          </w:p>
        </w:tc>
        <w:tc>
          <w:tcPr>
            <w:tcW w:w="4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97,716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16,002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93,275</w:t>
            </w:r>
          </w:p>
        </w:tc>
        <w:tc>
          <w:tcPr>
            <w:tcW w:w="20" w:type="dxa"/>
            <w:vAlign w:val="bottom"/>
          </w:tcPr>
          <w:p>
            <w:pPr>
              <w:spacing w:after="0"/>
              <w:rPr>
                <w:sz w:val="23"/>
                <w:szCs w:val="23"/>
                <w:color w:val="auto"/>
              </w:rPr>
            </w:pPr>
          </w:p>
        </w:tc>
      </w:tr>
      <w:tr>
        <w:trPr>
          <w:trHeight w:val="129"/>
        </w:trPr>
        <w:tc>
          <w:tcPr>
            <w:tcW w:w="40" w:type="dxa"/>
            <w:vAlign w:val="bottom"/>
          </w:tcPr>
          <w:p>
            <w:pPr>
              <w:spacing w:after="0"/>
              <w:rPr>
                <w:sz w:val="11"/>
                <w:szCs w:val="11"/>
                <w:color w:val="auto"/>
              </w:rPr>
            </w:pPr>
          </w:p>
        </w:tc>
        <w:tc>
          <w:tcPr>
            <w:tcW w:w="398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37"/>
        </w:trPr>
        <w:tc>
          <w:tcPr>
            <w:tcW w:w="4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Nine Months Ended August 3, 2018</w:t>
            </w:r>
          </w:p>
        </w:tc>
        <w:tc>
          <w:tcPr>
            <w:tcW w:w="134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Residential</w:t>
            </w:r>
          </w:p>
        </w:tc>
        <w:tc>
          <w:tcPr>
            <w:tcW w:w="40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1,546,536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521,189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11,622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2,079,347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Intersegment gross sales (eliminations)</w:t>
            </w:r>
          </w:p>
        </w:tc>
        <w:tc>
          <w:tcPr>
            <w:tcW w:w="13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23,894</w:t>
            </w:r>
          </w:p>
        </w:tc>
        <w:tc>
          <w:tcPr>
            <w:tcW w:w="3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253</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(24,147)</w:t>
            </w:r>
          </w:p>
        </w:tc>
        <w:tc>
          <w:tcPr>
            <w:tcW w:w="4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338,607</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58,019</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(67,800)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328,826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919,800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207,930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407,027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1,534,757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operating loss before income taxes for the company's Other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3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84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2, 2019</w:t>
            </w:r>
          </w:p>
        </w:tc>
        <w:tc>
          <w:tcPr>
            <w:tcW w:w="2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2, 2019</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3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(67,094)</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(9,004)</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(20,440)</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(14,214)</w:t>
            </w:r>
          </w:p>
        </w:tc>
      </w:tr>
      <w:tr>
        <w:trPr>
          <w:trHeight w:val="27"/>
        </w:trPr>
        <w:tc>
          <w:tcPr>
            <w:tcW w:w="3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8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8,783</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5,830</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16,891</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13,508</w:t>
            </w:r>
          </w:p>
        </w:tc>
      </w:tr>
      <w:tr>
        <w:trPr>
          <w:trHeight w:val="237"/>
        </w:trPr>
        <w:tc>
          <w:tcPr>
            <w:tcW w:w="3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loss</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(26,508)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(92,507)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(67,800)</w:t>
            </w:r>
          </w:p>
        </w:tc>
      </w:tr>
      <w:tr>
        <w:trPr>
          <w:trHeight w:val="27"/>
        </w:trPr>
        <w:tc>
          <w:tcPr>
            <w:tcW w:w="3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72"/>
        </w:trPr>
        <w:tc>
          <w:tcPr>
            <w:tcW w:w="3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enters into contracts with its customers for the sale of products or rendering of services in the ordinary course of business. A contract with commercial substance exists at the time the company receives and accepts a purchase order under a sales contract with a customer. The company recognizes revenue when, or as, performance obligations under the terms of a contract with its customer are satisfied, which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sales promotions and incentives offered to customers, as well as anticipated product returns. A provision is made at the time revenue is recognized as a reduction of the transaction price for expected product returns, rebates, floor plan costs, and other sales promotion and incentive expenses.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the company's reportable segment net sales by major product type and geographic market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August 2, 2019</w:t>
            </w:r>
          </w:p>
        </w:tc>
        <w:tc>
          <w:tcPr>
            <w:tcW w:w="134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Professional</w:t>
            </w:r>
          </w:p>
        </w:tc>
        <w:tc>
          <w:tcPr>
            <w:tcW w:w="32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Residential</w:t>
            </w:r>
          </w:p>
        </w:tc>
        <w:tc>
          <w:tcPr>
            <w:tcW w:w="4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product type:</w:t>
            </w:r>
          </w:p>
        </w:tc>
        <w:tc>
          <w:tcPr>
            <w:tcW w:w="1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582,932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143,814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8,983</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735,729</w:t>
            </w:r>
          </w:p>
        </w:tc>
        <w:tc>
          <w:tcPr>
            <w:tcW w:w="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Irrigation</w:t>
            </w:r>
          </w:p>
        </w:tc>
        <w:tc>
          <w:tcPr>
            <w:tcW w:w="1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93,824</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102,984</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676,756</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148,234</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13,723</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838,713</w:t>
            </w:r>
          </w:p>
        </w:tc>
        <w:tc>
          <w:tcPr>
            <w:tcW w:w="60" w:type="dxa"/>
            <w:vAlign w:val="bottom"/>
            <w:tcBorders>
              <w:top w:val="single" w:sz="8" w:color="auto"/>
            </w:tcBorders>
          </w:tcPr>
          <w:p>
            <w:pPr>
              <w:spacing w:after="0"/>
              <w:rPr>
                <w:sz w:val="20"/>
                <w:szCs w:val="20"/>
                <w:color w:val="auto"/>
              </w:rPr>
            </w:pPr>
          </w:p>
        </w:tc>
      </w:tr>
      <w:tr>
        <w:trPr>
          <w:trHeight w:val="67"/>
        </w:trPr>
        <w:tc>
          <w:tcPr>
            <w:tcW w:w="40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305"/>
        </w:trPr>
        <w:tc>
          <w:tcPr>
            <w:tcW w:w="40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Revenue by geographic market:</w:t>
            </w:r>
          </w:p>
        </w:tc>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515,437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122,843</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652,003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Foreign Countries</w:t>
            </w:r>
          </w:p>
        </w:tc>
        <w:tc>
          <w:tcPr>
            <w:tcW w:w="1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161,319</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25,391</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186,710</w:t>
            </w:r>
          </w:p>
        </w:tc>
        <w:tc>
          <w:tcPr>
            <w:tcW w:w="60" w:type="dxa"/>
            <w:vAlign w:val="bottom"/>
          </w:tcPr>
          <w:p>
            <w:pPr>
              <w:spacing w:after="0"/>
              <w:rPr>
                <w:sz w:val="21"/>
                <w:szCs w:val="2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676,756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148,234</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838,713</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0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Nine Months Ended August 2, 2019</w:t>
            </w:r>
          </w:p>
        </w:tc>
        <w:tc>
          <w:tcPr>
            <w:tcW w:w="134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Residential</w:t>
            </w:r>
          </w:p>
        </w:tc>
        <w:tc>
          <w:tcPr>
            <w:tcW w:w="4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product type:</w:t>
            </w:r>
          </w:p>
        </w:tc>
        <w:tc>
          <w:tcPr>
            <w:tcW w:w="1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1,588,581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502,780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13,613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2,104,974</w:t>
            </w:r>
          </w:p>
        </w:tc>
        <w:tc>
          <w:tcPr>
            <w:tcW w:w="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Irrigation</w:t>
            </w:r>
          </w:p>
        </w:tc>
        <w:tc>
          <w:tcPr>
            <w:tcW w:w="1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266,687</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22,759</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9,285</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298,731</w:t>
            </w:r>
          </w:p>
        </w:tc>
        <w:tc>
          <w:tcPr>
            <w:tcW w:w="60" w:type="dxa"/>
            <w:vAlign w:val="bottom"/>
          </w:tcPr>
          <w:p>
            <w:pPr>
              <w:spacing w:after="0"/>
              <w:rPr>
                <w:sz w:val="23"/>
                <w:szCs w:val="23"/>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1,855,268</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525,539</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22,898</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2,403,705</w:t>
            </w:r>
          </w:p>
        </w:tc>
        <w:tc>
          <w:tcPr>
            <w:tcW w:w="60" w:type="dxa"/>
            <w:vAlign w:val="bottom"/>
          </w:tcPr>
          <w:p>
            <w:pPr>
              <w:spacing w:after="0"/>
              <w:rPr>
                <w:sz w:val="20"/>
                <w:szCs w:val="20"/>
                <w:color w:val="auto"/>
              </w:rPr>
            </w:pPr>
          </w:p>
        </w:tc>
      </w:tr>
      <w:tr>
        <w:trPr>
          <w:trHeight w:val="67"/>
        </w:trPr>
        <w:tc>
          <w:tcPr>
            <w:tcW w:w="40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5"/>
        </w:trPr>
        <w:tc>
          <w:tcPr>
            <w:tcW w:w="40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Revenue by geographic market:</w:t>
            </w:r>
          </w:p>
        </w:tc>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1,409,954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423,521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22,898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1,856,373</w:t>
            </w:r>
          </w:p>
        </w:tc>
        <w:tc>
          <w:tcPr>
            <w:tcW w:w="60" w:type="dxa"/>
            <w:vAlign w:val="bottom"/>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Foreign Countries</w:t>
            </w:r>
          </w:p>
        </w:tc>
        <w:tc>
          <w:tcPr>
            <w:tcW w:w="13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445,314</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102,018</w:t>
            </w:r>
          </w:p>
        </w:tc>
        <w:tc>
          <w:tcPr>
            <w:tcW w:w="4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547,332</w:t>
            </w:r>
          </w:p>
        </w:tc>
        <w:tc>
          <w:tcPr>
            <w:tcW w:w="60" w:type="dxa"/>
            <w:vAlign w:val="bottom"/>
          </w:tcPr>
          <w:p>
            <w:pPr>
              <w:spacing w:after="0"/>
              <w:rPr>
                <w:sz w:val="21"/>
                <w:szCs w:val="2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1,855,268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525,539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22,898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2,403,705</w:t>
            </w:r>
          </w:p>
        </w:tc>
        <w:tc>
          <w:tcPr>
            <w:tcW w:w="60" w:type="dxa"/>
            <w:vAlign w:val="bottom"/>
          </w:tcPr>
          <w:p>
            <w:pPr>
              <w:spacing w:after="0"/>
              <w:rPr>
                <w:sz w:val="22"/>
                <w:szCs w:val="22"/>
                <w:color w:val="auto"/>
              </w:rPr>
            </w:pP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jc w:val="right"/>
              <w:ind w:right="77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August 3, 2018</w:t>
            </w:r>
          </w:p>
        </w:tc>
        <w:tc>
          <w:tcPr>
            <w:tcW w:w="134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Professional</w:t>
            </w:r>
          </w:p>
        </w:tc>
        <w:tc>
          <w:tcPr>
            <w:tcW w:w="3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Residential</w:t>
            </w:r>
          </w:p>
        </w:tc>
        <w:tc>
          <w:tcPr>
            <w:tcW w:w="4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by product type:</w:t>
            </w:r>
          </w:p>
        </w:tc>
        <w:tc>
          <w:tcPr>
            <w:tcW w:w="1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383,082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161,396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3,820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548,298</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Irrigation</w:t>
            </w:r>
          </w:p>
        </w:tc>
        <w:tc>
          <w:tcPr>
            <w:tcW w:w="1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99,412</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5,117</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2,994</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107,523</w:t>
            </w:r>
          </w:p>
        </w:tc>
        <w:tc>
          <w:tcPr>
            <w:tcW w:w="40" w:type="dxa"/>
            <w:vAlign w:val="bottom"/>
          </w:tcPr>
          <w:p>
            <w:pPr>
              <w:spacing w:after="0"/>
              <w:rPr>
                <w:sz w:val="23"/>
                <w:szCs w:val="23"/>
                <w:color w:val="auto"/>
              </w:rPr>
            </w:pPr>
          </w:p>
        </w:tc>
      </w:tr>
      <w:tr>
        <w:trPr>
          <w:trHeight w:val="237"/>
        </w:trPr>
        <w:tc>
          <w:tcPr>
            <w:tcW w:w="40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net sales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482,494</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166,513</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6,814</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655,821</w:t>
            </w:r>
          </w:p>
        </w:tc>
        <w:tc>
          <w:tcPr>
            <w:tcW w:w="40" w:type="dxa"/>
            <w:vAlign w:val="bottom"/>
          </w:tcPr>
          <w:p>
            <w:pPr>
              <w:spacing w:after="0"/>
              <w:rPr>
                <w:sz w:val="20"/>
                <w:szCs w:val="20"/>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Revenue by geographic market:</w:t>
            </w:r>
          </w:p>
        </w:tc>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364,681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141,792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6,814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513,287</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Foreign Countries</w:t>
            </w:r>
          </w:p>
        </w:tc>
        <w:tc>
          <w:tcPr>
            <w:tcW w:w="13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117,813</w:t>
            </w:r>
          </w:p>
        </w:tc>
        <w:tc>
          <w:tcPr>
            <w:tcW w:w="3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24,721</w:t>
            </w:r>
          </w:p>
        </w:tc>
        <w:tc>
          <w:tcPr>
            <w:tcW w:w="4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142,534</w:t>
            </w:r>
          </w:p>
        </w:tc>
        <w:tc>
          <w:tcPr>
            <w:tcW w:w="4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482,494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166,513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6,814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655,821</w:t>
            </w:r>
          </w:p>
        </w:tc>
        <w:tc>
          <w:tcPr>
            <w:tcW w:w="40" w:type="dxa"/>
            <w:vAlign w:val="bottom"/>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Nine Months Ended August 3, 2018</w:t>
            </w:r>
          </w:p>
        </w:tc>
        <w:tc>
          <w:tcPr>
            <w:tcW w:w="134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Professional</w:t>
            </w:r>
          </w:p>
        </w:tc>
        <w:tc>
          <w:tcPr>
            <w:tcW w:w="30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4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by product type:</w:t>
            </w:r>
          </w:p>
        </w:tc>
        <w:tc>
          <w:tcPr>
            <w:tcW w:w="1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1,265,792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494,635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6,576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1,767,003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Irrigation</w:t>
            </w:r>
          </w:p>
        </w:tc>
        <w:tc>
          <w:tcPr>
            <w:tcW w:w="1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280,744</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26,554</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5,046</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312,344</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1,546,536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521,189</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11,622</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2,079,347</w:t>
            </w:r>
          </w:p>
        </w:tc>
        <w:tc>
          <w:tcPr>
            <w:tcW w:w="40" w:type="dxa"/>
            <w:vAlign w:val="bottom"/>
            <w:tcBorders>
              <w:top w:val="single" w:sz="8" w:color="auto"/>
            </w:tcBorders>
          </w:tcPr>
          <w:p>
            <w:pPr>
              <w:spacing w:after="0"/>
              <w:rPr>
                <w:sz w:val="20"/>
                <w:szCs w:val="20"/>
                <w:color w:val="auto"/>
              </w:rPr>
            </w:pPr>
          </w:p>
        </w:tc>
      </w:tr>
      <w:tr>
        <w:trPr>
          <w:trHeight w:val="67"/>
        </w:trPr>
        <w:tc>
          <w:tcPr>
            <w:tcW w:w="4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r>
      <w:tr>
        <w:trPr>
          <w:trHeight w:val="305"/>
        </w:trPr>
        <w:tc>
          <w:tcPr>
            <w:tcW w:w="40" w:type="dxa"/>
            <w:vAlign w:val="bottom"/>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Revenue by geographic market:</w:t>
            </w:r>
          </w:p>
        </w:tc>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1,155,388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415,934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1,582,944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Foreign Countries</w:t>
            </w:r>
          </w:p>
        </w:tc>
        <w:tc>
          <w:tcPr>
            <w:tcW w:w="1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391,148</w:t>
            </w:r>
          </w:p>
        </w:tc>
        <w:tc>
          <w:tcPr>
            <w:tcW w:w="3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105,255</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496,403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1,546,536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521,189</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2,079,347</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Additionally, the company ships some of its products to a key retailer's distribution centers on a consignment basis. The company retains control of its products stored at the key retailer's distribution centers. As the company's products are removed from the distribution centers by the key retailer and shipped to the key retailer's stores, control is transferred from the company to the key retailer. At that time, the company invoices the key retailer and recognizes revenue for these consignment transactions. The company does not offer a right of return for products shipped to the key retailer's stores from the distribution centers.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TCF Inventory Finance, Inc. ("TCFIF"), a subsidiary of TCF National Bank, established Red Iron Acceptance, LLC ("Red Iron"), a joint venture that primarily provides inventory financing to certain dealers and distributors of the company's equipment and irrigation products. The company also has floor plan financing arrangements with separate third-party financial institutions to provide floor plan financing to certain dealers not financed through Red Iron. When product sales are financed by Red Iron or other third-party financial institutions, the transactions are structured as an advance in the form of a payment to the company on behalf of a dealer or distributor with respect to invoices financed by the financial institutions. These payments extinguish the obligation of such dealer or distributor to make payment to the company under the terms of the applicable invoice. Under a separate agreement between the financial institutions and such dealer or distributor, the financial institution provides a loan to such dealer or distributor for the advances paid by the financial institutions to the company. The company's sales of product to customers that do not elect to finance purchases through Red Iron or the third-party financial institutions are generally on open account with terms that generally approximate 30 to 120 days and the resulting receivables are included within receivables, net on the Condensed Consolidated Balance Sheets.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Product revenue is recognized based on the transaction price, which is measured as the amount of consideration the company expects to receive in exchange for transferring control of a product to a customer. When determining the transaction price, the company estimates variable consideration by applying the portfolio approach practical expedient under ASC 606. The primary sources of variable consideration for the company are rebate programs, volume incentive programs, floor plan and retail financing programs, cash discounts, and product returns. These sales promotions and incentives are recorded as a reduction to revenue at the time of the initial sale. The company estimates variable consideration related to equipment and irrigation products sold 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its sales promotion and incentive programs using the expected value method, which is based on sales terms with customers, historical experience, field inventory levels, volume purchases, and known changes in relevant trends. There are no material instances where variable consideration is constrained and not recorded at the initial time of sale. Additionally, the company may offer to its customers the right to return eligible equipment and irrigation products, replacement parts, and accessories. Returns are recorded as a reduction to revenue based on anticipated sales returns estimated from sales terms, historical experience, and trend analysis. The company records obligations for returns within accrued liabilities in the Condensed Consolidated Balance Sheets and the right-of-return asset in prepaid expenses and other current assets in the Condensed Consolidated Balance Sheets. The refund liability and right-of-return asset are remeasured for changes in the estimate at each reporting date with a corresponding adjustment to net sales and cost of sales within the Condensed Consolidated Statements of Earnings.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certain cases, the company renders service contracts to customers, which typically range from 12 to 36 months. The company receives payment at the inception of the service contract and recognizes revenue over the term of the agreement in proportion to the costs expected to be incurred in satisfying the performance obligations under the service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standard warranties offered by the company on its equipment and irrigation products intended to provide assurance that the product will function as expected, the company also sells separately priced extended warranty coverage on select products for a prescribed period after the standard warranty period expires, which typically range from 12 to 24 months. The company receives payment at the inception of the separately priced extended warranty contract and recognizes revenue over the term of the agreement in proportion to the costs expected to be incurred in satisfying the performance obligations under the separately priced extended warranty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Contract liabilities relate to deferred revenue recognized for payments received at contract inception in advance of the company's performance under the contract and generally relate to the sale of separately priced extended warranty contracts, service contracts, and non-refundable customer deposits. The company recognizes revenue over the term of the agreement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August 2, 2019 and October 31, 2018, $23.1 million and $14.0 million, respectively, of unearned revenue associated with outstanding separately priced extended warranty contracts, service contracts, and non-refundable customer deposits was reported within accrued liabilities and other long-term liabilities in the Condensed Consolidated Balance Sheets. For the three and nine months ended August 2, 2019, the company recognized $1.4 million and $4.6 million of the October 31, 2018 unearned revenue balance within net sales in the Condensed Consolidated Statements of Earnings. The company expects to recognize approximately $1.2 million of the October 31, 2018 unearned amount within net sales throughout the remainder of fiscal 2019, $4.3 million in fiscal 2020, and $3.9 million thereafter.</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a result of the company's acquisition of CMW on April 1, 2019, the company assumed $7.0 million of contract liabilities related to separately priced extended warranty contracts, service contracts, and non-refundable customer deposits. For the three and nine months ended August 2, 2019, the company recognized $2.2 million and $3.9 million of the April 1, 2019 assumed unearned revenue balance related to the CMW acquisition within net sales in the Condensed Consolidated Statements of Earnings. The company expects to recognize approximately $0.5 million of the unearned amount of the April 1, 2019 assumed unearned revenue balance related to the CMW acquisition within net sales throughout the remainder of fiscal 2019, $1.8 million in fiscal 2020, and $0.8 million thereafter. For additional information on the company's acquisition of CMW,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Intangible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company's acquisition of CMW on April 1, 2019 resulted in the recognition of $154.0 million and $227.3 million of preliminary goodwill and other intangible assets, respectively. For additional information on the company's acquisition of CMW,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for the first nine months of fiscal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62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Professional</w:t>
            </w:r>
          </w:p>
        </w:tc>
        <w:tc>
          <w:tcPr>
            <w:tcW w:w="30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Residential</w:t>
            </w:r>
          </w:p>
        </w:tc>
        <w:tc>
          <w:tcPr>
            <w:tcW w:w="38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214,827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10,463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225,290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6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154,040</w:t>
            </w:r>
          </w:p>
        </w:tc>
        <w:tc>
          <w:tcPr>
            <w:tcW w:w="30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1,534</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155,574</w:t>
            </w:r>
          </w:p>
        </w:tc>
      </w:tr>
      <w:tr>
        <w:trPr>
          <w:trHeight w:val="27"/>
        </w:trPr>
        <w:tc>
          <w:tcPr>
            <w:tcW w:w="3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6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7"/>
        </w:trPr>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August 2, 2019</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368,591</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10,378</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1,534</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380,503</w:t>
            </w:r>
          </w:p>
        </w:tc>
      </w:tr>
      <w:tr>
        <w:trPr>
          <w:trHeight w:val="27"/>
        </w:trPr>
        <w:tc>
          <w:tcPr>
            <w:tcW w:w="3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as of August 2,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92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Weighted-Average</w:t>
            </w:r>
          </w:p>
        </w:tc>
        <w:tc>
          <w:tcPr>
            <w:tcW w:w="2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9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6,879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(6,792)</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195,223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165,744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50,279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(30,203)</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20,076</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Backlog and other</w:t>
            </w:r>
          </w:p>
        </w:tc>
        <w:tc>
          <w:tcPr>
            <w:tcW w:w="29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7,380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(5,187)</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2,193</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285,593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(86,581)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199,012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120,874</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120,874</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406,467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(86,581)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319,886</w:t>
            </w:r>
          </w:p>
        </w:tc>
      </w:tr>
      <w:tr>
        <w:trPr>
          <w:trHeight w:val="20"/>
        </w:trPr>
        <w:tc>
          <w:tcPr>
            <w:tcW w:w="6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700" w:type="dxa"/>
            <w:vAlign w:val="bottom"/>
            <w:gridSpan w:val="2"/>
          </w:tcPr>
          <w:p>
            <w:pPr>
              <w:jc w:val="right"/>
              <w:ind w:right="810"/>
              <w:spacing w:after="0"/>
              <w:rPr>
                <w:sz w:val="20"/>
                <w:szCs w:val="20"/>
                <w:color w:val="auto"/>
              </w:rPr>
            </w:pPr>
            <w:r>
              <w:rPr>
                <w:rFonts w:ascii="Arial" w:cs="Arial" w:eastAsia="Arial" w:hAnsi="Arial"/>
                <w:sz w:val="18"/>
                <w:szCs w:val="18"/>
                <w:color w:val="auto"/>
                <w:w w:val="89"/>
              </w:rPr>
              <w:t>The components of other intangible assets as of August 3, 2018 were as follows: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37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218"/>
        </w:trPr>
        <w:tc>
          <w:tcPr>
            <w:tcW w:w="3780" w:type="dxa"/>
            <w:vAlign w:val="bottom"/>
          </w:tcPr>
          <w:p>
            <w:pPr>
              <w:spacing w:after="0"/>
              <w:rPr>
                <w:sz w:val="18"/>
                <w:szCs w:val="18"/>
                <w:color w:val="auto"/>
              </w:rPr>
            </w:pPr>
          </w:p>
        </w:tc>
        <w:tc>
          <w:tcPr>
            <w:tcW w:w="292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Weighted-Average</w:t>
            </w:r>
          </w:p>
        </w:tc>
        <w:tc>
          <w:tcPr>
            <w:tcW w:w="2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9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6,883</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(6,776)</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89,745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67,301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31,097</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(28,165)</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2,932</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149,103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77,055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30,645</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30,645</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107,700</w:t>
            </w:r>
          </w:p>
        </w:tc>
      </w:tr>
      <w:tr>
        <w:trPr>
          <w:trHeight w:val="20"/>
        </w:trPr>
        <w:tc>
          <w:tcPr>
            <w:tcW w:w="37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2920" w:type="dxa"/>
            <w:vAlign w:val="bottom"/>
          </w:tcPr>
          <w:p>
            <w:pPr>
              <w:jc w:val="right"/>
              <w:ind w:right="8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as of October 31,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92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Weighted-Average</w:t>
            </w:r>
          </w:p>
        </w:tc>
        <w:tc>
          <w:tcPr>
            <w:tcW w:w="2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Gross Carrying</w:t>
            </w:r>
          </w:p>
        </w:tc>
        <w:tc>
          <w:tcPr>
            <w:tcW w:w="2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Accumulated</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920" w:type="dxa"/>
            <w:vAlign w:val="bottom"/>
          </w:tcPr>
          <w:p>
            <w:pPr>
              <w:jc w:val="right"/>
              <w:ind w:right="290"/>
              <w:spacing w:after="0"/>
              <w:rPr>
                <w:sz w:val="20"/>
                <w:szCs w:val="20"/>
                <w:color w:val="auto"/>
              </w:rPr>
            </w:pPr>
            <w:r>
              <w:rPr>
                <w:rFonts w:ascii="Arial" w:cs="Arial" w:eastAsia="Arial" w:hAnsi="Arial"/>
                <w:sz w:val="18"/>
                <w:szCs w:val="18"/>
                <w:b w:val="1"/>
                <w:bCs w:val="1"/>
                <w:color w:val="auto"/>
              </w:rPr>
              <w:t>Useful Life</w:t>
            </w:r>
          </w:p>
        </w:tc>
        <w:tc>
          <w:tcPr>
            <w:tcW w:w="20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Net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6,872</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(6,771)</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Customer-related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89,622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9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31,029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(28,471)</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2,558</w:t>
            </w:r>
          </w:p>
        </w:tc>
      </w:tr>
      <w:tr>
        <w:trPr>
          <w:trHeight w:val="27"/>
        </w:trPr>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148,865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(73,797)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75,068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Non-amortizable - trade names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30,581</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30,581</w:t>
            </w:r>
          </w:p>
        </w:tc>
      </w:tr>
      <w:tr>
        <w:trPr>
          <w:trHeight w:val="27"/>
        </w:trPr>
        <w:tc>
          <w:tcPr>
            <w:tcW w:w="3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 net</w:t>
            </w:r>
          </w:p>
        </w:tc>
        <w:tc>
          <w:tcPr>
            <w:tcW w:w="2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(73,797)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105,649</w:t>
            </w:r>
          </w:p>
        </w:tc>
      </w:tr>
      <w:tr>
        <w:trPr>
          <w:trHeight w:val="20"/>
        </w:trPr>
        <w:tc>
          <w:tcPr>
            <w:tcW w:w="37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definite-lived intangible assets during the third quarter of fiscal 2019 and fiscal 2018 was $7.4 million and $1.8 million, respectively. Amortization expense for definite-lived intangible assets during the first nine months of fiscal 2019 and 2018 was $12.9 million and $5.4 million, respectively. Estimated amortization expense for the remainder of fiscal 2019 and succeeding fiscal years is as follows: fiscal 2019 (remainder), $6.3 million; fiscal 2020, $16.1 million; fiscal 2021, $15.7 million; fiscal 2022, $15.0 million; fiscal 2023, $13.6 million; fiscal 2024, $13.0 million; and after fiscal 2024, $119.3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 2019</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October 31, 2018</w:t>
            </w:r>
          </w:p>
        </w:tc>
      </w:tr>
      <w:tr>
        <w:trPr>
          <w:trHeight w:val="27"/>
        </w:trPr>
        <w:tc>
          <w:tcPr>
            <w:tcW w:w="5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91,000</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$200 million term loan</w:t>
            </w:r>
          </w:p>
        </w:tc>
        <w:tc>
          <w:tcPr>
            <w:tcW w:w="9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$300 million term loan</w:t>
            </w:r>
          </w:p>
        </w:tc>
        <w:tc>
          <w:tcPr>
            <w:tcW w:w="9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200,000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3.81% series A senior notes</w:t>
            </w:r>
          </w:p>
        </w:tc>
        <w:tc>
          <w:tcPr>
            <w:tcW w:w="9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3.91% series B senior notes</w:t>
            </w:r>
          </w:p>
        </w:tc>
        <w:tc>
          <w:tcPr>
            <w:tcW w:w="9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100,000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7.800% debentures</w:t>
            </w:r>
          </w:p>
        </w:tc>
        <w:tc>
          <w:tcPr>
            <w:tcW w:w="9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100,000</w:t>
            </w:r>
          </w:p>
        </w:tc>
      </w:tr>
      <w:tr>
        <w:trPr>
          <w:trHeight w:val="27"/>
        </w:trPr>
        <w:tc>
          <w:tcPr>
            <w:tcW w:w="5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6.625% senior notes</w:t>
            </w:r>
          </w:p>
        </w:tc>
        <w:tc>
          <w:tcPr>
            <w:tcW w:w="9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123,900</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123,838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123,854</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Less: unamortized discounts, debt issuance costs and deferred charges</w:t>
            </w:r>
          </w:p>
        </w:tc>
        <w:tc>
          <w:tcPr>
            <w:tcW w:w="9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(3,219)</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(2,357)</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(2,305)</w:t>
            </w:r>
          </w:p>
        </w:tc>
      </w:tr>
      <w:tr>
        <w:trPr>
          <w:trHeight w:val="27"/>
        </w:trPr>
        <w:tc>
          <w:tcPr>
            <w:tcW w:w="5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indebtedness, net</w:t>
            </w:r>
          </w:p>
        </w:tc>
        <w:tc>
          <w:tcPr>
            <w:tcW w:w="9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720,681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312,481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312,549</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9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(99,877)</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620,804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312,481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312,549</w:t>
            </w:r>
          </w:p>
        </w:tc>
      </w:tr>
      <w:tr>
        <w:trPr>
          <w:trHeight w:val="20"/>
        </w:trPr>
        <w:tc>
          <w:tcPr>
            <w:tcW w:w="5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Principal payments required on the company's outstanding indebtedness, based on the maturity dates defined within the company's debt arrangements, for the remainder of fiscal 2019 and succeeding five fiscal years are as follows: fiscal 2019 (remainder), $0.0 million; fiscal 2020, $0.0 million; fiscal 2021, $0.0 million; fiscal 2022, $115.0 million; fiscal 2023, $30.0 million; fiscal 2024, $155.0 million; and after fiscal 2024, $425.0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2018, the company replaced its prior revolving credit facility and term loan, which were scheduled to mature in October 2019, with an unsecured senior five-year revolving credit facility that, among other things, increased the company's borrowing capacity to $600.0 million, from $150.0 million, and expires in June 2023. Included in the company's $600.0 million revolving credit facility is a $10.0 million sublimit for standby letters of credit and a $30.0 million sublimit for swingline loans. At the company's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certain financial covenants described below. In connection with the entry into the new revolving credit facility during June 2018, the company incurred approximately $1.9 million of debt issuance costs, which are being amortized over the life of the revolving credit facility under the straight-line method as the results obtained are not materially different from those that would result from the use of the effective interest method. The company classifies the debt issuance costs related to its revolving credit facility within other assets on the Condensed Consolidated Balance Sheets, regardless of whether the company has any outstanding borrowings on the revolving credit facility.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August 2, 2019, the company had no borrowings under the revolving credit facility but did have $1.9 million outstanding under the sublimit for standby letters of credit, which resulted in $598.1 million of unutilized availability under the revolving credit facility. As of October 31, 2018, the company had $91.0 million outstanding under the revolving credit facility, $1.5 million outstanding under the sublimit for standby letters of credit, and $507.5 million of unutilized availability under the revolving credit facility. As of August 3, 2018, the company had $91.0 million outstanding under the revolving credit facility, $1.6 million outstanding under the sublimit for standby letters of credit, and $507.4 million of unutilized availability under the revolving credit facility. Typically, the company's revolving credit facility is classified as long-term debt within the company's Condensed Consolidated Balance Sheets as the company has the ability to extend the outstanding borrowings under the revolving credit facility for the full-term of the facility. However, if the company intends to repay a portion of the outstanding balance under the revolving credit facility within the next twelve months, the company reclassifies that portion of outstanding borrowings under the revolving credit facility to current portion of long-term debt within the Condensed Consolidated Balance Sheets. As of October 31, 2018 and August 3, 2018, the $91.0 million of outstanding borrowings under the company's revolving credit facility for each respective period was classified as long-term debt within the company's Condensed Consolidated Balance Sheets.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credit agreement for the company's revolving credit facility as of August 2, 2019, October 31, 2018, and August 3, 2018.</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Outstanding loans under the revolving credit facility, if applicable, other than swingline loans, bear interest at a variable rate generally based on LIBOR or an alternative variable rate based on the highest of the Bank of America prime rate, the federal funds rate or a rate generally based on LIBOR, in each case subject to an additional basis point spread as defined in the credit agreement.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as defined in the credit agreement. Interest is payable quarterly in arrears. For the three and nine month periods ended August 2, 2019, the company incurred interest expense of approximately $0.2 million and $1.9 million on the outstanding borrowings of the revolving credit facility. For the three and nine month periods ended August 3, 2018, the company incurred interest expense of approximately $0.4 million on the outstanding borrowings of the revolving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2019, the company entered into a term loan credit agreement with a syndicate of financial institutions for the purpose of partially funding the purchase price of the company's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 The funds under both term loan facilities were received on April 1, 2019 in connection with the closing of the company's acquisition of CMW. There are no scheduled principal amortization payments prior to maturity on the $200.0 million three year unsecured senior term loan facility. For the $300.0 million five year unsecured senior term loan facility, the company is required to make quarterly amortization payments of 2.5 percent of the aggregate principal balance beginning with the last business day of the thirteenth calendar quarter ending after April 1, 2019, with the remainder of the unpaid principal balance due at maturity. No payments are required during the first three years of the $300.0 million five year unsecured senior term loan facility. The term loan facilities may be prepaid and terminated at the company's election at any time without penalty or premium.</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August 2, 2019, the company has prepaid $100.0 million and $100.0 million against the outstanding principal balances of the $200.0 million three year unsecured senior term loan facility and $300.0 million five year unsecured senior term loan facility, respectively, and has reclassified $99.9 million of the remaining outstanding principal balance under the term loan credit agreement, net of the related proportionate share of debt issuance costs, to current portion of long-term debt within the Condensed Consolidated Balance Sheets as the company intends to prepay such amount utilizing cash flows from operations within the next twelve months. Thus, as of August 2, 2019, there were $100.0 million and $200.0 million of outstanding borrowings under the term loan credit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for the $200.0 million three year unsecured senior term loan facility and the $300.0 million five year unsecured senior term loan facility,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company's entry into the term loan credit agreement in March 2019, the company incurred approximately $0.6 million of debt issuance costs, which are being amortized over the life of the respective term loans under the straight-line method as the results obtained are not materially different from those that would result from the use of the effective interest method. Unamortized deferred debt issuance costs are netted against the outstanding borrowings under the term loan credit agreement on the company's Condensed Consolidated Balance Sheets.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 loan credit agreement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company's term loan credit agreement as of August 2, 2019. Outstanding borrowings under the term loan credit agreement bear interest at a variable rate generally based on LIBOR or an alternative variable rate, based on the highest of the Bank of America prime rate, the federal funds rate, or a rate generally based on LIBOR, in each case subject to an additional basis point spread as defined in the term credit loan agreement. Interest is payable quarterly in arrears. For the three and nine month periods ended August 2, 2019, the company incurred interest expense of approximately $3.7 million and $5.3 million, respectively, on the outstanding borrowings under the term loan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3.81% Series A and 3.91% Series B Senior Notes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30, 2019, the company entered into a private placement note purchase agreement with certain purchasers ("holders") pursuant to which the company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senior unsecured obligations of the company. As of August 2, 2019, there was $200.0 million of outstanding borrowings under the private placement note purchase agreement, including $100.0 million of outstanding borrowings under the Series A Senior Notes and $100.0 million of outstanding borrowings under the Series B Senior Notes.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the right to prepay all or a portion of the Senior Notes upon notice to the holders for 100%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Senior Note, the company has the right to prepay all of such Senior Note for 100% of the principal amount so prepaid, plus accrued and unpaid interest, if any, to the date of prepayment. Upon the occurrence of certain change of control events, holders of the Senior Notes will have the right to require that the company purchase such holder’s Senior Notes in cash at a purchase price equal to 100% of the principal amount thereof plus accrued and unpaid interest, if any, to the date of repurchase.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private placement note purchase agreement contains customary representations and warranties of the company,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The company was in compliance with all representations, warranties, and covenants related to the private placement note purchase agreement as of August 2, 2019.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company's issuance of the Senior Notes in June 2019, the company incurred approximately $0.7 million of debt issuance costs, which are being amortized over the life of the respective Senior Note under the straight-line method as the results obtained are not materially different from those that would result from the use of the effective interest method. Unamortized deferred debt issuance costs are netted against the outstanding borrowings under the respective Senior Note on the company's Condensed Consolidated Balance Sheets.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on the Senior Notes is payable semiannually on the 15th day of June and December in each year, commencing on December 15, 2019. For the three and nine month periods ended August 2, 2019, the company incurred interest expense of approximately $0.8 million on the outstanding borrowings under the private placement note purchase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7.8% Debentures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1997, the company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26, 2007, the company issued $125.0 million in aggregate principal amount of 6.625 percent senior notes due May 1, 2037 and priced at 98.513 percent of par value. The resulting discount of $1.9 million and the underwriting fee and direct debt issuance costs of $1.5 million associated with the issuance of these senior notes are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percent of the principal amount of the senior notes plus accrued and unpaid interest to the date of repurchase.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Management Actions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August 1, 2019, the company announced a new underground construction business strategy that includes a plan to wind down its Toro-branded large horizontal directional drill and riding trencher product categories within its Professional segment product portfolio ("Toro underground wind down"). The company expects to incur total pretax charges of approximately $10.0 million to $13.0 million related to the Toro underground wind down. For the three and nine month periods ended August 2, 2019, the company recorded $7.2 million of pre-tax charges related to inventory write-downs to net realizable value and accelerated depreciation on fixed assets that will no longer be used within cost of sales in the Condensed Consolidated Statements of Earnings as a result of the Toro underground wind down. Additionally, the company recorded $1.9 million of pre-tax charges related to anticipated inventory retail support activities within net sales in the Condensed Consolidated Statements of Earnings for the three and nine month periods ended August 2, 2019 and has recorded a corresponding liability related to the anticipated inventory retail support activities within accrued liabilities in the Condensed Consolidated Balance Sheets as of August 2, 2019. The remainder of the estimated pre-tax charges are anticipated to be primarily comprised of costs related to the write-down of future component part inventory purchases to finalize assembly of the company's remaining Toro-branded large horizontal directional drill and riding trencher inventory. Substantially all costs related to the Toro underground wind down are expected to be incurred by the end of fiscal 2020.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Inventories are valued at the lower of cost or net realizable value, with cost determined by the last-in, first-out ("LIFO") method for a majority of the company's inventories and the first-in, first-out ("FIFO") and average cost methods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1, 2019, with the acquisition of CMW, the company acquired $242.6 million of inventory, based on preliminary fair value purchase accounting adjustments. For additional information on the company's acquisition of CMW,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2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2, 2019</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2018</w:t>
            </w:r>
          </w:p>
        </w:tc>
      </w:tr>
      <w:tr>
        <w:trPr>
          <w:trHeight w:val="27"/>
        </w:trPr>
        <w:tc>
          <w:tcPr>
            <w:tcW w:w="4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work in process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105,239</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115,280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Finished goods and service parts</w:t>
            </w:r>
          </w:p>
        </w:tc>
        <w:tc>
          <w:tcPr>
            <w:tcW w:w="2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518,465</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326,059</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315,179</w:t>
            </w:r>
          </w:p>
        </w:tc>
      </w:tr>
      <w:tr>
        <w:trPr>
          <w:trHeight w:val="27"/>
        </w:trPr>
        <w:tc>
          <w:tcPr>
            <w:tcW w:w="4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692,813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431,298</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430,459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Less: adjustment to LIFO value</w:t>
            </w:r>
          </w:p>
        </w:tc>
        <w:tc>
          <w:tcPr>
            <w:tcW w:w="2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72,201</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66,801</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72,200</w:t>
            </w:r>
          </w:p>
        </w:tc>
      </w:tr>
      <w:tr>
        <w:trPr>
          <w:trHeight w:val="27"/>
        </w:trPr>
        <w:tc>
          <w:tcPr>
            <w:tcW w:w="4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net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620,612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364,497</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358,259</w:t>
            </w: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Property and Depreciation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Property, plant, and equipment assets are carried at cost less accumulated depreciation. The company provides for depreciation of property, plant and equipment utilizing the straight-line method over the estimated useful lives of the assets. Buildings and leasehold improvements are generally depreciated over 10 to 40 years, machinery and equipment are generally depreciated over two to 15 years, tooling is generally depreciated over three to five years, and computer hardware and software and web site development costs are generally depreciated over two to five years. Expenditures for major renewals and improvements, which substantially increase the useful lives of existing assets, are capitalized, and expenditures for general maintenance and repairs are charged to operating expenses as incurred. Interest is capitalized during the construction period for significant capital projects.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On April 1, 2019, with the acquisition of CMW, the company acquired $142.4 million of property, plant, and equipment, based on preliminary fair value purchase accounting adjustments. For additional information on the company's acquisition of CMW, refer to Note 2,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68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2, 2019</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2018</w:t>
            </w:r>
          </w:p>
        </w:tc>
      </w:tr>
      <w:tr>
        <w:trPr>
          <w:trHeight w:val="27"/>
        </w:trPr>
        <w:tc>
          <w:tcPr>
            <w:tcW w:w="4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38,117</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39,607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6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259,928</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195,791</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209,686</w:t>
            </w:r>
          </w:p>
        </w:tc>
      </w:tr>
      <w:tr>
        <w:trPr>
          <w:trHeight w:val="27"/>
        </w:trPr>
        <w:tc>
          <w:tcPr>
            <w:tcW w:w="4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420,262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342,294</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349,550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Tooling</w:t>
            </w:r>
          </w:p>
        </w:tc>
        <w:tc>
          <w:tcPr>
            <w:tcW w:w="26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224,230</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208,098</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211,756</w:t>
            </w:r>
          </w:p>
        </w:tc>
      </w:tr>
      <w:tr>
        <w:trPr>
          <w:trHeight w:val="27"/>
        </w:trPr>
        <w:tc>
          <w:tcPr>
            <w:tcW w:w="4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91,577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90,070</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26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70,367</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41,297</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35,044</w:t>
            </w:r>
          </w:p>
        </w:tc>
      </w:tr>
      <w:tr>
        <w:trPr>
          <w:trHeight w:val="27"/>
        </w:trPr>
        <w:tc>
          <w:tcPr>
            <w:tcW w:w="4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property, plant, and equipment</w:t>
            </w:r>
          </w:p>
        </w:tc>
        <w:tc>
          <w:tcPr>
            <w:tcW w:w="2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1,122,150</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915,667</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928,981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695,735</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666,165</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657,522</w:t>
            </w:r>
          </w:p>
        </w:tc>
      </w:tr>
      <w:tr>
        <w:trPr>
          <w:trHeight w:val="27"/>
        </w:trPr>
        <w:tc>
          <w:tcPr>
            <w:tcW w:w="4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426,415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249,502</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271,459</w:t>
            </w: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4240" w:type="dxa"/>
            <w:vAlign w:val="bottom"/>
          </w:tcPr>
          <w:p>
            <w:pPr>
              <w:spacing w:after="0"/>
              <w:rPr>
                <w:sz w:val="24"/>
                <w:szCs w:val="24"/>
                <w:color w:val="auto"/>
              </w:rPr>
            </w:pPr>
          </w:p>
        </w:tc>
        <w:tc>
          <w:tcPr>
            <w:tcW w:w="2680" w:type="dxa"/>
            <w:vAlign w:val="bottom"/>
          </w:tcPr>
          <w:p>
            <w:pPr>
              <w:jc w:val="right"/>
              <w:ind w:right="1030"/>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Warranty Guarantees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company’s products are warranted to provide assurance that the product will function as expected and to ensure customer confidence in design, workmanship, and overall quality. Warranty coverage is generally provided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The changes in accrued warranties were as follows:</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4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84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2, 2019</w:t>
            </w:r>
          </w:p>
        </w:tc>
        <w:tc>
          <w:tcPr>
            <w:tcW w:w="2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2, 2019</w:t>
            </w:r>
          </w:p>
        </w:tc>
        <w:tc>
          <w:tcPr>
            <w:tcW w:w="2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4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95,752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84,268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76,214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74,155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84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14,232</w:t>
            </w:r>
          </w:p>
        </w:tc>
        <w:tc>
          <w:tcPr>
            <w:tcW w:w="24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12,038</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42,734</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39,827</w:t>
            </w:r>
          </w:p>
        </w:tc>
      </w:tr>
      <w:tr>
        <w:trPr>
          <w:trHeight w:val="27"/>
        </w:trPr>
        <w:tc>
          <w:tcPr>
            <w:tcW w:w="4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14,272</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Claims</w:t>
            </w: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(17,514)</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(13,071)</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(39,685)</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(31,787)</w:t>
            </w:r>
          </w:p>
        </w:tc>
      </w:tr>
      <w:tr>
        <w:trPr>
          <w:trHeight w:val="27"/>
        </w:trPr>
        <w:tc>
          <w:tcPr>
            <w:tcW w:w="4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w:t>
            </w:r>
          </w:p>
        </w:tc>
        <w:tc>
          <w:tcPr>
            <w:tcW w:w="8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2,096</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1,031</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37"/>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94,566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83,195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94,566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83,195</w:t>
            </w:r>
          </w:p>
        </w:tc>
      </w:tr>
      <w:tr>
        <w:trPr>
          <w:trHeight w:val="27"/>
        </w:trPr>
        <w:tc>
          <w:tcPr>
            <w:tcW w:w="4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Investment in Joint Venture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fiscal 2009, the company and TCFIF established Red Iron to primarily provide inventory financing to certain distributors and dealers of the company’s products in the U.S. On November 29, 2016, during the first quarter of fiscal 2017,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 million secured revolving credit facility established under a credit agreement between Red Iron and TCFIF. The company’s total investment in Red Iron as of August 2, 2019 was $25.1 million. The company has not guaranteed the outstanding indebtedness of Red Iron.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agreed to repurchase products repossessed by Red Iron and the TCFIF Canadian affiliate, up to a maximum aggregate amount of $7.5 million in a calendar year. 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nine months ended August 2, 2019 and August 3, 2018 were $1,513.3 million and $1,525.3 million, respectively. As of July 31, 2019, Red Iron’s total assets were $508.8 million and total liabilities were $453.0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80"/>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Note 12 — Stock-Based Compensation</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w w:val="92"/>
              </w:rPr>
              <w:t>Compensation costs related to stock-based awards were as follows: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12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August 2, 2019</w:t>
            </w:r>
          </w:p>
        </w:tc>
        <w:tc>
          <w:tcPr>
            <w:tcW w:w="26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2, 2019</w:t>
            </w:r>
          </w:p>
        </w:tc>
        <w:tc>
          <w:tcPr>
            <w:tcW w:w="2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12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Unrestricted common stock awards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Stock option awards</w:t>
            </w:r>
          </w:p>
        </w:tc>
        <w:tc>
          <w:tcPr>
            <w:tcW w:w="2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1,678</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1,310</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4,841</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3,725</w:t>
            </w: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share awards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2,483</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Restricted stock unit awards</w:t>
            </w:r>
          </w:p>
        </w:tc>
        <w:tc>
          <w:tcPr>
            <w:tcW w:w="2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890</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2,342</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2,321</w:t>
            </w:r>
          </w:p>
        </w:tc>
      </w:tr>
      <w:tr>
        <w:trPr>
          <w:trHeight w:val="27"/>
        </w:trPr>
        <w:tc>
          <w:tcPr>
            <w:tcW w:w="12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compensation cost for stock-based awards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8,588</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Common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nine months of fiscal years 2019 and 2018, 10,090 and 8,388 shares, respectively, of fully vested unrestricted common stock awards were granted to certain members of the company's Board of Directors as a component of their compensation for their service on the Board of Directors and are recorded in selling, general and administrative expense in the Condensed Consolidated Statements of Earnings. No shares of fully vested unrestricted common stock awards were granted during the third quarter of fiscal years 2019 and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cost equal to the grant date fair value is generally recognized for these awards over the vesting period. Stock options granted to executive officers and other employees are subject to accelerated vesting if the option holder meets the retirement definition set forth in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 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5140" w:type="dxa"/>
            <w:vAlign w:val="bottom"/>
          </w:tcPr>
          <w:p>
            <w:pPr>
              <w:jc w:val="right"/>
              <w:ind w:right="290"/>
              <w:spacing w:after="0"/>
              <w:rPr>
                <w:sz w:val="20"/>
                <w:szCs w:val="20"/>
                <w:color w:val="auto"/>
              </w:rPr>
            </w:pPr>
            <w:r>
              <w:rPr>
                <w:rFonts w:ascii="Arial" w:cs="Arial" w:eastAsia="Arial" w:hAnsi="Arial"/>
                <w:sz w:val="18"/>
                <w:szCs w:val="18"/>
                <w:b w:val="1"/>
                <w:bCs w:val="1"/>
                <w:color w:val="auto"/>
              </w:rPr>
              <w:t>Fiscal 2019</w:t>
            </w:r>
          </w:p>
        </w:tc>
        <w:tc>
          <w:tcPr>
            <w:tcW w:w="1520" w:type="dxa"/>
            <w:vAlign w:val="bottom"/>
          </w:tcPr>
          <w:p>
            <w:pPr>
              <w:ind w:left="360"/>
              <w:spacing w:after="0"/>
              <w:rPr>
                <w:sz w:val="20"/>
                <w:szCs w:val="20"/>
                <w:color w:val="auto"/>
              </w:rPr>
            </w:pPr>
            <w:r>
              <w:rPr>
                <w:rFonts w:ascii="Arial" w:cs="Arial" w:eastAsia="Arial" w:hAnsi="Arial"/>
                <w:sz w:val="18"/>
                <w:szCs w:val="18"/>
                <w:b w:val="1"/>
                <w:bCs w:val="1"/>
                <w:color w:val="auto"/>
              </w:rPr>
              <w:t>Fiscal 2018</w:t>
            </w:r>
          </w:p>
        </w:tc>
      </w:tr>
      <w:tr>
        <w:trPr>
          <w:trHeight w:val="27"/>
        </w:trPr>
        <w:tc>
          <w:tcPr>
            <w:tcW w:w="476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 in years</w:t>
            </w:r>
          </w:p>
        </w:tc>
        <w:tc>
          <w:tcPr>
            <w:tcW w:w="5140" w:type="dxa"/>
            <w:vAlign w:val="bottom"/>
            <w:tcBorders>
              <w:bottom w:val="single" w:sz="8" w:color="CCEEFF"/>
            </w:tcBorders>
            <w:shd w:val="clear" w:color="auto" w:fill="CCEEFF"/>
          </w:tcPr>
          <w:p>
            <w:pPr>
              <w:jc w:val="center"/>
              <w:ind w:left="3450"/>
              <w:spacing w:after="0"/>
              <w:rPr>
                <w:sz w:val="20"/>
                <w:szCs w:val="20"/>
                <w:color w:val="auto"/>
              </w:rPr>
            </w:pPr>
            <w:r>
              <w:rPr>
                <w:rFonts w:ascii="Arial" w:cs="Arial" w:eastAsia="Arial" w:hAnsi="Arial"/>
                <w:sz w:val="18"/>
                <w:szCs w:val="18"/>
                <w:color w:val="auto"/>
                <w:w w:val="91"/>
              </w:rPr>
              <w:t>6.31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6.04</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5140" w:type="dxa"/>
            <w:vAlign w:val="bottom"/>
          </w:tcPr>
          <w:p>
            <w:pPr>
              <w:jc w:val="center"/>
              <w:ind w:left="3450"/>
              <w:spacing w:after="0"/>
              <w:rPr>
                <w:sz w:val="20"/>
                <w:szCs w:val="20"/>
                <w:color w:val="auto"/>
              </w:rPr>
            </w:pPr>
            <w:r>
              <w:rPr>
                <w:rFonts w:ascii="Arial" w:cs="Arial" w:eastAsia="Arial" w:hAnsi="Arial"/>
                <w:sz w:val="18"/>
                <w:szCs w:val="18"/>
                <w:color w:val="auto"/>
                <w:w w:val="91"/>
              </w:rPr>
              <w:t>19.83%</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20.58%</w:t>
            </w:r>
          </w:p>
        </w:tc>
      </w:tr>
      <w:tr>
        <w:trPr>
          <w:trHeight w:val="27"/>
        </w:trPr>
        <w:tc>
          <w:tcPr>
            <w:tcW w:w="47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140" w:type="dxa"/>
            <w:vAlign w:val="bottom"/>
            <w:tcBorders>
              <w:bottom w:val="single" w:sz="8" w:color="CCEEFF"/>
            </w:tcBorders>
            <w:shd w:val="clear" w:color="auto" w:fill="CCEEFF"/>
          </w:tcPr>
          <w:p>
            <w:pPr>
              <w:jc w:val="center"/>
              <w:ind w:left="3430"/>
              <w:spacing w:after="0"/>
              <w:rPr>
                <w:sz w:val="20"/>
                <w:szCs w:val="20"/>
                <w:color w:val="auto"/>
              </w:rPr>
            </w:pPr>
            <w:r>
              <w:rPr>
                <w:rFonts w:ascii="Arial" w:cs="Arial" w:eastAsia="Arial" w:hAnsi="Arial"/>
                <w:sz w:val="18"/>
                <w:szCs w:val="18"/>
                <w:color w:val="auto"/>
                <w:w w:val="90"/>
              </w:rPr>
              <w:t>2.77%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2.21%</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140" w:type="dxa"/>
            <w:vAlign w:val="bottom"/>
          </w:tcPr>
          <w:p>
            <w:pPr>
              <w:jc w:val="center"/>
              <w:ind w:left="3430"/>
              <w:spacing w:after="0"/>
              <w:rPr>
                <w:sz w:val="20"/>
                <w:szCs w:val="20"/>
                <w:color w:val="auto"/>
              </w:rPr>
            </w:pPr>
            <w:r>
              <w:rPr>
                <w:rFonts w:ascii="Arial" w:cs="Arial" w:eastAsia="Arial" w:hAnsi="Arial"/>
                <w:sz w:val="18"/>
                <w:szCs w:val="18"/>
                <w:color w:val="auto"/>
                <w:w w:val="90"/>
              </w:rPr>
              <w:t>1.18%</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0.97%</w:t>
            </w:r>
          </w:p>
        </w:tc>
      </w:tr>
      <w:tr>
        <w:trPr>
          <w:trHeight w:val="27"/>
        </w:trPr>
        <w:tc>
          <w:tcPr>
            <w:tcW w:w="47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weighted-average fair value at date of grant</w:t>
            </w:r>
          </w:p>
        </w:tc>
        <w:tc>
          <w:tcPr>
            <w:tcW w:w="5140" w:type="dxa"/>
            <w:vAlign w:val="bottom"/>
            <w:tcBorders>
              <w:bottom w:val="single" w:sz="8" w:color="CCEEFF"/>
            </w:tcBorders>
            <w:shd w:val="clear" w:color="auto" w:fill="CCEEFF"/>
          </w:tcPr>
          <w:p>
            <w:pPr>
              <w:jc w:val="center"/>
              <w:ind w:left="3430"/>
              <w:spacing w:after="0"/>
              <w:rPr>
                <w:sz w:val="20"/>
                <w:szCs w:val="20"/>
                <w:color w:val="auto"/>
              </w:rPr>
            </w:pPr>
            <w:r>
              <w:rPr>
                <w:rFonts w:ascii="Arial" w:cs="Arial" w:eastAsia="Arial" w:hAnsi="Arial"/>
                <w:sz w:val="18"/>
                <w:szCs w:val="18"/>
                <w:color w:val="auto"/>
                <w:w w:val="90"/>
              </w:rPr>
              <w:t>$12.83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$14.25</w:t>
            </w:r>
          </w:p>
        </w:tc>
      </w:tr>
      <w:tr>
        <w:trPr>
          <w:trHeight w:val="885"/>
        </w:trPr>
        <w:tc>
          <w:tcPr>
            <w:tcW w:w="4760" w:type="dxa"/>
            <w:vAlign w:val="bottom"/>
            <w:tcBorders>
              <w:top w:val="single" w:sz="8" w:color="auto"/>
            </w:tcBorders>
          </w:tcPr>
          <w:p>
            <w:pPr>
              <w:spacing w:after="0"/>
              <w:rPr>
                <w:sz w:val="24"/>
                <w:szCs w:val="24"/>
                <w:color w:val="auto"/>
              </w:rPr>
            </w:pPr>
          </w:p>
        </w:tc>
        <w:tc>
          <w:tcPr>
            <w:tcW w:w="5140" w:type="dxa"/>
            <w:vAlign w:val="bottom"/>
            <w:tcBorders>
              <w:top w:val="single" w:sz="8" w:color="auto"/>
            </w:tcBorders>
          </w:tcPr>
          <w:p>
            <w:pPr>
              <w:jc w:val="right"/>
              <w:ind w:right="4010"/>
              <w:spacing w:after="0"/>
              <w:rPr>
                <w:sz w:val="20"/>
                <w:szCs w:val="20"/>
                <w:color w:val="auto"/>
              </w:rPr>
            </w:pPr>
            <w:r>
              <w:rPr>
                <w:rFonts w:ascii="Arial" w:cs="Arial" w:eastAsia="Arial" w:hAnsi="Arial"/>
                <w:sz w:val="18"/>
                <w:szCs w:val="18"/>
                <w:color w:val="auto"/>
              </w:rPr>
              <w:t>23</w:t>
            </w:r>
          </w:p>
        </w:tc>
        <w:tc>
          <w:tcPr>
            <w:tcW w:w="15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as of the date of grant and the probability of achieving each performance goal. The per share weighted-average fair value of performance share awards granted during the first quarter of fiscal 2019 and 2018 was $59.58 and $65.40, respectively. No performance share awards were granted during the second or third quarters of fiscal 2019 and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cost equal to the grant date fair value, which is equal to the closing price of the company’s common stock on the date of grant multiplied by the number of shares subject to the restricted stock unit awards, is recognized for these awards over the vesting period. The per share weighted-average fair value of restricted stock unit awards granted during the first nine months of fiscal 2019 and 2018 was $66.00 and $63.47,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92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 2019</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October 31, 2018</w:t>
            </w:r>
          </w:p>
        </w:tc>
      </w:tr>
      <w:tr>
        <w:trPr>
          <w:trHeight w:val="27"/>
        </w:trPr>
        <w:tc>
          <w:tcPr>
            <w:tcW w:w="5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23,467</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29,711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Pension and post-retirement benefits</w:t>
            </w:r>
          </w:p>
        </w:tc>
        <w:tc>
          <w:tcPr>
            <w:tcW w:w="19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1,596</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5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derivative instruments</w:t>
            </w:r>
          </w:p>
        </w:tc>
        <w:tc>
          <w:tcPr>
            <w:tcW w:w="19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26,668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23,438</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23,937</w:t>
            </w:r>
          </w:p>
        </w:tc>
      </w:tr>
      <w:tr>
        <w:trPr>
          <w:trHeight w:val="27"/>
        </w:trPr>
        <w:tc>
          <w:tcPr>
            <w:tcW w:w="5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three and nine month periods ended August 2, 2019 and August 3,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Cash Flow</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Currency</w:t>
            </w:r>
          </w:p>
        </w:tc>
        <w:tc>
          <w:tcPr>
            <w:tcW w:w="3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Pension and</w:t>
            </w:r>
          </w:p>
        </w:tc>
        <w:tc>
          <w:tcPr>
            <w:tcW w:w="28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Translation</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Post-Retirement</w:t>
            </w:r>
          </w:p>
        </w:tc>
        <w:tc>
          <w:tcPr>
            <w:tcW w:w="28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Benefits</w:t>
            </w:r>
          </w:p>
        </w:tc>
        <w:tc>
          <w:tcPr>
            <w:tcW w:w="280" w:type="dxa"/>
            <w:vAlign w:val="bottom"/>
          </w:tcPr>
          <w:p>
            <w:pPr>
              <w:spacing w:after="0"/>
              <w:rPr>
                <w:sz w:val="20"/>
                <w:szCs w:val="20"/>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Instruments</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Balance as of Balance as of May 3, 2019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30,047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(5,492)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25,116</w:t>
            </w:r>
          </w:p>
        </w:tc>
      </w:tr>
      <w:tr>
        <w:trPr>
          <w:trHeight w:val="27"/>
        </w:trPr>
        <w:tc>
          <w:tcPr>
            <w:tcW w:w="4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3,815</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(1,490)</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3,815</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r>
      <w:tr>
        <w:trPr>
          <w:trHeight w:val="237"/>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August 2, 2019</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33,862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26,668</w:t>
            </w:r>
          </w:p>
        </w:tc>
      </w:tr>
      <w:tr>
        <w:trPr>
          <w:trHeight w:val="27"/>
        </w:trPr>
        <w:tc>
          <w:tcPr>
            <w:tcW w:w="4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56"/>
        </w:trPr>
        <w:tc>
          <w:tcPr>
            <w:tcW w:w="4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jc w:val="right"/>
              <w:ind w:right="79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Cash Flow</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Currency</w:t>
            </w:r>
          </w:p>
        </w:tc>
        <w:tc>
          <w:tcPr>
            <w:tcW w:w="3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Pension and</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Translation</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Instruments</w:t>
            </w:r>
          </w:p>
        </w:tc>
        <w:tc>
          <w:tcPr>
            <w:tcW w:w="3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29,711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23,937</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6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4,151</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2,905</w:t>
            </w: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7,056</w:t>
            </w:r>
          </w:p>
        </w:tc>
      </w:tr>
      <w:tr>
        <w:trPr>
          <w:trHeight w:val="27"/>
        </w:trPr>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(4,325)</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(4,325)</w:t>
            </w:r>
          </w:p>
        </w:tc>
      </w:tr>
      <w:tr>
        <w:trPr>
          <w:trHeight w:val="237"/>
        </w:trPr>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4,151</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(1,420)</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2,731</w:t>
            </w:r>
          </w:p>
        </w:tc>
      </w:tr>
      <w:tr>
        <w:trPr>
          <w:trHeight w:val="27"/>
        </w:trPr>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August 2, 2019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33,862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26,668</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r>
      <w:tr>
        <w:trPr>
          <w:trHeight w:val="218"/>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Cash Flow</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Currency</w:t>
            </w:r>
          </w:p>
        </w:tc>
        <w:tc>
          <w:tcPr>
            <w:tcW w:w="3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Pension and</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Translation</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Instruments</w:t>
            </w:r>
          </w:p>
        </w:tc>
        <w:tc>
          <w:tcPr>
            <w:tcW w:w="3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Balance as of May 4, 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20,599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4,373</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2,806</w:t>
            </w:r>
          </w:p>
        </w:tc>
      </w:tr>
      <w:tr>
        <w:trPr>
          <w:trHeight w:val="27"/>
        </w:trPr>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37"/>
        </w:trPr>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4,373</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(1,449)</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2,839</w:t>
            </w:r>
          </w:p>
        </w:tc>
      </w:tr>
      <w:tr>
        <w:trPr>
          <w:trHeight w:val="27"/>
        </w:trPr>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August 3, 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23,467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23,438</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r>
      <w:tr>
        <w:trPr>
          <w:trHeight w:val="218"/>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Foreign</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Cash Flow</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Currency</w:t>
            </w:r>
          </w:p>
        </w:tc>
        <w:tc>
          <w:tcPr>
            <w:tcW w:w="3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Pension and</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Hedging</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Translation</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26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Derivative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Adjustments</w:t>
            </w:r>
          </w:p>
        </w:tc>
        <w:tc>
          <w:tcPr>
            <w:tcW w:w="30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Benefits</w:t>
            </w:r>
          </w:p>
        </w:tc>
        <w:tc>
          <w:tcPr>
            <w:tcW w:w="2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Instruments</w:t>
            </w:r>
          </w:p>
        </w:tc>
        <w:tc>
          <w:tcPr>
            <w:tcW w:w="3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21,303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6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2,164</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(5,302)</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2,597</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w:t>
            </w:r>
          </w:p>
        </w:tc>
      </w:tr>
      <w:tr>
        <w:trPr>
          <w:trHeight w:val="237"/>
        </w:trPr>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6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2,164</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(2,705)</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4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due to the adoption of ASU 2018-02</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7"/>
        </w:trPr>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as of August 3, 2018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23,467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1,596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(1,625)</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23,438</w:t>
            </w:r>
          </w:p>
        </w:tc>
      </w:tr>
      <w:tr>
        <w:trPr>
          <w:trHeight w:val="27"/>
        </w:trPr>
        <w:tc>
          <w:tcPr>
            <w:tcW w:w="4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components reclassified from AOCL to the respective line items within net earnings for the company's cash flow hedging derivative instruments, refer to Note 16,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2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30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120" w:type="dxa"/>
            <w:vAlign w:val="bottom"/>
            <w:gridSpan w:val="4"/>
          </w:tcPr>
          <w:p>
            <w:pPr>
              <w:ind w:left="40"/>
              <w:spacing w:after="0"/>
              <w:rPr>
                <w:sz w:val="20"/>
                <w:szCs w:val="20"/>
                <w:color w:val="auto"/>
              </w:rPr>
            </w:pPr>
            <w:r>
              <w:rPr>
                <w:rFonts w:ascii="Arial" w:cs="Arial" w:eastAsia="Arial" w:hAnsi="Arial"/>
                <w:sz w:val="18"/>
                <w:szCs w:val="18"/>
                <w:b w:val="1"/>
                <w:bCs w:val="1"/>
                <w:color w:val="auto"/>
              </w:rPr>
              <w:t>(Shares in thousands)</w:t>
            </w: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 2019</w:t>
            </w: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 2018</w:t>
            </w: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August 2, 2019</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August 3, 2018</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512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Basic</w:t>
            </w:r>
          </w:p>
        </w:tc>
        <w:tc>
          <w:tcPr>
            <w:tcW w:w="16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r>
        <w:trPr>
          <w:trHeight w:val="243"/>
        </w:trPr>
        <w:tc>
          <w:tcPr>
            <w:tcW w:w="5120" w:type="dxa"/>
            <w:vAlign w:val="bottom"/>
            <w:gridSpan w:val="4"/>
          </w:tcPr>
          <w:p>
            <w:pPr>
              <w:ind w:left="40"/>
              <w:spacing w:after="0"/>
              <w:rPr>
                <w:sz w:val="20"/>
                <w:szCs w:val="20"/>
                <w:color w:val="auto"/>
              </w:rPr>
            </w:pPr>
            <w:r>
              <w:rPr>
                <w:rFonts w:ascii="Arial" w:cs="Arial" w:eastAsia="Arial" w:hAnsi="Arial"/>
                <w:sz w:val="18"/>
                <w:szCs w:val="18"/>
                <w:color w:val="auto"/>
              </w:rPr>
              <w:t>Weighted-average number of shares of common stock</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107,005</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105,751</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106,630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106,457</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5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Assumed issuance of contingent shares</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22"/>
        </w:trPr>
        <w:tc>
          <w:tcPr>
            <w:tcW w:w="51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2"/>
              </w:rPr>
              <w:t>Weighted-average number of shares of common stock and assumed</w:t>
            </w:r>
          </w:p>
        </w:tc>
        <w:tc>
          <w:tcPr>
            <w:tcW w:w="16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30"/>
        </w:trPr>
        <w:tc>
          <w:tcPr>
            <w:tcW w:w="512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107,005</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105,751</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106,644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106,474</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3"/>
        </w:trPr>
        <w:tc>
          <w:tcPr>
            <w:tcW w:w="51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Diluted</w:t>
            </w:r>
          </w:p>
        </w:tc>
        <w:tc>
          <w:tcPr>
            <w:tcW w:w="16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5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r>
        <w:trPr>
          <w:trHeight w:val="229"/>
        </w:trPr>
        <w:tc>
          <w:tcPr>
            <w:tcW w:w="5120" w:type="dxa"/>
            <w:vAlign w:val="bottom"/>
            <w:gridSpan w:val="4"/>
          </w:tcPr>
          <w:p>
            <w:pPr>
              <w:ind w:left="40"/>
              <w:spacing w:after="0"/>
              <w:rPr>
                <w:sz w:val="20"/>
                <w:szCs w:val="20"/>
                <w:color w:val="auto"/>
              </w:rPr>
            </w:pPr>
            <w:r>
              <w:rPr>
                <w:rFonts w:ascii="Arial" w:cs="Arial" w:eastAsia="Arial" w:hAnsi="Arial"/>
                <w:sz w:val="18"/>
                <w:szCs w:val="18"/>
                <w:color w:val="auto"/>
                <w:w w:val="92"/>
              </w:rPr>
              <w:t>Weighted-average number of shares of common stock and assumed</w:t>
            </w:r>
          </w:p>
        </w:tc>
        <w:tc>
          <w:tcPr>
            <w:tcW w:w="1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12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107,005</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105,751</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106,644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106,474</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5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1,248</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2,319</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r>
      <w:tr>
        <w:trPr>
          <w:trHeight w:val="222"/>
        </w:trPr>
        <w:tc>
          <w:tcPr>
            <w:tcW w:w="51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8"/>
              </w:rPr>
              <w:t>Weighted-average number of shares of common stock, assumed</w:t>
            </w:r>
          </w:p>
        </w:tc>
        <w:tc>
          <w:tcPr>
            <w:tcW w:w="16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30"/>
        </w:trPr>
        <w:tc>
          <w:tcPr>
            <w:tcW w:w="5120" w:type="dxa"/>
            <w:vAlign w:val="bottom"/>
            <w:gridSpan w:val="4"/>
          </w:tcPr>
          <w:p>
            <w:pPr>
              <w:ind w:left="40"/>
              <w:spacing w:after="0"/>
              <w:rPr>
                <w:sz w:val="20"/>
                <w:szCs w:val="20"/>
                <w:color w:val="auto"/>
              </w:rPr>
            </w:pPr>
            <w:r>
              <w:rPr>
                <w:rFonts w:ascii="Arial" w:cs="Arial" w:eastAsia="Arial" w:hAnsi="Arial"/>
                <w:sz w:val="18"/>
                <w:szCs w:val="18"/>
                <w:color w:val="auto"/>
              </w:rPr>
              <w:t>issuance of contingent shares, and effect of dilutive securities</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108,253</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108,070</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108,024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108,930</w:t>
            </w:r>
          </w:p>
        </w:tc>
      </w:tr>
      <w:tr>
        <w:trPr>
          <w:trHeight w:val="27"/>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Incremental shares from options and restricted stock units are computed under the treasury stock method. Options to purchase 378,850 and 740,720 shares of common stock during the third quarter of fiscal 2019 and 2018, respectively, were excluded from diluted net earnings per share because they were anti-dilutive. Options to purchase 865,648 and 412,302 shares of common stock during the first nine months of fiscal 2019 and 2018, respectively, were excluded from diluted net earnings per share because they were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third-party customers, sales and loans to wholly-owned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 parties, foreign plant operations, and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foreign plant operations are recorded in net sales and cost of sales, respectively.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August 2, 2019, the notional amount outstanding of forward contracts designated as cash flow hedging instruments was $250.3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Hedging Instruments</w:t>
      </w:r>
    </w:p>
    <w:p>
      <w:pPr>
        <w:spacing w:after="0" w:line="22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2, 2019</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October 31, 2018</w:t>
            </w:r>
          </w:p>
        </w:tc>
      </w:tr>
      <w:tr>
        <w:trPr>
          <w:trHeight w:val="27"/>
        </w:trPr>
        <w:tc>
          <w:tcPr>
            <w:tcW w:w="5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12,511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2,324</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8,596</w:t>
            </w:r>
          </w:p>
        </w:tc>
      </w:tr>
      <w:tr>
        <w:trPr>
          <w:trHeight w:val="27"/>
        </w:trPr>
        <w:tc>
          <w:tcPr>
            <w:tcW w:w="5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1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3,920</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16,431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3,193</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10,901</w:t>
            </w:r>
          </w:p>
        </w:tc>
      </w:tr>
      <w:tr>
        <w:trPr>
          <w:trHeight w:val="27"/>
        </w:trPr>
        <w:tc>
          <w:tcPr>
            <w:tcW w:w="5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Forward currency contracts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cash flow hedging instruments:</w:t>
            </w:r>
          </w:p>
        </w:tc>
        <w:tc>
          <w:tcPr>
            <w:tcW w:w="1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currency contracts</w:t>
            </w:r>
          </w:p>
        </w:tc>
        <w:tc>
          <w:tcPr>
            <w:tcW w:w="1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5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in its Condensed Consolidated Balance Sheets.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effects of the master netting arrangements on the fair value of the company’s derivative instruments that are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91440</wp:posOffset>
            </wp:positionV>
            <wp:extent cx="7212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4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2, 2019</w:t>
            </w:r>
          </w:p>
        </w:tc>
        <w:tc>
          <w:tcPr>
            <w:tcW w:w="2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October 31, 2018</w:t>
            </w:r>
          </w:p>
        </w:tc>
      </w:tr>
      <w:tr>
        <w:trPr>
          <w:trHeight w:val="27"/>
        </w:trPr>
        <w:tc>
          <w:tcPr>
            <w:tcW w:w="6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amounts of recognized assets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10,901</w:t>
            </w: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Gross liabilities offset in the Condensed Consolidated Balance Sheets</w:t>
            </w:r>
          </w:p>
        </w:tc>
        <w:tc>
          <w:tcPr>
            <w:tcW w:w="4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5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amounts of assets presented in the Condensed Consolidated Balance Sheets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3,193</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10,901</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Forward currency contracts:</w:t>
            </w: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amounts of recognized liabilities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380" w:type="dxa"/>
            <w:vAlign w:val="bottom"/>
          </w:tcPr>
          <w:p>
            <w:pPr>
              <w:ind w:left="160"/>
              <w:spacing w:after="0"/>
              <w:rPr>
                <w:sz w:val="20"/>
                <w:szCs w:val="20"/>
                <w:color w:val="auto"/>
              </w:rPr>
            </w:pPr>
            <w:r>
              <w:rPr>
                <w:rFonts w:ascii="Arial" w:cs="Arial" w:eastAsia="Arial" w:hAnsi="Arial"/>
                <w:sz w:val="18"/>
                <w:szCs w:val="18"/>
                <w:color w:val="auto"/>
              </w:rPr>
              <w:t>Gross assets offset in the Condensed Consolidated Balance Sheets</w:t>
            </w:r>
          </w:p>
        </w:tc>
        <w:tc>
          <w:tcPr>
            <w:tcW w:w="4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Net amounts of liabilities presented in the Condensed Consolidated Balance Sheets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nine months ended August 2, 2019 and August 3, 2018:</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(Loss) Reclassified from AOCL</w:t>
            </w:r>
          </w:p>
        </w:tc>
        <w:tc>
          <w:tcPr>
            <w:tcW w:w="200" w:type="dxa"/>
            <w:vAlign w:val="bottom"/>
          </w:tcPr>
          <w:p>
            <w:pPr>
              <w:spacing w:after="0"/>
              <w:rPr>
                <w:sz w:val="18"/>
                <w:szCs w:val="18"/>
                <w:color w:val="auto"/>
              </w:rPr>
            </w:pPr>
          </w:p>
        </w:tc>
        <w:tc>
          <w:tcPr>
            <w:tcW w:w="29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Recognized in OCI on</w:t>
            </w: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into Earnings</w:t>
            </w:r>
          </w:p>
        </w:tc>
        <w:tc>
          <w:tcPr>
            <w:tcW w:w="200" w:type="dxa"/>
            <w:vAlign w:val="bottom"/>
          </w:tcPr>
          <w:p>
            <w:pPr>
              <w:spacing w:after="0"/>
              <w:rPr>
                <w:sz w:val="20"/>
                <w:szCs w:val="20"/>
                <w:color w:val="auto"/>
              </w:rPr>
            </w:pPr>
          </w:p>
        </w:tc>
        <w:tc>
          <w:tcPr>
            <w:tcW w:w="29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Derivatives</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August 2, 2019</w:t>
            </w:r>
          </w:p>
        </w:tc>
        <w:tc>
          <w:tcPr>
            <w:tcW w:w="24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2, 2019</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Forward currency contracts: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gridSpan w:val="3"/>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r>
        <w:trPr>
          <w:trHeight w:val="237"/>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(Loss) Reclassified from AOCL</w:t>
            </w:r>
          </w:p>
        </w:tc>
        <w:tc>
          <w:tcPr>
            <w:tcW w:w="200" w:type="dxa"/>
            <w:vAlign w:val="bottom"/>
          </w:tcPr>
          <w:p>
            <w:pPr>
              <w:spacing w:after="0"/>
              <w:rPr>
                <w:sz w:val="18"/>
                <w:szCs w:val="18"/>
                <w:color w:val="auto"/>
              </w:rPr>
            </w:pPr>
          </w:p>
        </w:tc>
        <w:tc>
          <w:tcPr>
            <w:tcW w:w="29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Gain (Loss) Recognized in OCI on</w:t>
            </w: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into Earnings</w:t>
            </w:r>
          </w:p>
        </w:tc>
        <w:tc>
          <w:tcPr>
            <w:tcW w:w="200" w:type="dxa"/>
            <w:vAlign w:val="bottom"/>
          </w:tcPr>
          <w:p>
            <w:pPr>
              <w:spacing w:after="0"/>
              <w:rPr>
                <w:sz w:val="20"/>
                <w:szCs w:val="20"/>
                <w:color w:val="auto"/>
              </w:rPr>
            </w:pPr>
          </w:p>
        </w:tc>
        <w:tc>
          <w:tcPr>
            <w:tcW w:w="29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Derivatives</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August 2, 2019</w:t>
            </w:r>
          </w:p>
        </w:tc>
        <w:tc>
          <w:tcPr>
            <w:tcW w:w="24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20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2, 2019</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Forward currency contracts: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2,900</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2,705</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immaterial gains within other income, net on the Condensed Consolidated Statements of Earnings during the third quarter and first nine months of fiscal 2019 and 2018 due to the discontinuance of cash flow hedge accounting on certain forward currency contracts designated as cash flow hedging instruments. As of August 2, 2019, the company expects to reclassify approximately $7.3 million of gains from AOCL to earnings during the next twelve months.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20" w:type="dxa"/>
            <w:vAlign w:val="bottom"/>
            <w:gridSpan w:val="7"/>
          </w:tcPr>
          <w:p>
            <w:pPr>
              <w:jc w:val="right"/>
              <w:ind w:right="779"/>
              <w:spacing w:after="0"/>
              <w:rPr>
                <w:sz w:val="20"/>
                <w:szCs w:val="20"/>
                <w:color w:val="auto"/>
              </w:rPr>
            </w:pPr>
            <w:r>
              <w:rPr>
                <w:rFonts w:ascii="Arial" w:cs="Arial" w:eastAsia="Arial" w:hAnsi="Arial"/>
                <w:sz w:val="16"/>
                <w:szCs w:val="16"/>
                <w:b w:val="1"/>
                <w:bCs w:val="1"/>
                <w:color w:val="auto"/>
              </w:rPr>
              <w:t>Gain (Loss) Recognized in Earnings on Cash Flow Hedging Instruments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20"/>
                <w:szCs w:val="20"/>
                <w:color w:val="auto"/>
              </w:rPr>
            </w:pPr>
          </w:p>
        </w:tc>
        <w:tc>
          <w:tcPr>
            <w:tcW w:w="3080" w:type="dxa"/>
            <w:vAlign w:val="bottom"/>
            <w:gridSpan w:val="3"/>
          </w:tcPr>
          <w:p>
            <w:pPr>
              <w:jc w:val="right"/>
              <w:ind w:right="1099"/>
              <w:spacing w:after="0"/>
              <w:rPr>
                <w:sz w:val="20"/>
                <w:szCs w:val="20"/>
                <w:color w:val="auto"/>
              </w:rPr>
            </w:pPr>
            <w:r>
              <w:rPr>
                <w:rFonts w:ascii="Arial" w:cs="Arial" w:eastAsia="Arial" w:hAnsi="Arial"/>
                <w:sz w:val="16"/>
                <w:szCs w:val="16"/>
                <w:b w:val="1"/>
                <w:bCs w:val="1"/>
                <w:color w:val="auto"/>
              </w:rPr>
              <w:t>August 2, 2019</w:t>
            </w:r>
          </w:p>
        </w:tc>
        <w:tc>
          <w:tcPr>
            <w:tcW w:w="360" w:type="dxa"/>
            <w:vAlign w:val="bottom"/>
          </w:tcPr>
          <w:p>
            <w:pPr>
              <w:spacing w:after="0"/>
              <w:rPr>
                <w:sz w:val="20"/>
                <w:szCs w:val="20"/>
                <w:color w:val="auto"/>
              </w:rPr>
            </w:pPr>
          </w:p>
        </w:tc>
        <w:tc>
          <w:tcPr>
            <w:tcW w:w="298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August 3, 2018</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0"/>
                <w:szCs w:val="20"/>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 Sales</w:t>
            </w:r>
          </w:p>
        </w:tc>
        <w:tc>
          <w:tcPr>
            <w:tcW w:w="340" w:type="dxa"/>
            <w:vAlign w:val="bottom"/>
          </w:tcPr>
          <w:p>
            <w:pPr>
              <w:spacing w:after="0"/>
              <w:rPr>
                <w:sz w:val="20"/>
                <w:szCs w:val="20"/>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w w:val="96"/>
              </w:rPr>
              <w:t>Cost of Sales</w:t>
            </w:r>
          </w:p>
        </w:tc>
        <w:tc>
          <w:tcPr>
            <w:tcW w:w="360" w:type="dxa"/>
            <w:vAlign w:val="bottom"/>
          </w:tcPr>
          <w:p>
            <w:pPr>
              <w:spacing w:after="0"/>
              <w:rPr>
                <w:sz w:val="20"/>
                <w:szCs w:val="20"/>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Net Sales</w:t>
            </w:r>
          </w:p>
        </w:tc>
        <w:tc>
          <w:tcPr>
            <w:tcW w:w="28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Cost of Sales</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Condensed Consolidated Statements of Earnings income (expense)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amounts in which the effects of cash flow hedging instruments are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recorded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838,713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(572,732)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655,821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(422,168)</w:t>
            </w: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Amount of gain (loss) reclassified from AOCL into earnings</w:t>
            </w:r>
          </w:p>
        </w:tc>
        <w:tc>
          <w:tcPr>
            <w:tcW w:w="3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1,350</w:t>
            </w:r>
          </w:p>
        </w:tc>
        <w:tc>
          <w:tcPr>
            <w:tcW w:w="3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140</w:t>
            </w:r>
          </w:p>
        </w:tc>
        <w:tc>
          <w:tcPr>
            <w:tcW w:w="3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2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Gain (loss) on components excluded from effectiveness testing</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4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205740</wp:posOffset>
            </wp:positionV>
            <wp:extent cx="42621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20" w:type="dxa"/>
            <w:vAlign w:val="bottom"/>
            <w:gridSpan w:val="7"/>
          </w:tcPr>
          <w:p>
            <w:pPr>
              <w:jc w:val="right"/>
              <w:ind w:right="779"/>
              <w:spacing w:after="0"/>
              <w:rPr>
                <w:sz w:val="20"/>
                <w:szCs w:val="20"/>
                <w:color w:val="auto"/>
              </w:rPr>
            </w:pPr>
            <w:r>
              <w:rPr>
                <w:rFonts w:ascii="Arial" w:cs="Arial" w:eastAsia="Arial" w:hAnsi="Arial"/>
                <w:sz w:val="16"/>
                <w:szCs w:val="16"/>
                <w:b w:val="1"/>
                <w:bCs w:val="1"/>
                <w:color w:val="auto"/>
              </w:rPr>
              <w:t>Gain (Loss) Recognized in Earnings on Cash Flow Hedging Instruments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20"/>
                <w:szCs w:val="20"/>
                <w:color w:val="auto"/>
              </w:rPr>
            </w:pPr>
          </w:p>
        </w:tc>
        <w:tc>
          <w:tcPr>
            <w:tcW w:w="3080" w:type="dxa"/>
            <w:vAlign w:val="bottom"/>
            <w:gridSpan w:val="3"/>
          </w:tcPr>
          <w:p>
            <w:pPr>
              <w:jc w:val="right"/>
              <w:ind w:right="1099"/>
              <w:spacing w:after="0"/>
              <w:rPr>
                <w:sz w:val="20"/>
                <w:szCs w:val="20"/>
                <w:color w:val="auto"/>
              </w:rPr>
            </w:pPr>
            <w:r>
              <w:rPr>
                <w:rFonts w:ascii="Arial" w:cs="Arial" w:eastAsia="Arial" w:hAnsi="Arial"/>
                <w:sz w:val="16"/>
                <w:szCs w:val="16"/>
                <w:b w:val="1"/>
                <w:bCs w:val="1"/>
                <w:color w:val="auto"/>
              </w:rPr>
              <w:t>August 2, 2019</w:t>
            </w:r>
          </w:p>
        </w:tc>
        <w:tc>
          <w:tcPr>
            <w:tcW w:w="360" w:type="dxa"/>
            <w:vAlign w:val="bottom"/>
          </w:tcPr>
          <w:p>
            <w:pPr>
              <w:spacing w:after="0"/>
              <w:rPr>
                <w:sz w:val="20"/>
                <w:szCs w:val="20"/>
                <w:color w:val="auto"/>
              </w:rPr>
            </w:pPr>
          </w:p>
        </w:tc>
        <w:tc>
          <w:tcPr>
            <w:tcW w:w="298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August 3, 2018</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20"/>
                <w:szCs w:val="20"/>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 Sales</w:t>
            </w:r>
          </w:p>
        </w:tc>
        <w:tc>
          <w:tcPr>
            <w:tcW w:w="340" w:type="dxa"/>
            <w:vAlign w:val="bottom"/>
          </w:tcPr>
          <w:p>
            <w:pPr>
              <w:spacing w:after="0"/>
              <w:rPr>
                <w:sz w:val="20"/>
                <w:szCs w:val="20"/>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w w:val="96"/>
              </w:rPr>
              <w:t>Cost of Sales</w:t>
            </w:r>
          </w:p>
        </w:tc>
        <w:tc>
          <w:tcPr>
            <w:tcW w:w="360" w:type="dxa"/>
            <w:vAlign w:val="bottom"/>
          </w:tcPr>
          <w:p>
            <w:pPr>
              <w:spacing w:after="0"/>
              <w:rPr>
                <w:sz w:val="20"/>
                <w:szCs w:val="20"/>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Net Sales</w:t>
            </w:r>
          </w:p>
        </w:tc>
        <w:tc>
          <w:tcPr>
            <w:tcW w:w="28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Cost of Sales</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Condensed Consolidated Statements of Earnings income (expense)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amounts in which the effects of cash flow hedging instruments are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recorded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2,403,705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(1,600,809)</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2,079,347</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(1,317,399)</w:t>
            </w: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Amount of gain (loss) reclassified from AOCL into earnings</w:t>
            </w:r>
          </w:p>
        </w:tc>
        <w:tc>
          <w:tcPr>
            <w:tcW w:w="3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3,828</w:t>
            </w:r>
          </w:p>
        </w:tc>
        <w:tc>
          <w:tcPr>
            <w:tcW w:w="3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497</w:t>
            </w:r>
          </w:p>
        </w:tc>
        <w:tc>
          <w:tcPr>
            <w:tcW w:w="3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(3,207)</w:t>
            </w:r>
          </w:p>
        </w:tc>
        <w:tc>
          <w:tcPr>
            <w:tcW w:w="2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610</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Gain (loss) on components excluded from effectiveness testing</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3,579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4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9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2, 2019</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3, 2018</w:t>
            </w:r>
          </w:p>
        </w:tc>
        <w:tc>
          <w:tcPr>
            <w:tcW w:w="2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August 2, 2019</w:t>
            </w:r>
          </w:p>
        </w:tc>
        <w:tc>
          <w:tcPr>
            <w:tcW w:w="2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August 3, 2018</w:t>
            </w:r>
          </w:p>
        </w:tc>
      </w:tr>
      <w:tr>
        <w:trPr>
          <w:trHeight w:val="27"/>
        </w:trPr>
        <w:tc>
          <w:tcPr>
            <w:tcW w:w="5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Gain (loss) on derivatives not designated as cash flow hedging</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r>
      <w:tr>
        <w:trPr>
          <w:trHeight w:val="222"/>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Total gain (loss) on derivatives not designated as cash flow hedging</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1,495</w:t>
            </w:r>
          </w:p>
        </w:tc>
      </w:tr>
      <w:tr>
        <w:trPr>
          <w:trHeight w:val="27"/>
        </w:trPr>
        <w:tc>
          <w:tcPr>
            <w:tcW w:w="5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72"/>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instruments consist of forward currency contracts that are measured at fair value on a recurring basis. The fair value of forward currency contracts is determined based on observable market transactions of forward currency prices and spot currency rates as of the reporting date. There were no transfers between the levels of the fair value hierarchy during the three and nine months ended August 2, 2019 and August 3, 2018, or the twelve months ended October 31, 2018.</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August 2, 2019, August 3, 2018, and October 31, 2018, according to the valuation technique utilized to determine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August 2, 2019</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16,431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16,431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16,431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August 3, 2018</w:t>
            </w:r>
          </w:p>
        </w:tc>
        <w:tc>
          <w:tcPr>
            <w:tcW w:w="112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3,193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3,193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3,193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9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5"/>
          </w:tcPr>
          <w:p>
            <w:pPr>
              <w:ind w:left="400"/>
              <w:spacing w:after="0"/>
              <w:rPr>
                <w:sz w:val="20"/>
                <w:szCs w:val="20"/>
                <w:color w:val="auto"/>
              </w:rPr>
            </w:pPr>
            <w:r>
              <w:rPr>
                <w:rFonts w:ascii="Arial" w:cs="Arial" w:eastAsia="Arial" w:hAnsi="Arial"/>
                <w:sz w:val="18"/>
                <w:szCs w:val="18"/>
                <w:b w:val="1"/>
                <w:bCs w:val="1"/>
                <w:color w:val="auto"/>
              </w:rPr>
              <w:t>Fair Value Measurements Using Inputs Considered as:</w:t>
            </w:r>
          </w:p>
        </w:tc>
      </w:tr>
      <w:tr>
        <w:trPr>
          <w:trHeight w:val="27"/>
        </w:trPr>
        <w:tc>
          <w:tcPr>
            <w:tcW w:w="2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October 31, 2018</w:t>
            </w:r>
          </w:p>
        </w:tc>
        <w:tc>
          <w:tcPr>
            <w:tcW w:w="112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10,901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10,901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Forward currency contracts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31</w:t>
            </w: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business combinations are measured at fair value. For additional information on the company's business combinations and the related non-recurring fair value measurement of the assets acquired and liabilities assumed, refer to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214"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provided non-GAAP financial measures, which are not calculated or presented in accordance with accounting principles generally accepted in the United States ("GAAP"), as information supplemental and in addition to the financial measures presented in this report that are calculated and presented in accordance with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 These non-GAAP financial measures, however, should not be considered superior to, as a substitute for, or as an alternative to, and should be considered in conjunction with, the GAAP financial measures. Further, these non-GAAP financial measures may differ from similar measures used by other companies.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MD&amp;A should be read in conjunction with the MD&amp;A included in Part II, Item 7 of our Annual Report on Form 10-K for the fiscal year ended October 31, 2018.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Toro Company ("Toro")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classify our operations into two reportable business segments: Professional and Residential. Our remaining activities are presented as "Other" due to their insignificance. These Other activities consist of earnings (loss) from our wholly-owned domestic distribution companies, corporate activities, and the elimination of intersegment revenues and expenses.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1, 2019 ("closing date"), pursuant to the Agreement and Plan of Merger dated February 14, 2019 ("merger agreement"), we completed our acquisition of The Charles Machine Works, Inc. ("CMW"), a privately held Oklahoma corporation. CMW designs, manufactures, and sells a range of professional products to serve the underground construction market, including horizontal directional drills, walk and ride trenchers, utility loaders, vacuum excavators, asset locators, pipe rehabilitation solutions, and after-market tools. CMW provides innovative product offerings that broaden and strengthen our Professional segment product portfolio and expands our dealer network, while also providing a complementary geographic manufacturing footprint. The transaction was structured as a merger, pursuant to which a wholly-owned subsidiary of Toro merged with and into CMW, with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CMW continuing as the surviving entity and a wholly-owned subsidiary of Toro. As a result of the merger, all of the outstanding equity securities of CMW were canceled and now only represent the right to receive the applicable consideration as described in the merger agreement. The preliminary aggregate merger consideration was $679.3 million ("purchase price"), and remains subject to customary adjustments based on, among other things, the amount of actual cash, debt and working capital in the business of CMW at the closing date. Such customary adjustments are expected to be completed during fiscal 2019. We funded the preliminary purchase price for the acquisition by using a combination of cash proceeds from the issuance of borrowings under our unsecured senior term loan credit agreement and borrowings from our unsecured senior revolving credit facility. For additional information regarding the acquisition and the financing agreements utilized to fund the purchase price, refer to Note 2,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Note 6, </w:t>
      </w:r>
      <w:r>
        <w:rPr>
          <w:rFonts w:ascii="Arial" w:cs="Arial" w:eastAsia="Arial" w:hAnsi="Arial"/>
          <w:sz w:val="17"/>
          <w:szCs w:val="17"/>
          <w:i w:val="1"/>
          <w:iCs w:val="1"/>
          <w:color w:val="auto"/>
        </w:rPr>
        <w:t>Indebtedness</w:t>
      </w:r>
      <w:r>
        <w:rPr>
          <w:rFonts w:ascii="Arial" w:cs="Arial" w:eastAsia="Arial" w:hAnsi="Arial"/>
          <w:sz w:val="17"/>
          <w:szCs w:val="17"/>
          <w:color w:val="auto"/>
        </w:rPr>
        <w:t>, in the Notes to Condensed Consolidated Financial Statements included in Part 1. Item 1 of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increased 27.9 percent and 15.6 percent for the third quarter and year-to-date periods of fiscal 2019, respectively, as compared to the same periods of fiscal 2018.</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Professional segment net sales increased 40.3 percent for the third quarter comparison, primarily due to incremental sales as a result of our acquisition of CMW, the year-over-year impact of price increases across our product lines, and continued growth in our snow and ice management and Toro-branded rental and specialty construction businesses, partially offset by fewer shipments of our landscape contractor and irrigation products. Professional segment net sales increased 20.0 percent for the year-to-date comparison, primarily driven by incremental sales as a result of our acquisition of CMW, the year-over-year impact of price increases across our product lines, and growth in our landscape contractor, snow and ice management, and Toro-branded rental and specialty construction businesses, partially offset by fewer shipments of our irrigation products.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Residential segment net sales decreased 11.0 percent for the third quarter comparison, mainly due to decreased shipments of zero-turn riding mowers, walk power mowers, and Pope-branded irrigation products, partially offset by the year-over-year impact of price increases across our product lines and strong channel demand for our consumer snow products. Residential segment net sales increased 0.8 percent for the year-to-date comparison, primarily due to the year-over-year impact of price increases across our product lines and strong retail demand for our consumer snow products and walk power mowers, partially offset by reduced shipments of zero-turn riding mowers and Pope-branded irrigation products.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earnings for the third quarter of fiscal 2019 were $60.6 million compared to $79.0 million for the third quarter of fiscal 2018. The decrease was primarily due to the unfavorable impact from purchase accounting adjustments and integration expenditures related to our CMW acquisition; increased commodity and tariff costs; and charges incurred for inventory write-downs, anticipated inventory retail support activities, and accelerated depreciation of fixed assets due to the wind down of our Toro-branded large horizontal directional drill and riding trencher product lines ("Toro underground wind down"). Net earnings for the first nine months of fiscal 2019 were $235.7 million compared to reported net earnings of $232.9 million in the comparable fiscal 2018 period. This increase was primarily due to the one-time impacts of the Tax Cuts and Jobs Act ("Tax Act") during the first nine months of fiscal 2018 and incremental earnings as a result of our acquisition of CMW, partially offset by the unfavorable impact from purchase accounting adjustments, transaction costs, and integration expenditures related to the CMW acquisition.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Adjusted non-GAAP net earnings for the third quarter of fiscal 2019 were $89.8 million compared to $73.5 million for the prior year comparative period, an increase of 22.2 percent. Adjusted non-GAAP net earnings for the first nine months of fiscal 2019 were $272.4 million compared to adjusted non-GAAP net earnings of $255.9 million in the comparable fiscal 2018 period, an increase of 6.5 percent. The primary factors contributing to the adjusted non-GAAP net earnings increases for the third quarter and year-to-date comparisons included incremental earnings as a result of our acquisition of CMW, improved net price realization driven by price increases across our product lines, productivity initiatives, the reduction in the U.S. federal corporate tax rate, and lower direct marketing and warehousing expense within our legacy businesses. These increases were partially offset by increased commodity and tariff costs, unfavorable product mix, and higher interest expense. Reconciliations of adjusted non-GAAP financial measures to the most directly comparable reported GAAP financial measures are included in the section titled "Non-GAAP Financial Measures" within this MD&amp;A.</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increased our cash dividend for the third quarter of fiscal 2019 by 12.5 percent to $0.225 per share compared to the $0.20 per share cash dividend paid in the third quarter of fiscal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Inventory levels increased $256.1 million, or 70.3 percent, as of the end of the third quarter of fiscal 2019, primarily due to incremental inventories as a result of our acquisition of CMW, higher work in process inventory due to supply chain challenges, and higher finished goods inventory due to lower than forecasted sales in certain legacy Toro businesses and inventory availability initiatives, partially offset by the write-down of inventory due to the Toro underground wind down and the impact of foreign currency exchange rates. Accounts receivable increased $92.8 million, or 42.3 percent, primarily due to incremental receivables as a result of our acquisition of CMW, timing of sales across the Professional and Residential segments, and higher sales to customers not financed through our Red Iron joint venture, partially offset by the impact of foreign currency exchange rates. As of the end of the third quarter of fiscal 2019, field inventory levels were higher than the end of the third quarter of fiscal 2018, primarily as a result of higher Professional segment field inventory due to incremental field inventory as a result of our acquisition of CMW and higher field inventory for our landscape contractor zero-turn riding mowers driven by soft retail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Three-Year Employee Initiative - "Vision 2020"</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current multi-year employee initiative, "Vision 2020", which began with our 2018 fiscal year, focuses on driving profitable growth with an emphasis on innovation and serving our customers, which we believe will generate further momentum for the organization. Through our Vision 2020 initiative, we have set specific internal goals intended to help us drive organic revenue and operating earnings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Revenue Growth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pursue strategic growth of our existing businesses and product categories with an organic revenue goal to achieve at least five percent or more of organic revenue growth in each of the three fiscal years of this initiative. For purposes of this goal, we define organic revenue growth as the increase in net sales, less net sales from acquisitions that occurred in the current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as part of our Vision 2020 initiative growth goals, we have set an operating earnings goal to increase operating earnings as a percentage of net sales to 15.5 percent or higher by the end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Worldwide consolidated net sales for the third quarter of fiscal 2019 were $838.7 million, up 27.9 percent compared to $655.8 million in the third quarter of fiscal 2018. The net sales increase for the quarter comparison was primarily driven by incremental sales as a result of our acquisition of CMW, the year-over-year impact of price increases across our product lines, strong channel demand for our Residential and Professional snow and ice management equipment, and increased shipments of our Toro-branded rental and specialty construction equipment. These net sales increases were partially offset by reduced shipments of our Residential and Professional zero-turn riding mowers due to soft retail demand, lower sales of our irrigation products due to unfavorable weather conditions in key regions, and reduced shipments of our walk power mowers.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year-to-date period of fiscal 2019, worldwide consolidated net sales were $2,403.7 million, up 15.6 percent from the same period in the prior fiscal year. The year-to-date net sales increase was primarily driven by incremental sales as a result of our acquisition of CMW, the year-over-year impact of price increases across our product lines, strong channel demand for our Residential and Professional snow and ice management equipment, growth in our Professional segment landscape contractor business, strong retail demand for our walk power mowers, and increased shipments of our Toro-branded rental and specialty construction equipment. These net sales increases were partially offset by fewer shipments of our irrigation products due to unfavorable weather conditions in key regions and lower sales of our Residential zero-turn riding mowers due to soft retail demand.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in international markets increased by 31.0 percent and 10.3 percent for the third quarter and year-to-date periods of fiscal 2019. Changes in foreign currency exchange rates resulted in a decrease in our net sales of approximately $1.3 million and $11.9 million for the third quarter and year-to-date periods of fiscal 2019. The net sales increase for the quarter comparison was mainly driven by incremental sales as a result of our acquisition of CMW and increased shipments of our Residential snow products due to strong channel demand, partially offset by lower sales of our irrigation products due to unfavorable weather in key regions. The net sales increase for the year-to-date period of fiscal 2019 was primarily due to incremental sales as a result of our acquisition of CMW and increased shipments of Residential snow products and walk power mowers, partially offset by lower sales of our irrigation products due to unfavorable weather in key regions and fewer shipments of Residential segment zero-turn riding mowers.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80"/>
        </w:trPr>
        <w:tc>
          <w:tcPr>
            <w:tcW w:w="8060" w:type="dxa"/>
            <w:vAlign w:val="bottom"/>
            <w:gridSpan w:val="4"/>
          </w:tcPr>
          <w:p>
            <w:pPr>
              <w:spacing w:after="0"/>
              <w:rPr>
                <w:sz w:val="20"/>
                <w:szCs w:val="20"/>
                <w:color w:val="auto"/>
              </w:rPr>
            </w:pPr>
            <w:r>
              <w:rPr>
                <w:rFonts w:ascii="Arial" w:cs="Arial" w:eastAsia="Arial" w:hAnsi="Arial"/>
                <w:sz w:val="18"/>
                <w:szCs w:val="18"/>
                <w:color w:val="auto"/>
                <w:w w:val="95"/>
              </w:rPr>
              <w:t>The following table summarizes the major operating costs and other income as a percentage of net sales:</w:t>
            </w: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c>
          <w:tcPr>
            <w:tcW w:w="336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1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300" w:type="dxa"/>
            <w:vAlign w:val="bottom"/>
          </w:tcPr>
          <w:p>
            <w:pPr>
              <w:jc w:val="right"/>
              <w:ind w:right="230"/>
              <w:spacing w:after="0"/>
              <w:rPr>
                <w:sz w:val="20"/>
                <w:szCs w:val="20"/>
                <w:color w:val="auto"/>
              </w:rPr>
            </w:pPr>
            <w:r>
              <w:rPr>
                <w:rFonts w:ascii="Arial" w:cs="Arial" w:eastAsia="Arial" w:hAnsi="Arial"/>
                <w:sz w:val="18"/>
                <w:szCs w:val="18"/>
                <w:b w:val="1"/>
                <w:bCs w:val="1"/>
                <w:color w:val="auto"/>
              </w:rPr>
              <w:t>August 2, 2019</w:t>
            </w:r>
          </w:p>
        </w:tc>
        <w:tc>
          <w:tcPr>
            <w:tcW w:w="1740" w:type="dxa"/>
            <w:vAlign w:val="bottom"/>
          </w:tcPr>
          <w:p>
            <w:pPr>
              <w:jc w:val="right"/>
              <w:ind w:right="250"/>
              <w:spacing w:after="0"/>
              <w:rPr>
                <w:sz w:val="20"/>
                <w:szCs w:val="20"/>
                <w:color w:val="auto"/>
              </w:rPr>
            </w:pPr>
            <w:r>
              <w:rPr>
                <w:rFonts w:ascii="Arial" w:cs="Arial" w:eastAsia="Arial" w:hAnsi="Arial"/>
                <w:sz w:val="18"/>
                <w:szCs w:val="18"/>
                <w:b w:val="1"/>
                <w:bCs w:val="1"/>
                <w:color w:val="auto"/>
              </w:rPr>
              <w:t>August 3, 2018</w:t>
            </w:r>
          </w:p>
        </w:tc>
        <w:tc>
          <w:tcPr>
            <w:tcW w:w="1720" w:type="dxa"/>
            <w:vAlign w:val="bottom"/>
          </w:tcPr>
          <w:p>
            <w:pPr>
              <w:jc w:val="right"/>
              <w:ind w:right="250"/>
              <w:spacing w:after="0"/>
              <w:rPr>
                <w:sz w:val="20"/>
                <w:szCs w:val="20"/>
                <w:color w:val="auto"/>
              </w:rPr>
            </w:pPr>
            <w:r>
              <w:rPr>
                <w:rFonts w:ascii="Arial" w:cs="Arial" w:eastAsia="Arial" w:hAnsi="Arial"/>
                <w:sz w:val="18"/>
                <w:szCs w:val="18"/>
                <w:b w:val="1"/>
                <w:bCs w:val="1"/>
                <w:color w:val="auto"/>
              </w:rPr>
              <w:t>August 2, 2019</w:t>
            </w: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rPr>
              <w:t>August 3, 2018</w:t>
            </w:r>
          </w:p>
        </w:tc>
      </w:tr>
      <w:tr>
        <w:trPr>
          <w:trHeight w:val="27"/>
        </w:trPr>
        <w:tc>
          <w:tcPr>
            <w:tcW w:w="1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1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(68.3)</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(64.4)</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(66.6)</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(63.4)</w:t>
            </w:r>
          </w:p>
        </w:tc>
      </w:tr>
      <w:tr>
        <w:trPr>
          <w:trHeight w:val="27"/>
        </w:trPr>
        <w:tc>
          <w:tcPr>
            <w:tcW w:w="1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31.7</w:t>
            </w:r>
          </w:p>
        </w:tc>
        <w:tc>
          <w:tcPr>
            <w:tcW w:w="17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35.6</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33.4</w:t>
            </w:r>
          </w:p>
        </w:tc>
        <w:tc>
          <w:tcPr>
            <w:tcW w:w="16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36.6</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(22.9)</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(21.4)</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(21.7)</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(20.7)</w:t>
            </w:r>
          </w:p>
        </w:tc>
      </w:tr>
      <w:tr>
        <w:trPr>
          <w:trHeight w:val="27"/>
        </w:trPr>
        <w:tc>
          <w:tcPr>
            <w:tcW w:w="1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2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8.8</w:t>
            </w:r>
          </w:p>
        </w:tc>
        <w:tc>
          <w:tcPr>
            <w:tcW w:w="17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14.2</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11.7</w:t>
            </w:r>
          </w:p>
        </w:tc>
        <w:tc>
          <w:tcPr>
            <w:tcW w:w="16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15.9</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(0.7)</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(0.9)</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(0.7)</w:t>
            </w:r>
          </w:p>
        </w:tc>
      </w:tr>
      <w:tr>
        <w:trPr>
          <w:trHeight w:val="27"/>
        </w:trPr>
        <w:tc>
          <w:tcPr>
            <w:tcW w:w="12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w:t>
            </w:r>
          </w:p>
        </w:tc>
        <w:tc>
          <w:tcPr>
            <w:tcW w:w="17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17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w:t>
            </w:r>
          </w:p>
        </w:tc>
        <w:tc>
          <w:tcPr>
            <w:tcW w:w="16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30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(1.8)</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(4.6)</w:t>
            </w:r>
          </w:p>
        </w:tc>
      </w:tr>
      <w:tr>
        <w:trPr>
          <w:trHeight w:val="27"/>
        </w:trPr>
        <w:tc>
          <w:tcPr>
            <w:tcW w:w="1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w:t>
            </w:r>
          </w:p>
        </w:tc>
        <w:tc>
          <w:tcPr>
            <w:tcW w:w="17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12.0%</w:t>
            </w:r>
          </w:p>
        </w:tc>
        <w:tc>
          <w:tcPr>
            <w:tcW w:w="1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9.8%</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percentage of net sales, gross profit for the third quarter of fiscal 2019 was 31.7 percent, a decrease of 390 basis points when compared to the third quarter of fiscal 2018. The decrease for the third quarter comparison was primarily driven by the impact of purchase accounting adjustments related to our acquisition of CMW, the unfavorable impact of higher commodity and tariff costs on purchased raw materials and component parts, charges related to the Toro underground wind down, unfavorable product mix, and supply chain challenges resulting in manufacturing inefficiencies. These decreases were partially offset by improved net price realization driven by price increases across our product lines, productivity initiatives, realized duty drawback credits on import tariffs, and lower freight costs driven by decreased industry demand. Gross profit as a percentage of net sales for the fiscal 2019 year-to-date period was 33.4 percent, a decrease of 320 basis points when compared with the prior fiscal year comparative period. The decrease for the year-to-date comparison was primarily due to the unfavorable impact of higher commodity and tariff costs on purchased raw materials and component parts, the impact of purchase accounting adjustments related to our acquisition of CMW, charges related to the Toro underground wind down, unfavorable product mix, supply chain challenges and inclement weather resulting in manufacturing inefficiencies. These decreases were partially offset by improved net price realization driven by price increases across our product lines, as well as productivity initiatives.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non-GAAP gross profit as a percentage of net sales excludes the impact of certain purchase accounting adjustments resulting from our acquisition of CMW, including the inventory fair value step-up amount and backlog intangible asset, as well as the impact of management actions, including the charges incurred for inventory write-downs, anticipated inventory retail support activities, and accelerated depreciation of fixed assets related to the Toro underground wind down. Adjusted non-GAAP gross profit as a percentage of net sales was 35.9 percent for the third quarter of fiscal 2019 compared to 35.6 percent for the third quarter of fiscal 2018, an increase of 30 basis points. The increase for the third quarter comparison was primarily driven by improved net price realization driven by price increases across our product lines, productivity initiatives, realized duty drawback credits on import tariffs, and lower freight costs driven by decreased industry demand. These increases were partially offset by the unfavorable impact of higher commodity and tariff costs on purchased raw materials and component parts, unfavorable product mix, and supply chain challenges resulting in manufacturing inefficiencies. Adjusted non-GAAP gross profit as a percentage of net sales was 35.3 percent for the year-to-date period of fiscal 2019 compared to 36.6 percent for the year-to-date period of fiscal 2018, a decrease of 130 basis points. This decrease was primarily due to the unfavorable impact of higher commodity and tariff costs on purchased raw materials and component parts, unfavorable product mix, and supply chain challenges and inclement weather resulting in manufacturing inefficiencies. These decreases were partially offset by improved net price realization driven by price increases across our product lines, as well as productivity initiatives.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expense increased $51.3 million, or 36.4 percent, for the third quarter of fiscal 2019 and increased $89.3 million, or 20.7 percent, for the year-to-date period of fiscal 2019. As a percentage of net sales, SG&amp;A expense increased 150 basis points for the third quarter of fiscal 2019 and increased 100 basis points for the year-to-date period of fiscal 2019. The increases as a percentage of net sales for the third quarter and year-to-date comparisons were primarily due to our acquisition of CMW resulting in incremental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8"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administrative, indirect sales and marketing, engineering, warranty, and service expense; integration and acquisition-related expenditures, and higher amortization of other intangible assets. These increases were partially offset by lower direct marketing and warehousing expense within our legacy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by $4.3 million and $6.2 million for the third quarter and year-to-date periods of fiscal 2019, respectively. These increases were driven by interest expense incurred on higher outstanding borrowings to fund the purchase price for our acquisition of CMW.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net for the third quarter of fiscal 2019 increased $1.2 million when compared to the third quarter of fiscal 2018. This increase for the third quarter comparison was primarily driven by a gain realized on the sale of a fixed asset and a favorable legal settlement, partially offset by unfavorable foreign currency exchange rate fluctuations. Other income, net for the year-to-date period of fiscal 2019 increased $4.2 million when compared to the year-to-date period of fiscal 2018. This increase was primarily due to higher earnings from our equity investment in Red Iron, increased interest income on marketable securities, a gain realized on the sale of a fixed asset, and a favorable legal settlement.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effective tax rate for the third quarter of fiscal 2019 was 14.9 percent compared to 15.3 percent in the third quarter of 2018. The decrease in the effective tax rate for the quarter comparison was primarily driven by the reduction in the U.S. federal corporate tax rate from a blended 23.3 percent in fiscal 2018 to 21.0 percent in fiscal 2019 under the Tax Act, partially offset by a lower benefit from the excess tax deduction for share-based compensation. The effective tax rate for the year-to-date period of fiscal 2019 was 15.3 percent compared to 29.2 percent in the same period of fiscal 2018. The fiscal 2018 effective tax rate was significantly impacted by the enactment of the Tax Act for the year-to-date period of fiscal 2018, including the provisional remeasurement of deferred tax assets and liabilities, which resulted in a non-cash discrete tax charge of $19.3 million, and the provisional calculation of the deemed repatriation tax, which resulted in a discrete tax charge of $13.3 million. In addition to these one-time charges resulting from the Tax Act, the decrease in the effective tax rate was partially driven by the reduction in the U.S. federal corporate tax rate from a blended 23.3 percent in fiscal 2018 to 21.0 percent in fiscal 2019.</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adjusted non-GAAP effective tax rate excludes costs incurred related to our acquisition of CMW, including integration and transaction costs and certain purchase accounting adjustments; the impact of management actions, including the charges related to the Toro underground wind down; the tax benefit for the excess tax deduction for share-based compensation; and one-time charges incurred under the Tax Act. The adjusted non-GAAP effective tax rate for the third quarter of fiscal 2019 was 18.1 percent, compared to an adjusted non-GAAP effective tax rate of 21.2 percent in the same period last year. The adjusted non-GAAP effective tax rate for the year-to-date period of fiscal 2019 was 19.5 percent, compared to an adjusted non-GAAP effective tax rate of 22.2 percent in the same period of fiscal 2018. The decreases in the adjusted non-GAAP effective tax rate for the third quarter and year-to-date comparisons were driven by the reduction in the U.S. federal corporate tax rate from a blended 23.3 percent in fiscal 2018 to 21.0 percent in fiscal 2019 and the impact of the inclusion of CMW within the consolidated effective tax rate.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earnings for the third quarter of fiscal 2019 were $60.6 million, or $0.56 per diluted share, compared to $79.0 million, or $0.73 per diluted share, for the third quarter of fiscal 2018. The decrease in net earnings for the quarter comparison was primarily due to the unfavorable impact of purchase accounting adjustments and integration expenditures from our CMW acquisition, the unfavorable impact of higher commodity and tariff costs, charges related to the Toro underground wind down, unfavorable product mix, a lower benefit from the excess tax deduction for share-based compensation, and higher interest expense. These decreases were partially offset by incremental earnings as a result of our acquisition of CMW, improved net price realization driven by price increases across our product lines, productivity initiatives, realized duty drawback credits on import tariffs, the reduction in the U.S. federal corporate tax rate, and lower direct marketing and warehousing expense within our legacy businesses. Year-to-date net earnings in fiscal 2019 were $235.7 million, or $2.18 per diluted share, compared to $232.9 million, or $2.14 per diluted share, in the prior year comparative period. The increase in net earnings for the year-to-date period comparison was primarily due to the significant impact of the Tax Act on net earnings for the first nine months of fiscal 2018, incremental earnings as a result of our acquisition of CMW, improved net price realization driven by price increases across our product lines, the reduction in the 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corporate tax rate, productivity initiatives, and lower direct marketing and warehousing expense within our legacy businesses. These increases were partially offset by the unfavorable impact of purchase accounting adjustments and integration and acquisition-related expenditures from our CMW acquisition, the unfavorable impact of higher commodity and tariff costs, unfavorable product mix, charges related to the Toro underground wind down, and higher interest expense.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Adjusted non-GAAP net earnings exclude costs incurred related to our acquisition of CMW, including integration and transaction costs and certain purchase accounting adjustments; the impact of management actions, including the charges related to the Toro underground wind down; the tax benefit for the excess tax deduction for share-based compensation; and one-time charges incurred under the Tax Act. Adjusted non-GAAP net earnings for the third quarter of fiscal 2019 were $89.8 million, or $0.83 per diluted share, compared to $73.5 million, or $0.68 per diluted share, for the third quarter of fiscal 2018, an increase of 22.1 percent per diluted share. The primary factors contributing to the adjusted non-GAAP net earnings increase for the third quarter comparison included incremental earnings as a result of our acquisition of CMW, improved net price realization driven by price increases across our product lines, productivity initiatives, realized duty drawback credits on import tariffs, the reduction in the U.S. federal corporate tax rate, and lower direct marketing and warehousing expense within our legacy businesses. These increases were partially offset by the unfavorable impact of commodity and tariff costs, unfavorable product mix, and higher interest expense. Adjusted non-GAAP net earnings for the year-to-date period of fiscal 2019 were $272.4 million, or $2.52 per diluted share, compared to $255.9 million, or $2.35 per diluted share, for the prior year comparable period, an increase of 7.2 percent per diluted share. The primary factors contributing to the adjusted non-GAAP net earnings increase for the year-to-date comparison included incremental earnings as a result of our acquisition of CMW, improved net price realization driven by price increases across our product lines, productivity initiatives, the reduction in the U.S. federal corporate tax rate, and lower direct marketing and warehousing expense within our legacy businesses. These increases were partially offset by the unfavorable impact of commodity and tariff costs, unfavorable product mix, and higher interest expense.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adjusted non-GAAP financial measures to the most directly comparable reported GAAP financial measures are included in the section titled "Non-GAAP Financial Measures" within this MD&amp;A.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includes earnings (loss) from our wholly-owned domestic distribution companies, corporate activities, other income, and interest expense. Corporate activities include general corporate expenditures (finance, human resources, legal, information services, public relations, and similar activities) and other unallocated corporate assets and liabilities, such as corporate facilities and deferred tax assets and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net sales for our reportable business segments and Other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860" w:type="dxa"/>
            <w:vAlign w:val="bottom"/>
            <w:gridSpan w:val="2"/>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38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August 2, 2019</w:t>
            </w:r>
          </w:p>
        </w:tc>
        <w:tc>
          <w:tcPr>
            <w:tcW w:w="2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August 3, 2018</w:t>
            </w:r>
          </w:p>
        </w:tc>
        <w:tc>
          <w:tcPr>
            <w:tcW w:w="3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676,756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482,494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194,262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Residential</w:t>
            </w:r>
          </w:p>
        </w:tc>
        <w:tc>
          <w:tcPr>
            <w:tcW w:w="13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148,234</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166,513</w:t>
            </w:r>
          </w:p>
        </w:tc>
        <w:tc>
          <w:tcPr>
            <w:tcW w:w="34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(18,279)</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13,723</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6,814</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6,909</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Total net sales*</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838,713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655,821</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182,892</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27.9 %</w:t>
            </w:r>
          </w:p>
        </w:tc>
        <w:tc>
          <w:tcPr>
            <w:tcW w:w="20" w:type="dxa"/>
            <w:vAlign w:val="bottom"/>
            <w:tcBorders>
              <w:top w:val="single" w:sz="8" w:color="auto"/>
            </w:tcBorders>
          </w:tcPr>
          <w:p>
            <w:pPr>
              <w:spacing w:after="0"/>
              <w:rPr>
                <w:sz w:val="20"/>
                <w:szCs w:val="20"/>
                <w:color w:val="auto"/>
              </w:rPr>
            </w:pPr>
          </w:p>
        </w:tc>
      </w:tr>
      <w:tr>
        <w:trPr>
          <w:trHeight w:val="67"/>
        </w:trPr>
        <w:tc>
          <w:tcPr>
            <w:tcW w:w="4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38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*Includes international net sales of:</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186,710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142,534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44,176</w:t>
            </w:r>
          </w:p>
        </w:tc>
        <w:tc>
          <w:tcPr>
            <w:tcW w:w="1460" w:type="dxa"/>
            <w:vAlign w:val="bottom"/>
          </w:tcPr>
          <w:p>
            <w:pPr>
              <w:jc w:val="right"/>
              <w:spacing w:after="0"/>
              <w:rPr>
                <w:sz w:val="20"/>
                <w:szCs w:val="20"/>
                <w:color w:val="auto"/>
              </w:rPr>
            </w:pPr>
            <w:r>
              <w:rPr>
                <w:rFonts w:ascii="Arial" w:cs="Arial" w:eastAsia="Arial" w:hAnsi="Arial"/>
                <w:sz w:val="18"/>
                <w:szCs w:val="18"/>
                <w:color w:val="auto"/>
              </w:rPr>
              <w:t>31.0 %</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72"/>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38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August 2, 2019</w:t>
            </w:r>
          </w:p>
        </w:tc>
        <w:tc>
          <w:tcPr>
            <w:tcW w:w="2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August 3, 2018</w:t>
            </w:r>
          </w:p>
        </w:tc>
        <w:tc>
          <w:tcPr>
            <w:tcW w:w="34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1,855,268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1,546,536</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308,732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13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525,539</w:t>
            </w: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521,189</w:t>
            </w:r>
          </w:p>
        </w:tc>
        <w:tc>
          <w:tcPr>
            <w:tcW w:w="340" w:type="dxa"/>
            <w:vAlign w:val="bottom"/>
          </w:tcPr>
          <w:p>
            <w:pPr>
              <w:spacing w:after="0"/>
              <w:rPr>
                <w:sz w:val="21"/>
                <w:szCs w:val="21"/>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4,350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22,898</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11,622</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11,276</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8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 net sales*</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2,403,705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2,079,347</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324,358</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0"/>
                <w:szCs w:val="20"/>
                <w:color w:val="auto"/>
              </w:rPr>
            </w:pPr>
          </w:p>
        </w:tc>
      </w:tr>
      <w:tr>
        <w:trPr>
          <w:trHeight w:val="67"/>
        </w:trPr>
        <w:tc>
          <w:tcPr>
            <w:tcW w:w="40" w:type="dxa"/>
            <w:vAlign w:val="bottom"/>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05"/>
        </w:trPr>
        <w:tc>
          <w:tcPr>
            <w:tcW w:w="40" w:type="dxa"/>
            <w:vAlign w:val="bottom"/>
          </w:tcPr>
          <w:p>
            <w:pPr>
              <w:spacing w:after="0"/>
              <w:rPr>
                <w:sz w:val="24"/>
                <w:szCs w:val="24"/>
                <w:color w:val="auto"/>
              </w:rPr>
            </w:pPr>
          </w:p>
        </w:tc>
        <w:tc>
          <w:tcPr>
            <w:tcW w:w="38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*Includes international net sales of:</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547,332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496,403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50,929</w:t>
            </w:r>
          </w:p>
        </w:tc>
        <w:tc>
          <w:tcPr>
            <w:tcW w:w="146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53"/>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segment earnings for our reportable business segments and operating (loss) for our Other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76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2, 2019</w:t>
            </w:r>
          </w:p>
        </w:tc>
        <w:tc>
          <w:tcPr>
            <w:tcW w:w="2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August 3, 2018</w:t>
            </w:r>
          </w:p>
        </w:tc>
        <w:tc>
          <w:tcPr>
            <w:tcW w:w="32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81,592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97,716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(16,124)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7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16,151</w:t>
            </w:r>
          </w:p>
        </w:tc>
        <w:tc>
          <w:tcPr>
            <w:tcW w:w="2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16,002</w:t>
            </w:r>
          </w:p>
        </w:tc>
        <w:tc>
          <w:tcPr>
            <w:tcW w:w="320" w:type="dxa"/>
            <w:vAlign w:val="bottom"/>
          </w:tcPr>
          <w:p>
            <w:pPr>
              <w:spacing w:after="0"/>
              <w:rPr>
                <w:sz w:val="21"/>
                <w:szCs w:val="21"/>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149</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(26,508)</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(6,065)</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w:t>
            </w:r>
          </w:p>
        </w:tc>
      </w:tr>
      <w:tr>
        <w:trPr>
          <w:trHeight w:val="237"/>
        </w:trPr>
        <w:tc>
          <w:tcPr>
            <w:tcW w:w="3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segment earnings</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71,235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93,275</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(22,040)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3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1480" w:type="dxa"/>
            <w:vAlign w:val="bottom"/>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7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August 2, 2019</w:t>
            </w:r>
          </w:p>
        </w:tc>
        <w:tc>
          <w:tcPr>
            <w:tcW w:w="2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August 3, 2018</w:t>
            </w:r>
          </w:p>
        </w:tc>
        <w:tc>
          <w:tcPr>
            <w:tcW w:w="30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319,689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338,607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(18,918)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17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51,253</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58,019</w:t>
            </w:r>
          </w:p>
        </w:tc>
        <w:tc>
          <w:tcPr>
            <w:tcW w:w="300" w:type="dxa"/>
            <w:vAlign w:val="bottom"/>
          </w:tcPr>
          <w:p>
            <w:pPr>
              <w:spacing w:after="0"/>
              <w:rPr>
                <w:sz w:val="21"/>
                <w:szCs w:val="21"/>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(6,766)</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(11.7)</w:t>
            </w:r>
          </w:p>
        </w:tc>
      </w:tr>
      <w:tr>
        <w:trPr>
          <w:trHeight w:val="27"/>
        </w:trPr>
        <w:tc>
          <w:tcPr>
            <w:tcW w:w="3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(92,507)</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(67,800)</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(24,707)</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(36.4)</w:t>
            </w:r>
          </w:p>
        </w:tc>
      </w:tr>
      <w:tr>
        <w:trPr>
          <w:trHeight w:val="237"/>
        </w:trPr>
        <w:tc>
          <w:tcPr>
            <w:tcW w:w="3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 segment earnings</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278,435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328,826</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(50,391)</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3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Worldwide net sales for our Professional segment increased 40.3 percent and 20.0 percent for the third quarter and year-to-date periods of fiscal 2019, respectively, as compared to the same periods in fiscal 2018. The Professional segment net sales increase for the third quarter comparison was primarily driven by incremental sales as a result of our acquisition of CMW, the year-over-year impact of price increases across our product lines, and continued growth in our snow and ice management and Toro-branded rental and specialty construction businesses driven by channel demand. These net sales increases were partially offset by fewer shipments of our landscape contractor zero-turn riding mowers due to soft retail demand and lower sales of our irrigation products driven by unfavorable weather conditions in key regions.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segment net sales growth for the year-to-date period of fiscal 2019 was largely due to incremental sales as a result of our acquisition of CMW, the year-over-year impact of price increases across our product lines, and growth in our landscape contractor, snow and ice management, and Toro-branded rental and specialty construction businesses driven by channel demand. These net sales increases were partially offset by fewer shipments of our irrigation products due to unfavorable weather conditions in key regions.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Professional segment earnings for the third quarter of fiscal 2019 decreased by 16.5 percent compared to the third quarter of fiscal 2018 and decreased to 12.1 percent from 20.3 percent when expressed as a percentage of net sales for the quarter comparison. For the year-to-date period of fiscal 2019, Professional segment earnings decreased by 5.6 percent compared to the same period in the prior fiscal year and decreased to 17.2 percent from 21.9 percent when expressed as a percentage of net sales for the year-to-date period comparison. As a percentage of net sales, the Professional segment earnings decreases for the third quarter and year-to-date comparisons were primarily due to our CMW acquisition resulting in the unfavorable impact of purchase accounting adjustments, higher amortization of intangible assets, and incremental administrative, indirect sales and marketing, and engineering expense; the unfavorable impact of higher commodity and tariff costs on purchased raw materials and component parts; charges related to the Toro underground wind down; unfavorable product mix; and supply chain challenges resulting in manufacturing inefficiencies. These decreases were partially offset by improved net price realization driven by price increases across our product lines, productivity initiatives, and lower direct marketing and warehousing expense within our legacy businesses.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Worldwide net sales for our Residential segment for the third quarter and year-to-date periods of fiscal 2019 decreased 11.0 percent and increased 0.8 percent, respectively, compared to the prior fiscal year periods. The Residential segment net sales decrease for the third quarter comparison was mainly due to decreased shipments of zero-turn riding mowers and walk power mowers due to soft retail demand and lower sales of Pope-branded irrigation products due to soft channel demand. These net sales decreases were partially offset by the year-over-year impact of price increases across our product lines and strong channel demand for our snow products driven by successful new product introductions.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Residential segment net sales increase for the year-to-date comparison was primarily driven by the year-over-year impact of price increases across our product lines and strong retail demand for our snow products and walk power mowers. These net sales increases were partially offset by reduced shipments of zero-turn riding mowers due to soft retail demand and lower sales of our Pope-branded irrigation products due to unfavorable weather conditions and soft channel demand.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Residential segment earnings for the third quarter of fiscal 2019 increased 0.9 percent compared to the third quarter of fiscal 2018, and when expressed as a percentage of net sales, increased to 10.9 percent from 9.6 percent. As a percentage of net sales, the Residential segment earnings increase was mainly due to the year-over-year impact of price increases across our product lines, productivity initiatives, realized duty drawback credits on import tariffs, and decreased advertising costs. These increases were partially offset by the unfavorable impact of commodity costs on purchased components and raw materials, increased depreciation expense on fixed assets related to new products, and higher engineering costs related to new product development.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year-to-date period of fiscal 2019, Residential segment earnings decreased 11.7 percent compared to the same period in the prior fiscal year, and when expressed as a percentage of net sales, decreased to 9.8 percent from 11.1 percent. As a percentage of net sales, the Residential segment earnings decrease was primarily due to the unfavorable impact of higher commodity and tariff costs on purchased components and raw materials, unfavorable product mix, increased depreciation expense on fixed assets related to new products, and higher engineering costs related to new product development. These decreases were partially offset by the year-over-year impact of price increases across our product lines, productivity initiatives, realized duty drawback credits on import tariffs, and decreased advertising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our Other activities include sales from our wholly-owned domestic distribution companies less sales from the Professional and Residential segments to the distribution companies. Net sales for our Other activities in the third quarter and year-to-date periods of fiscal 2019 increased by $6.9 million and $11.3 million, respectively, mainly due to increased sales of our golf and grounds equipment through our wholly-owned domestic distribution companies driven by our acquisition of a Northeastern U.S. distribution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loss for our Other activities increased $6.1 million for the third quarter of fiscal 2019, primarily due to increased interest expense due to higher outstanding borrowings resulting from our CMW acquisition and integration costs related to our acquisition of CMW. These increases were partially offset by incremental earnings as a result of our acquisition of a Northeastern U.S. distribution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segment loss increased $24.7 million for the year-to-date period of fiscal 2019, primarily due to integration and transaction costs related to our acquisition of CMW, increased interest expense due to higher outstanding borrowings resulting from our CMW acquisition, and higher incentive compensation expense. These increases were partially offset by higher interest income on marketable securities and higher earnings from our equity investment in Red Iron.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strategy continues to place emphasis on improving asset utilization with a focus on reducing the amount of working capital in the supply chain, adjusting production plans, and maintaining or improving order replenishment and service levels to end-users. Inventory levels were up $256.1 million, or 70.3 percent, as of the end of the third quarter of fiscal 2019 compared to the end of the third quarter of fiscal 2018, primarily due to incremental inventories as a result of our acquisition of CMW, higher work in process inventory due to supply chain challenges, and higher finished goods inventory due to lower than forecasted sales in certain legacy Toro businesses and inventory availability initiatives, partially offset by the write-down of inventory due to the Toro underground wind down and the impact of foreign currency exchange rates. Accounts receivable as of the end of the third quarter of fiscal 2019 increased $92.8 million, or 42.3 percent, compared to the end of the third quarter of fiscal 2018, primarily due to incremental receivables as a result of our acquisition of CMW, timing of sales across the Professional and Residential segments, and higher sales to customers not financed through our Red Iron joint venture, partially offset by the impact of foreign currency exchange rates. Accounts payable increased $75.6 million, or 33.0 percent, as of the end of our third quarter of fiscal 2019 compared to the end of the third quarter of fiscal 2018, mainly due to incremental accounts payable as a result of our acquisition of CMW and negotiating more favorable payment terms with suppliers as a component of our working capital initiatives.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Cash provided by operating activities for the first nine months of fiscal 2019 decreased $0.3 million compared to the first nine months of fiscal 2018, primarily due to cash utilized for purchases of inventory, partially offset by higher net earnings and the take-down of the inventory purchase accounting adjustment related to our CMW acquisition. Cash used in investing activities increased $654.6 million during the first nine months of fiscal 2019 compared to the first nine months of fiscal 2018, primarily due to more cash utilized for the acquisitions of CMW and a Northeastern U.S. distribution company during the first nine months of fiscal 2019 compared to the cash utilized for the acquisition of L.T. Rich Products, Inc. during the first nine months of fiscal 2018. Cash provided by financing activities for the first nine months of fiscal 2019 increased $568.6 million compared to cash used in financing activities for the first nine months of fiscal 2018, mainly due to the issuance of indebtedness under our term loan credit agreement and amounts drawn on our revolving credit facility during the second quarter of fiscal 2019 to fund the CMW acquisition, the issuance of our private placement senior notes during the third quarter of fiscal 2019, reduced cash utilized for purchases of Toro common stock compared to fiscal 2018, and higher cash provided from the exercise of stock options. These sources of cash were partially offset by more cash utilized for repayments of our outstanding indebtedness under our revolving credit facility and term loan credit agreement and more cash utilized for dividend payments on shares of our common stock compared to fiscal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and potential future, financing arrangements and forecasted cash flows will be sufficient to provide the necessary capital resources for our anticipated working capital needs, capital expenditures, investments, debt repayments, quarterly cash dividend payments, and common stock repurchases, all as applicable, for at least the next twelve months. As of August 2, 2019, cash and short-term investments held by our foreign subsidiaries were approximately $91.7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Seasonal cash requirements are financed from operations, cash on hand, and with borrowings under our $600.0 million unsecured senior five-year revolving credit facility that expires in June 2023, as applicable. Included in our $600.0 million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subject to an additional basis point spread that is calculated based on the better of the leverage ratio (as measured quarterly and defined as the ratio of total indebtedness to consolidated earnings before interest and taxes plus depreciation and amortization expense) and debt rating of Toro.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that is calculated based on the better of the leverage ratio and debt rating of Toro. Interest is payable quarterly in arrears. Our debt rating for long-term unsecured senior, non-credit enhanced debt was unchanged during the third quarter of fiscal 2019 by Standard and Poor's Ratings Group at BBB and by Moody's Investors Service at Baa3. If our debt rating falls below investment grade and/or our leverage ratio rises above 1.50, the basis point spread we currently pay on outstanding debt under the revolving credit facility would increase. However, the credit commitment could not be canceled by the banks based solely on a ratings downgrade. For the three and nine month periods ended August 2, 2019, we incurred interest expense of approximately $0.2 million and $1.9 million on the outstanding borrowings under the revolving credit facility. For the three and nine month periods ended August 3, 2018, we incurred interest expense of approximately $0.4 million on the outstanding borrowings under the revolving credit facility.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August 2, 2019, we were not limited in the amount for payments of cash dividends and common stock repurchases. We were in compliance with all covenants related to the credit agreement for our revolving credit facility as of August 2, 2019, and we expect to be in compliance with all covenants during the remainder of fiscal 2019.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facilities, and any amounts outstanding under the revolving credit facility could become due and payable if we were unable to obtain a covenant waiver or refinance our borrowings under our credit agreement.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2, 2019, we had no borrowings under the revolving credit facility but did have $1.9 million outstanding under the sublimit for standby letters of credit, resulting in $598.1 million of unutilized availability under our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2019, we entered into a term loan credit agreement with a syndicate of financial institutions for the purpose of partially funding the purchase price of our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 The funds under both term loan facilities were received on April 1, 2019 in connection with the closing of our acquisition of CMW. There are no scheduled principal amortization payments prior to maturity on the $200.0 million three year unsecured senior term loan facility. For the $300.0 million five year unsecured senior term loan facility, we are required to make quarterly amortization payments of 2.5 percent of the aggregate principal balance beginning with the last business day of the thirteenth calendar quarter ending after April 1, 2019, with the remainder of the unpaid principal balance due at maturity. No payments are required the first three years of the $300.0 million five year unsecured senior term loan facility. The term loan facilities may be prepaid and terminated at our election at any time without penalty or premium. As of August 2, 2019, we have prepaid $100.0 million and $100.0 million against the outstanding principal balances of the $200.0 million three year unsecured senior term loan facility and $300.0 million five year unsecured senior term loan facility, respectively.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credit agreement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We were in compliance with all covenants related to our term loan credit agreement as of August 2, 2019. Outstanding borrowings under the term loan credit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agreement bear interest at a variable rate generally based on LIBOR or an alternative variable rate, based on the highest of the Bank of America prime rate, the federal funds rate, or a rate generally based on LIBOR, in each case subject to an additional basis point spread as defined in the term loan credit agreement. Interest is payable quarterly in arrears. For the three and nine month periods ended August 2, 2019, we incurred interest expense of approximately $3.7 million and $5.3 million, respectively, on the outstanding borrowings under the term loan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3.81% Series A and 3.91% Series B Senior Notes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30, 2019, we entered into a private placement note purchase agreement with certain purchasers pursuant to which we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we issued $100.0 million of the Series A Senior Notes and $100.0 million of the Series B Senior Notes pursuant to the private placement note purchase agreement. The Senior Notes are senior unsecured obligations of Toro. Interest on the Senior Notes is payable semiannually on the 15th day of June and December in each year, commencing on December 15, 2019. For the three and nine month periods ended August 2, 2019,we incurred interest expense of approximately $0.8 million on the outstanding borrowings under the private placement note purchase agreement.</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the right to prepay all or a portion of the Senior Notes upon notice to the holders for 100% of the principal amount prepaid, plus a make-whole premium, plus accrued and unpaid interest, if any, to the date of prepayment. In addition, at any time on or after the date that is 90 days prior to the maturity date of the respective Senior Note, we have the right to prepay all of such Senior Note for 100% of the principal amount so prepaid, plus accrued and unpaid interest, if any, to the date of prepayment. Upon the occurrence of certain change of control events, holders of the Senior Notes will have the right to require us to purchase such holder’s Senior Notes in cash at a purchase price equal to 100% of the principal amount thereof plus accrued and unpaid interest, if any, to the date of repurchase. The private placement note purchase agreement contains customary representations and warranties of us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We were in compliance with all representations, warranties, and covenants related to the private placement note purchase agreement as of August 2,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August 2, 2019, we had $720.7 million of outstanding indebtedness that included $100.0 million of 7.8 percent debentures due June 15, 2027, $123.9 million of 6.625 percent senior notes due May 1, 2037, $100.0 million outstanding under our $200.0 million three year unsecured senior term loan facility, $200.0 million outstanding under our $300.0 million five year unsecured senior term loan facility, $100.0 million outstanding under our Series A Senior Notes, $100.0 million outstanding under our Series B Senior Notes, and no outstanding borrowings under our revolving credit facility. The August 2, 2019 outstanding indebtedness amounts were partially offset by debt issuance costs and deferred charges of $3.2 million related to our outstanding indebtedness. As of August 2, 2019, we have reclassified $99.9 million of the remaining outstanding principal balance under the term loan credit agreement, net of the related proportionate share of debt issuance costs, to current portion of long-term debt within the Condensed Consolidated Balance Sheets as we intend to prepay such amount utilizing cash flows from operations within the next twelve months. As of August 3, 2018, we had $312.5 million of outstanding indebtedness that included $100.0 million of 7.8 percent debentures due June 15, 2027, $123.8 million of 6.625 percent senior notes due May 1, 2037, and $91.0 million of outstanding borrowings under our revolving credit facility. The August 3, 2018 outstanding indebtedness amounts were partially offset by debt issuance costs and deferred charges of $2.4 million related to our outstanding indebtedness. As of August 3, 2018, the $91.0 million of outstanding borrowings under our revolving credit facility was classified as long-term debt within our Condensed Consolidated Balance Sheets.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our domestic and non-U.S. operations maintained import letters of credit in the aggregate amount of approximately $13.2 million as of August 2, 2019. As of August 2, 2019, we had $3.3 million of outstanding on such letters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approved a cash dividend of $0.225 per share for the third quarter of fiscal 2019 that was paid on July 11, 2019. This was an increase of 12.5 percent over our cash dividend of $0.20 per share for the third quarter of fiscal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our acquisition of CMW on April 1, 2019, we curtailed repurchasing shares of our common stock during the third quarter of fiscal 2019. During the first nine months of fiscal 2019, we repurchased 359,758 shares of our common stock in the open market under our Board authorized repurchase plan, thereby reducing our total shares outstanding. We expect to curtail repurchasing shares of our common stock throughout the remainder of fiscal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Red Iron joint venture with TCFIF provides inventory financing to certain distributors and dealers of our products that enables them to carry representative inventories of our products. Under separate agreements between Red Iron and the dealers and distributors, Red Iron provides loans to the dealers and distributors for the advances paid by Red Iron to us. The net amount of receivables financed for dealers and distributors under this arrangement for the nine months ended August 2, 2019 was $1,513.3 million. We also have floor plan financing agreements with other third-party financial institutions to provide floor plan financing to certain dealers not financed through Red Iron, which include agreements with third-party financial institutions as a result of our acquisition of CMW. These third-party financing companies financed $144.1 million of receivables for such dealers and distributors during the first nine months of fiscal 2019. As of August 2, 2019, $138.2 million of receivables financed by the third-party financing companies, excluding Red Iron, were outstanding. Our customer financing arrangements are described in further detail within our most recently filed Annual Report on Form 10-K. There have been no material changes to such arrangements, with the exception of the floor plan financing agreements as a result of our acquisition of CMW.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enter into agreements where we provide recourse to third-party finance companies in the event of default by the customer to the third-party finance company. Our end-user financing arrangements are described in further detail within our most recently filed Annual Report on Form 10-K. There have been no material changes to such arrangements with the exception of recourse agreements with third-party financing companies as a result of our acquisition of CMW. Our maximum exposure for credit collection under our recourse agreements as of August 2, 2019 was $14.5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obligated to make future payments under various existing contracts, such as debt agreements, operating lease agreements, unconditional purchase obligations, and other long-term obligations. Our contractual obligations are described in further detail within our most recently filed Annual Report on Form 10-K. There have been no material changes to such contractual obligations, with the exception of outstanding borrowings under our term loan credit agreement resulting from our acquisition of CMW and the issuance of the Senior Notes under our private placement note purchase agreement as further described within the section titled "Liquidity and Capital Resources" within this MD&amp;A.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off-balance sheet arrangements relating to our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marketing and distribution activities. We also have off-balance sheet arrangements with Red Iron, our joint venture with TCFIF, and other third-party financial institutions in which inventory receivables for certain dealers and distributors are financed by Red Iron or such other third-party financial institutions. Our off-balance sheet arrangements are described in further detail within our most recently filed Annual Report on Form 10-K. There have been no material changes to such off-balance sheet arrangements, with the exception of the agreements with third-party financial institutions to provide inventory financing to certain distributors and dealers not financed through Red Iron resulting from our acquisition of CMW and described in further detail within the section titled "Customer Financing Arrangements" within this MD&amp;A.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GAAP, as information supplemental and in addition to the most directly comparable financial measures that are calculated and presented in accordance with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 Such non-GAAP financial measures should not be considered superior to, as a substitute for, or as an alternative to, and should be considered in conjunction with, the GAAP financial measures. The non-GAAP financial measures may differ from similar measures used by other companies.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financial measures calculated and reported in accordance with GAAP, as well as adjusted non-GAAP financial measures, for the three and nine month periods ended August 2, 2019 and August 3, 2018: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980" w:type="dxa"/>
            <w:vAlign w:val="bottom"/>
            <w:gridSpan w:val="3"/>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Pr>
          <w:p>
            <w:pPr>
              <w:spacing w:after="0"/>
              <w:rPr>
                <w:sz w:val="19"/>
                <w:szCs w:val="19"/>
                <w:color w:val="auto"/>
              </w:rPr>
            </w:pPr>
          </w:p>
        </w:tc>
        <w:tc>
          <w:tcPr>
            <w:tcW w:w="2900" w:type="dxa"/>
            <w:vAlign w:val="bottom"/>
            <w:gridSpan w:val="3"/>
          </w:tcPr>
          <w:p>
            <w:pPr>
              <w:jc w:val="right"/>
              <w:ind w:right="695"/>
              <w:spacing w:after="0"/>
              <w:rPr>
                <w:sz w:val="20"/>
                <w:szCs w:val="20"/>
                <w:color w:val="auto"/>
              </w:rPr>
            </w:pPr>
            <w:r>
              <w:rPr>
                <w:rFonts w:ascii="Arial" w:cs="Arial" w:eastAsia="Arial" w:hAnsi="Arial"/>
                <w:sz w:val="17"/>
                <w:szCs w:val="17"/>
                <w:b w:val="1"/>
                <w:bCs w:val="1"/>
                <w:color w:val="auto"/>
              </w:rPr>
              <w:t>Nine Months Ended</w:t>
            </w:r>
          </w:p>
        </w:tc>
      </w:tr>
      <w:tr>
        <w:trPr>
          <w:trHeight w:val="31"/>
        </w:trPr>
        <w:tc>
          <w:tcPr>
            <w:tcW w:w="4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3"/>
        </w:trPr>
        <w:tc>
          <w:tcPr>
            <w:tcW w:w="4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jc w:val="right"/>
              <w:ind w:right="175"/>
              <w:spacing w:after="0"/>
              <w:rPr>
                <w:sz w:val="20"/>
                <w:szCs w:val="20"/>
                <w:color w:val="auto"/>
              </w:rPr>
            </w:pPr>
            <w:r>
              <w:rPr>
                <w:rFonts w:ascii="Arial" w:cs="Arial" w:eastAsia="Arial" w:hAnsi="Arial"/>
                <w:sz w:val="17"/>
                <w:szCs w:val="17"/>
                <w:b w:val="1"/>
                <w:bCs w:val="1"/>
                <w:color w:val="auto"/>
                <w:w w:val="91"/>
              </w:rPr>
              <w:t>August 2, 2019</w:t>
            </w:r>
          </w:p>
        </w:tc>
        <w:tc>
          <w:tcPr>
            <w:tcW w:w="240" w:type="dxa"/>
            <w:vAlign w:val="bottom"/>
          </w:tcPr>
          <w:p>
            <w:pPr>
              <w:spacing w:after="0"/>
              <w:rPr>
                <w:sz w:val="20"/>
                <w:szCs w:val="20"/>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w w:val="91"/>
              </w:rPr>
              <w:t>August 3, 2018</w:t>
            </w:r>
          </w:p>
        </w:tc>
        <w:tc>
          <w:tcPr>
            <w:tcW w:w="220" w:type="dxa"/>
            <w:vAlign w:val="bottom"/>
          </w:tcPr>
          <w:p>
            <w:pPr>
              <w:spacing w:after="0"/>
              <w:rPr>
                <w:sz w:val="20"/>
                <w:szCs w:val="20"/>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b w:val="1"/>
                <w:bCs w:val="1"/>
                <w:color w:val="auto"/>
                <w:w w:val="91"/>
              </w:rPr>
              <w:t>August 2, 2019</w:t>
            </w:r>
          </w:p>
        </w:tc>
        <w:tc>
          <w:tcPr>
            <w:tcW w:w="220" w:type="dxa"/>
            <w:vAlign w:val="bottom"/>
          </w:tcPr>
          <w:p>
            <w:pPr>
              <w:spacing w:after="0"/>
              <w:rPr>
                <w:sz w:val="20"/>
                <w:szCs w:val="20"/>
                <w:color w:val="auto"/>
              </w:rPr>
            </w:pPr>
          </w:p>
        </w:tc>
        <w:tc>
          <w:tcPr>
            <w:tcW w:w="1320" w:type="dxa"/>
            <w:vAlign w:val="bottom"/>
          </w:tcPr>
          <w:p>
            <w:pPr>
              <w:jc w:val="right"/>
              <w:ind w:right="115"/>
              <w:spacing w:after="0"/>
              <w:rPr>
                <w:sz w:val="20"/>
                <w:szCs w:val="20"/>
                <w:color w:val="auto"/>
              </w:rPr>
            </w:pPr>
            <w:r>
              <w:rPr>
                <w:rFonts w:ascii="Arial" w:cs="Arial" w:eastAsia="Arial" w:hAnsi="Arial"/>
                <w:sz w:val="17"/>
                <w:szCs w:val="17"/>
                <w:b w:val="1"/>
                <w:bCs w:val="1"/>
                <w:color w:val="auto"/>
                <w:w w:val="91"/>
              </w:rPr>
              <w:t>August 3, 2018</w:t>
            </w:r>
          </w:p>
        </w:tc>
      </w:tr>
      <w:tr>
        <w:trPr>
          <w:trHeight w:val="31"/>
        </w:trPr>
        <w:tc>
          <w:tcPr>
            <w:tcW w:w="4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profit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265,981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233,653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802,896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761,948</w:t>
            </w:r>
          </w:p>
        </w:tc>
      </w:tr>
      <w:tr>
        <w:trPr>
          <w:trHeight w:val="270"/>
        </w:trPr>
        <w:tc>
          <w:tcPr>
            <w:tcW w:w="4340" w:type="dxa"/>
            <w:vAlign w:val="bottom"/>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1</w:t>
            </w:r>
          </w:p>
        </w:tc>
        <w:tc>
          <w:tcPr>
            <w:tcW w:w="980" w:type="dxa"/>
            <w:vAlign w:val="bottom"/>
          </w:tcPr>
          <w:p>
            <w:pPr>
              <w:spacing w:after="0"/>
              <w:rPr>
                <w:sz w:val="23"/>
                <w:szCs w:val="23"/>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9,117</w:t>
            </w:r>
          </w:p>
        </w:tc>
        <w:tc>
          <w:tcPr>
            <w:tcW w:w="24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9,117</w:t>
            </w:r>
          </w:p>
        </w:tc>
        <w:tc>
          <w:tcPr>
            <w:tcW w:w="22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34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2</w:t>
            </w:r>
          </w:p>
        </w:tc>
        <w:tc>
          <w:tcPr>
            <w:tcW w:w="9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26,172</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35,691</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4340" w:type="dxa"/>
            <w:vAlign w:val="bottom"/>
          </w:tcPr>
          <w:p>
            <w:pPr>
              <w:ind w:left="40"/>
              <w:spacing w:after="0"/>
              <w:rPr>
                <w:sz w:val="20"/>
                <w:szCs w:val="20"/>
                <w:color w:val="auto"/>
              </w:rPr>
            </w:pPr>
            <w:r>
              <w:rPr>
                <w:rFonts w:ascii="Arial" w:cs="Arial" w:eastAsia="Arial" w:hAnsi="Arial"/>
                <w:sz w:val="17"/>
                <w:szCs w:val="17"/>
                <w:color w:val="auto"/>
              </w:rPr>
              <w:t>Adjusted non-GAAP gross profit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301,270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233,653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847,704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761,948</w:t>
            </w:r>
          </w:p>
        </w:tc>
      </w:tr>
      <w:tr>
        <w:trPr>
          <w:trHeight w:val="31"/>
        </w:trPr>
        <w:tc>
          <w:tcPr>
            <w:tcW w:w="4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3"/>
        </w:trPr>
        <w:tc>
          <w:tcPr>
            <w:tcW w:w="4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earnings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73,944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92,894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281,723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330,089</w:t>
            </w:r>
          </w:p>
        </w:tc>
      </w:tr>
      <w:tr>
        <w:trPr>
          <w:trHeight w:val="270"/>
        </w:trPr>
        <w:tc>
          <w:tcPr>
            <w:tcW w:w="4340" w:type="dxa"/>
            <w:vAlign w:val="bottom"/>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1</w:t>
            </w:r>
          </w:p>
        </w:tc>
        <w:tc>
          <w:tcPr>
            <w:tcW w:w="980" w:type="dxa"/>
            <w:vAlign w:val="bottom"/>
          </w:tcPr>
          <w:p>
            <w:pPr>
              <w:spacing w:after="0"/>
              <w:rPr>
                <w:sz w:val="23"/>
                <w:szCs w:val="23"/>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9,148</w:t>
            </w:r>
          </w:p>
        </w:tc>
        <w:tc>
          <w:tcPr>
            <w:tcW w:w="24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9,148</w:t>
            </w:r>
          </w:p>
        </w:tc>
        <w:tc>
          <w:tcPr>
            <w:tcW w:w="22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34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2</w:t>
            </w:r>
          </w:p>
        </w:tc>
        <w:tc>
          <w:tcPr>
            <w:tcW w:w="9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29,304</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51,058</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4340" w:type="dxa"/>
            <w:vAlign w:val="bottom"/>
          </w:tcPr>
          <w:p>
            <w:pPr>
              <w:ind w:left="40"/>
              <w:spacing w:after="0"/>
              <w:rPr>
                <w:sz w:val="20"/>
                <w:szCs w:val="20"/>
                <w:color w:val="auto"/>
              </w:rPr>
            </w:pPr>
            <w:r>
              <w:rPr>
                <w:rFonts w:ascii="Arial" w:cs="Arial" w:eastAsia="Arial" w:hAnsi="Arial"/>
                <w:sz w:val="17"/>
                <w:szCs w:val="17"/>
                <w:color w:val="auto"/>
              </w:rPr>
              <w:t>Adjusted non-GAAP operating earnings</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112,396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92,894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341,929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330,089</w:t>
            </w:r>
          </w:p>
        </w:tc>
      </w:tr>
      <w:tr>
        <w:trPr>
          <w:trHeight w:val="31"/>
        </w:trPr>
        <w:tc>
          <w:tcPr>
            <w:tcW w:w="4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3"/>
        </w:trPr>
        <w:tc>
          <w:tcPr>
            <w:tcW w:w="4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before income taxes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71,235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93,275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278,435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328,826</w:t>
            </w:r>
          </w:p>
        </w:tc>
      </w:tr>
      <w:tr>
        <w:trPr>
          <w:trHeight w:val="270"/>
        </w:trPr>
        <w:tc>
          <w:tcPr>
            <w:tcW w:w="4340" w:type="dxa"/>
            <w:vAlign w:val="bottom"/>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1</w:t>
            </w:r>
          </w:p>
        </w:tc>
        <w:tc>
          <w:tcPr>
            <w:tcW w:w="980" w:type="dxa"/>
            <w:vAlign w:val="bottom"/>
          </w:tcPr>
          <w:p>
            <w:pPr>
              <w:spacing w:after="0"/>
              <w:rPr>
                <w:sz w:val="23"/>
                <w:szCs w:val="23"/>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9,148</w:t>
            </w:r>
          </w:p>
        </w:tc>
        <w:tc>
          <w:tcPr>
            <w:tcW w:w="24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9,148</w:t>
            </w:r>
          </w:p>
        </w:tc>
        <w:tc>
          <w:tcPr>
            <w:tcW w:w="22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34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2</w:t>
            </w:r>
          </w:p>
        </w:tc>
        <w:tc>
          <w:tcPr>
            <w:tcW w:w="9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29,304</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51,058</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4340" w:type="dxa"/>
            <w:vAlign w:val="bottom"/>
          </w:tcPr>
          <w:p>
            <w:pPr>
              <w:ind w:left="40"/>
              <w:spacing w:after="0"/>
              <w:rPr>
                <w:sz w:val="20"/>
                <w:szCs w:val="20"/>
                <w:color w:val="auto"/>
              </w:rPr>
            </w:pPr>
            <w:r>
              <w:rPr>
                <w:rFonts w:ascii="Arial" w:cs="Arial" w:eastAsia="Arial" w:hAnsi="Arial"/>
                <w:sz w:val="17"/>
                <w:szCs w:val="17"/>
                <w:color w:val="auto"/>
              </w:rPr>
              <w:t>Adjusted non-GAAP earnings before income taxes</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109,687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93,275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338,641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328,826</w:t>
            </w:r>
          </w:p>
        </w:tc>
      </w:tr>
      <w:tr>
        <w:trPr>
          <w:trHeight w:val="31"/>
        </w:trPr>
        <w:tc>
          <w:tcPr>
            <w:tcW w:w="4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3"/>
        </w:trPr>
        <w:tc>
          <w:tcPr>
            <w:tcW w:w="4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60,607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79,009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235,717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232,902</w:t>
            </w:r>
          </w:p>
        </w:tc>
      </w:tr>
      <w:tr>
        <w:trPr>
          <w:trHeight w:val="270"/>
        </w:trPr>
        <w:tc>
          <w:tcPr>
            <w:tcW w:w="4340" w:type="dxa"/>
            <w:vAlign w:val="bottom"/>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1</w:t>
            </w:r>
          </w:p>
        </w:tc>
        <w:tc>
          <w:tcPr>
            <w:tcW w:w="980" w:type="dxa"/>
            <w:vAlign w:val="bottom"/>
          </w:tcPr>
          <w:p>
            <w:pPr>
              <w:spacing w:after="0"/>
              <w:rPr>
                <w:sz w:val="23"/>
                <w:szCs w:val="23"/>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7,351</w:t>
            </w:r>
          </w:p>
        </w:tc>
        <w:tc>
          <w:tcPr>
            <w:tcW w:w="24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7,351</w:t>
            </w:r>
          </w:p>
        </w:tc>
        <w:tc>
          <w:tcPr>
            <w:tcW w:w="22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34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2</w:t>
            </w:r>
          </w:p>
        </w:tc>
        <w:tc>
          <w:tcPr>
            <w:tcW w:w="9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23,953</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41,814</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340" w:type="dxa"/>
            <w:vAlign w:val="bottom"/>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3</w:t>
            </w:r>
          </w:p>
        </w:tc>
        <w:tc>
          <w:tcPr>
            <w:tcW w:w="980" w:type="dxa"/>
            <w:vAlign w:val="bottom"/>
          </w:tcPr>
          <w:p>
            <w:pPr>
              <w:spacing w:after="0"/>
              <w:rPr>
                <w:sz w:val="23"/>
                <w:szCs w:val="23"/>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(1,200)</w:t>
            </w:r>
          </w:p>
        </w:tc>
        <w:tc>
          <w:tcPr>
            <w:tcW w:w="24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(5,025)</w:t>
            </w:r>
          </w:p>
        </w:tc>
        <w:tc>
          <w:tcPr>
            <w:tcW w:w="22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(11,518)</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(9,638)</w:t>
            </w:r>
          </w:p>
        </w:tc>
      </w:tr>
      <w:tr>
        <w:trPr>
          <w:trHeight w:val="270"/>
        </w:trPr>
        <w:tc>
          <w:tcPr>
            <w:tcW w:w="434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U.S. Tax Reform</w:t>
            </w:r>
            <w:r>
              <w:rPr>
                <w:rFonts w:ascii="Arial" w:cs="Arial" w:eastAsia="Arial" w:hAnsi="Arial"/>
                <w:sz w:val="28"/>
                <w:szCs w:val="28"/>
                <w:color w:val="auto"/>
                <w:vertAlign w:val="superscript"/>
              </w:rPr>
              <w:t>4</w:t>
            </w:r>
          </w:p>
        </w:tc>
        <w:tc>
          <w:tcPr>
            <w:tcW w:w="9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(926)</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(926)</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32,613</w:t>
            </w:r>
          </w:p>
        </w:tc>
      </w:tr>
      <w:tr>
        <w:trPr>
          <w:trHeight w:val="233"/>
        </w:trPr>
        <w:tc>
          <w:tcPr>
            <w:tcW w:w="4340" w:type="dxa"/>
            <w:vAlign w:val="bottom"/>
          </w:tcPr>
          <w:p>
            <w:pPr>
              <w:ind w:left="40"/>
              <w:spacing w:after="0"/>
              <w:rPr>
                <w:sz w:val="20"/>
                <w:szCs w:val="20"/>
                <w:color w:val="auto"/>
              </w:rPr>
            </w:pPr>
            <w:r>
              <w:rPr>
                <w:rFonts w:ascii="Arial" w:cs="Arial" w:eastAsia="Arial" w:hAnsi="Arial"/>
                <w:sz w:val="17"/>
                <w:szCs w:val="17"/>
                <w:color w:val="auto"/>
              </w:rPr>
              <w:t>Adjusted non-GAAP net earnings</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89,785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73,484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272,438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255,877</w:t>
            </w:r>
          </w:p>
        </w:tc>
      </w:tr>
      <w:tr>
        <w:trPr>
          <w:trHeight w:val="31"/>
        </w:trPr>
        <w:tc>
          <w:tcPr>
            <w:tcW w:w="4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0"/>
        </w:trPr>
        <w:tc>
          <w:tcPr>
            <w:tcW w:w="4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 EPS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0.56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0.73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w:t>
            </w:r>
          </w:p>
        </w:tc>
      </w:tr>
      <w:tr>
        <w:trPr>
          <w:trHeight w:val="270"/>
        </w:trPr>
        <w:tc>
          <w:tcPr>
            <w:tcW w:w="4340" w:type="dxa"/>
            <w:vAlign w:val="bottom"/>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1</w:t>
            </w:r>
          </w:p>
        </w:tc>
        <w:tc>
          <w:tcPr>
            <w:tcW w:w="980" w:type="dxa"/>
            <w:vAlign w:val="bottom"/>
          </w:tcPr>
          <w:p>
            <w:pPr>
              <w:spacing w:after="0"/>
              <w:rPr>
                <w:sz w:val="23"/>
                <w:szCs w:val="23"/>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0.07</w:t>
            </w:r>
          </w:p>
        </w:tc>
        <w:tc>
          <w:tcPr>
            <w:tcW w:w="24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0.07</w:t>
            </w:r>
          </w:p>
        </w:tc>
        <w:tc>
          <w:tcPr>
            <w:tcW w:w="22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34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2</w:t>
            </w:r>
          </w:p>
        </w:tc>
        <w:tc>
          <w:tcPr>
            <w:tcW w:w="9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0.22</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0.39</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340" w:type="dxa"/>
            <w:vAlign w:val="bottom"/>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3</w:t>
            </w:r>
          </w:p>
        </w:tc>
        <w:tc>
          <w:tcPr>
            <w:tcW w:w="980" w:type="dxa"/>
            <w:vAlign w:val="bottom"/>
          </w:tcPr>
          <w:p>
            <w:pPr>
              <w:spacing w:after="0"/>
              <w:rPr>
                <w:sz w:val="23"/>
                <w:szCs w:val="23"/>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(0.01)</w:t>
            </w:r>
          </w:p>
        </w:tc>
        <w:tc>
          <w:tcPr>
            <w:tcW w:w="24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(0.05)</w:t>
            </w:r>
          </w:p>
        </w:tc>
        <w:tc>
          <w:tcPr>
            <w:tcW w:w="22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(0.11)</w:t>
            </w: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(0.09)</w:t>
            </w:r>
          </w:p>
        </w:tc>
      </w:tr>
      <w:tr>
        <w:trPr>
          <w:trHeight w:val="270"/>
        </w:trPr>
        <w:tc>
          <w:tcPr>
            <w:tcW w:w="434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U.S. Tax Reform</w:t>
            </w:r>
            <w:r>
              <w:rPr>
                <w:rFonts w:ascii="Arial" w:cs="Arial" w:eastAsia="Arial" w:hAnsi="Arial"/>
                <w:sz w:val="28"/>
                <w:szCs w:val="28"/>
                <w:color w:val="auto"/>
                <w:vertAlign w:val="superscript"/>
              </w:rPr>
              <w:t>4</w:t>
            </w:r>
          </w:p>
        </w:tc>
        <w:tc>
          <w:tcPr>
            <w:tcW w:w="9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(0.01)</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0.30</w:t>
            </w:r>
          </w:p>
        </w:tc>
      </w:tr>
      <w:tr>
        <w:trPr>
          <w:trHeight w:val="233"/>
        </w:trPr>
        <w:tc>
          <w:tcPr>
            <w:tcW w:w="4340" w:type="dxa"/>
            <w:vAlign w:val="bottom"/>
          </w:tcPr>
          <w:p>
            <w:pPr>
              <w:ind w:left="40"/>
              <w:spacing w:after="0"/>
              <w:rPr>
                <w:sz w:val="20"/>
                <w:szCs w:val="20"/>
                <w:color w:val="auto"/>
              </w:rPr>
            </w:pPr>
            <w:r>
              <w:rPr>
                <w:rFonts w:ascii="Arial" w:cs="Arial" w:eastAsia="Arial" w:hAnsi="Arial"/>
                <w:sz w:val="17"/>
                <w:szCs w:val="17"/>
                <w:color w:val="auto"/>
              </w:rPr>
              <w:t>Adjusted non-GAAP diluted EPS</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0.83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0.68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2.52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2.35</w:t>
            </w:r>
          </w:p>
        </w:tc>
      </w:tr>
      <w:tr>
        <w:trPr>
          <w:trHeight w:val="31"/>
        </w:trPr>
        <w:tc>
          <w:tcPr>
            <w:tcW w:w="4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060" w:type="dxa"/>
            <w:vAlign w:val="bottom"/>
          </w:tcPr>
          <w:p>
            <w:pPr>
              <w:spacing w:after="0"/>
              <w:rPr>
                <w:sz w:val="19"/>
                <w:szCs w:val="19"/>
                <w:color w:val="auto"/>
              </w:rPr>
            </w:pPr>
          </w:p>
        </w:tc>
        <w:tc>
          <w:tcPr>
            <w:tcW w:w="4120" w:type="dxa"/>
            <w:vAlign w:val="bottom"/>
            <w:gridSpan w:val="2"/>
          </w:tcPr>
          <w:p>
            <w:pPr>
              <w:jc w:val="right"/>
              <w:ind w:right="855"/>
              <w:spacing w:after="0"/>
              <w:rPr>
                <w:sz w:val="20"/>
                <w:szCs w:val="20"/>
                <w:color w:val="auto"/>
              </w:rPr>
            </w:pPr>
            <w:r>
              <w:rPr>
                <w:rFonts w:ascii="Arial" w:cs="Arial" w:eastAsia="Arial" w:hAnsi="Arial"/>
                <w:sz w:val="17"/>
                <w:szCs w:val="17"/>
                <w:b w:val="1"/>
                <w:bCs w:val="1"/>
                <w:color w:val="auto"/>
              </w:rPr>
              <w:t>Three Months Ended</w:t>
            </w:r>
          </w:p>
        </w:tc>
        <w:tc>
          <w:tcPr>
            <w:tcW w:w="3180" w:type="dxa"/>
            <w:vAlign w:val="bottom"/>
            <w:gridSpan w:val="2"/>
          </w:tcPr>
          <w:p>
            <w:pPr>
              <w:jc w:val="right"/>
              <w:ind w:right="775"/>
              <w:spacing w:after="0"/>
              <w:rPr>
                <w:sz w:val="20"/>
                <w:szCs w:val="20"/>
                <w:color w:val="auto"/>
              </w:rPr>
            </w:pPr>
            <w:r>
              <w:rPr>
                <w:rFonts w:ascii="Arial" w:cs="Arial" w:eastAsia="Arial" w:hAnsi="Arial"/>
                <w:sz w:val="17"/>
                <w:szCs w:val="17"/>
                <w:b w:val="1"/>
                <w:bCs w:val="1"/>
                <w:color w:val="auto"/>
              </w:rPr>
              <w:t>Nine Months Ended</w:t>
            </w:r>
          </w:p>
        </w:tc>
      </w:tr>
      <w:tr>
        <w:trPr>
          <w:trHeight w:val="31"/>
        </w:trPr>
        <w:tc>
          <w:tcPr>
            <w:tcW w:w="40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3"/>
        </w:trPr>
        <w:tc>
          <w:tcPr>
            <w:tcW w:w="4060" w:type="dxa"/>
            <w:vAlign w:val="bottom"/>
          </w:tcPr>
          <w:p>
            <w:pPr>
              <w:spacing w:after="0"/>
              <w:rPr>
                <w:sz w:val="20"/>
                <w:szCs w:val="20"/>
                <w:color w:val="auto"/>
              </w:rPr>
            </w:pPr>
          </w:p>
        </w:tc>
        <w:tc>
          <w:tcPr>
            <w:tcW w:w="2500" w:type="dxa"/>
            <w:vAlign w:val="bottom"/>
          </w:tcPr>
          <w:p>
            <w:pPr>
              <w:jc w:val="right"/>
              <w:ind w:right="295"/>
              <w:spacing w:after="0"/>
              <w:rPr>
                <w:sz w:val="20"/>
                <w:szCs w:val="20"/>
                <w:color w:val="auto"/>
              </w:rPr>
            </w:pPr>
            <w:r>
              <w:rPr>
                <w:rFonts w:ascii="Arial" w:cs="Arial" w:eastAsia="Arial" w:hAnsi="Arial"/>
                <w:sz w:val="17"/>
                <w:szCs w:val="17"/>
                <w:b w:val="1"/>
                <w:bCs w:val="1"/>
                <w:color w:val="auto"/>
              </w:rPr>
              <w:t>August 2, 2019</w:t>
            </w:r>
          </w:p>
        </w:tc>
        <w:tc>
          <w:tcPr>
            <w:tcW w:w="1620" w:type="dxa"/>
            <w:vAlign w:val="bottom"/>
          </w:tcPr>
          <w:p>
            <w:pPr>
              <w:jc w:val="right"/>
              <w:ind w:right="275"/>
              <w:spacing w:after="0"/>
              <w:rPr>
                <w:sz w:val="20"/>
                <w:szCs w:val="20"/>
                <w:color w:val="auto"/>
              </w:rPr>
            </w:pPr>
            <w:r>
              <w:rPr>
                <w:rFonts w:ascii="Arial" w:cs="Arial" w:eastAsia="Arial" w:hAnsi="Arial"/>
                <w:sz w:val="17"/>
                <w:szCs w:val="17"/>
                <w:b w:val="1"/>
                <w:bCs w:val="1"/>
                <w:color w:val="auto"/>
              </w:rPr>
              <w:t>August 3, 2018</w:t>
            </w:r>
          </w:p>
        </w:tc>
        <w:tc>
          <w:tcPr>
            <w:tcW w:w="1660" w:type="dxa"/>
            <w:vAlign w:val="bottom"/>
          </w:tcPr>
          <w:p>
            <w:pPr>
              <w:jc w:val="right"/>
              <w:ind w:right="295"/>
              <w:spacing w:after="0"/>
              <w:rPr>
                <w:sz w:val="20"/>
                <w:szCs w:val="20"/>
                <w:color w:val="auto"/>
              </w:rPr>
            </w:pPr>
            <w:r>
              <w:rPr>
                <w:rFonts w:ascii="Arial" w:cs="Arial" w:eastAsia="Arial" w:hAnsi="Arial"/>
                <w:sz w:val="17"/>
                <w:szCs w:val="17"/>
                <w:b w:val="1"/>
                <w:bCs w:val="1"/>
                <w:color w:val="auto"/>
              </w:rPr>
              <w:t>August 2, 2019</w:t>
            </w:r>
          </w:p>
        </w:tc>
        <w:tc>
          <w:tcPr>
            <w:tcW w:w="1520" w:type="dxa"/>
            <w:vAlign w:val="bottom"/>
          </w:tcPr>
          <w:p>
            <w:pPr>
              <w:jc w:val="right"/>
              <w:ind w:right="155"/>
              <w:spacing w:after="0"/>
              <w:rPr>
                <w:sz w:val="20"/>
                <w:szCs w:val="20"/>
                <w:color w:val="auto"/>
              </w:rPr>
            </w:pPr>
            <w:r>
              <w:rPr>
                <w:rFonts w:ascii="Arial" w:cs="Arial" w:eastAsia="Arial" w:hAnsi="Arial"/>
                <w:sz w:val="17"/>
                <w:szCs w:val="17"/>
                <w:b w:val="1"/>
                <w:bCs w:val="1"/>
                <w:color w:val="auto"/>
              </w:rPr>
              <w:t>August 3, 2018</w:t>
            </w:r>
          </w:p>
        </w:tc>
      </w:tr>
      <w:tr>
        <w:trPr>
          <w:trHeight w:val="31"/>
        </w:trPr>
        <w:tc>
          <w:tcPr>
            <w:tcW w:w="40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5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14.9 %</w:t>
            </w:r>
          </w:p>
        </w:tc>
        <w:tc>
          <w:tcPr>
            <w:tcW w:w="1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15.3%</w:t>
            </w:r>
          </w:p>
        </w:tc>
        <w:tc>
          <w:tcPr>
            <w:tcW w:w="16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15.3 %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29.2 %</w:t>
            </w:r>
          </w:p>
        </w:tc>
      </w:tr>
      <w:tr>
        <w:trPr>
          <w:trHeight w:val="270"/>
        </w:trPr>
        <w:tc>
          <w:tcPr>
            <w:tcW w:w="4060" w:type="dxa"/>
            <w:vAlign w:val="bottom"/>
          </w:tcPr>
          <w:p>
            <w:pPr>
              <w:ind w:left="16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1</w:t>
            </w:r>
          </w:p>
        </w:tc>
        <w:tc>
          <w:tcPr>
            <w:tcW w:w="2500" w:type="dxa"/>
            <w:vAlign w:val="bottom"/>
          </w:tcPr>
          <w:p>
            <w:pPr>
              <w:jc w:val="right"/>
              <w:ind w:right="95"/>
              <w:spacing w:after="0"/>
              <w:rPr>
                <w:sz w:val="20"/>
                <w:szCs w:val="20"/>
                <w:color w:val="auto"/>
              </w:rPr>
            </w:pPr>
            <w:r>
              <w:rPr>
                <w:rFonts w:ascii="Arial" w:cs="Arial" w:eastAsia="Arial" w:hAnsi="Arial"/>
                <w:sz w:val="17"/>
                <w:szCs w:val="17"/>
                <w:color w:val="auto"/>
              </w:rPr>
              <w:t>1.6 %</w:t>
            </w:r>
          </w:p>
        </w:tc>
        <w:tc>
          <w:tcPr>
            <w:tcW w:w="16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115"/>
              <w:spacing w:after="0"/>
              <w:rPr>
                <w:sz w:val="20"/>
                <w:szCs w:val="20"/>
                <w:color w:val="auto"/>
              </w:rPr>
            </w:pPr>
            <w:r>
              <w:rPr>
                <w:rFonts w:ascii="Arial" w:cs="Arial" w:eastAsia="Arial" w:hAnsi="Arial"/>
                <w:sz w:val="17"/>
                <w:szCs w:val="17"/>
                <w:color w:val="auto"/>
              </w:rPr>
              <w:t>0.5 %</w:t>
            </w:r>
          </w:p>
        </w:tc>
        <w:tc>
          <w:tcPr>
            <w:tcW w:w="15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70"/>
        </w:trPr>
        <w:tc>
          <w:tcPr>
            <w:tcW w:w="4060" w:type="dxa"/>
            <w:vAlign w:val="bottom"/>
            <w:shd w:val="clear" w:color="auto" w:fill="CCEEFF"/>
          </w:tcPr>
          <w:p>
            <w:pPr>
              <w:ind w:left="16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2</w:t>
            </w:r>
          </w:p>
        </w:tc>
        <w:tc>
          <w:tcPr>
            <w:tcW w:w="2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(1.4)%</w:t>
            </w:r>
          </w:p>
        </w:tc>
        <w:tc>
          <w:tcPr>
            <w:tcW w:w="16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(0.7)%</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70"/>
        </w:trPr>
        <w:tc>
          <w:tcPr>
            <w:tcW w:w="4060" w:type="dxa"/>
            <w:vAlign w:val="bottom"/>
          </w:tcPr>
          <w:p>
            <w:pPr>
              <w:ind w:left="16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3</w:t>
            </w:r>
          </w:p>
        </w:tc>
        <w:tc>
          <w:tcPr>
            <w:tcW w:w="2500" w:type="dxa"/>
            <w:vAlign w:val="bottom"/>
          </w:tcPr>
          <w:p>
            <w:pPr>
              <w:jc w:val="right"/>
              <w:ind w:right="95"/>
              <w:spacing w:after="0"/>
              <w:rPr>
                <w:sz w:val="20"/>
                <w:szCs w:val="20"/>
                <w:color w:val="auto"/>
              </w:rPr>
            </w:pPr>
            <w:r>
              <w:rPr>
                <w:rFonts w:ascii="Arial" w:cs="Arial" w:eastAsia="Arial" w:hAnsi="Arial"/>
                <w:sz w:val="17"/>
                <w:szCs w:val="17"/>
                <w:color w:val="auto"/>
              </w:rPr>
              <w:t>1.7 %</w:t>
            </w:r>
          </w:p>
        </w:tc>
        <w:tc>
          <w:tcPr>
            <w:tcW w:w="1620" w:type="dxa"/>
            <w:vAlign w:val="bottom"/>
          </w:tcPr>
          <w:p>
            <w:pPr>
              <w:jc w:val="right"/>
              <w:ind w:right="95"/>
              <w:spacing w:after="0"/>
              <w:rPr>
                <w:sz w:val="20"/>
                <w:szCs w:val="20"/>
                <w:color w:val="auto"/>
              </w:rPr>
            </w:pPr>
            <w:r>
              <w:rPr>
                <w:rFonts w:ascii="Arial" w:cs="Arial" w:eastAsia="Arial" w:hAnsi="Arial"/>
                <w:sz w:val="17"/>
                <w:szCs w:val="17"/>
                <w:color w:val="auto"/>
              </w:rPr>
              <w:t>5.4%</w:t>
            </w:r>
          </w:p>
        </w:tc>
        <w:tc>
          <w:tcPr>
            <w:tcW w:w="1660" w:type="dxa"/>
            <w:vAlign w:val="bottom"/>
          </w:tcPr>
          <w:p>
            <w:pPr>
              <w:jc w:val="right"/>
              <w:ind w:right="115"/>
              <w:spacing w:after="0"/>
              <w:rPr>
                <w:sz w:val="20"/>
                <w:szCs w:val="20"/>
                <w:color w:val="auto"/>
              </w:rPr>
            </w:pPr>
            <w:r>
              <w:rPr>
                <w:rFonts w:ascii="Arial" w:cs="Arial" w:eastAsia="Arial" w:hAnsi="Arial"/>
                <w:sz w:val="17"/>
                <w:szCs w:val="17"/>
                <w:color w:val="auto"/>
              </w:rPr>
              <w:t>4.1 %</w:t>
            </w:r>
          </w:p>
        </w:tc>
        <w:tc>
          <w:tcPr>
            <w:tcW w:w="1520" w:type="dxa"/>
            <w:vAlign w:val="bottom"/>
          </w:tcPr>
          <w:p>
            <w:pPr>
              <w:jc w:val="right"/>
              <w:spacing w:after="0"/>
              <w:rPr>
                <w:sz w:val="20"/>
                <w:szCs w:val="20"/>
                <w:color w:val="auto"/>
              </w:rPr>
            </w:pPr>
            <w:r>
              <w:rPr>
                <w:rFonts w:ascii="Arial" w:cs="Arial" w:eastAsia="Arial" w:hAnsi="Arial"/>
                <w:sz w:val="17"/>
                <w:szCs w:val="17"/>
                <w:color w:val="auto"/>
              </w:rPr>
              <w:t>2.9 %</w:t>
            </w:r>
          </w:p>
        </w:tc>
      </w:tr>
      <w:tr>
        <w:trPr>
          <w:trHeight w:val="270"/>
        </w:trPr>
        <w:tc>
          <w:tcPr>
            <w:tcW w:w="4060" w:type="dxa"/>
            <w:vAlign w:val="bottom"/>
            <w:tcBorders>
              <w:bottom w:val="single" w:sz="8" w:color="auto"/>
            </w:tcBorders>
            <w:shd w:val="clear" w:color="auto" w:fill="CCEEFF"/>
          </w:tcPr>
          <w:p>
            <w:pPr>
              <w:ind w:left="160"/>
              <w:spacing w:after="0" w:line="270" w:lineRule="exact"/>
              <w:rPr>
                <w:sz w:val="20"/>
                <w:szCs w:val="20"/>
                <w:color w:val="auto"/>
              </w:rPr>
            </w:pPr>
            <w:r>
              <w:rPr>
                <w:rFonts w:ascii="Arial" w:cs="Arial" w:eastAsia="Arial" w:hAnsi="Arial"/>
                <w:sz w:val="17"/>
                <w:szCs w:val="17"/>
                <w:color w:val="auto"/>
              </w:rPr>
              <w:t>U.S. Tax Reform</w:t>
            </w:r>
            <w:r>
              <w:rPr>
                <w:rFonts w:ascii="Arial" w:cs="Arial" w:eastAsia="Arial" w:hAnsi="Arial"/>
                <w:sz w:val="28"/>
                <w:szCs w:val="28"/>
                <w:color w:val="auto"/>
                <w:vertAlign w:val="superscript"/>
              </w:rPr>
              <w:t>4</w:t>
            </w:r>
          </w:p>
        </w:tc>
        <w:tc>
          <w:tcPr>
            <w:tcW w:w="25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1.3 %</w:t>
            </w:r>
          </w:p>
        </w:tc>
        <w:tc>
          <w:tcPr>
            <w:tcW w:w="16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0.5%</w:t>
            </w:r>
          </w:p>
        </w:tc>
        <w:tc>
          <w:tcPr>
            <w:tcW w:w="16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0.3 %</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33"/>
        </w:trPr>
        <w:tc>
          <w:tcPr>
            <w:tcW w:w="4060" w:type="dxa"/>
            <w:vAlign w:val="bottom"/>
          </w:tcPr>
          <w:p>
            <w:pPr>
              <w:ind w:left="20"/>
              <w:spacing w:after="0"/>
              <w:rPr>
                <w:sz w:val="20"/>
                <w:szCs w:val="20"/>
                <w:color w:val="auto"/>
              </w:rPr>
            </w:pPr>
            <w:r>
              <w:rPr>
                <w:rFonts w:ascii="Arial" w:cs="Arial" w:eastAsia="Arial" w:hAnsi="Arial"/>
                <w:sz w:val="17"/>
                <w:szCs w:val="17"/>
                <w:color w:val="auto"/>
              </w:rPr>
              <w:t>Adjusted non-GAAP effective tax rate</w:t>
            </w:r>
          </w:p>
        </w:tc>
        <w:tc>
          <w:tcPr>
            <w:tcW w:w="2500" w:type="dxa"/>
            <w:vAlign w:val="bottom"/>
          </w:tcPr>
          <w:p>
            <w:pPr>
              <w:jc w:val="right"/>
              <w:ind w:right="95"/>
              <w:spacing w:after="0"/>
              <w:rPr>
                <w:sz w:val="20"/>
                <w:szCs w:val="20"/>
                <w:color w:val="auto"/>
              </w:rPr>
            </w:pPr>
            <w:r>
              <w:rPr>
                <w:rFonts w:ascii="Arial" w:cs="Arial" w:eastAsia="Arial" w:hAnsi="Arial"/>
                <w:sz w:val="17"/>
                <w:szCs w:val="17"/>
                <w:color w:val="auto"/>
              </w:rPr>
              <w:t>18.1 %</w:t>
            </w:r>
          </w:p>
        </w:tc>
        <w:tc>
          <w:tcPr>
            <w:tcW w:w="1620" w:type="dxa"/>
            <w:vAlign w:val="bottom"/>
          </w:tcPr>
          <w:p>
            <w:pPr>
              <w:jc w:val="right"/>
              <w:ind w:right="95"/>
              <w:spacing w:after="0"/>
              <w:rPr>
                <w:sz w:val="20"/>
                <w:szCs w:val="20"/>
                <w:color w:val="auto"/>
              </w:rPr>
            </w:pPr>
            <w:r>
              <w:rPr>
                <w:rFonts w:ascii="Arial" w:cs="Arial" w:eastAsia="Arial" w:hAnsi="Arial"/>
                <w:sz w:val="17"/>
                <w:szCs w:val="17"/>
                <w:color w:val="auto"/>
              </w:rPr>
              <w:t>21.2%</w:t>
            </w:r>
          </w:p>
        </w:tc>
        <w:tc>
          <w:tcPr>
            <w:tcW w:w="1660" w:type="dxa"/>
            <w:vAlign w:val="bottom"/>
          </w:tcPr>
          <w:p>
            <w:pPr>
              <w:jc w:val="right"/>
              <w:ind w:right="115"/>
              <w:spacing w:after="0"/>
              <w:rPr>
                <w:sz w:val="20"/>
                <w:szCs w:val="20"/>
                <w:color w:val="auto"/>
              </w:rPr>
            </w:pPr>
            <w:r>
              <w:rPr>
                <w:rFonts w:ascii="Arial" w:cs="Arial" w:eastAsia="Arial" w:hAnsi="Arial"/>
                <w:sz w:val="17"/>
                <w:szCs w:val="17"/>
                <w:color w:val="auto"/>
              </w:rPr>
              <w:t>19.5 %</w:t>
            </w:r>
          </w:p>
        </w:tc>
        <w:tc>
          <w:tcPr>
            <w:tcW w:w="1520" w:type="dxa"/>
            <w:vAlign w:val="bottom"/>
          </w:tcPr>
          <w:p>
            <w:pPr>
              <w:jc w:val="right"/>
              <w:spacing w:after="0"/>
              <w:rPr>
                <w:sz w:val="20"/>
                <w:szCs w:val="20"/>
                <w:color w:val="auto"/>
              </w:rPr>
            </w:pPr>
            <w:r>
              <w:rPr>
                <w:rFonts w:ascii="Arial" w:cs="Arial" w:eastAsia="Arial" w:hAnsi="Arial"/>
                <w:sz w:val="17"/>
                <w:szCs w:val="17"/>
                <w:color w:val="auto"/>
              </w:rPr>
              <w:t>22.2 %</w:t>
            </w:r>
          </w:p>
        </w:tc>
      </w:tr>
      <w:tr>
        <w:trPr>
          <w:trHeight w:val="31"/>
        </w:trPr>
        <w:tc>
          <w:tcPr>
            <w:tcW w:w="40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left="180" w:hanging="172"/>
        <w:spacing w:after="0" w:line="206" w:lineRule="auto"/>
        <w:tabs>
          <w:tab w:leader="none" w:pos="18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During the third quarter of fiscal 2019, we announced we will wind down our Toro-branded large horizontal directional drill and riding trencher product line. These amounts represent costs incurred in relation to such wind down and are primarily comprised of costs related to the write-down of inventory, anticipated inventory retail support activities, and accelerated depreciation on fixed assets during the three and nine month periods ended August 2, 2019.</w:t>
      </w:r>
    </w:p>
    <w:p>
      <w:pPr>
        <w:spacing w:after="0" w:line="159" w:lineRule="exact"/>
        <w:rPr>
          <w:sz w:val="20"/>
          <w:szCs w:val="20"/>
          <w:color w:val="auto"/>
        </w:rPr>
      </w:pPr>
    </w:p>
    <w:p>
      <w:pPr>
        <w:jc w:val="both"/>
        <w:ind w:left="180" w:hanging="172"/>
        <w:spacing w:after="0" w:line="206" w:lineRule="auto"/>
        <w:tabs>
          <w:tab w:leader="none" w:pos="18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During the second quarter of fiscal 2019, we acquired CMW. These amounts represent integration and transaction costs, as well as the take-down of the inventory fair value step-up amount and amortization of the backlog intangible asset resulting from purchase accounting adjustments, related to our acquisition of CMW during the three and nine month periods ended August 2, 2019.</w:t>
      </w:r>
    </w:p>
    <w:p>
      <w:pPr>
        <w:spacing w:after="0" w:line="159" w:lineRule="exact"/>
        <w:rPr>
          <w:sz w:val="20"/>
          <w:szCs w:val="20"/>
          <w:color w:val="auto"/>
        </w:rPr>
      </w:pPr>
    </w:p>
    <w:p>
      <w:pPr>
        <w:jc w:val="both"/>
        <w:ind w:left="180" w:hanging="172"/>
        <w:spacing w:after="0" w:line="223" w:lineRule="auto"/>
        <w:tabs>
          <w:tab w:leader="none" w:pos="18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 xml:space="preserve">In the first quarter of fiscal 2017, we adopted Accounting Standards Update No. 2016-09, </w:t>
      </w:r>
      <w:r>
        <w:rPr>
          <w:rFonts w:ascii="Arial" w:cs="Arial" w:eastAsia="Arial" w:hAnsi="Arial"/>
          <w:sz w:val="14"/>
          <w:szCs w:val="14"/>
          <w:i w:val="1"/>
          <w:iCs w:val="1"/>
          <w:color w:val="auto"/>
        </w:rPr>
        <w:t>Stock-based Compensation: Improvements to Employee Share-based Payment Accounting</w:t>
      </w:r>
      <w:r>
        <w:rPr>
          <w:rFonts w:ascii="Arial" w:cs="Arial" w:eastAsia="Arial" w:hAnsi="Arial"/>
          <w:sz w:val="14"/>
          <w:szCs w:val="14"/>
          <w:color w:val="auto"/>
        </w:rPr>
        <w:t>, which requires that any excess tax deduction for share-based compensation be immediately recorded within income tax expense. These amounts represent the discrete tax benefits recorded as excess tax deductions for share-based compensation during the three and nine month periods ended August 2, 2019 and August 3, 2018.</w:t>
      </w:r>
    </w:p>
    <w:p>
      <w:pPr>
        <w:spacing w:after="0" w:line="157" w:lineRule="exact"/>
        <w:rPr>
          <w:sz w:val="20"/>
          <w:szCs w:val="20"/>
          <w:color w:val="auto"/>
        </w:rPr>
      </w:pPr>
    </w:p>
    <w:p>
      <w:pPr>
        <w:jc w:val="both"/>
        <w:ind w:left="180" w:hanging="172"/>
        <w:spacing w:after="0" w:line="236" w:lineRule="auto"/>
        <w:tabs>
          <w:tab w:leader="none" w:pos="18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Signed into law on December 22, 2017, the Tax Act, reduced the U.S. federal corporate tax rate from 35.0 percent to 21.0 percent, effective January 1, 2018, resulting in a blended U.S. federal statutory tax rate of 23.3 percent for the fiscal year ended October 31, 2018. This reduction in rate required the re-measurement of our net deferred taxes as of the date of enactment. The Tax Act also imposed a one-time deemed repatriation tax on our historical undistributed earnings and profits of foreign affiliates. During the three and nine month periods ended August 2, 2019, we recorded a tax benefit of $0.9 million related to a prior year true-up of the Tax Act. During the three and nine month periods ended August 3, 2018, the remeasurement of our net deferred taxes and the one-time deemed repatriation tax resulted in a combined benefit of $0.5 million and a combined charge of $32.6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have been no material changes to our critical accounting policies and estimates since our most recent Annual Report on Form 10-K for the fiscal year ended October 31, 2018. Refer to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Part II, Item 8,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within our Annual Report on Form 10-K for the fiscal year ended October 31, 2018 for a discussion of our critical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Updates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among other things, requires lessees to recognize most leases on-balance sheet. The standard requires the recognition of right-of-use assets ("ROU assets") and lease liabilities by lessees for those leases classified as operating leases under previous U.S. GAAP. The standard also requires a greater level of quantitative and qualitative disclosures regarding the nature of the entity’s leasing activities than were previously required under U.S. GAAP. In January 2018, the FASB issued ASU No. 2018-01, </w:t>
      </w:r>
      <w:r>
        <w:rPr>
          <w:rFonts w:ascii="Arial" w:cs="Arial" w:eastAsia="Arial" w:hAnsi="Arial"/>
          <w:sz w:val="17"/>
          <w:szCs w:val="17"/>
          <w:i w:val="1"/>
          <w:iCs w:val="1"/>
          <w:color w:val="auto"/>
        </w:rPr>
        <w:t>Leases (Topic 842): Land Easement Practical Expedient for Transition to Topic 842</w:t>
      </w:r>
      <w:r>
        <w:rPr>
          <w:rFonts w:ascii="Arial" w:cs="Arial" w:eastAsia="Arial" w:hAnsi="Arial"/>
          <w:sz w:val="17"/>
          <w:szCs w:val="17"/>
          <w:color w:val="auto"/>
        </w:rPr>
        <w:t xml:space="preserve">, which provides an optional transition practical expedient to not evaluate existing or expired land easements under the amended lease guidance. In July 2018, the FASB issued ASU 2018-10,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842 (Leases)</w:t>
      </w:r>
      <w:r>
        <w:rPr>
          <w:rFonts w:ascii="Arial" w:cs="Arial" w:eastAsia="Arial" w:hAnsi="Arial"/>
          <w:sz w:val="17"/>
          <w:szCs w:val="17"/>
          <w:color w:val="auto"/>
        </w:rPr>
        <w:t>, which provides narrow amendments to clarify how to apply certain aspects of the new lease standard. Additionally,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which provides an alternative transition method that permits an entity to use the effective date of ASU No. 2016-02 as the date of initial application through the recognition of a cumulative effect adjustment to the opening balance of retained earnings upon adoption. Consequently, an entity's reporting for the comparative periods presented in the financial statements in which it adopts the new lease standard will continue to be in accordance with previous U.S. GAAP under ASC Topic 840, </w:t>
      </w:r>
      <w:r>
        <w:rPr>
          <w:rFonts w:ascii="Arial" w:cs="Arial" w:eastAsia="Arial" w:hAnsi="Arial"/>
          <w:sz w:val="17"/>
          <w:szCs w:val="17"/>
          <w:i w:val="1"/>
          <w:iCs w:val="1"/>
          <w:color w:val="auto"/>
        </w:rPr>
        <w:t>Leases</w:t>
      </w:r>
      <w:r>
        <w:rPr>
          <w:rFonts w:ascii="Arial" w:cs="Arial" w:eastAsia="Arial" w:hAnsi="Arial"/>
          <w:sz w:val="17"/>
          <w:szCs w:val="17"/>
          <w:color w:val="auto"/>
        </w:rPr>
        <w:t>. ASU No. 2016-02, as augmented by ASU No. 2018-01, ASU No. 2018-10, and ASU No. 2018-11 (the "amended guidance"), will become effective for us commencing in the first quarter of fiscal 2020.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identify and evaluate the impact of the amended guidance on our Condensed Consolidated Financial Statements, Notes to Condensed Consolidated Financial Statements, business processes, internal controls, and information systems, we have established a cross-functional project management team. This cross-functional project management team is tasked with evaluating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potential implications of the amended guidance, including compiling and analyzing existing explicit lease agreements, reviewing contractual agreements for embedded leases, determining the discount rate to be used in valuing ROU assets and lease liabilities under new and existing leases, and assessing the changes to our accounting policies, business processes, internal controls, and information systems that may be necessary to comply with the provisions and all applicable financial statement disclosures required by the amended guidance. At this point in our evaluation process, we have compiled and analyzed existing explicit lease agreements; reviewed contractual agreements for embedded leases; completed our assessment of our business and system requirements; selected and implemented our third-party lease accounting software solution; developed our business process for determining the discount rate to be utilized in valuing the ROU assets and lease liabilities for our operating leases; and evaluated the impact of the amended guidance on our accounting policies, business processes and procedures, and information systems. We are in the process of designing internal controls regarding the completeness and accuracy of our lease population and, where applicable, reviewing new or amended contractual agreements for leases, including embedded leases, through the adoption date of the amended guidance.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adopt the amended guidance on November 1, 2019, the first quarter of fiscal 2020, under the alternative cumulative effect transition method. Upon adoption, we will recognize ROU assets and corresponding lease liabilities for our operating lease agreements within our Condensed Consolidated Balance Sheets. We plan to elect the transition package of practical expedients permitted within the amended guidance, which among other things, allows us to carryforward the historical lease classification determined under previous GAAP. Additionally, we plan to elect the transition practical expedient to not reassess our accounting for land easements that exist as of the adoption of the amended guidance. We also plan to make an accounting policy election that will keep leases with an initial term of 12 months or less off of our Consolidated Balance Sheets, which will result in recognizing those lease payments in our Consolidated Statements of Earnings on a straight-line basis over the lease term. We do not plan to elect the practical expedient to use hindsight in determining the lease term and in assessing impairment of right-of-use assets. While our evaluation of the amended guidance and related implementation activities are ongoing and incomplete, based on the results of our evaluation process to date, we believe the adoption of the amended guidance will have a material impact on our Consolidated Balance Sheets, Notes to Consolidated Financial Statements, business processes, internal controls, and information systems. However, we do not believe the adoption of the amended guidance will have a material impact on our Consolidated Statements of Earnings and Consolidated Statements of Cash Flows.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No. 2016-03,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modifies the measurement approach for credit losses on financial assets measured on an amortized cost basis from an 'incurred loss'</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will affect trade receivables, off-balance-sheet credit exposures, and any other financial assets not excluded from the scope of this amendment that have the contractual right to receive cash. The amended guidance will become effective for use commencing in the first quarter of fiscal 2021. We are currently evaluating the impact of this new standard on our Consolidated Financial Statements.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expands the scope of ASC Topic 718 to include share-based payments granted to nonemployees in exchange for goods or services used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consumed in an entity's own operations and supersedes the guidance in ASC Topic 505-50. The amended guidance will become effective for us commencing in the first quarter of fiscal 2020. Early adoption is permitted but not prior to adopting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are currently evaluating the impact of this new standard on our Consolidated Financial Statements.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2018-13, Fair Value </w:t>
      </w:r>
      <w:r>
        <w:rPr>
          <w:rFonts w:ascii="Arial" w:cs="Arial" w:eastAsia="Arial" w:hAnsi="Arial"/>
          <w:sz w:val="18"/>
          <w:szCs w:val="18"/>
          <w:i w:val="1"/>
          <w:iCs w:val="1"/>
          <w:color w:val="auto"/>
        </w:rPr>
        <w:t>Measurement (Topic 820)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modifies the disclosure requirements for fair value measurements by removing, modifying, or adding certain disclosures. The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will become effective in the first quarter of fiscal 2021. Early adoption is permitted for any removed or modified disclosures. We are currently evaluating the impact of this new standard on our Consolidated Financial Statements.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August 2018, the FASB issued ASU No. 2018-14, </w:t>
      </w:r>
      <w:r>
        <w:rPr>
          <w:rFonts w:ascii="Arial" w:cs="Arial" w:eastAsia="Arial" w:hAnsi="Arial"/>
          <w:sz w:val="16"/>
          <w:szCs w:val="16"/>
          <w:i w:val="1"/>
          <w:iCs w:val="1"/>
          <w:color w:val="auto"/>
        </w:rPr>
        <w:t>Compensation - Retirement Benefits - Defined Benefit Plans (Topic 715)</w:t>
      </w:r>
      <w:r>
        <w:rPr>
          <w:rFonts w:ascii="Arial" w:cs="Arial" w:eastAsia="Arial" w:hAnsi="Arial"/>
          <w:sz w:val="16"/>
          <w:szCs w:val="16"/>
          <w:color w:val="auto"/>
        </w:rPr>
        <w:t>, which modifies the disclosure requirements for defined benefit pension plans and other post-retirement plans. The amended guidance will become effective in the first quarter of fiscal 2021. Early adoption is permitted. We are currently evaluating the impact of this new standard on our Consolidated Financial Statements.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the integration of CMW; and the effect of laws, rules, policies, regulations, tax reform, new accounting pronouncements, and outstanding litigation on our business and future performance.</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jc w:val="both"/>
        <w:ind w:left="660" w:hanging="328"/>
        <w:spacing w:after="0" w:line="267"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 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increased unemployment rates;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reduced infrastructure spending; and general economic and political conditions and expectations.</w:t>
      </w:r>
    </w:p>
    <w:p>
      <w:pPr>
        <w:spacing w:after="0" w:line="3"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and/or cause disruptions in our operations, including as a result of disruption in our supply chain, and adversely affect our net sales and operating results, or may affect the timing of demand for some of our products and/or our ability to manufacture product to fulfill customer demand, which may adversely affect net sales and operating results in subsequent periods.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in the past affected our operating results and could continue to result in declines in our net sales and net earnings.</w:t>
      </w:r>
    </w:p>
    <w:p>
      <w:pPr>
        <w:jc w:val="both"/>
        <w:ind w:left="6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components, parts and accessories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or increased tariffs, duties or other charges as a result of changes to U.S. or international trade policies or agreements have in the past affected our profit margins and businesses and could continue to result in declines in our profit margins and businesses.</w:t>
      </w:r>
    </w:p>
    <w:p>
      <w:pPr>
        <w:spacing w:after="0" w:line="1" w:lineRule="exact"/>
        <w:rPr>
          <w:rFonts w:ascii="Arial" w:cs="Arial" w:eastAsia="Arial" w:hAnsi="Arial"/>
          <w:sz w:val="17"/>
          <w:szCs w:val="17"/>
          <w:color w:val="auto"/>
        </w:rPr>
      </w:pPr>
    </w:p>
    <w:p>
      <w:pPr>
        <w:jc w:val="both"/>
        <w:ind w:left="6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certain factors, including golf course revenues and the amount of investment in golf course renovations and improvements; the level of new golf course development and golf course closures; the extent to which property owners outsource their lawn care and snow and ice removal activities; residential and commercial construction activity; continued acceptance of, and demand for, ag-irrigation solutions; the timing and occurrence of winter weather conditions; demand for our products in the rental, specialty and underground construction markets; availability of cash or credit to Professional segment customers on acceptable terms to finance new product purchases; and the amount of government revenues, budget, and spending levels for grounds maintenance equipment.</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consumers buying our products at dealers, mass retailers, and home centers, such as The Home Depot, Inc.; the amount of product placement at mass retailers and home centers; consumer confidence and spending levels; changing buying patterns of customers; and the impact of significant sales or promotional events.</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performance, including our profit margins and net earnings, can be impacted depending on the mix of products we sell during a given period, as our Professional segment products generally have higher profit margins than our Residential segment products. Similarly, within each segment, if we experience lower sales of products that generally carry higher profit margins, our financial performance, including profit margins and net earnings, could be negatively impacted.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67"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intend to grow our business in part through acquisitions, including by our recently completed acquisition of CMW, and alliances, strong customer relations, and new joint ventures and partnerships, which could be risky and harm our business, reputation, financial condition, and operating results, particularly if we are not able to successfully integrate such acquisitions and alliances, joint ventures, and partnerships. If previous or future acquisitions do not produce the expected results or integration into our operations takes more time than expected, our business could be harmed. For example, the Toro underground wind down is an integration activity as a result of the CMW acquisition and any delays or failures to complete the Toro underground wind down, failure to achieve any cost or revenue synergies expected from the Toro underground wind down or delays in the realization thereof, business disruption during the pendency of or following the Toro underground wind down, or unanticipated charges that may be incurred as a result of such activity could harm our business and operating results. In addition, we cannot guarantee previous or future acquisitions, alliances, joint ventures or partnerships will in fact produce any benefits.</w:t>
      </w:r>
    </w:p>
    <w:p>
      <w:pPr>
        <w:spacing w:after="0" w:line="1" w:lineRule="exact"/>
        <w:rPr>
          <w:rFonts w:ascii="Arial" w:cs="Arial" w:eastAsia="Arial" w:hAnsi="Arial"/>
          <w:sz w:val="17"/>
          <w:szCs w:val="17"/>
          <w:color w:val="auto"/>
        </w:rPr>
      </w:pPr>
    </w:p>
    <w:p>
      <w:pPr>
        <w:jc w:val="both"/>
        <w:ind w:left="66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manage our inventory levels to meet our customers' demand for our products is important for our business. If we underestimate or overestimate both channel and retail demand for our products, are not able to manufacture product to fulfill customer demand, and/or do not produce or maintain appropriate inventory levels, our net sales, profit margins, net earnings, and/or working capital could be negatively impacted.</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composition of, financial viability of, and/or the relationships with, our distribution channel customers could negatively impact our business and operating results.</w:t>
      </w: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trade or other policy changes between the U.S. and other countries, weakened international economic conditions, or the United Kingdom’s process for exiting the European Union;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5"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as well as develop and market new products, that respond to customer needs and preferences and achieve market acceptance, including by incorporating new or emerging technologies that may become preferred by our customers, we may experience a decrease in demand for our products, and our net sales could be adversely affected.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disruption, including as a result of natural or man-made disasters, inclement weather, including as a result of climate change-related events, work slowdowns, strikes, or other events, at any of our facilities or in our manufacturing or other operations, or those of our distribution channel customers or suppliers,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production labor needs fluctuate throughout the year and any failure by us to hire and/or retain a production labor force to adequately staff our manufacturing operations, or by our production labor force to adequately and safely perform their jobs could adversely affect our business, operating results, and reputation.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information security practices, or those of our business partners or third-party service providers, fail to adequately perform and/or protect sensitive or confidential information, or if we, our business partners, or third-party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properties, and products are subject to governmental policies and regulations with which compliance may require us to incur expenses or modify our products or operations and non-compliance may result in harm to our reputation and/or expose us to penalties. Governmental policies and regulations may also adversely affect the demand for some of our products and our operating results. In addition, changes in laws, policies, and regulations in the U.S. or other countries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289" w:lineRule="auto"/>
        <w:rPr>
          <w:sz w:val="20"/>
          <w:szCs w:val="20"/>
          <w:color w:val="auto"/>
        </w:rPr>
      </w:pPr>
      <w:r>
        <w:rPr>
          <w:rFonts w:ascii="Arial" w:cs="Arial" w:eastAsia="Arial" w:hAnsi="Arial"/>
          <w:sz w:val="18"/>
          <w:szCs w:val="18"/>
          <w:color w:val="auto"/>
        </w:rPr>
        <w:t>in which we conduct business also may adversely affect our financial results, including as a result of, (i) taxation and tax policy changes, tax rate changes, new tax laws, new or revised tax law interpretations or guidance, including as a result of the Tax Act, (ii) changes to, or adoption of new, healthcare laws or regulations, or (iii) changes to U.S. or international policies or trade agreements that could result in additional duties or other charges on raw materials, components, parts or accessories we import.</w:t>
      </w:r>
    </w:p>
    <w:p>
      <w:pPr>
        <w:spacing w:after="0" w:line="3"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standards or assumptions in applying accounting policies could adversely affect our financial statements, including our financial results and financial condition.</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Climate change legislation, regulations, or accords may adversely impact our operations.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product quality issues, product liability claims, and other litigation from time to time that could adversely affect our business, reputation, operating results, or financial condition.</w:t>
      </w: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dependent upon various floor planning programs to provide competitive inventory financing programs to certain distributors and dealers of our products. Any material change in the availability or terms of credit offered to our customers by such programs or any termination or disruption of our various floor planning programs or any delay in securing replacement credit sources could adversely affect our net sales and operating results.</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and other terms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such terms, especially the financial covenants, our credit arrangements could be terminated and our senior notes, debentures, term loan facilities, and any amounts outstanding under our revolving credit facility could become due and payable.</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expanding and renovating our corporate and other facilities and could experience disruptions to our operations in connection with such efforts.</w:t>
      </w:r>
    </w:p>
    <w:p>
      <w:pPr>
        <w:ind w:left="660" w:hanging="328"/>
        <w:spacing w:after="0" w:line="290"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achieve our projected financial information or other business initiatives, such as the goals of our "Vision 2020" initiative, in the time periods that we anticipate, or at all, which could have an adverse effect on our business, operating results and financial condition.</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report.</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2018. Refer to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within our Annual Report on Form 10-K for the fiscal year ended October 31, 2018 for a complete discussion of our market risk. Refer below for further discussion on foreign currency exchange rate risk, interest rate risk, and commodity cost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third-party customers, sales and loans to wholly-owned foreign subsidiaries, foreign plant operations, and purchases from suppliers. Our primary foreign currency exchange rate exposures are with the Euro, the Australian dollar, the Canadian dollar, the British pound, the Mexican peso, the Japanese yen, the Chinese Renminbi, the Romanian New Leu against the U.S. dollar, and the Romanian New Leu against the Euro. We may also experience foreign currency exchange rate exposure as a result of the volatility and uncertainty that may arise as a result of the United Kingdom’s process for exiting the European Union. Because our products are manufactured or sourced primarily from the United States and Mexico, a stronger U.S. dollar and Mexican peso generally have a negative impact on our results from operations, while a weaker U.S. dollar and Mexican peso generally have a positive effect.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Our policy does not allow the use of derivative instruments for trading or speculative purposes.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changes in values of the related exposures. Therefore, changes in the values of our derivative instruments are highly correlated with changes in the market values of underlying hedged items both at inception and over the life of the derivative instrument.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Changes in the fair values of the spot rate component of outstanding, highly effective cash flow hedging instruments included in the assessment of hedge effectiveness are recorded in other comprehensive income within accumulated other comprehensive loss ("AOCL") on the Condensed Consolidated Balance Sheets and are subsequently reclassified to net earnings within the Condensed Consolidated Statements of Earnings during the same period in which the cash flows of the underlying hedged transaction affect net earnings. Certain derivative instruments we hold do not meet the cash flow hedge accounting criteria or have components that are excluded from cash flow hedge accounting; therefore, changes in their fair value are recorded in the Condensed Consolidated Statements of Earnings within the same line item as that of the underlying exposure. For additional information regarding our derivative instruments, see Note 16 in our Notes to Condensed Consolidated Financial Statements under the heading "Derivative Instruments and Hedging Activities" included in Item 1 of this Quarterly Report on Form 10-Q.</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foreign currency exchange contracts in the table below have maturity dates in fiscal 2019 through fiscal 2022. All items are non-trading and stated in U.S. dollars. As of August 2, 2019, the average contracted rate, notional amount, and the gain at fair value of outstanding derivative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2820" w:type="dxa"/>
            <w:vAlign w:val="bottom"/>
          </w:tcPr>
          <w:p>
            <w:pPr>
              <w:jc w:val="right"/>
              <w:ind w:right="375"/>
              <w:spacing w:after="0"/>
              <w:rPr>
                <w:sz w:val="20"/>
                <w:szCs w:val="20"/>
                <w:color w:val="auto"/>
              </w:rPr>
            </w:pPr>
            <w:r>
              <w:rPr>
                <w:rFonts w:ascii="Arial" w:cs="Arial" w:eastAsia="Arial" w:hAnsi="Arial"/>
                <w:sz w:val="17"/>
                <w:szCs w:val="17"/>
                <w:b w:val="1"/>
                <w:bCs w:val="1"/>
                <w:color w:val="auto"/>
              </w:rPr>
              <w:t>Average</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54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 except average contracted rate)</w:t>
            </w:r>
          </w:p>
        </w:tc>
        <w:tc>
          <w:tcPr>
            <w:tcW w:w="2820" w:type="dxa"/>
            <w:vAlign w:val="bottom"/>
          </w:tcPr>
          <w:p>
            <w:pPr>
              <w:jc w:val="right"/>
              <w:ind w:right="55"/>
              <w:spacing w:after="0"/>
              <w:rPr>
                <w:sz w:val="20"/>
                <w:szCs w:val="20"/>
                <w:color w:val="auto"/>
              </w:rPr>
            </w:pPr>
            <w:r>
              <w:rPr>
                <w:rFonts w:ascii="Arial" w:cs="Arial" w:eastAsia="Arial" w:hAnsi="Arial"/>
                <w:sz w:val="17"/>
                <w:szCs w:val="17"/>
                <w:b w:val="1"/>
                <w:bCs w:val="1"/>
                <w:color w:val="auto"/>
              </w:rPr>
              <w:t>Contracted Rate</w:t>
            </w:r>
          </w:p>
        </w:tc>
        <w:tc>
          <w:tcPr>
            <w:tcW w:w="160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Notional Amount</w:t>
            </w:r>
          </w:p>
        </w:tc>
        <w:tc>
          <w:tcPr>
            <w:tcW w:w="1560" w:type="dxa"/>
            <w:vAlign w:val="bottom"/>
            <w:gridSpan w:val="2"/>
          </w:tcPr>
          <w:p>
            <w:pPr>
              <w:jc w:val="right"/>
              <w:spacing w:after="0"/>
              <w:rPr>
                <w:sz w:val="20"/>
                <w:szCs w:val="20"/>
                <w:color w:val="auto"/>
              </w:rPr>
            </w:pPr>
            <w:r>
              <w:rPr>
                <w:rFonts w:ascii="Arial" w:cs="Arial" w:eastAsia="Arial" w:hAnsi="Arial"/>
                <w:sz w:val="17"/>
                <w:szCs w:val="17"/>
                <w:b w:val="1"/>
                <w:bCs w:val="1"/>
                <w:color w:val="auto"/>
              </w:rPr>
              <w:t>Gain at Fair Value</w:t>
            </w:r>
          </w:p>
        </w:tc>
      </w:tr>
      <w:tr>
        <w:trPr>
          <w:trHeight w:val="31"/>
        </w:trPr>
        <w:tc>
          <w:tcPr>
            <w:tcW w:w="54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U.S. dollar/Sell Australian dollar</w:t>
            </w:r>
          </w:p>
        </w:tc>
        <w:tc>
          <w:tcPr>
            <w:tcW w:w="2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0.7269</w:t>
            </w:r>
          </w:p>
        </w:tc>
        <w:tc>
          <w:tcPr>
            <w:tcW w:w="5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102,489.6</w:t>
            </w:r>
          </w:p>
        </w:tc>
        <w:tc>
          <w:tcPr>
            <w:tcW w:w="5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5,129.7</w:t>
            </w:r>
          </w:p>
        </w:tc>
      </w:tr>
      <w:tr>
        <w:trPr>
          <w:trHeight w:val="239"/>
        </w:trPr>
        <w:tc>
          <w:tcPr>
            <w:tcW w:w="5440" w:type="dxa"/>
            <w:vAlign w:val="bottom"/>
          </w:tcPr>
          <w:p>
            <w:pPr>
              <w:ind w:left="40"/>
              <w:spacing w:after="0"/>
              <w:rPr>
                <w:sz w:val="20"/>
                <w:szCs w:val="20"/>
                <w:color w:val="auto"/>
              </w:rPr>
            </w:pPr>
            <w:r>
              <w:rPr>
                <w:rFonts w:ascii="Arial" w:cs="Arial" w:eastAsia="Arial" w:hAnsi="Arial"/>
                <w:sz w:val="17"/>
                <w:szCs w:val="17"/>
                <w:color w:val="auto"/>
              </w:rPr>
              <w:t>Buy U.S. dollar/Sell Canadian dollar</w:t>
            </w:r>
          </w:p>
        </w:tc>
        <w:tc>
          <w:tcPr>
            <w:tcW w:w="2820" w:type="dxa"/>
            <w:vAlign w:val="bottom"/>
          </w:tcPr>
          <w:p>
            <w:pPr>
              <w:jc w:val="right"/>
              <w:ind w:right="35"/>
              <w:spacing w:after="0"/>
              <w:rPr>
                <w:sz w:val="20"/>
                <w:szCs w:val="20"/>
                <w:color w:val="auto"/>
              </w:rPr>
            </w:pPr>
            <w:r>
              <w:rPr>
                <w:rFonts w:ascii="Arial" w:cs="Arial" w:eastAsia="Arial" w:hAnsi="Arial"/>
                <w:sz w:val="17"/>
                <w:szCs w:val="17"/>
                <w:color w:val="auto"/>
              </w:rPr>
              <w:t>1.3107</w:t>
            </w:r>
          </w:p>
        </w:tc>
        <w:tc>
          <w:tcPr>
            <w:tcW w:w="5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32,440.0</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99.4</w:t>
            </w:r>
          </w:p>
        </w:tc>
      </w:tr>
      <w:tr>
        <w:trPr>
          <w:trHeight w:val="31"/>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U.S. dollar/Sell Euro</w:t>
            </w:r>
          </w:p>
        </w:tc>
        <w:tc>
          <w:tcPr>
            <w:tcW w:w="2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1.2059</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134,502.0</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7,562.9</w:t>
            </w:r>
          </w:p>
        </w:tc>
      </w:tr>
      <w:tr>
        <w:trPr>
          <w:trHeight w:val="239"/>
        </w:trPr>
        <w:tc>
          <w:tcPr>
            <w:tcW w:w="5440" w:type="dxa"/>
            <w:vAlign w:val="bottom"/>
          </w:tcPr>
          <w:p>
            <w:pPr>
              <w:ind w:left="40"/>
              <w:spacing w:after="0"/>
              <w:rPr>
                <w:sz w:val="20"/>
                <w:szCs w:val="20"/>
                <w:color w:val="auto"/>
              </w:rPr>
            </w:pPr>
            <w:r>
              <w:rPr>
                <w:rFonts w:ascii="Arial" w:cs="Arial" w:eastAsia="Arial" w:hAnsi="Arial"/>
                <w:sz w:val="17"/>
                <w:szCs w:val="17"/>
                <w:color w:val="auto"/>
              </w:rPr>
              <w:t>Buy U.S. dollar/Sell British pound</w:t>
            </w:r>
          </w:p>
        </w:tc>
        <w:tc>
          <w:tcPr>
            <w:tcW w:w="2820" w:type="dxa"/>
            <w:vAlign w:val="bottom"/>
          </w:tcPr>
          <w:p>
            <w:pPr>
              <w:jc w:val="right"/>
              <w:ind w:right="35"/>
              <w:spacing w:after="0"/>
              <w:rPr>
                <w:sz w:val="20"/>
                <w:szCs w:val="20"/>
                <w:color w:val="auto"/>
              </w:rPr>
            </w:pPr>
            <w:r>
              <w:rPr>
                <w:rFonts w:ascii="Arial" w:cs="Arial" w:eastAsia="Arial" w:hAnsi="Arial"/>
                <w:sz w:val="17"/>
                <w:szCs w:val="17"/>
                <w:color w:val="auto"/>
              </w:rPr>
              <w:t>1.3428</w:t>
            </w:r>
          </w:p>
        </w:tc>
        <w:tc>
          <w:tcPr>
            <w:tcW w:w="5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43,774.8</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3,528.8</w:t>
            </w:r>
          </w:p>
        </w:tc>
      </w:tr>
      <w:tr>
        <w:trPr>
          <w:trHeight w:val="31"/>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Mexican peso/Sell U.S. dollar</w:t>
            </w:r>
          </w:p>
        </w:tc>
        <w:tc>
          <w:tcPr>
            <w:tcW w:w="2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20.9456</w:t>
            </w:r>
          </w:p>
        </w:tc>
        <w:tc>
          <w:tcPr>
            <w:tcW w:w="5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1,432.3</w:t>
            </w:r>
          </w:p>
        </w:tc>
        <w:tc>
          <w:tcPr>
            <w:tcW w:w="5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110.6</w:t>
            </w:r>
          </w:p>
        </w:tc>
      </w:tr>
      <w:tr>
        <w:trPr>
          <w:trHeight w:val="20"/>
        </w:trPr>
        <w:tc>
          <w:tcPr>
            <w:tcW w:w="544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AOCL in stockholders’ equity on the Condensed Consolidated Balance Sheets, and would not impact net earnings.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 risk on interest rates relates primarily to fluctuations in LIBOR-based interest rates on our revolving credit facility and term loan credit agreement, as well as the potential increase in the fair value of our fixed-rate long-term debt resulting from a potential decrease in interest rates. We generally do not use interest rate swaps to mitigate the impact of fluctuations in interest rates. Our indebtedness as of August 2, 2019 includes $423.9 million of fixed rate debt that is not subject to variable interest rate fluctuations and $300.0 million LIBOR-based borrowings under our term loan credit agreement. As of August 2, 2019, we did not have an outstanding balance on our LIBOR-based revolving credit facility. We have no earnings or cash flow exposure due to market risks on our fixed-rate long-term debt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Cost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the raw materials, components, and parts used in our manufacturing process and end-products are exposed to commodity cost changes, including, for example, as a result of inflation, deflation, changing prices, tariffs, and/or duties. Our primary commodity cost exposures are with steel, aluminum, petroleum and natural gas-based resins, copper, lead, rubber, linerboard, and others. We generally purchase commodities and components based upon market prices that are established with suppliers as part of the purchase process and generally attempt to obtain firm pricing from most of our suppliers for volumes consistent with planned production.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strategically work to mitigate the impact of inflation on the cost of commodities and components that affect our product lines. Historically, we have mitigated, and we currently expect that we would mitigate, any commodity and component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Additionally, we enter into fixed-price contracts for future purchases of natural gas in the normal course of operations as a means to manage natural gas price risks. However, to the extent that commodity and component costs increase, as a result of inflation, tariffs, duties, or otherwise,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and component costs. In the first nine months of fiscal 2019, the average cost of commodities and components, including the impact of inflation and tariff costs, was higher compared to the first nine months of fiscal 2018. We anticipate that the average cost for commodities and components, including the impact of inflation and tariff costs, for the remainder of fiscal 2019 will be consistent with the average costs experienced during the fourth quarter of fiscal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of the design and operation of our internal control over financial reporting as of the end of the period covered in this Quarterly Report on Form 10-Q. With the exception of the acquisition of CMW noted below, there was no change in our internal control over financial reporting that occurred during the three month period ended August 2, 2019 that has materially affected, or is reasonably likely to materially affect, our internal control over financial reporting.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 2019, we completed the acquisition of CMW. Prior to this acquisition, CMW was a privately-held company not subject to the Sarbanes-Oxley Act of 2002, the rules and regulations of the SEC, or other corporate governance requirements to which public companies may be subject. As part of our ongoing integration activities, we are in the process of incorporating internal controls over significant processes specific to CMW that we believe are appropriate and necessary to account for the acquisition and to consolidate and report our financial results. In accordance with guidance issued by the SEC, companies are permitted to exclude acquisitions from their final assessment of internal control over financial reporting during the year of acquisition. Accordingly, we expect to exclude CMW from the assessment of internal control over financial reporting as of October 31, 2019.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description of our material legal proceedings, see Note 15 in our Notes to Condensed Consolidated Financial Statements under the heading "Contingencies - Litigation" included in Item 1 of this Quarterly Report on Form 10-Q, which is incorporated into this Part II. Item 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 with the exception of the addition of the following risk factor: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acquisition of The Charles Machine Works, Inc. involves a number of risks, the occurrence of which could adversely affect our business, financial condition, and operating results.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1, 2019, pursuant to the Agreement and Plan of Merger dated February 14, 2019 ("merger agreement"), we completed our acquisition of The Charles Machine Works, Inc. (“CMW”). The acquisition involves certain risks, the occurrence of which could adversely affect our business, financial condition, and operating results, including:</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to integrate CMW’s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to our existing operations and plans or inability to effectively manage our expanded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difficulties or delays in securing, integrating and assimilating information, financial systems, internal controls, operations, manufacturing processes and products, or the distribution channel for CMW’s businesses and product lines;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CMW employees, suppliers, customers, distributors, or dealers or other adverse effects on existing business relationships with suppliers, customers, distributors, and dealers;</w:t>
      </w: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impact on overall profitability if our expanded operations do not achieve the growth prospects, net sales, earnings, cost or revenue synergies, or other financial results projected in our valuation models, delays in the realization thereof or costs or charges incurred to achieve any revenue or cost synergies, including as a result of the Toro underground wind down or otherwise;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reallocation of amounts of capital from our other strategic initiatives;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 in our leverage and debt service requirements as a result of amounts drawn on our unsecured term loan credit agreement and unsecured revolving credit facility to fund the purchase price of the acquisition, and the outstanding borrowings from the subsequent issuance of our private placement note purchase agreement, could restrict our ability to access additional capital when needed or to pursue other important elements of our business strategy;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unanticipated costs associated with the acquisition, and despite the existence of representations, warranties and indemnities in the merger agreement and a representation and warranty insurance policy, an inability to recover or manage such liabilities and costs;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impacts as a result of purchase accounting adjustments, incorrect estimates made in the accounting for the acquisition or the potential future write-off of significant amounts of goodwill, intangible assets and/or other tangible assets if the CMW business does not perform in the future as expected, or other potential financial accounting or reporting impacts;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mentioned in our recently filed Annual Report on Form 10-K, Part I, Item 1A, “Risk Factors”.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with respect to shares of our common stock purchased by the company during each of the three fiscal months in our third quarter ended August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Total Number of Shares</w:t>
            </w:r>
          </w:p>
        </w:tc>
        <w:tc>
          <w:tcPr>
            <w:tcW w:w="192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20" w:type="dxa"/>
            <w:vAlign w:val="bottom"/>
          </w:tcPr>
          <w:p>
            <w:pPr>
              <w:ind w:left="700"/>
              <w:spacing w:after="0"/>
              <w:rPr>
                <w:sz w:val="20"/>
                <w:szCs w:val="20"/>
                <w:color w:val="auto"/>
              </w:rPr>
            </w:pPr>
            <w:r>
              <w:rPr>
                <w:rFonts w:ascii="Arial" w:cs="Arial" w:eastAsia="Arial" w:hAnsi="Arial"/>
                <w:sz w:val="18"/>
                <w:szCs w:val="18"/>
                <w:b w:val="1"/>
                <w:bCs w:val="1"/>
                <w:color w:val="auto"/>
              </w:rPr>
              <w:t>(or Units)</w:t>
            </w:r>
          </w:p>
        </w:tc>
        <w:tc>
          <w:tcPr>
            <w:tcW w:w="19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Purchased As</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3780" w:type="dxa"/>
            <w:vAlign w:val="bottom"/>
          </w:tcPr>
          <w:p>
            <w:pPr>
              <w:spacing w:after="0"/>
              <w:rPr>
                <w:sz w:val="18"/>
                <w:szCs w:val="18"/>
                <w:color w:val="auto"/>
              </w:rPr>
            </w:pPr>
          </w:p>
        </w:tc>
        <w:tc>
          <w:tcPr>
            <w:tcW w:w="2420" w:type="dxa"/>
            <w:vAlign w:val="bottom"/>
          </w:tcPr>
          <w:p>
            <w:pPr>
              <w:jc w:val="center"/>
              <w:ind w:left="790"/>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Price Paid</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Part of Publicly</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780" w:type="dxa"/>
            <w:vAlign w:val="bottom"/>
          </w:tcPr>
          <w:p>
            <w:pPr>
              <w:spacing w:after="0"/>
              <w:rPr>
                <w:sz w:val="18"/>
                <w:szCs w:val="18"/>
                <w:color w:val="auto"/>
              </w:rPr>
            </w:pPr>
          </w:p>
        </w:tc>
        <w:tc>
          <w:tcPr>
            <w:tcW w:w="2420" w:type="dxa"/>
            <w:vAlign w:val="bottom"/>
          </w:tcPr>
          <w:p>
            <w:pPr>
              <w:jc w:val="center"/>
              <w:ind w:left="790"/>
              <w:spacing w:after="0"/>
              <w:rPr>
                <w:sz w:val="20"/>
                <w:szCs w:val="20"/>
                <w:color w:val="auto"/>
              </w:rPr>
            </w:pPr>
            <w:r>
              <w:rPr>
                <w:rFonts w:ascii="Arial" w:cs="Arial" w:eastAsia="Arial" w:hAnsi="Arial"/>
                <w:sz w:val="18"/>
                <w:szCs w:val="18"/>
                <w:b w:val="1"/>
                <w:bCs w:val="1"/>
                <w:color w:val="auto"/>
                <w:w w:val="89"/>
              </w:rPr>
              <w:t>Shares (or Units)</w:t>
            </w:r>
          </w:p>
        </w:tc>
        <w:tc>
          <w:tcPr>
            <w:tcW w:w="2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per Share</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Announced Plans or</w:t>
            </w:r>
          </w:p>
        </w:tc>
        <w:tc>
          <w:tcPr>
            <w:tcW w:w="19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Under the Plans or</w:t>
            </w:r>
          </w:p>
        </w:tc>
      </w:tr>
      <w:tr>
        <w:trPr>
          <w:trHeight w:val="261"/>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420" w:type="dxa"/>
            <w:vAlign w:val="bottom"/>
            <w:tcBorders>
              <w:bottom w:val="single" w:sz="8" w:color="auto"/>
            </w:tcBorders>
          </w:tcPr>
          <w:p>
            <w:pPr>
              <w:jc w:val="center"/>
              <w:ind w:left="790"/>
              <w:spacing w:after="0" w:line="262" w:lineRule="exact"/>
              <w:rPr>
                <w:sz w:val="20"/>
                <w:szCs w:val="20"/>
                <w:color w:val="auto"/>
              </w:rPr>
            </w:pPr>
            <w:r>
              <w:rPr>
                <w:rFonts w:ascii="Arial" w:cs="Arial" w:eastAsia="Arial" w:hAnsi="Arial"/>
                <w:sz w:val="18"/>
                <w:szCs w:val="18"/>
                <w:b w:val="1"/>
                <w:bCs w:val="1"/>
                <w:color w:val="auto"/>
                <w:w w:val="82"/>
              </w:rPr>
              <w:t>Purchased</w:t>
            </w:r>
            <w:r>
              <w:rPr>
                <w:rFonts w:ascii="Arial" w:cs="Arial" w:eastAsia="Arial" w:hAnsi="Arial"/>
                <w:sz w:val="25"/>
                <w:szCs w:val="25"/>
                <w:b w:val="1"/>
                <w:bCs w:val="1"/>
                <w:color w:val="auto"/>
                <w:w w:val="82"/>
                <w:vertAlign w:val="superscript"/>
              </w:rPr>
              <w:t>1,2,3</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7"/>
              </w:rPr>
              <w:t>(or Unit)</w:t>
            </w:r>
          </w:p>
        </w:tc>
        <w:tc>
          <w:tcPr>
            <w:tcW w:w="2020" w:type="dxa"/>
            <w:vAlign w:val="bottom"/>
            <w:tcBorders>
              <w:bottom w:val="single" w:sz="8" w:color="auto"/>
            </w:tcBorders>
          </w:tcPr>
          <w:p>
            <w:pPr>
              <w:jc w:val="center"/>
              <w:ind w:left="50"/>
              <w:spacing w:after="0" w:line="262"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5"/>
                <w:szCs w:val="25"/>
                <w:b w:val="1"/>
                <w:bCs w:val="1"/>
                <w:color w:val="auto"/>
                <w:w w:val="85"/>
                <w:vertAlign w:val="superscript"/>
              </w:rPr>
              <w:t>1,2</w:t>
            </w:r>
          </w:p>
        </w:tc>
        <w:tc>
          <w:tcPr>
            <w:tcW w:w="1920" w:type="dxa"/>
            <w:vAlign w:val="bottom"/>
            <w:tcBorders>
              <w:bottom w:val="single" w:sz="8" w:color="auto"/>
            </w:tcBorders>
          </w:tcPr>
          <w:p>
            <w:pPr>
              <w:jc w:val="center"/>
              <w:ind w:left="30"/>
              <w:spacing w:after="0" w:line="262"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5"/>
                <w:szCs w:val="25"/>
                <w:b w:val="1"/>
                <w:bCs w:val="1"/>
                <w:color w:val="auto"/>
                <w:w w:val="85"/>
                <w:vertAlign w:val="superscript"/>
              </w:rPr>
              <w:t>1,2</w:t>
            </w: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4, 2019 through May 31, 2019</w:t>
            </w:r>
          </w:p>
        </w:tc>
        <w:tc>
          <w:tcPr>
            <w:tcW w:w="2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7,042,256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June 1, 2019 through June 28, 2019</w:t>
            </w:r>
          </w:p>
        </w:tc>
        <w:tc>
          <w:tcPr>
            <w:tcW w:w="2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20" w:type="dxa"/>
            <w:vAlign w:val="bottom"/>
          </w:tcPr>
          <w:p>
            <w:pPr>
              <w:ind w:left="174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7,042,256</w:t>
            </w:r>
          </w:p>
        </w:tc>
      </w:tr>
      <w:tr>
        <w:trPr>
          <w:trHeight w:val="27"/>
        </w:trPr>
        <w:tc>
          <w:tcPr>
            <w:tcW w:w="3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29, 2019 through August 2, 2019</w:t>
            </w:r>
          </w:p>
        </w:tc>
        <w:tc>
          <w:tcPr>
            <w:tcW w:w="2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1,310</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66.14</w:t>
            </w:r>
          </w:p>
        </w:tc>
        <w:tc>
          <w:tcPr>
            <w:tcW w:w="20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7,042,256</w:t>
            </w:r>
          </w:p>
        </w:tc>
      </w:tr>
      <w:tr>
        <w:trPr>
          <w:trHeight w:val="237"/>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1,310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66.14</w:t>
            </w:r>
          </w:p>
        </w:tc>
        <w:tc>
          <w:tcPr>
            <w:tcW w:w="202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180" w:hanging="172"/>
        <w:spacing w:after="0" w:line="239" w:lineRule="auto"/>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privately negotiated transactions. This program has no expiration date but may be terminated by the company’s Board of Directors at any time. No shares were repurchased under this program during the time period indicated above and 2,042,256 shares remained available to repurchase under this program as of August 2, 2019.</w:t>
      </w:r>
    </w:p>
    <w:p>
      <w:pPr>
        <w:spacing w:after="0" w:line="172" w:lineRule="exact"/>
        <w:rPr>
          <w:sz w:val="20"/>
          <w:szCs w:val="20"/>
          <w:color w:val="auto"/>
        </w:rPr>
      </w:pPr>
    </w:p>
    <w:p>
      <w:pPr>
        <w:jc w:val="both"/>
        <w:ind w:left="180" w:hanging="172"/>
        <w:spacing w:after="0" w:line="239"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On December 4, 2018, the company’s Board of Directors authorized the repurchase of up to an additional 5,000,000 shares of the company’s common stock in open-market or privately negotiated transactions. This program has no expiration date but may be terminated by the company’s Board of Directors at any time. No shares were repurchased under this program during the time period indicated above and 5,000,000 shares remained available to repurchase under this program as of August 2, 2019.</w:t>
      </w:r>
    </w:p>
    <w:p>
      <w:pPr>
        <w:spacing w:after="0" w:line="172" w:lineRule="exact"/>
        <w:rPr>
          <w:sz w:val="20"/>
          <w:szCs w:val="20"/>
          <w:color w:val="auto"/>
        </w:rPr>
      </w:pPr>
    </w:p>
    <w:p>
      <w:pPr>
        <w:jc w:val="both"/>
        <w:ind w:left="180" w:hanging="172"/>
        <w:spacing w:after="0" w:line="225" w:lineRule="auto"/>
        <w:tabs>
          <w:tab w:leader="none" w:pos="18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Includes 1,310 units (shares) of the company’s common stock purchased in open-market transactions at an average price of $66.14 per share on behalf of a rabbi trust formed to pay benefit obligations of the company to participants in deferred compensation plans. These 1,310 shares were not repurchased under the company’s repurchase programs described in footnotes 1 and 2 above.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76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(a)   Exhibit No.</w:t>
            </w:r>
          </w:p>
        </w:tc>
        <w:tc>
          <w:tcPr>
            <w:tcW w:w="9640" w:type="dxa"/>
            <w:vAlign w:val="bottom"/>
            <w:gridSpan w:val="10"/>
          </w:tcPr>
          <w:p>
            <w:pPr>
              <w:spacing w:after="0"/>
              <w:rPr>
                <w:sz w:val="20"/>
                <w:szCs w:val="20"/>
                <w:color w:val="auto"/>
              </w:rPr>
            </w:pPr>
            <w:r>
              <w:rPr>
                <w:rFonts w:ascii="Arial" w:cs="Arial" w:eastAsia="Arial" w:hAnsi="Arial"/>
                <w:sz w:val="18"/>
                <w:szCs w:val="18"/>
                <w:color w:val="auto"/>
              </w:rPr>
              <w:t>Description</w:t>
            </w:r>
          </w:p>
        </w:tc>
      </w:tr>
      <w:tr>
        <w:trPr>
          <w:trHeight w:val="351"/>
        </w:trPr>
        <w:tc>
          <w:tcPr>
            <w:tcW w:w="1280" w:type="dxa"/>
            <w:vAlign w:val="bottom"/>
          </w:tcPr>
          <w:p>
            <w:pPr>
              <w:ind w:left="50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Agreement and Plan of Merger dated as of February 14, 2019, by and among The Toro Company, The Charles Machine Works, Inc.,</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Helix Company, Inc., and Agent 186 LLC as Shareholders’ Agent (incorporated by reference to Exhibit 2.1 to Registrant’s Current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Report on Form 8-K dated February 15, 2019, Commission File No. 1-8649).</w:t>
              </w:r>
            </w:hyperlink>
          </w:p>
        </w:tc>
      </w:tr>
      <w:tr>
        <w:trPr>
          <w:trHeight w:val="20"/>
        </w:trPr>
        <w:tc>
          <w:tcPr>
            <w:tcW w:w="176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3.1 and 4.1</w:t>
            </w:r>
          </w:p>
        </w:tc>
        <w:tc>
          <w:tcPr>
            <w:tcW w:w="9620" w:type="dxa"/>
            <w:vAlign w:val="bottom"/>
            <w:tcBorders>
              <w:bottom w:val="single" w:sz="8" w:color="0000FF"/>
            </w:tcBorders>
            <w:gridSpan w:val="9"/>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Restated Certificate of Incorporation of The Toro Company (incorporated by reference to Exhibit 3.1 to Registrant’s Current Report</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on Form 8-K dated June 17, 2008, Commission File No. 1-8649).</w:t>
              </w:r>
            </w:hyperlink>
          </w:p>
        </w:tc>
        <w:tc>
          <w:tcPr>
            <w:tcW w:w="4920" w:type="dxa"/>
            <w:vAlign w:val="bottom"/>
            <w:gridSpan w:val="7"/>
          </w:tcPr>
          <w:p>
            <w:pPr>
              <w:spacing w:after="0"/>
              <w:rPr>
                <w:sz w:val="17"/>
                <w:szCs w:val="17"/>
                <w:color w:val="auto"/>
              </w:rPr>
            </w:pPr>
          </w:p>
        </w:tc>
      </w:tr>
      <w:tr>
        <w:trPr>
          <w:trHeight w:val="372"/>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3.2 and 4.2</w:t>
            </w:r>
          </w:p>
        </w:tc>
        <w:tc>
          <w:tcPr>
            <w:tcW w:w="9640" w:type="dxa"/>
            <w:vAlign w:val="bottom"/>
            <w:gridSpan w:val="10"/>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Certificate of Amendment to Restated Certificate of Incorporation of The Toro Company (incorporated by reference to Exhibit 3.1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Registrant’s Current Report on Form 8-K dated March 12, 2013, Commission File No. 1-8649).</w:t>
              </w:r>
            </w:hyperlink>
          </w:p>
        </w:tc>
        <w:tc>
          <w:tcPr>
            <w:tcW w:w="20" w:type="dxa"/>
            <w:vAlign w:val="bottom"/>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760" w:type="dxa"/>
            <w:vAlign w:val="bottom"/>
            <w:gridSpan w:val="2"/>
          </w:tcPr>
          <w:p>
            <w:pPr>
              <w:ind w:left="500"/>
              <w:spacing w:after="0"/>
              <w:rPr>
                <w:sz w:val="20"/>
                <w:szCs w:val="20"/>
                <w:color w:val="auto"/>
              </w:rPr>
            </w:pPr>
            <w:r>
              <w:rPr>
                <w:rFonts w:ascii="Arial" w:cs="Arial" w:eastAsia="Arial" w:hAnsi="Arial"/>
                <w:sz w:val="18"/>
                <w:szCs w:val="18"/>
                <w:color w:val="auto"/>
              </w:rPr>
              <w:t>3.3 and 4.3</w:t>
            </w:r>
          </w:p>
        </w:tc>
        <w:tc>
          <w:tcPr>
            <w:tcW w:w="9640" w:type="dxa"/>
            <w:vAlign w:val="bottom"/>
            <w:tcBorders>
              <w:bottom w:val="single" w:sz="8" w:color="0000FF"/>
            </w:tcBorders>
            <w:gridSpan w:val="10"/>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Amended and Restated Bylaws of The Toro Company (incorporated by reference to Exhibit 3.1 to Registrant’s Current Report on</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Form 8-K dated July 19, 2016, Commission File No. 1-8649).</w:t>
              </w:r>
            </w:hyperlink>
          </w:p>
        </w:tc>
        <w:tc>
          <w:tcPr>
            <w:tcW w:w="5180" w:type="dxa"/>
            <w:vAlign w:val="bottom"/>
            <w:gridSpan w:val="8"/>
          </w:tcPr>
          <w:p>
            <w:pPr>
              <w:spacing w:after="0"/>
              <w:rPr>
                <w:sz w:val="17"/>
                <w:szCs w:val="17"/>
                <w:color w:val="auto"/>
              </w:rPr>
            </w:pPr>
          </w:p>
        </w:tc>
      </w:tr>
      <w:tr>
        <w:trPr>
          <w:trHeight w:val="398"/>
        </w:trPr>
        <w:tc>
          <w:tcPr>
            <w:tcW w:w="1280" w:type="dxa"/>
            <w:vAlign w:val="bottom"/>
          </w:tcPr>
          <w:p>
            <w:pPr>
              <w:ind w:left="50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4"/>
                <w:szCs w:val="24"/>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16"/>
        </w:trPr>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w w:val="94"/>
              </w:rPr>
              <w:t>Form 8-K dated June 24, 1997, Commission File No. 1-8649). (Filed on paper - hyperlink is not required pursuant to Rule 105 of</w:t>
            </w:r>
          </w:p>
        </w:tc>
      </w:tr>
      <w:tr>
        <w:trPr>
          <w:trHeight w:val="230"/>
        </w:trPr>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40" w:type="dxa"/>
            <w:vAlign w:val="bottom"/>
            <w:gridSpan w:val="10"/>
          </w:tcPr>
          <w:p>
            <w:pPr>
              <w:spacing w:after="0"/>
              <w:rPr>
                <w:sz w:val="20"/>
                <w:szCs w:val="20"/>
                <w:color w:val="auto"/>
              </w:rPr>
            </w:pPr>
            <w:r>
              <w:rPr>
                <w:rFonts w:ascii="Arial" w:cs="Arial" w:eastAsia="Arial" w:hAnsi="Arial"/>
                <w:sz w:val="18"/>
                <w:szCs w:val="18"/>
                <w:color w:val="auto"/>
              </w:rPr>
              <w:t>Regulation S-T)</w:t>
            </w:r>
          </w:p>
        </w:tc>
      </w:tr>
      <w:tr>
        <w:trPr>
          <w:trHeight w:val="351"/>
        </w:trPr>
        <w:tc>
          <w:tcPr>
            <w:tcW w:w="1280" w:type="dxa"/>
            <w:vAlign w:val="bottom"/>
          </w:tcPr>
          <w:p>
            <w:pPr>
              <w:ind w:left="50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4"/>
                <w:szCs w:val="24"/>
                <w:color w:val="auto"/>
              </w:rPr>
            </w:pPr>
          </w:p>
        </w:tc>
        <w:tc>
          <w:tcPr>
            <w:tcW w:w="9640" w:type="dxa"/>
            <w:vAlign w:val="bottom"/>
            <w:tcBorders>
              <w:bottom w:val="single" w:sz="8" w:color="0000FF"/>
            </w:tcBorders>
            <w:gridSpan w:val="10"/>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Indenture dated as of April 20, 2007, between Registrant and The Bank of New York Trust Company, N.A., as Trustee, relating to</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The Toro Company’s 6.625% Notes due May 1, 2037 (incorporated by reference to Exhibit 4.3 to Registrant’s Registration Statement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on Form S-3 filed with the Securities and Exchange Commission on April 23, 2007, Registration No. 333-142282).</w:t>
              </w:r>
            </w:hyperlink>
          </w:p>
        </w:tc>
        <w:tc>
          <w:tcPr>
            <w:tcW w:w="1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First Supplemental Indenture dated as of April 26, 2007, between Registrant and The Bank of New York Trust Company, N.A., as</w:t>
              </w:r>
            </w:hyperlink>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7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Trustee, relating to The Toro Company’s 6.625% Notes due May 1, 2037 (incorporated by reference to Exhibit 4.1 to Registrant’s</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Current Report on Form 8-K dated April 23, 2007, Commission File No. 1-8649).</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The Toro Company 6.625% Note due May 1, 2037 (incorporated by reference to Exhibit 4.2 to Registrant’s Current Report</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on Form 8-K dated April 23, 2007, Commission File No. 1-8649).</w:t>
              </w:r>
            </w:hyperlink>
          </w:p>
        </w:tc>
        <w:tc>
          <w:tcPr>
            <w:tcW w:w="486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Chief Executive Officer Pursuant to Rule 13a-14(a) (Section 302 of the Sarbanes-Oxley Act of 2002) (filed</w:t>
              </w:r>
            </w:hyperlink>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herewith).</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9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5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962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Certification of Chief Financial Officer Pursuant to Rule 13a-14(a) (Section 302 of the Sarbanes-Oxley Act of 2002) (filed herewith).</w:t>
              </w:r>
            </w:hyperlink>
          </w:p>
        </w:tc>
        <w:tc>
          <w:tcPr>
            <w:tcW w:w="20" w:type="dxa"/>
            <w:vAlign w:val="bottom"/>
          </w:tcPr>
          <w:p>
            <w:pPr>
              <w:spacing w:after="0"/>
              <w:rPr>
                <w:sz w:val="24"/>
                <w:szCs w:val="24"/>
                <w:color w:val="auto"/>
              </w:rPr>
            </w:pPr>
          </w:p>
        </w:tc>
      </w:tr>
    </w:tbl>
    <w:p>
      <w:pPr>
        <w:spacing w:after="0" w:line="188" w:lineRule="exact"/>
        <w:rPr>
          <w:sz w:val="20"/>
          <w:szCs w:val="20"/>
          <w:color w:val="auto"/>
        </w:rPr>
      </w:pPr>
    </w:p>
    <w:p>
      <w:pPr>
        <w:ind w:left="1760" w:right="20" w:hanging="1266"/>
        <w:spacing w:after="0" w:line="277" w:lineRule="auto"/>
        <w:tabs>
          <w:tab w:leader="none" w:pos="1760" w:val="left"/>
        </w:tabs>
        <w:numPr>
          <w:ilvl w:val="0"/>
          <w:numId w:val="17"/>
        </w:numPr>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Certification of Chief Executive Officer and Chief Financial Officer Pursuant to 18 U.S.C. Section 1350, as Adopted Pursuant to</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Section 906 of the Sarbanes-Oxley Act of 2002 (furnished herewith).</w:t>
        </w:r>
      </w:hyperlink>
    </w:p>
    <w:p>
      <w:pPr>
        <w:spacing w:after="0" w:line="130" w:lineRule="exact"/>
        <w:rPr>
          <w:rFonts w:ascii="Arial" w:cs="Arial" w:eastAsia="Arial" w:hAnsi="Arial"/>
          <w:sz w:val="18"/>
          <w:szCs w:val="18"/>
          <w:color w:val="auto"/>
        </w:rPr>
      </w:pPr>
    </w:p>
    <w:p>
      <w:pPr>
        <w:jc w:val="both"/>
        <w:ind w:left="1760" w:hanging="1266"/>
        <w:spacing w:after="0" w:line="271" w:lineRule="auto"/>
        <w:tabs>
          <w:tab w:leader="none" w:pos="1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financial information from The Toro Company’s Quarterly Report on Form 10-Q for the quarterly period ended August 2, 2019, filed with the SEC on September 5, 2019, formatted in Inline eXtensible Business Reporting Language (Inline XBRL): (i) Condensed Consolidated Statements of Earnings for the three and nine month periods ended August 2, 2019 and August 3, 2018, (ii) Condensed Consolidated Statements of Comprehensive Income for the three and nine month periods ended August 2, 2019 and August 3, 2018, (iii) Condensed Consolidated Balance Sheets as of August 2, 2019, August 3, 2018, and October 31, 2018, (iv) Condensed Consolidated Statement of Cash Flows for the nine month periods ended August 2, 2019 and August 3, 2018, (v) Condensed Consolidated Statements of Stockholders' Equity for the three and nine month periods ended August 2, 2019 and August 3, 2018, and (vi) Notes to Condensed Consolidated Financial Statements (filed herewith).</w:t>
      </w:r>
    </w:p>
    <w:p>
      <w:pPr>
        <w:spacing w:after="0" w:line="138" w:lineRule="exact"/>
        <w:rPr>
          <w:rFonts w:ascii="Arial" w:cs="Arial" w:eastAsia="Arial" w:hAnsi="Arial"/>
          <w:sz w:val="18"/>
          <w:szCs w:val="18"/>
          <w:color w:val="auto"/>
        </w:rPr>
      </w:pPr>
    </w:p>
    <w:p>
      <w:pPr>
        <w:ind w:left="5620" w:right="3120" w:hanging="5126"/>
        <w:spacing w:after="0" w:line="590" w:lineRule="auto"/>
        <w:tabs>
          <w:tab w:leader="none" w:pos="17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56</w:t>
      </w:r>
    </w:p>
    <w:p>
      <w:pPr>
        <w:sectPr>
          <w:pgSz w:w="11900" w:h="16838" w:orient="portrait"/>
          <w:cols w:equalWidth="0" w:num="1">
            <w:col w:w="11400"/>
          </w:cols>
          <w:pgMar w:left="240" w:top="108"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September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principal financial officer, and principal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August 2, 2019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5,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5, 2019</w:t>
      </w:r>
    </w:p>
    <w:p>
      <w:pPr>
        <w:spacing w:after="0" w:line="200" w:lineRule="exact"/>
        <w:rPr>
          <w:sz w:val="20"/>
          <w:szCs w:val="20"/>
          <w:color w:val="auto"/>
        </w:rPr>
      </w:pP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bullet"/>
      <w:start w:val="1"/>
    </w:lvl>
  </w:abstractNum>
  <w:abstractNum w:abstractNumId="6">
    <w:nsid w:val="7FDCC233"/>
    <w:multiLevelType w:val="hybridMultilevel"/>
    <w:lvl w:ilvl="0">
      <w:lvlJc w:val="left"/>
      <w:lvlText w:val="2"/>
      <w:numFmt w:val="bullet"/>
      <w:start w:val="1"/>
    </w:lvl>
  </w:abstractNum>
  <w:abstractNum w:abstractNumId="7">
    <w:nsid w:val="1BEFD79F"/>
    <w:multiLevelType w:val="hybridMultilevel"/>
    <w:lvl w:ilvl="0">
      <w:lvlJc w:val="left"/>
      <w:lvlText w:val="3"/>
      <w:numFmt w:val="bullet"/>
      <w:start w:val="1"/>
    </w:lvl>
  </w:abstractNum>
  <w:abstractNum w:abstractNumId="8">
    <w:nsid w:val="41A7C4C9"/>
    <w:multiLevelType w:val="hybridMultilevel"/>
    <w:lvl w:ilvl="0">
      <w:lvlJc w:val="left"/>
      <w:lvlText w:val="4"/>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bullet"/>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3"/>
      <w:numFmt w:val="bullet"/>
      <w:start w:val="1"/>
    </w:lvl>
  </w:abstractNum>
  <w:abstractNum w:abstractNumId="16">
    <w:nsid w:val="257130A3"/>
    <w:multiLevelType w:val="hybridMultilevel"/>
    <w:lvl w:ilvl="0">
      <w:lvlJc w:val="left"/>
      <w:lvlText w:val="%1"/>
      <w:numFmt w:val="decimal"/>
      <w:start w:val="32"/>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1"/>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36" Type="http://schemas.openxmlformats.org/officeDocument/2006/relationships/hyperlink" Target="http://www.sec.gov/Archives/edgar/data/737758/000156459019003064/ttc-ex21_6.htm" TargetMode="External"/><Relationship Id="rId37" Type="http://schemas.openxmlformats.org/officeDocument/2006/relationships/hyperlink" Target="http://www.sec.gov/Archives/edgar/data/737758/000073775808000033/form8-k06172008exhibitcert.htm" TargetMode="External"/><Relationship Id="rId38" Type="http://schemas.openxmlformats.org/officeDocument/2006/relationships/hyperlink" Target="http://www.sec.gov/Archives/edgar/data/737758/000119312513105223/d501846dex31.htm" TargetMode="External"/><Relationship Id="rId39" Type="http://schemas.openxmlformats.org/officeDocument/2006/relationships/hyperlink" Target="http://www.sec.gov/Archives/edgar/data/737758/000110465916133324/a16-15127_1ex3d1.htm" TargetMode="External"/><Relationship Id="rId40" Type="http://schemas.openxmlformats.org/officeDocument/2006/relationships/hyperlink" Target="http://www.sec.gov/Archives/edgar/data/737758/000110465907030051/a07-10570_1ex4d3.htm" TargetMode="External"/><Relationship Id="rId41" Type="http://schemas.openxmlformats.org/officeDocument/2006/relationships/hyperlink" Target="http://www.sec.gov/Archives/edgar/data/737758/000110465907031757/a07-10570_5ex4d1.htm" TargetMode="External"/><Relationship Id="rId42"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2019-12-28T06:22:59Z</dcterms:created>
  <dcterms:modified xsi:type="dcterms:W3CDTF">2019-12-28T06:22:59Z</dcterms:modified>
</cp:coreProperties>
</file>