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March 15,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00" w:type="dxa"/>
        <w:tblCellMar>
          <w:top w:w="0" w:type="dxa"/>
          <w:left w:w="0" w:type="dxa"/>
          <w:bottom w:w="0" w:type="dxa"/>
          <w:right w:w="0" w:type="dxa"/>
        </w:tblCellMar>
      </w:tblPr>
      <w:tr>
        <w:trPr>
          <w:trHeight w:val="212"/>
        </w:trPr>
        <w:tc>
          <w:tcPr>
            <w:tcW w:w="1020" w:type="dxa"/>
            <w:vAlign w:val="bottom"/>
          </w:tcPr>
          <w:p>
            <w:pPr>
              <w:jc w:val="center"/>
              <w:ind w:right="62"/>
              <w:spacing w:after="0"/>
              <w:rPr>
                <w:sz w:val="20"/>
                <w:szCs w:val="20"/>
                <w:color w:val="auto"/>
              </w:rPr>
            </w:pPr>
            <w:r>
              <w:rPr>
                <w:rFonts w:ascii="Arial" w:cs="Arial" w:eastAsia="Arial" w:hAnsi="Arial"/>
                <w:sz w:val="18"/>
                <w:szCs w:val="18"/>
                <w:b w:val="1"/>
                <w:bCs w:val="1"/>
                <w:color w:val="auto"/>
                <w:w w:val="91"/>
              </w:rPr>
              <w:t>Delaware</w:t>
            </w:r>
          </w:p>
        </w:tc>
        <w:tc>
          <w:tcPr>
            <w:tcW w:w="6080" w:type="dxa"/>
            <w:vAlign w:val="bottom"/>
          </w:tcPr>
          <w:p>
            <w:pPr>
              <w:jc w:val="center"/>
              <w:ind w:left="478"/>
              <w:spacing w:after="0"/>
              <w:rPr>
                <w:sz w:val="20"/>
                <w:szCs w:val="20"/>
                <w:color w:val="auto"/>
              </w:rPr>
            </w:pPr>
            <w:r>
              <w:rPr>
                <w:rFonts w:ascii="Arial" w:cs="Arial" w:eastAsia="Arial" w:hAnsi="Arial"/>
                <w:sz w:val="18"/>
                <w:szCs w:val="18"/>
                <w:b w:val="1"/>
                <w:bCs w:val="1"/>
                <w:color w:val="auto"/>
                <w:w w:val="92"/>
              </w:rPr>
              <w:t>1-8649</w:t>
            </w:r>
          </w:p>
        </w:tc>
        <w:tc>
          <w:tcPr>
            <w:tcW w:w="1720" w:type="dxa"/>
            <w:vAlign w:val="bottom"/>
          </w:tcPr>
          <w:p>
            <w:pPr>
              <w:jc w:val="right"/>
              <w:ind w:right="201"/>
              <w:spacing w:after="0"/>
              <w:rPr>
                <w:sz w:val="20"/>
                <w:szCs w:val="20"/>
                <w:color w:val="auto"/>
              </w:rPr>
            </w:pPr>
            <w:r>
              <w:rPr>
                <w:rFonts w:ascii="Arial" w:cs="Arial" w:eastAsia="Arial" w:hAnsi="Arial"/>
                <w:sz w:val="18"/>
                <w:szCs w:val="18"/>
                <w:b w:val="1"/>
                <w:bCs w:val="1"/>
                <w:color w:val="auto"/>
              </w:rPr>
              <w:t>41-0580470</w:t>
            </w:r>
          </w:p>
        </w:tc>
      </w:tr>
      <w:tr>
        <w:trPr>
          <w:trHeight w:val="149"/>
        </w:trPr>
        <w:tc>
          <w:tcPr>
            <w:tcW w:w="10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(State of</w:t>
            </w:r>
          </w:p>
        </w:tc>
        <w:tc>
          <w:tcPr>
            <w:tcW w:w="6080" w:type="dxa"/>
            <w:vAlign w:val="bottom"/>
          </w:tcPr>
          <w:p>
            <w:pPr>
              <w:jc w:val="center"/>
              <w:ind w:left="478"/>
              <w:spacing w:after="0" w:line="149" w:lineRule="exact"/>
              <w:rPr>
                <w:sz w:val="20"/>
                <w:szCs w:val="20"/>
                <w:color w:val="auto"/>
              </w:rPr>
            </w:pPr>
            <w:r>
              <w:rPr>
                <w:rFonts w:ascii="Arial" w:cs="Arial" w:eastAsia="Arial" w:hAnsi="Arial"/>
                <w:sz w:val="14"/>
                <w:szCs w:val="14"/>
                <w:b w:val="1"/>
                <w:bCs w:val="1"/>
                <w:color w:val="auto"/>
                <w:w w:val="90"/>
              </w:rPr>
              <w:t>(Commission</w:t>
            </w:r>
          </w:p>
        </w:tc>
        <w:tc>
          <w:tcPr>
            <w:tcW w:w="172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02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Incorporation)</w:t>
            </w:r>
          </w:p>
        </w:tc>
        <w:tc>
          <w:tcPr>
            <w:tcW w:w="6080" w:type="dxa"/>
            <w:vAlign w:val="bottom"/>
          </w:tcPr>
          <w:p>
            <w:pPr>
              <w:jc w:val="center"/>
              <w:ind w:left="478"/>
              <w:spacing w:after="0"/>
              <w:rPr>
                <w:sz w:val="20"/>
                <w:szCs w:val="20"/>
                <w:color w:val="auto"/>
              </w:rPr>
            </w:pPr>
            <w:r>
              <w:rPr>
                <w:rFonts w:ascii="Arial" w:cs="Arial" w:eastAsia="Arial" w:hAnsi="Arial"/>
                <w:sz w:val="14"/>
                <w:szCs w:val="14"/>
                <w:b w:val="1"/>
                <w:bCs w:val="1"/>
                <w:color w:val="auto"/>
                <w:w w:val="98"/>
              </w:rPr>
              <w:t>File Number)</w:t>
            </w:r>
          </w:p>
        </w:tc>
        <w:tc>
          <w:tcPr>
            <w:tcW w:w="1720" w:type="dxa"/>
            <w:vAlign w:val="bottom"/>
          </w:tcPr>
          <w:p>
            <w:pPr>
              <w:jc w:val="center"/>
              <w:ind w:left="201"/>
              <w:spacing w:after="0"/>
              <w:rPr>
                <w:sz w:val="20"/>
                <w:szCs w:val="20"/>
                <w:color w:val="auto"/>
              </w:rPr>
            </w:pPr>
            <w:r>
              <w:rPr>
                <w:rFonts w:ascii="Arial" w:cs="Arial" w:eastAsia="Arial" w:hAnsi="Arial"/>
                <w:sz w:val="14"/>
                <w:szCs w:val="14"/>
                <w:b w:val="1"/>
                <w:bCs w:val="1"/>
                <w:color w:val="auto"/>
                <w:w w:val="96"/>
              </w:rPr>
              <w:t>Identification Number)</w:t>
            </w:r>
          </w:p>
        </w:tc>
      </w:tr>
      <w:tr>
        <w:trPr>
          <w:trHeight w:val="412"/>
        </w:trPr>
        <w:tc>
          <w:tcPr>
            <w:tcW w:w="1020" w:type="dxa"/>
            <w:vAlign w:val="bottom"/>
          </w:tcPr>
          <w:p>
            <w:pPr>
              <w:spacing w:after="0"/>
              <w:rPr>
                <w:sz w:val="24"/>
                <w:szCs w:val="24"/>
                <w:color w:val="auto"/>
              </w:rPr>
            </w:pPr>
          </w:p>
        </w:tc>
        <w:tc>
          <w:tcPr>
            <w:tcW w:w="6080" w:type="dxa"/>
            <w:vAlign w:val="bottom"/>
          </w:tcPr>
          <w:p>
            <w:pPr>
              <w:jc w:val="center"/>
              <w:ind w:right="3358"/>
              <w:spacing w:after="0"/>
              <w:rPr>
                <w:sz w:val="20"/>
                <w:szCs w:val="20"/>
                <w:color w:val="auto"/>
              </w:rPr>
            </w:pPr>
            <w:r>
              <w:rPr>
                <w:rFonts w:ascii="Arial" w:cs="Arial" w:eastAsia="Arial" w:hAnsi="Arial"/>
                <w:sz w:val="18"/>
                <w:szCs w:val="18"/>
                <w:b w:val="1"/>
                <w:bCs w:val="1"/>
                <w:color w:val="auto"/>
                <w:w w:val="88"/>
              </w:rPr>
              <w:t>8111 Lyndale Avenue South</w:t>
            </w:r>
          </w:p>
        </w:tc>
        <w:tc>
          <w:tcPr>
            <w:tcW w:w="1720" w:type="dxa"/>
            <w:vAlign w:val="bottom"/>
          </w:tcPr>
          <w:p>
            <w:pPr>
              <w:spacing w:after="0"/>
              <w:rPr>
                <w:sz w:val="24"/>
                <w:szCs w:val="24"/>
                <w:color w:val="auto"/>
              </w:rPr>
            </w:pPr>
          </w:p>
        </w:tc>
      </w:tr>
      <w:tr>
        <w:trPr>
          <w:trHeight w:val="225"/>
        </w:trPr>
        <w:tc>
          <w:tcPr>
            <w:tcW w:w="1020" w:type="dxa"/>
            <w:vAlign w:val="bottom"/>
          </w:tcPr>
          <w:p>
            <w:pPr>
              <w:spacing w:after="0"/>
              <w:rPr>
                <w:sz w:val="19"/>
                <w:szCs w:val="19"/>
                <w:color w:val="auto"/>
              </w:rPr>
            </w:pPr>
          </w:p>
        </w:tc>
        <w:tc>
          <w:tcPr>
            <w:tcW w:w="6080" w:type="dxa"/>
            <w:vAlign w:val="bottom"/>
          </w:tcPr>
          <w:p>
            <w:pPr>
              <w:jc w:val="center"/>
              <w:ind w:right="3358"/>
              <w:spacing w:after="0"/>
              <w:rPr>
                <w:sz w:val="20"/>
                <w:szCs w:val="20"/>
                <w:color w:val="auto"/>
              </w:rPr>
            </w:pPr>
            <w:r>
              <w:rPr>
                <w:rFonts w:ascii="Arial" w:cs="Arial" w:eastAsia="Arial" w:hAnsi="Arial"/>
                <w:sz w:val="18"/>
                <w:szCs w:val="18"/>
                <w:b w:val="1"/>
                <w:bCs w:val="1"/>
                <w:color w:val="auto"/>
                <w:w w:val="89"/>
              </w:rPr>
              <w:t>Bloomington, Minnesota</w:t>
            </w:r>
          </w:p>
        </w:tc>
        <w:tc>
          <w:tcPr>
            <w:tcW w:w="1720" w:type="dxa"/>
            <w:vAlign w:val="bottom"/>
          </w:tcPr>
          <w:p>
            <w:pPr>
              <w:jc w:val="right"/>
              <w:ind w:right="421"/>
              <w:spacing w:after="0"/>
              <w:rPr>
                <w:sz w:val="20"/>
                <w:szCs w:val="20"/>
                <w:color w:val="auto"/>
              </w:rPr>
            </w:pPr>
            <w:r>
              <w:rPr>
                <w:rFonts w:ascii="Arial" w:cs="Arial" w:eastAsia="Arial" w:hAnsi="Arial"/>
                <w:sz w:val="18"/>
                <w:szCs w:val="18"/>
                <w:b w:val="1"/>
                <w:bCs w:val="1"/>
                <w:color w:val="auto"/>
              </w:rPr>
              <w:t>55420</w:t>
            </w:r>
          </w:p>
        </w:tc>
      </w:tr>
      <w:tr>
        <w:trPr>
          <w:trHeight w:val="186"/>
        </w:trPr>
        <w:tc>
          <w:tcPr>
            <w:tcW w:w="1020" w:type="dxa"/>
            <w:vAlign w:val="bottom"/>
          </w:tcPr>
          <w:p>
            <w:pPr>
              <w:spacing w:after="0"/>
              <w:rPr>
                <w:sz w:val="16"/>
                <w:szCs w:val="16"/>
                <w:color w:val="auto"/>
              </w:rPr>
            </w:pPr>
          </w:p>
        </w:tc>
        <w:tc>
          <w:tcPr>
            <w:tcW w:w="6080" w:type="dxa"/>
            <w:vAlign w:val="bottom"/>
          </w:tcPr>
          <w:p>
            <w:pPr>
              <w:jc w:val="center"/>
              <w:ind w:right="33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jc w:val="center"/>
              <w:ind w:left="201"/>
              <w:spacing w:after="0"/>
              <w:rPr>
                <w:sz w:val="20"/>
                <w:szCs w:val="20"/>
                <w:color w:val="auto"/>
              </w:rPr>
            </w:pPr>
            <w:r>
              <w:rPr>
                <w:rFonts w:ascii="Arial" w:cs="Arial" w:eastAsia="Arial" w:hAnsi="Arial"/>
                <w:sz w:val="14"/>
                <w:szCs w:val="14"/>
                <w:b w:val="1"/>
                <w:bCs w:val="1"/>
                <w:color w:val="auto"/>
                <w:w w:val="98"/>
              </w:rPr>
              <w:t>(Zip Code)</w:t>
            </w:r>
          </w:p>
        </w:tc>
      </w:tr>
      <w:tr>
        <w:trPr>
          <w:trHeight w:val="417"/>
        </w:trPr>
        <w:tc>
          <w:tcPr>
            <w:tcW w:w="1020" w:type="dxa"/>
            <w:vAlign w:val="bottom"/>
          </w:tcPr>
          <w:p>
            <w:pPr>
              <w:spacing w:after="0"/>
              <w:rPr>
                <w:sz w:val="24"/>
                <w:szCs w:val="24"/>
                <w:color w:val="auto"/>
              </w:rPr>
            </w:pPr>
          </w:p>
        </w:tc>
        <w:tc>
          <w:tcPr>
            <w:tcW w:w="6080" w:type="dxa"/>
            <w:vAlign w:val="bottom"/>
          </w:tcPr>
          <w:p>
            <w:pPr>
              <w:jc w:val="center"/>
              <w:ind w:left="218"/>
              <w:spacing w:after="0"/>
              <w:rPr>
                <w:sz w:val="20"/>
                <w:szCs w:val="20"/>
                <w:color w:val="auto"/>
              </w:rPr>
            </w:pPr>
            <w:r>
              <w:rPr>
                <w:rFonts w:ascii="Arial" w:cs="Arial" w:eastAsia="Arial" w:hAnsi="Arial"/>
                <w:sz w:val="18"/>
                <w:szCs w:val="18"/>
                <w:b w:val="1"/>
                <w:bCs w:val="1"/>
                <w:color w:val="auto"/>
                <w:w w:val="89"/>
              </w:rPr>
              <w:t>Registrant’s telephone number, including area code: (952) 888-8801</w:t>
            </w:r>
          </w:p>
        </w:tc>
        <w:tc>
          <w:tcPr>
            <w:tcW w:w="1720" w:type="dxa"/>
            <w:vAlign w:val="bottom"/>
          </w:tcPr>
          <w:p>
            <w:pPr>
              <w:spacing w:after="0"/>
              <w:rPr>
                <w:sz w:val="24"/>
                <w:szCs w:val="24"/>
                <w:color w:val="auto"/>
              </w:rPr>
            </w:pPr>
          </w:p>
        </w:tc>
      </w:tr>
      <w:tr>
        <w:trPr>
          <w:trHeight w:val="409"/>
        </w:trPr>
        <w:tc>
          <w:tcPr>
            <w:tcW w:w="1020" w:type="dxa"/>
            <w:vAlign w:val="bottom"/>
          </w:tcPr>
          <w:p>
            <w:pPr>
              <w:spacing w:after="0"/>
              <w:rPr>
                <w:sz w:val="24"/>
                <w:szCs w:val="24"/>
                <w:color w:val="auto"/>
              </w:rPr>
            </w:pPr>
          </w:p>
        </w:tc>
        <w:tc>
          <w:tcPr>
            <w:tcW w:w="6080" w:type="dxa"/>
            <w:vAlign w:val="bottom"/>
          </w:tcPr>
          <w:p>
            <w:pPr>
              <w:jc w:val="center"/>
              <w:ind w:left="238"/>
              <w:spacing w:after="0"/>
              <w:rPr>
                <w:sz w:val="20"/>
                <w:szCs w:val="20"/>
                <w:color w:val="auto"/>
              </w:rPr>
            </w:pPr>
            <w:r>
              <w:rPr>
                <w:rFonts w:ascii="Arial" w:cs="Arial" w:eastAsia="Arial" w:hAnsi="Arial"/>
                <w:sz w:val="18"/>
                <w:szCs w:val="18"/>
                <w:b w:val="1"/>
                <w:bCs w:val="1"/>
                <w:color w:val="auto"/>
                <w:w w:val="92"/>
              </w:rPr>
              <w:t>Not Applicable</w:t>
            </w:r>
          </w:p>
        </w:tc>
        <w:tc>
          <w:tcPr>
            <w:tcW w:w="1720" w:type="dxa"/>
            <w:vAlign w:val="bottom"/>
          </w:tcPr>
          <w:p>
            <w:pPr>
              <w:spacing w:after="0"/>
              <w:rPr>
                <w:sz w:val="24"/>
                <w:szCs w:val="24"/>
                <w:color w:val="auto"/>
              </w:rPr>
            </w:pPr>
          </w:p>
        </w:tc>
      </w:tr>
      <w:tr>
        <w:trPr>
          <w:trHeight w:val="186"/>
        </w:trPr>
        <w:tc>
          <w:tcPr>
            <w:tcW w:w="1020" w:type="dxa"/>
            <w:vAlign w:val="bottom"/>
          </w:tcPr>
          <w:p>
            <w:pPr>
              <w:spacing w:after="0"/>
              <w:rPr>
                <w:sz w:val="16"/>
                <w:szCs w:val="16"/>
                <w:color w:val="auto"/>
              </w:rPr>
            </w:pPr>
          </w:p>
        </w:tc>
        <w:tc>
          <w:tcPr>
            <w:tcW w:w="6080" w:type="dxa"/>
            <w:vAlign w:val="bottom"/>
          </w:tcPr>
          <w:p>
            <w:pPr>
              <w:jc w:val="center"/>
              <w:ind w:left="23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7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5—Corporate Governance and Management</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Toro Company (the “Company”) held its 2016 Annual Meeting of Shareholders on March 15, 2016. The final results of the shareholder vote on the business brought before the meeting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Against/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color w:val="auto"/>
              </w:rPr>
              <w:t>Broker</w:t>
            </w:r>
          </w:p>
        </w:tc>
      </w:tr>
      <w:tr>
        <w:trPr>
          <w:trHeight w:val="167"/>
        </w:trPr>
        <w:tc>
          <w:tcPr>
            <w:tcW w:w="764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color w:val="auto"/>
              </w:rPr>
              <w:t>For</w:t>
            </w:r>
          </w:p>
        </w:tc>
        <w:tc>
          <w:tcPr>
            <w:tcW w:w="1000" w:type="dxa"/>
            <w:vAlign w:val="bottom"/>
            <w:gridSpan w:val="2"/>
          </w:tcPr>
          <w:p>
            <w:pPr>
              <w:jc w:val="right"/>
              <w:ind w:right="340"/>
              <w:spacing w:after="0"/>
              <w:rPr>
                <w:sz w:val="20"/>
                <w:szCs w:val="20"/>
                <w:color w:val="auto"/>
              </w:rPr>
            </w:pPr>
            <w:r>
              <w:rPr>
                <w:rFonts w:ascii="Arial" w:cs="Arial" w:eastAsia="Arial" w:hAnsi="Arial"/>
                <w:sz w:val="14"/>
                <w:szCs w:val="14"/>
                <w:color w:val="auto"/>
              </w:rPr>
              <w:t>Withheld</w:t>
            </w:r>
          </w:p>
        </w:tc>
        <w:tc>
          <w:tcPr>
            <w:tcW w:w="840" w:type="dxa"/>
            <w:vAlign w:val="bottom"/>
            <w:gridSpan w:val="2"/>
          </w:tcPr>
          <w:p>
            <w:pPr>
              <w:ind w:left="100"/>
              <w:spacing w:after="0"/>
              <w:rPr>
                <w:sz w:val="20"/>
                <w:szCs w:val="20"/>
                <w:color w:val="auto"/>
              </w:rPr>
            </w:pPr>
            <w:r>
              <w:rPr>
                <w:rFonts w:ascii="Arial" w:cs="Arial" w:eastAsia="Arial" w:hAnsi="Arial"/>
                <w:sz w:val="14"/>
                <w:szCs w:val="14"/>
                <w:color w:val="auto"/>
              </w:rPr>
              <w:t>Abstain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Non-Votes</w:t>
            </w:r>
          </w:p>
        </w:tc>
      </w:tr>
      <w:tr>
        <w:trPr>
          <w:trHeight w:val="178"/>
        </w:trPr>
        <w:tc>
          <w:tcPr>
            <w:tcW w:w="76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3"/>
              </w:rPr>
              <w:t>Proposal One—Election of directors to serve for a term of three years ending at the Company’s</w:t>
            </w: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2019 Annual Meeting of Shareholders</w:t>
            </w: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Robert C. Buhrmaster</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44,374,045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1,395,767</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5,176,183</w:t>
            </w: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Richard M. Olson</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44,014,305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1,755,507</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5,176,183</w:t>
            </w: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James C. O’Rourke</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45,236,805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533,007</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5,176,183</w:t>
            </w: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Christopher A. Twomey</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44,393,004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1,376,808</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5,176,183</w:t>
            </w:r>
          </w:p>
        </w:tc>
        <w:tc>
          <w:tcPr>
            <w:tcW w:w="100" w:type="dxa"/>
            <w:vAlign w:val="bottom"/>
            <w:shd w:val="clear" w:color="auto" w:fill="CCEEFF"/>
          </w:tcPr>
          <w:p>
            <w:pPr>
              <w:spacing w:after="0"/>
              <w:rPr>
                <w:sz w:val="18"/>
                <w:szCs w:val="18"/>
                <w:color w:val="auto"/>
              </w:rPr>
            </w:pPr>
          </w:p>
        </w:tc>
      </w:tr>
      <w:tr>
        <w:trPr>
          <w:trHeight w:val="198"/>
        </w:trPr>
        <w:tc>
          <w:tcPr>
            <w:tcW w:w="7640" w:type="dxa"/>
            <w:vAlign w:val="bottom"/>
          </w:tcPr>
          <w:p>
            <w:pPr>
              <w:spacing w:after="0" w:line="198" w:lineRule="exact"/>
              <w:rPr>
                <w:sz w:val="20"/>
                <w:szCs w:val="20"/>
                <w:color w:val="auto"/>
              </w:rPr>
            </w:pPr>
            <w:r>
              <w:rPr>
                <w:rFonts w:ascii="Arial" w:cs="Arial" w:eastAsia="Arial" w:hAnsi="Arial"/>
                <w:sz w:val="18"/>
                <w:szCs w:val="18"/>
                <w:b w:val="1"/>
                <w:bCs w:val="1"/>
                <w:color w:val="auto"/>
                <w:w w:val="99"/>
              </w:rPr>
              <w:t>Proposal Two—Ratification of the selection of KPMG LLP as the Company’s independent</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40" w:type="dxa"/>
            <w:vAlign w:val="bottom"/>
          </w:tcPr>
          <w:p>
            <w:pPr>
              <w:ind w:left="180"/>
              <w:spacing w:after="0"/>
              <w:rPr>
                <w:sz w:val="20"/>
                <w:szCs w:val="20"/>
                <w:color w:val="auto"/>
              </w:rPr>
            </w:pPr>
            <w:r>
              <w:rPr>
                <w:rFonts w:ascii="Arial" w:cs="Arial" w:eastAsia="Arial" w:hAnsi="Arial"/>
                <w:sz w:val="18"/>
                <w:szCs w:val="18"/>
                <w:b w:val="1"/>
                <w:bCs w:val="1"/>
                <w:color w:val="auto"/>
                <w:w w:val="98"/>
              </w:rPr>
              <w:t>registered public accounting firm for the Company’s fiscal year ending October 31, 2016</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50,408,109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453,263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84,623</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Proposal Three—Advisory approval of executive compensation</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44,857,597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657,076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255,139</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5,176,183</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of the directors in Proposal One was elected by the Company’s shareholders by the required vote and each of Proposals Two and Three was approved by the Company’s shareholders by the required vote.</w:t>
      </w:r>
    </w:p>
    <w:p>
      <w:pPr>
        <w:spacing w:after="0" w:line="17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Regarding the Company’s other directors, (i) each of Jeffrey M. Ettinger, Katherine J. Harless and Michael J. Hoffman continue to serve as a director for a term ending at the Company’s 2017 Annual Meeting of Shareholders; and (ii) each of Janet K. Cooper, Gary L. Ellis and Gregg W. Steinhafel continue to serve as a director for a term ending at the Company’s 2018 Annual Meeting of Shareholders.</w:t>
      </w:r>
    </w:p>
    <w:p>
      <w:pPr>
        <w:sectPr>
          <w:pgSz w:w="11900" w:h="16838" w:orient="portrait"/>
          <w:cols w:equalWidth="0" w:num="1">
            <w:col w:w="11420"/>
          </w:cols>
          <w:pgMar w:left="240" w:top="270"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March 17, 2016</w:t>
      </w:r>
      <w:r>
        <w:rPr>
          <w:sz w:val="20"/>
          <w:szCs w:val="20"/>
          <w:color w:val="auto"/>
        </w:rPr>
        <w:tab/>
      </w:r>
      <w:r>
        <w:rPr>
          <w:rFonts w:ascii="Arial" w:cs="Arial" w:eastAsia="Arial" w:hAnsi="Arial"/>
          <w:sz w:val="17"/>
          <w:szCs w:val="17"/>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Timothy P. Dordell</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Secretary and General Counsel</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2019-12-05T16:50:19Z</dcterms:created>
  <dcterms:modified xsi:type="dcterms:W3CDTF">2019-12-05T16:50:19Z</dcterms:modified>
</cp:coreProperties>
</file>