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151765</wp:posOffset>
            </wp:positionH>
            <wp:positionV relativeFrom="page">
              <wp:posOffset>257175</wp:posOffset>
            </wp:positionV>
            <wp:extent cx="725868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36830"/>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May 1, 2009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1440" w:right="239" w:bottom="1440" w:gutter="0" w:footer="0" w:header="0"/>
        </w:sectPr>
      </w:pPr>
    </w:p>
    <w:p>
      <w:pPr>
        <w:spacing w:after="0" w:line="221" w:lineRule="exact"/>
        <w:rPr>
          <w:sz w:val="24"/>
          <w:szCs w:val="24"/>
          <w:color w:val="auto"/>
        </w:rPr>
      </w:pPr>
    </w:p>
    <w:p>
      <w:pPr>
        <w:jc w:val="center"/>
        <w:ind w:right="24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24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7"/>
          <w:szCs w:val="17"/>
          <w:b w:val="1"/>
          <w:bCs w:val="1"/>
          <w:color w:val="auto"/>
        </w:rPr>
        <w:t>1-8649</w:t>
      </w:r>
    </w:p>
    <w:p>
      <w:pPr>
        <w:spacing w:after="0" w:line="24"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auto"/>
        </w:rPr>
        <w:t>41-0580470</w:t>
      </w:r>
    </w:p>
    <w:p>
      <w:pPr>
        <w:spacing w:after="0" w:line="24"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640" w:space="720"/>
            <w:col w:w="3300"/>
          </w:cols>
          <w:pgMar w:left="240" w:top="1440" w:right="239" w:bottom="1440"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8111 Lyndale Avenue South</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Bloomington, Minnesota 55420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Telephone number: (952) 888-8801</w:t>
      </w:r>
    </w:p>
    <w:p>
      <w:pPr>
        <w:sectPr>
          <w:pgSz w:w="11900" w:h="16838" w:orient="portrait"/>
          <w:cols w:equalWidth="0" w:num="1">
            <w:col w:w="11420"/>
          </w:cols>
          <w:pgMar w:left="240" w:top="1440" w:right="239" w:bottom="1440" w:gutter="0" w:footer="0" w:header="0"/>
          <w:type w:val="continuous"/>
        </w:sect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39"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S</w:t>
        <w:tab/>
        <w:t>No £</w:t>
      </w:r>
    </w:p>
    <w:p>
      <w:pPr>
        <w:spacing w:after="0" w:line="239"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w:t>
      </w:r>
    </w:p>
    <w:p>
      <w:pPr>
        <w:spacing w:after="0" w:line="239"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440" w:right="239" w:bottom="1440" w:gutter="0" w:footer="0" w:header="0"/>
          <w:type w:val="continuous"/>
        </w:sectPr>
      </w:pP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 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w:t>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w:t>
      </w:r>
    </w:p>
    <w:p>
      <w:pPr>
        <w:spacing w:after="0" w:line="32" w:lineRule="exact"/>
        <w:rPr>
          <w:sz w:val="24"/>
          <w:szCs w:val="24"/>
          <w:color w:val="auto"/>
        </w:rPr>
      </w:pPr>
    </w:p>
    <w:p>
      <w:pPr>
        <w:ind w:left="200"/>
        <w:spacing w:after="0"/>
        <w:rPr>
          <w:sz w:val="20"/>
          <w:szCs w:val="20"/>
          <w:color w:val="auto"/>
        </w:rPr>
      </w:pPr>
      <w:r>
        <w:rPr>
          <w:rFonts w:ascii="Arial" w:cs="Arial" w:eastAsia="Arial" w:hAnsi="Arial"/>
          <w:sz w:val="17"/>
          <w:szCs w:val="17"/>
          <w:color w:val="auto"/>
        </w:rPr>
        <w:t>reporting company)</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120"/>
        <w:spacing w:after="0"/>
        <w:rPr>
          <w:sz w:val="20"/>
          <w:szCs w:val="20"/>
          <w:color w:val="auto"/>
        </w:rPr>
      </w:pPr>
      <w:r>
        <w:rPr>
          <w:rFonts w:ascii="Arial" w:cs="Arial" w:eastAsia="Arial" w:hAnsi="Arial"/>
          <w:sz w:val="15"/>
          <w:szCs w:val="15"/>
          <w:color w:val="auto"/>
        </w:rPr>
        <w:t>Smaller reporting company £</w:t>
      </w:r>
    </w:p>
    <w:p>
      <w:pPr>
        <w:spacing w:after="0" w:line="643" w:lineRule="exact"/>
        <w:rPr>
          <w:sz w:val="24"/>
          <w:szCs w:val="24"/>
          <w:color w:val="auto"/>
        </w:rPr>
      </w:pPr>
    </w:p>
    <w:p>
      <w:pPr>
        <w:sectPr>
          <w:pgSz w:w="11900" w:h="16838" w:orient="portrait"/>
          <w:cols w:equalWidth="0" w:num="4">
            <w:col w:w="2300" w:space="720"/>
            <w:col w:w="1640" w:space="720"/>
            <w:col w:w="2160" w:space="720"/>
            <w:col w:w="3160"/>
          </w:cols>
          <w:pgMar w:left="240" w:top="1440"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6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S</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Common Stock outstanding as of May 29, 2009 was 35,892,142.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5868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35560</wp:posOffset>
            </wp:positionV>
            <wp:extent cx="72586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5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0" w:type="dxa"/>
            <w:vAlign w:val="bottom"/>
            <w:gridSpan w:val="9"/>
          </w:tcPr>
          <w:p>
            <w:pPr>
              <w:ind w:left="180"/>
              <w:spacing w:after="0"/>
              <w:rPr>
                <w:sz w:val="20"/>
                <w:szCs w:val="20"/>
                <w:color w:val="auto"/>
              </w:rPr>
            </w:pPr>
            <w:r>
              <w:rPr>
                <w:rFonts w:ascii="Arial" w:cs="Arial" w:eastAsia="Arial" w:hAnsi="Arial"/>
                <w:sz w:val="31"/>
                <w:szCs w:val="31"/>
                <w:b w:val="1"/>
                <w:bCs w:val="1"/>
                <w:color w:val="auto"/>
              </w:rPr>
              <w:t>THE TORO COMPANY</w:t>
            </w:r>
          </w:p>
        </w:tc>
        <w:tc>
          <w:tcPr>
            <w:tcW w:w="1320" w:type="dxa"/>
            <w:vAlign w:val="bottom"/>
          </w:tcPr>
          <w:p>
            <w:pPr>
              <w:spacing w:after="0"/>
              <w:rPr>
                <w:sz w:val="24"/>
                <w:szCs w:val="24"/>
                <w:color w:val="auto"/>
              </w:rPr>
            </w:pPr>
          </w:p>
        </w:tc>
      </w:tr>
      <w:tr>
        <w:trPr>
          <w:trHeight w:val="40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0" w:type="dxa"/>
            <w:vAlign w:val="bottom"/>
            <w:gridSpan w:val="9"/>
          </w:tcPr>
          <w:p>
            <w:pPr>
              <w:ind w:left="200"/>
              <w:spacing w:after="0"/>
              <w:rPr>
                <w:sz w:val="20"/>
                <w:szCs w:val="20"/>
                <w:color w:val="auto"/>
              </w:rPr>
            </w:pPr>
            <w:r>
              <w:rPr>
                <w:rFonts w:ascii="Arial" w:cs="Arial" w:eastAsia="Arial" w:hAnsi="Arial"/>
                <w:sz w:val="31"/>
                <w:szCs w:val="31"/>
                <w:b w:val="1"/>
                <w:bCs w:val="1"/>
                <w:color w:val="auto"/>
              </w:rPr>
              <w:t>INDEX TO FORM 10-Q</w:t>
            </w:r>
          </w:p>
        </w:tc>
        <w:tc>
          <w:tcPr>
            <w:tcW w:w="1320" w:type="dxa"/>
            <w:vAlign w:val="bottom"/>
          </w:tcPr>
          <w:p>
            <w:pPr>
              <w:spacing w:after="0"/>
              <w:rPr>
                <w:sz w:val="24"/>
                <w:szCs w:val="24"/>
                <w:color w:val="auto"/>
              </w:rPr>
            </w:pPr>
          </w:p>
        </w:tc>
      </w:tr>
      <w:tr>
        <w:trPr>
          <w:trHeight w:val="42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Page Number</w:t>
            </w:r>
          </w:p>
        </w:tc>
      </w:tr>
      <w:tr>
        <w:trPr>
          <w:trHeight w:val="371"/>
        </w:trPr>
        <w:tc>
          <w:tcPr>
            <w:tcW w:w="600" w:type="dxa"/>
            <w:vAlign w:val="bottom"/>
            <w:tcBorders>
              <w:bottom w:val="single" w:sz="8" w:color="0000EE"/>
            </w:tcBorders>
            <w:gridSpan w:val="2"/>
          </w:tcPr>
          <w:p>
            <w:pPr>
              <w:spacing w:after="0"/>
              <w:rPr>
                <w:rFonts w:ascii="Arial" w:cs="Arial" w:eastAsia="Arial" w:hAnsi="Arial"/>
                <w:sz w:val="17"/>
                <w:szCs w:val="17"/>
                <w:b w:val="1"/>
                <w:bCs w:val="1"/>
                <w:color w:val="0000EE"/>
                <w:w w:val="95"/>
              </w:rPr>
            </w:pPr>
            <w:hyperlink w:anchor="page3">
              <w:r>
                <w:rPr>
                  <w:rFonts w:ascii="Arial" w:cs="Arial" w:eastAsia="Arial" w:hAnsi="Arial"/>
                  <w:sz w:val="17"/>
                  <w:szCs w:val="17"/>
                  <w:b w:val="1"/>
                  <w:bCs w:val="1"/>
                  <w:color w:val="0000EE"/>
                  <w:w w:val="95"/>
                </w:rPr>
                <w:t>PART I.</w:t>
              </w:r>
            </w:hyperlink>
          </w:p>
        </w:tc>
        <w:tc>
          <w:tcPr>
            <w:tcW w:w="980" w:type="dxa"/>
            <w:vAlign w:val="bottom"/>
            <w:gridSpan w:val="3"/>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FINANCIAL INFORMATION:</w:t>
              </w:r>
            </w:hyperlink>
          </w:p>
        </w:tc>
        <w:tc>
          <w:tcPr>
            <w:tcW w:w="6200" w:type="dxa"/>
            <w:vAlign w:val="bottom"/>
            <w:gridSpan w:val="9"/>
          </w:tcPr>
          <w:p>
            <w:pPr>
              <w:spacing w:after="0"/>
              <w:rPr>
                <w:sz w:val="24"/>
                <w:szCs w:val="24"/>
                <w:color w:val="auto"/>
              </w:rPr>
            </w:pPr>
          </w:p>
        </w:tc>
        <w:tc>
          <w:tcPr>
            <w:tcW w:w="1320" w:type="dxa"/>
            <w:vAlign w:val="bottom"/>
          </w:tcPr>
          <w:p>
            <w:pPr>
              <w:spacing w:after="0"/>
              <w:rPr>
                <w:sz w:val="24"/>
                <w:szCs w:val="24"/>
                <w:color w:val="auto"/>
              </w:rPr>
            </w:pPr>
          </w:p>
        </w:tc>
      </w:tr>
      <w:tr>
        <w:trPr>
          <w:trHeight w:val="389"/>
        </w:trPr>
        <w:tc>
          <w:tcPr>
            <w:tcW w:w="520" w:type="dxa"/>
            <w:vAlign w:val="bottom"/>
          </w:tcPr>
          <w:p>
            <w:pPr>
              <w:spacing w:after="0"/>
              <w:rPr>
                <w:rFonts w:ascii="Arial" w:cs="Arial" w:eastAsia="Arial" w:hAnsi="Arial"/>
                <w:sz w:val="17"/>
                <w:szCs w:val="17"/>
                <w:b w:val="1"/>
                <w:bCs w:val="1"/>
                <w:color w:val="0000EE"/>
                <w:w w:val="92"/>
              </w:rPr>
            </w:pPr>
            <w:hyperlink w:anchor="page3">
              <w:r>
                <w:rPr>
                  <w:rFonts w:ascii="Arial" w:cs="Arial" w:eastAsia="Arial" w:hAnsi="Arial"/>
                  <w:sz w:val="17"/>
                  <w:szCs w:val="17"/>
                  <w:b w:val="1"/>
                  <w:bCs w:val="1"/>
                  <w:color w:val="0000EE"/>
                  <w:w w:val="92"/>
                </w:rPr>
                <w:t>Item 1.</w:t>
              </w:r>
            </w:hyperlink>
          </w:p>
        </w:tc>
        <w:tc>
          <w:tcPr>
            <w:tcW w:w="1060" w:type="dxa"/>
            <w:vAlign w:val="bottom"/>
            <w:gridSpan w:val="4"/>
          </w:tcPr>
          <w:p>
            <w:pPr>
              <w:spacing w:after="0"/>
              <w:rPr>
                <w:sz w:val="24"/>
                <w:szCs w:val="24"/>
                <w:color w:val="auto"/>
              </w:rPr>
            </w:pPr>
          </w:p>
        </w:tc>
        <w:tc>
          <w:tcPr>
            <w:tcW w:w="8520" w:type="dxa"/>
            <w:vAlign w:val="bottom"/>
            <w:gridSpan w:val="1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w:t>
              </w:r>
            </w:hyperlink>
          </w:p>
        </w:tc>
        <w:tc>
          <w:tcPr>
            <w:tcW w:w="13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20" w:type="dxa"/>
            <w:vAlign w:val="bottom"/>
            <w:gridSpan w:val="18"/>
          </w:tcPr>
          <w:p>
            <w:pPr>
              <w:spacing w:after="0" w:line="185" w:lineRule="exact"/>
              <w:rPr>
                <w:rFonts w:ascii="Arial" w:cs="Arial" w:eastAsia="Arial" w:hAnsi="Arial"/>
                <w:sz w:val="17"/>
                <w:szCs w:val="17"/>
                <w:color w:val="0000EE"/>
                <w:w w:val="92"/>
              </w:rPr>
            </w:pPr>
            <w:hyperlink w:anchor="page3">
              <w:r>
                <w:rPr>
                  <w:rFonts w:ascii="Arial" w:cs="Arial" w:eastAsia="Arial" w:hAnsi="Arial"/>
                  <w:sz w:val="17"/>
                  <w:szCs w:val="17"/>
                  <w:color w:val="0000EE"/>
                  <w:w w:val="92"/>
                </w:rPr>
                <w:t>Condensed Consolidated Statements of Earnings (Unaudited) –Three and Six Months Ended May 1, 2009 and May 2,</w:t>
              </w:r>
            </w:hyperlink>
          </w:p>
        </w:tc>
        <w:tc>
          <w:tcPr>
            <w:tcW w:w="1320" w:type="dxa"/>
            <w:vAlign w:val="bottom"/>
          </w:tcPr>
          <w:p>
            <w:pPr>
              <w:spacing w:after="0"/>
              <w:rPr>
                <w:sz w:val="16"/>
                <w:szCs w:val="16"/>
                <w:color w:val="auto"/>
              </w:rPr>
            </w:pPr>
          </w:p>
        </w:tc>
      </w:tr>
      <w:tr>
        <w:trPr>
          <w:trHeight w:val="185"/>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20" w:type="dxa"/>
            <w:vAlign w:val="bottom"/>
            <w:tcBorders>
              <w:top w:val="single" w:sz="8" w:color="0000EE"/>
              <w:bottom w:val="single" w:sz="8" w:color="0000EE"/>
            </w:tcBorders>
            <w:gridSpan w:val="2"/>
          </w:tcPr>
          <w:p>
            <w:pPr>
              <w:jc w:val="right"/>
              <w:ind w:right="60"/>
              <w:spacing w:after="0" w:line="185" w:lineRule="exact"/>
              <w:rPr>
                <w:rFonts w:ascii="Arial" w:cs="Arial" w:eastAsia="Arial" w:hAnsi="Arial"/>
                <w:sz w:val="17"/>
                <w:szCs w:val="17"/>
                <w:color w:val="0000EE"/>
                <w:w w:val="89"/>
              </w:rPr>
            </w:pPr>
            <w:hyperlink w:anchor="page3">
              <w:r>
                <w:rPr>
                  <w:rFonts w:ascii="Arial" w:cs="Arial" w:eastAsia="Arial" w:hAnsi="Arial"/>
                  <w:sz w:val="17"/>
                  <w:szCs w:val="17"/>
                  <w:color w:val="0000EE"/>
                  <w:w w:val="89"/>
                </w:rPr>
                <w:t>2008</w:t>
              </w:r>
            </w:hyperlink>
          </w:p>
        </w:tc>
        <w:tc>
          <w:tcPr>
            <w:tcW w:w="1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Arial" w:cs="Arial" w:eastAsia="Arial" w:hAnsi="Arial"/>
                <w:sz w:val="17"/>
                <w:szCs w:val="17"/>
                <w:color w:val="auto"/>
                <w:w w:val="84"/>
              </w:rPr>
              <w:t>3</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tcBorders>
              <w:bottom w:val="single" w:sz="8" w:color="0000EE"/>
            </w:tcBorders>
            <w:gridSpan w:val="15"/>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Condensed Consolidated Balance Sheets (Unaudited) - May 1, 2009, May 2, 2008, and October 31, 2008</w:t>
              </w:r>
            </w:hyperlink>
          </w:p>
        </w:tc>
        <w:tc>
          <w:tcPr>
            <w:tcW w:w="1040" w:type="dxa"/>
            <w:vAlign w:val="bottom"/>
            <w:gridSpan w:val="3"/>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84"/>
              </w:rPr>
              <w:t>4</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8"/>
          </w:tcPr>
          <w:p>
            <w:pPr>
              <w:spacing w:after="0"/>
              <w:rPr>
                <w:rFonts w:ascii="Arial" w:cs="Arial" w:eastAsia="Arial" w:hAnsi="Arial"/>
                <w:sz w:val="17"/>
                <w:szCs w:val="17"/>
                <w:color w:val="0000EE"/>
                <w:w w:val="94"/>
              </w:rPr>
            </w:pPr>
            <w:hyperlink w:anchor="page5">
              <w:r>
                <w:rPr>
                  <w:rFonts w:ascii="Arial" w:cs="Arial" w:eastAsia="Arial" w:hAnsi="Arial"/>
                  <w:sz w:val="17"/>
                  <w:szCs w:val="17"/>
                  <w:color w:val="0000EE"/>
                  <w:w w:val="94"/>
                </w:rPr>
                <w:t>Condensed Consolidated Statements of Cash Flows (Unaudited) - Six Months Ended May 1, 2009 and May 2, 2008</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84"/>
              </w:rPr>
              <w:t>5</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6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Notes to Condensed Consolidated Financial Statements (Unaudited)</w:t>
              </w:r>
            </w:hyperlink>
          </w:p>
        </w:tc>
        <w:tc>
          <w:tcPr>
            <w:tcW w:w="3240" w:type="dxa"/>
            <w:vAlign w:val="bottom"/>
            <w:tcBorders>
              <w:top w:val="single" w:sz="8" w:color="0000EE"/>
            </w:tcBorders>
            <w:gridSpan w:val="3"/>
          </w:tcPr>
          <w:p>
            <w:pPr>
              <w:spacing w:after="0"/>
              <w:rPr>
                <w:sz w:val="24"/>
                <w:szCs w:val="24"/>
                <w:color w:val="auto"/>
              </w:rPr>
            </w:pPr>
          </w:p>
        </w:tc>
        <w:tc>
          <w:tcPr>
            <w:tcW w:w="320" w:type="dxa"/>
            <w:vAlign w:val="bottom"/>
            <w:gridSpan w:val="2"/>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88"/>
              </w:rPr>
              <w:t>6-15</w:t>
            </w:r>
          </w:p>
        </w:tc>
      </w:tr>
      <w:tr>
        <w:trPr>
          <w:trHeight w:val="409"/>
        </w:trPr>
        <w:tc>
          <w:tcPr>
            <w:tcW w:w="520" w:type="dxa"/>
            <w:vAlign w:val="bottom"/>
          </w:tcPr>
          <w:p>
            <w:pPr>
              <w:spacing w:after="0"/>
              <w:rPr>
                <w:rFonts w:ascii="Arial" w:cs="Arial" w:eastAsia="Arial" w:hAnsi="Arial"/>
                <w:sz w:val="17"/>
                <w:szCs w:val="17"/>
                <w:b w:val="1"/>
                <w:bCs w:val="1"/>
                <w:color w:val="0000EE"/>
                <w:w w:val="92"/>
              </w:rPr>
            </w:pPr>
            <w:hyperlink w:anchor="page16">
              <w:r>
                <w:rPr>
                  <w:rFonts w:ascii="Arial" w:cs="Arial" w:eastAsia="Arial" w:hAnsi="Arial"/>
                  <w:sz w:val="17"/>
                  <w:szCs w:val="17"/>
                  <w:b w:val="1"/>
                  <w:bCs w:val="1"/>
                  <w:color w:val="0000EE"/>
                  <w:w w:val="92"/>
                </w:rPr>
                <w:t>Item 2.</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8"/>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Management's Discussion and Analysis of Financial Condition and Results of Operations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16-24</w:t>
            </w:r>
          </w:p>
        </w:tc>
      </w:tr>
      <w:tr>
        <w:trPr>
          <w:trHeight w:val="369"/>
        </w:trPr>
        <w:tc>
          <w:tcPr>
            <w:tcW w:w="520" w:type="dxa"/>
            <w:vAlign w:val="bottom"/>
            <w:tcBorders>
              <w:top w:val="single" w:sz="8" w:color="0000EE"/>
            </w:tcBorders>
          </w:tcPr>
          <w:p>
            <w:pPr>
              <w:spacing w:after="0"/>
              <w:rPr>
                <w:rFonts w:ascii="Arial" w:cs="Arial" w:eastAsia="Arial" w:hAnsi="Arial"/>
                <w:sz w:val="17"/>
                <w:szCs w:val="17"/>
                <w:b w:val="1"/>
                <w:bCs w:val="1"/>
                <w:color w:val="0000EE"/>
                <w:w w:val="92"/>
              </w:rPr>
            </w:pPr>
            <w:hyperlink w:anchor="page24">
              <w:r>
                <w:rPr>
                  <w:rFonts w:ascii="Arial" w:cs="Arial" w:eastAsia="Arial" w:hAnsi="Arial"/>
                  <w:sz w:val="17"/>
                  <w:szCs w:val="17"/>
                  <w:b w:val="1"/>
                  <w:bCs w:val="1"/>
                  <w:color w:val="0000EE"/>
                  <w:w w:val="92"/>
                </w:rPr>
                <w:t>Item 3.</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6100" w:type="dxa"/>
            <w:vAlign w:val="bottom"/>
            <w:tcBorders>
              <w:top w:val="single" w:sz="8" w:color="0000EE"/>
            </w:tcBorders>
            <w:gridSpan w:val="14"/>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Quantitative and Qualitative Disclosures about Market Risk</w:t>
              </w:r>
            </w:hyperlink>
          </w:p>
        </w:tc>
        <w:tc>
          <w:tcPr>
            <w:tcW w:w="2120" w:type="dxa"/>
            <w:vAlign w:val="bottom"/>
            <w:gridSpan w:val="4"/>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24-25</w:t>
            </w:r>
          </w:p>
        </w:tc>
      </w:tr>
      <w:tr>
        <w:trPr>
          <w:trHeight w:val="389"/>
        </w:trPr>
        <w:tc>
          <w:tcPr>
            <w:tcW w:w="520" w:type="dxa"/>
            <w:vAlign w:val="bottom"/>
            <w:tcBorders>
              <w:top w:val="single" w:sz="8" w:color="0000EE"/>
              <w:bottom w:val="single" w:sz="8" w:color="0000EE"/>
            </w:tcBorders>
          </w:tcPr>
          <w:p>
            <w:pPr>
              <w:spacing w:after="0"/>
              <w:rPr>
                <w:rFonts w:ascii="Arial" w:cs="Arial" w:eastAsia="Arial" w:hAnsi="Arial"/>
                <w:sz w:val="17"/>
                <w:szCs w:val="17"/>
                <w:b w:val="1"/>
                <w:bCs w:val="1"/>
                <w:color w:val="0000EE"/>
                <w:w w:val="92"/>
              </w:rPr>
            </w:pPr>
            <w:hyperlink w:anchor="page26">
              <w:r>
                <w:rPr>
                  <w:rFonts w:ascii="Arial" w:cs="Arial" w:eastAsia="Arial" w:hAnsi="Arial"/>
                  <w:sz w:val="17"/>
                  <w:szCs w:val="17"/>
                  <w:b w:val="1"/>
                  <w:bCs w:val="1"/>
                  <w:color w:val="0000EE"/>
                  <w:w w:val="92"/>
                </w:rPr>
                <w:t>Item 4.</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88"/>
              </w:rPr>
            </w:pPr>
            <w:hyperlink w:anchor="page26">
              <w:r>
                <w:rPr>
                  <w:rFonts w:ascii="Arial" w:cs="Arial" w:eastAsia="Arial" w:hAnsi="Arial"/>
                  <w:sz w:val="17"/>
                  <w:szCs w:val="17"/>
                  <w:color w:val="0000EE"/>
                  <w:w w:val="88"/>
                </w:rPr>
                <w:t>Controls and Procedures</w:t>
              </w:r>
            </w:hyperlink>
          </w:p>
        </w:tc>
        <w:tc>
          <w:tcPr>
            <w:tcW w:w="2400" w:type="dxa"/>
            <w:vAlign w:val="bottom"/>
            <w:tcBorders>
              <w:top w:val="single" w:sz="8" w:color="0000EE"/>
            </w:tcBorders>
            <w:gridSpan w:val="3"/>
          </w:tcPr>
          <w:p>
            <w:pPr>
              <w:spacing w:after="0"/>
              <w:rPr>
                <w:sz w:val="24"/>
                <w:szCs w:val="24"/>
                <w:color w:val="auto"/>
              </w:rPr>
            </w:pPr>
          </w:p>
        </w:tc>
        <w:tc>
          <w:tcPr>
            <w:tcW w:w="4140" w:type="dxa"/>
            <w:vAlign w:val="bottom"/>
            <w:gridSpan w:val="7"/>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26</w:t>
            </w:r>
          </w:p>
        </w:tc>
      </w:tr>
      <w:tr>
        <w:trPr>
          <w:trHeight w:val="389"/>
        </w:trPr>
        <w:tc>
          <w:tcPr>
            <w:tcW w:w="1580" w:type="dxa"/>
            <w:vAlign w:val="bottom"/>
            <w:gridSpan w:val="5"/>
          </w:tcPr>
          <w:p>
            <w:pPr>
              <w:spacing w:after="0"/>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PART II.</w:t>
              </w:r>
            </w:hyperlink>
          </w:p>
        </w:tc>
        <w:tc>
          <w:tcPr>
            <w:tcW w:w="8520" w:type="dxa"/>
            <w:vAlign w:val="bottom"/>
            <w:gridSpan w:val="19"/>
          </w:tcPr>
          <w:p>
            <w:pPr>
              <w:spacing w:after="0"/>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OTHER INFORMATION:</w:t>
              </w:r>
            </w:hyperlink>
          </w:p>
        </w:tc>
        <w:tc>
          <w:tcPr>
            <w:tcW w:w="1320" w:type="dxa"/>
            <w:vAlign w:val="bottom"/>
          </w:tcPr>
          <w:p>
            <w:pPr>
              <w:spacing w:after="0"/>
              <w:rPr>
                <w:sz w:val="24"/>
                <w:szCs w:val="24"/>
                <w:color w:val="auto"/>
              </w:rPr>
            </w:pPr>
          </w:p>
        </w:tc>
      </w:tr>
      <w:tr>
        <w:trPr>
          <w:trHeight w:val="389"/>
        </w:trPr>
        <w:tc>
          <w:tcPr>
            <w:tcW w:w="520" w:type="dxa"/>
            <w:vAlign w:val="bottom"/>
            <w:tcBorders>
              <w:top w:val="single" w:sz="8" w:color="0000EE"/>
            </w:tcBorders>
          </w:tcPr>
          <w:p>
            <w:pPr>
              <w:spacing w:after="0"/>
              <w:rPr>
                <w:rFonts w:ascii="Arial" w:cs="Arial" w:eastAsia="Arial" w:hAnsi="Arial"/>
                <w:sz w:val="17"/>
                <w:szCs w:val="17"/>
                <w:b w:val="1"/>
                <w:bCs w:val="1"/>
                <w:color w:val="0000EE"/>
                <w:w w:val="92"/>
              </w:rPr>
            </w:pPr>
            <w:hyperlink w:anchor="page26">
              <w:r>
                <w:rPr>
                  <w:rFonts w:ascii="Arial" w:cs="Arial" w:eastAsia="Arial" w:hAnsi="Arial"/>
                  <w:sz w:val="17"/>
                  <w:szCs w:val="17"/>
                  <w:b w:val="1"/>
                  <w:bCs w:val="1"/>
                  <w:color w:val="0000EE"/>
                  <w:w w:val="92"/>
                </w:rPr>
                <w:t>Item 1.</w:t>
              </w:r>
            </w:hyperlink>
          </w:p>
        </w:tc>
        <w:tc>
          <w:tcPr>
            <w:tcW w:w="140" w:type="dxa"/>
            <w:vAlign w:val="bottom"/>
            <w:tcBorders>
              <w:top w:val="single" w:sz="8" w:color="0000EE"/>
            </w:tcBorders>
            <w:gridSpan w:val="3"/>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gridSpan w:val="7"/>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Legal Proceedings</w:t>
              </w:r>
            </w:hyperlink>
          </w:p>
        </w:tc>
        <w:tc>
          <w:tcPr>
            <w:tcW w:w="6560" w:type="dxa"/>
            <w:vAlign w:val="bottom"/>
            <w:gridSpan w:val="11"/>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26-27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89"/>
        </w:trPr>
        <w:tc>
          <w:tcPr>
            <w:tcW w:w="640" w:type="dxa"/>
            <w:vAlign w:val="bottom"/>
            <w:tcBorders>
              <w:bottom w:val="single" w:sz="8" w:color="0000EE"/>
            </w:tcBorders>
            <w:gridSpan w:val="3"/>
          </w:tcPr>
          <w:p>
            <w:pPr>
              <w:spacing w:after="0"/>
              <w:rPr>
                <w:rFonts w:ascii="Arial" w:cs="Arial" w:eastAsia="Arial" w:hAnsi="Arial"/>
                <w:sz w:val="17"/>
                <w:szCs w:val="17"/>
                <w:b w:val="1"/>
                <w:bCs w:val="1"/>
                <w:color w:val="0000EE"/>
                <w:w w:val="93"/>
              </w:rPr>
            </w:pPr>
            <w:hyperlink w:anchor="page27">
              <w:r>
                <w:rPr>
                  <w:rFonts w:ascii="Arial" w:cs="Arial" w:eastAsia="Arial" w:hAnsi="Arial"/>
                  <w:sz w:val="17"/>
                  <w:szCs w:val="17"/>
                  <w:b w:val="1"/>
                  <w:bCs w:val="1"/>
                  <w:color w:val="0000EE"/>
                  <w:w w:val="93"/>
                </w:rPr>
                <w:t>Item 1A.</w:t>
              </w:r>
            </w:hyperlink>
          </w:p>
        </w:tc>
        <w:tc>
          <w:tcPr>
            <w:tcW w:w="9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27">
              <w:r>
                <w:rPr>
                  <w:rFonts w:ascii="Arial" w:cs="Arial" w:eastAsia="Arial" w:hAnsi="Arial"/>
                  <w:sz w:val="17"/>
                  <w:szCs w:val="17"/>
                  <w:color w:val="0000EE"/>
                  <w:w w:val="88"/>
                </w:rPr>
                <w:t>Risk Factors</w:t>
              </w:r>
            </w:hyperlink>
          </w:p>
        </w:tc>
        <w:tc>
          <w:tcPr>
            <w:tcW w:w="7360" w:type="dxa"/>
            <w:vAlign w:val="bottom"/>
            <w:gridSpan w:val="14"/>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27</w:t>
            </w:r>
          </w:p>
        </w:tc>
      </w:tr>
      <w:tr>
        <w:trPr>
          <w:trHeight w:val="409"/>
        </w:trPr>
        <w:tc>
          <w:tcPr>
            <w:tcW w:w="520" w:type="dxa"/>
            <w:vAlign w:val="bottom"/>
          </w:tcPr>
          <w:p>
            <w:pPr>
              <w:spacing w:after="0"/>
              <w:rPr>
                <w:rFonts w:ascii="Arial" w:cs="Arial" w:eastAsia="Arial" w:hAnsi="Arial"/>
                <w:sz w:val="17"/>
                <w:szCs w:val="17"/>
                <w:b w:val="1"/>
                <w:bCs w:val="1"/>
                <w:color w:val="0000EE"/>
                <w:w w:val="92"/>
              </w:rPr>
            </w:pPr>
            <w:hyperlink w:anchor="page28">
              <w:r>
                <w:rPr>
                  <w:rFonts w:ascii="Arial" w:cs="Arial" w:eastAsia="Arial" w:hAnsi="Arial"/>
                  <w:sz w:val="17"/>
                  <w:szCs w:val="17"/>
                  <w:b w:val="1"/>
                  <w:bCs w:val="1"/>
                  <w:color w:val="0000EE"/>
                  <w:w w:val="92"/>
                </w:rPr>
                <w:t>Item 2.</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8"/>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Unregistered Sales of Equity Securities and Use of Proceeds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28</w:t>
            </w:r>
          </w:p>
        </w:tc>
      </w:tr>
      <w:tr>
        <w:trPr>
          <w:trHeight w:val="369"/>
        </w:trPr>
        <w:tc>
          <w:tcPr>
            <w:tcW w:w="520" w:type="dxa"/>
            <w:vAlign w:val="bottom"/>
            <w:tcBorders>
              <w:top w:val="single" w:sz="8" w:color="0000EE"/>
            </w:tcBorders>
          </w:tcPr>
          <w:p>
            <w:pPr>
              <w:spacing w:after="0"/>
              <w:rPr>
                <w:rFonts w:ascii="Arial" w:cs="Arial" w:eastAsia="Arial" w:hAnsi="Arial"/>
                <w:sz w:val="17"/>
                <w:szCs w:val="17"/>
                <w:b w:val="1"/>
                <w:bCs w:val="1"/>
                <w:color w:val="0000EE"/>
                <w:w w:val="92"/>
              </w:rPr>
            </w:pPr>
            <w:hyperlink w:anchor="page28">
              <w:r>
                <w:rPr>
                  <w:rFonts w:ascii="Arial" w:cs="Arial" w:eastAsia="Arial" w:hAnsi="Arial"/>
                  <w:sz w:val="17"/>
                  <w:szCs w:val="17"/>
                  <w:b w:val="1"/>
                  <w:bCs w:val="1"/>
                  <w:color w:val="0000EE"/>
                  <w:w w:val="92"/>
                </w:rPr>
                <w:t>Item 4.</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Borders>
              <w:top w:val="single" w:sz="8" w:color="0000EE"/>
            </w:tcBorders>
            <w:gridSpan w:val="12"/>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Submission of Matters to a Vote of Security Holders</w:t>
              </w:r>
            </w:hyperlink>
          </w:p>
        </w:tc>
        <w:tc>
          <w:tcPr>
            <w:tcW w:w="4100" w:type="dxa"/>
            <w:vAlign w:val="bottom"/>
            <w:gridSpan w:val="6"/>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28</w:t>
            </w:r>
          </w:p>
        </w:tc>
      </w:tr>
      <w:tr>
        <w:trPr>
          <w:trHeight w:val="389"/>
        </w:trPr>
        <w:tc>
          <w:tcPr>
            <w:tcW w:w="520" w:type="dxa"/>
            <w:vAlign w:val="bottom"/>
            <w:tcBorders>
              <w:top w:val="single" w:sz="8" w:color="0000EE"/>
              <w:bottom w:val="single" w:sz="8" w:color="0000EE"/>
            </w:tcBorders>
          </w:tcPr>
          <w:p>
            <w:pPr>
              <w:spacing w:after="0"/>
              <w:rPr>
                <w:rFonts w:ascii="Arial" w:cs="Arial" w:eastAsia="Arial" w:hAnsi="Arial"/>
                <w:sz w:val="17"/>
                <w:szCs w:val="17"/>
                <w:b w:val="1"/>
                <w:bCs w:val="1"/>
                <w:color w:val="0000EE"/>
                <w:w w:val="92"/>
              </w:rPr>
            </w:pPr>
            <w:hyperlink w:anchor="page29">
              <w:r>
                <w:rPr>
                  <w:rFonts w:ascii="Arial" w:cs="Arial" w:eastAsia="Arial" w:hAnsi="Arial"/>
                  <w:sz w:val="17"/>
                  <w:szCs w:val="17"/>
                  <w:b w:val="1"/>
                  <w:bCs w:val="1"/>
                  <w:color w:val="0000EE"/>
                  <w:w w:val="92"/>
                </w:rPr>
                <w:t>Item 6.</w:t>
              </w:r>
            </w:hyperlink>
          </w:p>
        </w:tc>
        <w:tc>
          <w:tcPr>
            <w:tcW w:w="10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4"/>
              </w:rPr>
            </w:pPr>
            <w:hyperlink w:anchor="page29">
              <w:r>
                <w:rPr>
                  <w:rFonts w:ascii="Arial" w:cs="Arial" w:eastAsia="Arial" w:hAnsi="Arial"/>
                  <w:sz w:val="17"/>
                  <w:szCs w:val="17"/>
                  <w:color w:val="0000EE"/>
                  <w:w w:val="94"/>
                </w:rPr>
                <w:t>Exhibits</w:t>
              </w:r>
            </w:hyperlink>
          </w:p>
        </w:tc>
        <w:tc>
          <w:tcPr>
            <w:tcW w:w="2980" w:type="dxa"/>
            <w:vAlign w:val="bottom"/>
            <w:tcBorders>
              <w:top w:val="single" w:sz="8" w:color="0000EE"/>
            </w:tcBorders>
            <w:gridSpan w:val="8"/>
          </w:tcPr>
          <w:p>
            <w:pPr>
              <w:spacing w:after="0"/>
              <w:rPr>
                <w:sz w:val="24"/>
                <w:szCs w:val="24"/>
                <w:color w:val="auto"/>
              </w:rPr>
            </w:pPr>
          </w:p>
        </w:tc>
        <w:tc>
          <w:tcPr>
            <w:tcW w:w="4660" w:type="dxa"/>
            <w:vAlign w:val="bottom"/>
            <w:gridSpan w:val="8"/>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29</w:t>
            </w:r>
          </w:p>
        </w:tc>
      </w:tr>
      <w:tr>
        <w:trPr>
          <w:trHeight w:val="38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Signatures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30</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7"/>
                <w:szCs w:val="17"/>
                <w:color w:val="auto"/>
              </w:rPr>
              <w:t>Six Months Ended</w:t>
            </w:r>
          </w:p>
        </w:tc>
      </w:tr>
      <w:tr>
        <w:trPr>
          <w:trHeight w:val="192"/>
        </w:trPr>
        <w:tc>
          <w:tcPr>
            <w:tcW w:w="60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60"/>
              <w:spacing w:after="0" w:line="193" w:lineRule="exact"/>
              <w:rPr>
                <w:sz w:val="20"/>
                <w:szCs w:val="20"/>
                <w:color w:val="auto"/>
              </w:rPr>
            </w:pPr>
            <w:r>
              <w:rPr>
                <w:rFonts w:ascii="Arial" w:cs="Arial" w:eastAsia="Arial" w:hAnsi="Arial"/>
                <w:sz w:val="17"/>
                <w:szCs w:val="17"/>
                <w:color w:val="auto"/>
              </w:rPr>
              <w:t>May 1,</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55"/>
              <w:spacing w:after="0" w:line="193" w:lineRule="exact"/>
              <w:rPr>
                <w:sz w:val="20"/>
                <w:szCs w:val="20"/>
                <w:color w:val="auto"/>
              </w:rPr>
            </w:pPr>
            <w:r>
              <w:rPr>
                <w:rFonts w:ascii="Arial" w:cs="Arial" w:eastAsia="Arial" w:hAnsi="Arial"/>
                <w:sz w:val="17"/>
                <w:szCs w:val="17"/>
                <w:color w:val="auto"/>
              </w:rPr>
              <w:t>May 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60"/>
              <w:spacing w:after="0" w:line="193" w:lineRule="exact"/>
              <w:rPr>
                <w:sz w:val="20"/>
                <w:szCs w:val="20"/>
                <w:color w:val="auto"/>
              </w:rPr>
            </w:pPr>
            <w:r>
              <w:rPr>
                <w:rFonts w:ascii="Arial" w:cs="Arial" w:eastAsia="Arial" w:hAnsi="Arial"/>
                <w:sz w:val="17"/>
                <w:szCs w:val="17"/>
                <w:color w:val="auto"/>
                <w:w w:val="93"/>
              </w:rPr>
              <w:t>May 1,</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2,</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499,852</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638,510</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840,024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1,044,309</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Cost of sales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338,627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410,744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560,539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667,406</w:t>
            </w:r>
          </w:p>
        </w:tc>
      </w:tr>
      <w:tr>
        <w:trPr>
          <w:trHeight w:val="26"/>
        </w:trPr>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279,485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376,903</w:t>
            </w:r>
          </w:p>
        </w:tc>
      </w:tr>
      <w:tr>
        <w:trPr>
          <w:trHeight w:val="205"/>
        </w:trPr>
        <w:tc>
          <w:tcPr>
            <w:tcW w:w="606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102,231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124,943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206,790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242,060</w:t>
            </w:r>
          </w:p>
        </w:tc>
      </w:tr>
      <w:tr>
        <w:trPr>
          <w:trHeight w:val="26"/>
        </w:trPr>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Earnings from operations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58,994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72,695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134,843</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(4,420)</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(5,419)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(8,778)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(10,302)</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900</w:t>
            </w:r>
          </w:p>
        </w:tc>
      </w:tr>
      <w:tr>
        <w:trPr>
          <w:trHeight w:val="26"/>
        </w:trPr>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Earnings before income taxes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56,057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96,606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66,210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125,441</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44,030</w:t>
            </w:r>
          </w:p>
        </w:tc>
      </w:tr>
      <w:tr>
        <w:trPr>
          <w:trHeight w:val="26"/>
        </w:trPr>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Net earnings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36,861</w:t>
            </w:r>
          </w:p>
        </w:tc>
        <w:tc>
          <w:tcPr>
            <w:tcW w:w="22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62,784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43,592</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81,411</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Basic net earnings per share of common stock</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1.01</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1.64</w:t>
            </w:r>
          </w:p>
        </w:tc>
        <w:tc>
          <w:tcPr>
            <w:tcW w:w="3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1.20</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2.12</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Diluted net earnings per share of common stock</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1.60</w:t>
            </w:r>
          </w:p>
        </w:tc>
        <w:tc>
          <w:tcPr>
            <w:tcW w:w="3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2.07</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of common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stock outstanding – Basic</w:t>
            </w:r>
          </w:p>
        </w:tc>
        <w:tc>
          <w:tcPr>
            <w:tcW w:w="2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36,397</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38,239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36,382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38,313</w:t>
            </w:r>
          </w:p>
        </w:tc>
      </w:tr>
      <w:tr>
        <w:trPr>
          <w:trHeight w:val="205"/>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Weighted-average number of shares of common</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 outstanding – Diluted</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36,763</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39,126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36,807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39,263</w:t>
            </w: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ind w:right="-159"/>
        <w:spacing w:after="0"/>
        <w:rPr>
          <w:sz w:val="20"/>
          <w:szCs w:val="20"/>
          <w:color w:val="auto"/>
        </w:rPr>
      </w:pPr>
      <w:r>
        <w:rPr>
          <w:rFonts w:ascii="Arial" w:cs="Arial" w:eastAsia="Arial" w:hAnsi="Arial"/>
          <w:sz w:val="20"/>
          <w:szCs w:val="20"/>
          <w:b w:val="1"/>
          <w:bCs w:val="1"/>
          <w:color w:val="auto"/>
        </w:rPr>
        <w:t>(Dollars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May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May 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175"/>
        </w:trPr>
        <w:tc>
          <w:tcPr>
            <w:tcW w:w="62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9"/>
              </w:rPr>
              <w:t>ASSETS</w:t>
            </w:r>
          </w:p>
        </w:tc>
        <w:tc>
          <w:tcPr>
            <w:tcW w:w="68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29,673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32,053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99,359</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Receivables, net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407,801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547,192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256,259</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265,428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207,084</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16,405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13,698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27,491</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57,704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56,633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53,755</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727,358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915,004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643,948</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Property, plant, and equipment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532,950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599,189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518,536</w:t>
            </w: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Less accumulated depreciation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367,386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426,986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349,669</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165,564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172,203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168,867</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6,508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6,476</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7,949</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86,390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86,097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86,192</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16,122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18,828</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1,011,344</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1,203,887</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932,260</w:t>
            </w: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7440" w:type="dxa"/>
            <w:vAlign w:val="bottom"/>
            <w:gridSpan w:val="3"/>
          </w:tcPr>
          <w:p>
            <w:pPr>
              <w:spacing w:after="0" w:line="167" w:lineRule="exact"/>
              <w:rPr>
                <w:sz w:val="20"/>
                <w:szCs w:val="20"/>
                <w:color w:val="auto"/>
              </w:rPr>
            </w:pPr>
            <w:r>
              <w:rPr>
                <w:rFonts w:ascii="Arial" w:cs="Arial" w:eastAsia="Arial" w:hAnsi="Arial"/>
                <w:sz w:val="17"/>
                <w:szCs w:val="17"/>
                <w:color w:val="auto"/>
              </w:rPr>
              <w:t>LIABILITIES AND STOCKHOLDERS' EQUITY</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3,276</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Short-term debt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32,900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151,500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2,326</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117,425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92,997</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238,922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275,911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225,852</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547,177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324,451</w:t>
            </w:r>
          </w:p>
        </w:tc>
      </w:tr>
      <w:tr>
        <w:trPr>
          <w:trHeight w:val="205"/>
        </w:trPr>
        <w:tc>
          <w:tcPr>
            <w:tcW w:w="6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225,909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227,753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227,515</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revenue</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10,264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9,363</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6,256</w:t>
            </w:r>
          </w:p>
        </w:tc>
      </w:t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2"/>
        </w:trPr>
        <w:tc>
          <w:tcPr>
            <w:tcW w:w="7440" w:type="dxa"/>
            <w:vAlign w:val="bottom"/>
            <w:gridSpan w:val="3"/>
          </w:tcPr>
          <w:p>
            <w:pPr>
              <w:ind w:left="80"/>
              <w:spacing w:after="0" w:line="193" w:lineRule="exact"/>
              <w:rPr>
                <w:sz w:val="20"/>
                <w:szCs w:val="20"/>
                <w:color w:val="auto"/>
              </w:rPr>
            </w:pPr>
            <w:r>
              <w:rPr>
                <w:rFonts w:ascii="Arial" w:cs="Arial" w:eastAsia="Arial" w:hAnsi="Arial"/>
                <w:sz w:val="17"/>
                <w:szCs w:val="17"/>
                <w:color w:val="auto"/>
              </w:rPr>
              <w:t>Preferred stock, par value $1.00, authorized 1,000,000 voting</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and 850,000 non-voting shares, none issued and outstanding</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3"/>
        </w:trPr>
        <w:tc>
          <w:tcPr>
            <w:tcW w:w="7440" w:type="dxa"/>
            <w:vAlign w:val="bottom"/>
            <w:gridSpan w:val="3"/>
            <w:shd w:val="clear" w:color="auto" w:fill="CCEEFF"/>
          </w:tcPr>
          <w:p>
            <w:pPr>
              <w:ind w:left="80"/>
              <w:spacing w:after="0" w:line="193" w:lineRule="exact"/>
              <w:rPr>
                <w:sz w:val="20"/>
                <w:szCs w:val="20"/>
                <w:color w:val="auto"/>
              </w:rPr>
            </w:pPr>
            <w:r>
              <w:rPr>
                <w:rFonts w:ascii="Arial" w:cs="Arial" w:eastAsia="Arial" w:hAnsi="Arial"/>
                <w:sz w:val="17"/>
                <w:szCs w:val="17"/>
                <w:color w:val="auto"/>
              </w:rPr>
              <w:t>Common stock, par value $1.00, authorized 100,000,000 shares,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issued and outstanding 35,892,142 shares as of May 1,</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2009, 37,364,763 shares as of May 2, 2008, and 35,484,766 shares as of October 31, 2008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37,365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35,485</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374,333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374,335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337,734</w:t>
            </w: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Accumulated other comprehensive (loss) income</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(8,544)</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stockholders' equity</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396,633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412,144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364,675</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1,011,344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1,203,887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932,260</w:t>
            </w: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720"/>
              <w:spacing w:after="0"/>
              <w:rPr>
                <w:sz w:val="20"/>
                <w:szCs w:val="20"/>
                <w:color w:val="auto"/>
              </w:rPr>
            </w:pPr>
            <w:r>
              <w:rPr>
                <w:rFonts w:ascii="Arial" w:cs="Arial" w:eastAsia="Arial" w:hAnsi="Arial"/>
                <w:sz w:val="17"/>
                <w:szCs w:val="17"/>
                <w:color w:val="auto"/>
              </w:rPr>
              <w:t>Six Months Ended</w:t>
            </w:r>
          </w:p>
        </w:tc>
      </w:tr>
      <w:tr>
        <w:trPr>
          <w:trHeight w:val="192"/>
        </w:trPr>
        <w:tc>
          <w:tcPr>
            <w:tcW w:w="66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80"/>
              <w:spacing w:after="0" w:line="193" w:lineRule="exact"/>
              <w:rPr>
                <w:sz w:val="20"/>
                <w:szCs w:val="20"/>
                <w:color w:val="auto"/>
              </w:rPr>
            </w:pPr>
            <w:r>
              <w:rPr>
                <w:rFonts w:ascii="Arial" w:cs="Arial" w:eastAsia="Arial" w:hAnsi="Arial"/>
                <w:sz w:val="17"/>
                <w:szCs w:val="17"/>
                <w:color w:val="auto"/>
              </w:rPr>
              <w:t>May 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2,</w:t>
            </w:r>
          </w:p>
        </w:tc>
        <w:tc>
          <w:tcPr>
            <w:tcW w:w="100" w:type="dxa"/>
            <w:vAlign w:val="bottom"/>
          </w:tcPr>
          <w:p>
            <w:pPr>
              <w:spacing w:after="0"/>
              <w:rPr>
                <w:sz w:val="16"/>
                <w:szCs w:val="16"/>
                <w:color w:val="auto"/>
              </w:rPr>
            </w:pPr>
          </w:p>
        </w:tc>
      </w:tr>
      <w:tr>
        <w:trPr>
          <w:trHeight w:val="223"/>
        </w:trPr>
        <w:tc>
          <w:tcPr>
            <w:tcW w:w="6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4"/>
        </w:trPr>
        <w:tc>
          <w:tcPr>
            <w:tcW w:w="664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238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43,592</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81,411</w:t>
            </w: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Adjustments to reconcile net earnings to net cash</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used in operating activities: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Equity losses from investments</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324</w:t>
            </w:r>
          </w:p>
        </w:tc>
      </w:tr>
      <w:tr>
        <w:trPr>
          <w:trHeight w:val="205"/>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depreciation and amortization</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21,576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21,836</w:t>
            </w: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Gain on disposal of property, plant, and equipment</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(81)</w:t>
            </w:r>
          </w:p>
        </w:tc>
      </w:tr>
      <w:tr>
        <w:trPr>
          <w:trHeight w:val="205"/>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sale of a business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(113)</w:t>
            </w: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Stock-based compensation expense</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2,084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3,281</w:t>
            </w:r>
          </w:p>
        </w:tc>
      </w:tr>
      <w:tr>
        <w:trPr>
          <w:trHeight w:val="205"/>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Decrease (increase) in deferred income taxes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(1,463)</w:t>
            </w: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Changes in operating assets and liabilities:</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Receivables, net</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(150,379)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(260,988)</w:t>
            </w:r>
          </w:p>
        </w:tc>
      </w:tr>
      <w:tr>
        <w:trPr>
          <w:trHeight w:val="205"/>
        </w:trPr>
        <w:tc>
          <w:tcPr>
            <w:tcW w:w="6640" w:type="dxa"/>
            <w:vAlign w:val="bottom"/>
          </w:tcPr>
          <w:p>
            <w:pPr>
              <w:ind w:left="300"/>
              <w:spacing w:after="0"/>
              <w:rPr>
                <w:sz w:val="20"/>
                <w:szCs w:val="20"/>
                <w:color w:val="auto"/>
              </w:rPr>
            </w:pPr>
            <w:r>
              <w:rPr>
                <w:rFonts w:ascii="Arial" w:cs="Arial" w:eastAsia="Arial" w:hAnsi="Arial"/>
                <w:sz w:val="17"/>
                <w:szCs w:val="17"/>
                <w:color w:val="auto"/>
              </w:rPr>
              <w:t>Inventories, net</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(7,382)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(13,920)</w:t>
            </w:r>
          </w:p>
        </w:tc>
      </w:tr>
      <w:tr>
        <w:trPr>
          <w:trHeight w:val="205"/>
        </w:trPr>
        <w:tc>
          <w:tcPr>
            <w:tcW w:w="6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 and other assets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(2,870)</w:t>
            </w:r>
          </w:p>
        </w:tc>
      </w:tr>
      <w:tr>
        <w:trPr>
          <w:trHeight w:val="192"/>
        </w:trPr>
        <w:tc>
          <w:tcPr>
            <w:tcW w:w="6640" w:type="dxa"/>
            <w:vAlign w:val="bottom"/>
          </w:tcPr>
          <w:p>
            <w:pPr>
              <w:ind w:left="300"/>
              <w:spacing w:after="0" w:line="193" w:lineRule="exact"/>
              <w:rPr>
                <w:sz w:val="20"/>
                <w:szCs w:val="20"/>
                <w:color w:val="auto"/>
              </w:rPr>
            </w:pPr>
            <w:r>
              <w:rPr>
                <w:rFonts w:ascii="Arial" w:cs="Arial" w:eastAsia="Arial" w:hAnsi="Arial"/>
                <w:sz w:val="17"/>
                <w:szCs w:val="17"/>
                <w:color w:val="auto"/>
              </w:rPr>
              <w:t>Accounts payable, accrued liabilities, deferred revenue, and</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6640" w:type="dxa"/>
            <w:vAlign w:val="bottom"/>
          </w:tcPr>
          <w:p>
            <w:pPr>
              <w:ind w:left="400"/>
              <w:spacing w:after="0"/>
              <w:rPr>
                <w:sz w:val="20"/>
                <w:szCs w:val="20"/>
                <w:color w:val="auto"/>
              </w:rPr>
            </w:pPr>
            <w:r>
              <w:rPr>
                <w:rFonts w:ascii="Arial" w:cs="Arial" w:eastAsia="Arial" w:hAnsi="Arial"/>
                <w:sz w:val="17"/>
                <w:szCs w:val="17"/>
                <w:color w:val="auto"/>
              </w:rPr>
              <w:t>other long-term liabilities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20,639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61,291</w:t>
            </w:r>
          </w:p>
        </w:tc>
      </w:tr>
      <w:tr>
        <w:trPr>
          <w:trHeight w:val="26"/>
        </w:trPr>
        <w:tc>
          <w:tcPr>
            <w:tcW w:w="6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operating activities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(72,865)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(111,292)</w:t>
            </w:r>
          </w:p>
        </w:tc>
      </w:tr>
      <w:tr>
        <w:trPr>
          <w:trHeight w:val="205"/>
        </w:trPr>
        <w:tc>
          <w:tcPr>
            <w:tcW w:w="664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(17,366)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(22,479)</w:t>
            </w:r>
          </w:p>
        </w:tc>
      </w:tr>
      <w:tr>
        <w:trPr>
          <w:trHeight w:val="205"/>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asset disposals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871</w:t>
            </w: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Increase in investment in affiliates</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(250)</w:t>
            </w:r>
          </w:p>
        </w:tc>
      </w:tr>
      <w:tr>
        <w:trPr>
          <w:trHeight w:val="205"/>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other assets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(279)</w:t>
            </w: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Proceeds from sale of a business</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1,048</w:t>
            </w:r>
          </w:p>
        </w:tc>
      </w:tr>
      <w:tr>
        <w:trPr>
          <w:trHeight w:val="205"/>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 net of cash acquired</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r>
      <w:tr>
        <w:trPr>
          <w:trHeight w:val="26"/>
        </w:trPr>
        <w:tc>
          <w:tcPr>
            <w:tcW w:w="66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6640" w:type="dxa"/>
            <w:vAlign w:val="bottom"/>
          </w:tcPr>
          <w:p>
            <w:pPr>
              <w:ind w:left="460"/>
              <w:spacing w:after="0"/>
              <w:rPr>
                <w:sz w:val="20"/>
                <w:szCs w:val="20"/>
                <w:color w:val="auto"/>
              </w:rPr>
            </w:pPr>
            <w:r>
              <w:rPr>
                <w:rFonts w:ascii="Arial" w:cs="Arial" w:eastAsia="Arial" w:hAnsi="Arial"/>
                <w:sz w:val="17"/>
                <w:szCs w:val="17"/>
                <w:color w:val="auto"/>
              </w:rPr>
              <w:t>Net cash used in investing activities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(17,611)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(22,089)</w:t>
            </w:r>
          </w:p>
        </w:tc>
      </w:tr>
      <w:tr>
        <w:trPr>
          <w:trHeight w:val="205"/>
        </w:trPr>
        <w:tc>
          <w:tcPr>
            <w:tcW w:w="66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6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short-term debt</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30,209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151,128</w:t>
            </w: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Repayments of long-term debt, net of costs</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(1,477)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(750)</w:t>
            </w:r>
          </w:p>
        </w:tc>
      </w:tr>
      <w:tr>
        <w:trPr>
          <w:trHeight w:val="205"/>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Excess tax benefits from stock-based awards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w:t>
            </w: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Proceeds from exercise of stock-based awards</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3,759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1,718</w:t>
            </w:r>
          </w:p>
        </w:tc>
      </w:tr>
      <w:tr>
        <w:trPr>
          <w:trHeight w:val="205"/>
        </w:trPr>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Toro common stock</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(4,803)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(36,906)</w:t>
            </w:r>
          </w:p>
        </w:tc>
      </w:tr>
      <w:tr>
        <w:trPr>
          <w:trHeight w:val="205"/>
        </w:trPr>
        <w:tc>
          <w:tcPr>
            <w:tcW w:w="6640" w:type="dxa"/>
            <w:vAlign w:val="bottom"/>
          </w:tcPr>
          <w:p>
            <w:pPr>
              <w:ind w:left="160"/>
              <w:spacing w:after="0"/>
              <w:rPr>
                <w:sz w:val="20"/>
                <w:szCs w:val="20"/>
                <w:color w:val="auto"/>
              </w:rPr>
            </w:pPr>
            <w:r>
              <w:rPr>
                <w:rFonts w:ascii="Arial" w:cs="Arial" w:eastAsia="Arial" w:hAnsi="Arial"/>
                <w:sz w:val="17"/>
                <w:szCs w:val="17"/>
                <w:color w:val="auto"/>
              </w:rPr>
              <w:t>Dividends paid on Toro common stock</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(10,919)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(11,478)</w:t>
            </w:r>
          </w:p>
        </w:tc>
      </w:tr>
      <w:tr>
        <w:trPr>
          <w:trHeight w:val="26"/>
        </w:trPr>
        <w:tc>
          <w:tcPr>
            <w:tcW w:w="6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6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provided by financing activities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104,051</w:t>
            </w:r>
          </w:p>
        </w:tc>
      </w:tr>
      <w:tr>
        <w:trPr>
          <w:trHeight w:val="205"/>
        </w:trPr>
        <w:tc>
          <w:tcPr>
            <w:tcW w:w="664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(664)</w:t>
            </w:r>
          </w:p>
        </w:tc>
      </w:tr>
      <w:tr>
        <w:trPr>
          <w:trHeight w:val="205"/>
        </w:trPr>
        <w:tc>
          <w:tcPr>
            <w:tcW w:w="6640" w:type="dxa"/>
            <w:vAlign w:val="bottom"/>
            <w:tcBorders>
              <w:top w:val="single" w:sz="8" w:color="CCEEFF"/>
            </w:tcBorders>
          </w:tcPr>
          <w:p>
            <w:pPr>
              <w:spacing w:after="0"/>
              <w:rPr>
                <w:sz w:val="17"/>
                <w:szCs w:val="17"/>
                <w:color w:val="auto"/>
              </w:rPr>
            </w:pPr>
          </w:p>
        </w:tc>
        <w:tc>
          <w:tcPr>
            <w:tcW w:w="2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(69,686)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(29,994)</w:t>
            </w:r>
          </w:p>
        </w:tc>
      </w:tr>
      <w:tr>
        <w:trPr>
          <w:trHeight w:val="205"/>
        </w:trPr>
        <w:tc>
          <w:tcPr>
            <w:tcW w:w="6640" w:type="dxa"/>
            <w:vAlign w:val="bottom"/>
          </w:tcPr>
          <w:p>
            <w:pPr>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99,359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62,047</w:t>
            </w:r>
          </w:p>
        </w:tc>
      </w:tr>
      <w:tr>
        <w:trPr>
          <w:trHeight w:val="26"/>
        </w:trPr>
        <w:tc>
          <w:tcPr>
            <w:tcW w:w="6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as of the end of the fiscal period</w:t>
            </w: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29,673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32,053</w:t>
            </w: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 w:name="page6"/>
    <w:bookmarkEnd w:id="5"/>
    <w:p>
      <w:pPr>
        <w:jc w:val="center"/>
        <w:ind w:left="420" w:right="2580"/>
        <w:spacing w:after="0" w:line="258" w:lineRule="auto"/>
        <w:rPr>
          <w:sz w:val="20"/>
          <w:szCs w:val="20"/>
          <w:color w:val="auto"/>
        </w:rPr>
      </w:pPr>
      <w:r>
        <w:rPr>
          <w:rFonts w:ascii="Arial" w:cs="Arial" w:eastAsia="Arial" w:hAnsi="Arial"/>
          <w:sz w:val="20"/>
          <w:szCs w:val="20"/>
          <w:b w:val="1"/>
          <w:bCs w:val="1"/>
          <w:color w:val="auto"/>
        </w:rPr>
        <w:t>THE TORO COMPANY AND SUBSIDIARIES Notes to Condensed Consolidated Financial Statements (Unaudited) May 1, 2009</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43"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results of operations. Certain amounts from prior periods’ financial statements have been reclassified to conform to this period’s presentation. Since the company’s business is seasonal, operating results for the six months ended May 1, 2009 cannot be annualized to determine the expected results for the fiscal year ending October 31, 2009. Additional factors that could cause our actual results to differ materially from our expected results, including any forward-looking statements made in this report, are described in our most recently filed Annual Report on Form 10-K (Item 1A) and later in this report under Item 2, Management’s Discussion and Analysis of Financial Condition and Results of Operations– Forward-Looking Information.</w:t>
      </w:r>
    </w:p>
    <w:p>
      <w:pPr>
        <w:spacing w:after="0" w:line="4" w:lineRule="exact"/>
        <w:rPr>
          <w:sz w:val="20"/>
          <w:szCs w:val="20"/>
          <w:color w:val="auto"/>
        </w:rPr>
      </w:pPr>
    </w:p>
    <w:p>
      <w:pPr>
        <w:ind w:right="60" w:firstLine="210"/>
        <w:spacing w:after="0" w:line="251" w:lineRule="auto"/>
        <w:rPr>
          <w:sz w:val="20"/>
          <w:szCs w:val="20"/>
          <w:color w:val="auto"/>
        </w:rPr>
      </w:pPr>
      <w:r>
        <w:rPr>
          <w:rFonts w:ascii="Arial" w:cs="Arial" w:eastAsia="Arial" w:hAnsi="Arial"/>
          <w:sz w:val="17"/>
          <w:szCs w:val="17"/>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right="20" w:firstLine="213"/>
        <w:spacing w:after="0" w:line="262" w:lineRule="auto"/>
        <w:rPr>
          <w:sz w:val="20"/>
          <w:szCs w:val="20"/>
          <w:color w:val="auto"/>
        </w:rPr>
      </w:pPr>
      <w:r>
        <w:rPr>
          <w:rFonts w:ascii="Arial" w:cs="Arial" w:eastAsia="Arial" w:hAnsi="Arial"/>
          <w:sz w:val="17"/>
          <w:szCs w:val="17"/>
          <w:color w:val="auto"/>
        </w:rPr>
        <w:t>For further information, refer to the consolidated financial statements and notes included in the company’s Annual Report on Form 10-K for the fiscal year ended October 31, 2008. The policies described in that report are used for preparing quarterly reports.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4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preparing the consolidated financial statements in conformity with U.S. generally accepted accounting principles,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reserves, allowance for doubtful accounts, pension and postretirement accruals, useful lives for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We adjust such estimates and assumptions when facts and circumstances dictate. A number of these factors are discussed in our Annual Report on Form 10-K (Item 1A. Risk Factors) for the fiscal year ended October 31, 2008, which include, among others, the continued recessionary economic conditions, tight credit markets, unfavorable foreign currency exchange rate changes, higher commodity costs, and a decline in consumer spending and confidence, all of which have combined to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resulting from continuing changes in the economic environment will be reflected in the financial statements in future periods. Note 1 to the consolidated financial statements in the company’s most recent Annual Report on Form 10-K provides a summary of the significant accounting policies followed in the preparation of the financial statements. Other notes to the consolidated financial statements in the company’s Annual Report on Form 10-K describe various elements of the financial statements and the assumptions made in determining specific amounts.</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344"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7440" w:type="dxa"/>
            <w:vAlign w:val="bottom"/>
            <w:gridSpan w:val="4"/>
          </w:tcPr>
          <w:p>
            <w:pPr>
              <w:spacing w:after="0"/>
              <w:rPr>
                <w:sz w:val="20"/>
                <w:szCs w:val="20"/>
                <w:color w:val="auto"/>
              </w:rPr>
            </w:pPr>
            <w:r>
              <w:rPr>
                <w:rFonts w:ascii="Arial" w:cs="Arial" w:eastAsia="Arial" w:hAnsi="Arial"/>
                <w:sz w:val="17"/>
                <w:szCs w:val="17"/>
                <w:color w:val="auto"/>
                <w:w w:val="98"/>
              </w:rPr>
              <w:t>Comprehensive income and the components of other comprehensive income (loss) were as follows: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ind w:left="340"/>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7"/>
                <w:szCs w:val="17"/>
                <w:color w:val="auto"/>
              </w:rPr>
              <w:t>Six Months Ended</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60"/>
              <w:spacing w:after="0" w:line="193" w:lineRule="exact"/>
              <w:rPr>
                <w:sz w:val="20"/>
                <w:szCs w:val="20"/>
                <w:color w:val="auto"/>
              </w:rPr>
            </w:pPr>
            <w:r>
              <w:rPr>
                <w:rFonts w:ascii="Arial" w:cs="Arial" w:eastAsia="Arial" w:hAnsi="Arial"/>
                <w:sz w:val="17"/>
                <w:szCs w:val="17"/>
                <w:color w:val="auto"/>
              </w:rPr>
              <w:t>May 1,</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55"/>
              <w:spacing w:after="0" w:line="193" w:lineRule="exact"/>
              <w:rPr>
                <w:sz w:val="20"/>
                <w:szCs w:val="20"/>
                <w:color w:val="auto"/>
              </w:rPr>
            </w:pPr>
            <w:r>
              <w:rPr>
                <w:rFonts w:ascii="Arial" w:cs="Arial" w:eastAsia="Arial" w:hAnsi="Arial"/>
                <w:sz w:val="17"/>
                <w:szCs w:val="17"/>
                <w:color w:val="auto"/>
              </w:rPr>
              <w:t>May 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60"/>
              <w:spacing w:after="0" w:line="193" w:lineRule="exact"/>
              <w:rPr>
                <w:sz w:val="20"/>
                <w:szCs w:val="20"/>
                <w:color w:val="auto"/>
              </w:rPr>
            </w:pPr>
            <w:r>
              <w:rPr>
                <w:rFonts w:ascii="Arial" w:cs="Arial" w:eastAsia="Arial" w:hAnsi="Arial"/>
                <w:sz w:val="17"/>
                <w:szCs w:val="17"/>
                <w:color w:val="auto"/>
                <w:w w:val="93"/>
              </w:rPr>
              <w:t>May 1,</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2,</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36,861</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62,784</w:t>
            </w:r>
          </w:p>
        </w:tc>
        <w:tc>
          <w:tcPr>
            <w:tcW w:w="3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43,592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81,411</w:t>
            </w: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Other comprehensive income (loss):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Cumulative translation adjustments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3,481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1,128</w:t>
            </w: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Pension liability adjustment, net of tax</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175</w:t>
            </w: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Unrealized (loss) gain on derivative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ind w:left="440"/>
              <w:spacing w:after="0"/>
              <w:rPr>
                <w:sz w:val="20"/>
                <w:szCs w:val="20"/>
                <w:color w:val="auto"/>
              </w:rPr>
            </w:pPr>
            <w:r>
              <w:rPr>
                <w:rFonts w:ascii="Arial" w:cs="Arial" w:eastAsia="Arial" w:hAnsi="Arial"/>
                <w:sz w:val="17"/>
                <w:szCs w:val="17"/>
                <w:color w:val="auto"/>
              </w:rPr>
              <w:t>instruments, net of tax</w:t>
            </w:r>
          </w:p>
        </w:tc>
        <w:tc>
          <w:tcPr>
            <w:tcW w:w="2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(3,626)</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779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(6,773)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2,038</w:t>
            </w:r>
          </w:p>
        </w:tc>
      </w:tr>
      <w:tr>
        <w:trPr>
          <w:trHeight w:val="26"/>
        </w:trPr>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36,716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38,544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84,752</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3" w:lineRule="exact"/>
        <w:rPr>
          <w:sz w:val="20"/>
          <w:szCs w:val="20"/>
          <w:color w:val="auto"/>
        </w:rPr>
      </w:pPr>
    </w:p>
    <w:p>
      <w:pPr>
        <w:ind w:right="180"/>
        <w:spacing w:after="0" w:line="285" w:lineRule="auto"/>
        <w:rPr>
          <w:sz w:val="20"/>
          <w:szCs w:val="20"/>
          <w:color w:val="auto"/>
        </w:rPr>
      </w:pPr>
      <w:r>
        <w:rPr>
          <w:rFonts w:ascii="Arial" w:cs="Arial" w:eastAsia="Arial" w:hAnsi="Arial"/>
          <w:sz w:val="15"/>
          <w:szCs w:val="15"/>
          <w:color w:val="auto"/>
        </w:rPr>
        <w:t>The company accounts for stock-based compensation awards in accordance with the provisions of Statement of Financial Accounting Standards (SFAS) No. 123 (Revised 2004), “Share-Based Payment.” Option awards are granted with an exercise price equal to the closing price of the company’s common stock on the date of grant, as reported by the New York Stock Exchange. Options are generally granted to directors, officers, and other key employees in the first quarter of the company’s fiscal year. For all options granted during the first quarter of fiscal 2009, the options vest one-third each year over a three-year period and have a ten-year term. Compensation expense equal to the grant date fair value is generally recognized for these awards over the vesting period. However, if a director has served on the company’s Board of Directors for ten full fiscal years or longer, the fair value of the options granted is fully expensed as of the date of the grant. Similarly, options granted to officers and other key employees are also subject to accelerated expensing if the option holder meets the retirement definition set forth in The Toro Company 2000 Stock Option Plan. In that case, the fair value of the options is expensed in the year of grant because the option holder must be employed as of the end of the fiscal year in which the options are granted in order for the option to continue to vest following retirement. The company also generally issues performance share awards to officers and other key employees in the first quarter of the company’s fiscal year. The company determines the fair value of these performance share awards as of the date of grant and recognizes the expense over the three-year vesting period. Total compensation expense for option and performance share awards for the second quarter of fiscal 2009 and 2008 was $1.2 million and $1.4 million, respectively. Year-to-date compensation expense for option and performance share awards through the second quarter of fiscal 2009 and 2008 was $2.1 million and $3.3 million, respectively.</w:t>
      </w:r>
    </w:p>
    <w:p>
      <w:pPr>
        <w:spacing w:after="0" w:line="9" w:lineRule="exact"/>
        <w:rPr>
          <w:sz w:val="20"/>
          <w:szCs w:val="20"/>
          <w:color w:val="auto"/>
        </w:rPr>
      </w:pPr>
    </w:p>
    <w:p>
      <w:pPr>
        <w:ind w:right="160" w:firstLine="210"/>
        <w:spacing w:after="0" w:line="27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 The following table illustrates the assumptions for options granted in the following fiscal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224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Fiscal 2009</w:t>
            </w:r>
          </w:p>
        </w:tc>
        <w:tc>
          <w:tcPr>
            <w:tcW w:w="260" w:type="dxa"/>
            <w:vAlign w:val="bottom"/>
          </w:tcPr>
          <w:p>
            <w:pPr>
              <w:spacing w:after="0"/>
              <w:rPr>
                <w:sz w:val="19"/>
                <w:szCs w:val="19"/>
                <w:color w:val="auto"/>
              </w:rPr>
            </w:pPr>
          </w:p>
        </w:tc>
        <w:tc>
          <w:tcPr>
            <w:tcW w:w="23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2008</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option in years</w:t>
            </w:r>
          </w:p>
        </w:tc>
        <w:tc>
          <w:tcPr>
            <w:tcW w:w="22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84"/>
              </w:rPr>
              <w:t>6</w:t>
            </w:r>
          </w:p>
        </w:tc>
        <w:tc>
          <w:tcPr>
            <w:tcW w:w="260" w:type="dxa"/>
            <w:vAlign w:val="bottom"/>
            <w:shd w:val="clear" w:color="auto" w:fill="CCEEFF"/>
          </w:tcPr>
          <w:p>
            <w:pPr>
              <w:spacing w:after="0"/>
              <w:rPr>
                <w:sz w:val="17"/>
                <w:szCs w:val="17"/>
                <w:color w:val="auto"/>
              </w:rPr>
            </w:pPr>
          </w:p>
        </w:tc>
        <w:tc>
          <w:tcPr>
            <w:tcW w:w="236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2"/>
              </w:rPr>
              <w:t>3 – 6.5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Expected volatility</w:t>
            </w:r>
          </w:p>
        </w:tc>
        <w:tc>
          <w:tcPr>
            <w:tcW w:w="2240" w:type="dxa"/>
            <w:vAlign w:val="bottom"/>
          </w:tcPr>
          <w:p>
            <w:pPr>
              <w:ind w:left="480"/>
              <w:spacing w:after="0"/>
              <w:rPr>
                <w:sz w:val="20"/>
                <w:szCs w:val="20"/>
                <w:color w:val="auto"/>
              </w:rPr>
            </w:pPr>
            <w:r>
              <w:rPr>
                <w:rFonts w:ascii="Arial" w:cs="Arial" w:eastAsia="Arial" w:hAnsi="Arial"/>
                <w:sz w:val="17"/>
                <w:szCs w:val="17"/>
                <w:color w:val="auto"/>
              </w:rPr>
              <w:t>30.57% - 30.60%</w:t>
            </w:r>
          </w:p>
        </w:tc>
        <w:tc>
          <w:tcPr>
            <w:tcW w:w="2620" w:type="dxa"/>
            <w:vAlign w:val="bottom"/>
            <w:gridSpan w:val="2"/>
          </w:tcPr>
          <w:p>
            <w:pPr>
              <w:jc w:val="right"/>
              <w:ind w:right="535"/>
              <w:spacing w:after="0"/>
              <w:rPr>
                <w:sz w:val="20"/>
                <w:szCs w:val="20"/>
                <w:color w:val="auto"/>
              </w:rPr>
            </w:pPr>
            <w:r>
              <w:rPr>
                <w:rFonts w:ascii="Arial" w:cs="Arial" w:eastAsia="Arial" w:hAnsi="Arial"/>
                <w:sz w:val="17"/>
                <w:szCs w:val="17"/>
                <w:color w:val="auto"/>
              </w:rPr>
              <w:t>24.84% - 25.75%</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22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0"/>
              </w:rPr>
              <w:t>30.60%</w:t>
            </w:r>
          </w:p>
        </w:tc>
        <w:tc>
          <w:tcPr>
            <w:tcW w:w="26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0"/>
              </w:rPr>
              <w:t>25.26%</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240" w:type="dxa"/>
            <w:vAlign w:val="bottom"/>
          </w:tcPr>
          <w:p>
            <w:pPr>
              <w:ind w:left="500"/>
              <w:spacing w:after="0"/>
              <w:rPr>
                <w:sz w:val="20"/>
                <w:szCs w:val="20"/>
                <w:color w:val="auto"/>
              </w:rPr>
            </w:pPr>
            <w:r>
              <w:rPr>
                <w:rFonts w:ascii="Arial" w:cs="Arial" w:eastAsia="Arial" w:hAnsi="Arial"/>
                <w:sz w:val="17"/>
                <w:szCs w:val="17"/>
                <w:color w:val="auto"/>
              </w:rPr>
              <w:t>2.26% - 3.155%</w:t>
            </w:r>
          </w:p>
        </w:tc>
        <w:tc>
          <w:tcPr>
            <w:tcW w:w="2620" w:type="dxa"/>
            <w:vAlign w:val="bottom"/>
            <w:gridSpan w:val="2"/>
          </w:tcPr>
          <w:p>
            <w:pPr>
              <w:jc w:val="right"/>
              <w:ind w:right="655"/>
              <w:spacing w:after="0"/>
              <w:rPr>
                <w:sz w:val="20"/>
                <w:szCs w:val="20"/>
                <w:color w:val="auto"/>
              </w:rPr>
            </w:pPr>
            <w:r>
              <w:rPr>
                <w:rFonts w:ascii="Arial" w:cs="Arial" w:eastAsia="Arial" w:hAnsi="Arial"/>
                <w:sz w:val="17"/>
                <w:szCs w:val="17"/>
                <w:color w:val="auto"/>
              </w:rPr>
              <w:t>3.10% - 4.08%</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2240" w:type="dxa"/>
            <w:vAlign w:val="bottom"/>
            <w:shd w:val="clear" w:color="auto" w:fill="CCEEFF"/>
          </w:tcPr>
          <w:p>
            <w:pPr>
              <w:jc w:val="center"/>
              <w:ind w:right="95"/>
              <w:spacing w:after="0"/>
              <w:rPr>
                <w:sz w:val="20"/>
                <w:szCs w:val="20"/>
                <w:color w:val="auto"/>
              </w:rPr>
            </w:pPr>
            <w:r>
              <w:rPr>
                <w:rFonts w:ascii="Arial" w:cs="Arial" w:eastAsia="Arial" w:hAnsi="Arial"/>
                <w:sz w:val="17"/>
                <w:szCs w:val="17"/>
                <w:color w:val="auto"/>
                <w:w w:val="91"/>
              </w:rPr>
              <w:t>1.53%- 1.81%</w:t>
            </w:r>
          </w:p>
        </w:tc>
        <w:tc>
          <w:tcPr>
            <w:tcW w:w="262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1"/>
              </w:rPr>
              <w:t>0.92%- 0.95%</w:t>
            </w:r>
          </w:p>
        </w:tc>
      </w:tr>
      <w:tr>
        <w:trPr>
          <w:trHeight w:val="216"/>
        </w:trPr>
        <w:tc>
          <w:tcPr>
            <w:tcW w:w="6560" w:type="dxa"/>
            <w:vAlign w:val="bottom"/>
          </w:tcPr>
          <w:p>
            <w:pPr>
              <w:spacing w:after="0"/>
              <w:rPr>
                <w:sz w:val="20"/>
                <w:szCs w:val="20"/>
                <w:color w:val="auto"/>
              </w:rPr>
            </w:pPr>
            <w:r>
              <w:rPr>
                <w:rFonts w:ascii="Arial" w:cs="Arial" w:eastAsia="Arial" w:hAnsi="Arial"/>
                <w:sz w:val="17"/>
                <w:szCs w:val="17"/>
                <w:color w:val="auto"/>
              </w:rPr>
              <w:t>Weighted-average dividend yield</w:t>
            </w:r>
          </w:p>
        </w:tc>
        <w:tc>
          <w:tcPr>
            <w:tcW w:w="2240" w:type="dxa"/>
            <w:vAlign w:val="bottom"/>
          </w:tcPr>
          <w:p>
            <w:pPr>
              <w:jc w:val="center"/>
              <w:ind w:right="75"/>
              <w:spacing w:after="0"/>
              <w:rPr>
                <w:sz w:val="20"/>
                <w:szCs w:val="20"/>
                <w:color w:val="auto"/>
              </w:rPr>
            </w:pPr>
            <w:r>
              <w:rPr>
                <w:rFonts w:ascii="Arial" w:cs="Arial" w:eastAsia="Arial" w:hAnsi="Arial"/>
                <w:sz w:val="17"/>
                <w:szCs w:val="17"/>
                <w:color w:val="auto"/>
                <w:w w:val="91"/>
              </w:rPr>
              <w:t>1.79%</w:t>
            </w:r>
          </w:p>
        </w:tc>
        <w:tc>
          <w:tcPr>
            <w:tcW w:w="262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0.94%</w:t>
            </w:r>
          </w:p>
        </w:tc>
      </w:tr>
    </w:tbl>
    <w:p>
      <w:pPr>
        <w:spacing w:after="0" w:line="207" w:lineRule="exact"/>
        <w:rPr>
          <w:sz w:val="20"/>
          <w:szCs w:val="20"/>
          <w:color w:val="auto"/>
        </w:rPr>
      </w:pPr>
    </w:p>
    <w:p>
      <w:pPr>
        <w:ind w:right="160" w:firstLine="210"/>
        <w:spacing w:after="0" w:line="263" w:lineRule="auto"/>
        <w:rPr>
          <w:sz w:val="20"/>
          <w:szCs w:val="20"/>
          <w:color w:val="auto"/>
        </w:rPr>
      </w:pPr>
      <w:r>
        <w:rPr>
          <w:rFonts w:ascii="Arial" w:cs="Arial" w:eastAsia="Arial" w:hAnsi="Arial"/>
          <w:sz w:val="17"/>
          <w:szCs w:val="17"/>
          <w:color w:val="auto"/>
        </w:rPr>
        <w:t>The weighted-average fair value of options granted during the first quarter of fiscal 2009 and 2008 was $7.93 per share and $13.90 per share, respectively. The fair value of performance share awards granted during the first quarter of fiscal 2009 and 2008 was $28.62 per share and $58.96 per share, respectively. No option or performance share awards were granted during the second quarters of fiscal 2009 or fiscal 2008.</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Inventories</w:t>
      </w:r>
    </w:p>
    <w:p>
      <w:pPr>
        <w:spacing w:after="0" w:line="24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Inventories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(Dollars in thousands)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7"/>
                <w:szCs w:val="17"/>
                <w:color w:val="auto"/>
                <w:w w:val="97"/>
              </w:rPr>
              <w:t>May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May 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9"/>
              </w:rPr>
              <w:t>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9"/>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Raw materials and work in process</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61,807</w:t>
            </w:r>
          </w:p>
        </w:tc>
        <w:tc>
          <w:tcPr>
            <w:tcW w:w="120" w:type="dxa"/>
            <w:vAlign w:val="bottom"/>
            <w:tcBorders>
              <w:lef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66,220</w:t>
            </w:r>
          </w:p>
        </w:tc>
        <w:tc>
          <w:tcPr>
            <w:tcW w:w="120" w:type="dxa"/>
            <w:vAlign w:val="bottom"/>
            <w:tcBorders>
              <w:left w:val="single" w:sz="8" w:color="CCEEFF"/>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63,268</w:t>
            </w: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Finished goods and service parts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204,270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242,097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194,118</w:t>
            </w: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Total FIFO value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266,077</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308,317</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257,386</w:t>
            </w: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Less: adjustment to LIFO value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50,302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42,889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50,302</w:t>
            </w:r>
          </w:p>
        </w:tc>
      </w:tr>
      <w:tr>
        <w:trPr>
          <w:trHeight w:val="26"/>
        </w:trPr>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215,775</w:t>
            </w:r>
          </w:p>
        </w:tc>
        <w:tc>
          <w:tcPr>
            <w:tcW w:w="120" w:type="dxa"/>
            <w:vAlign w:val="bottom"/>
            <w:tcBorders>
              <w:left w:val="single" w:sz="8" w:color="CCEEFF"/>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265,428</w:t>
            </w:r>
          </w:p>
        </w:tc>
        <w:tc>
          <w:tcPr>
            <w:tcW w:w="120" w:type="dxa"/>
            <w:vAlign w:val="bottom"/>
            <w:tcBorders>
              <w:lef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207,084</w:t>
            </w:r>
          </w:p>
        </w:tc>
      </w:tr>
      <w:tr>
        <w:trPr>
          <w:trHeight w:val="655"/>
        </w:trPr>
        <w:tc>
          <w:tcPr>
            <w:tcW w:w="6060" w:type="dxa"/>
            <w:vAlign w:val="bottom"/>
            <w:tcBorders>
              <w:top w:val="single" w:sz="8" w:color="CCEEFF"/>
            </w:tcBorders>
            <w:gridSpan w:val="3"/>
          </w:tcPr>
          <w:p>
            <w:pPr>
              <w:spacing w:after="0"/>
              <w:rPr>
                <w:sz w:val="20"/>
                <w:szCs w:val="20"/>
                <w:color w:val="auto"/>
              </w:rPr>
            </w:pPr>
            <w:r>
              <w:rPr>
                <w:rFonts w:ascii="Arial" w:cs="Arial" w:eastAsia="Arial" w:hAnsi="Arial"/>
                <w:sz w:val="17"/>
                <w:szCs w:val="17"/>
                <w:b w:val="1"/>
                <w:bCs w:val="1"/>
                <w:color w:val="auto"/>
              </w:rPr>
              <w:t>Per Share Data</w:t>
            </w: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5"/>
        </w:trPr>
        <w:tc>
          <w:tcPr>
            <w:tcW w:w="7640" w:type="dxa"/>
            <w:vAlign w:val="bottom"/>
            <w:gridSpan w:val="6"/>
          </w:tcPr>
          <w:p>
            <w:pPr>
              <w:spacing w:after="0"/>
              <w:rPr>
                <w:sz w:val="20"/>
                <w:szCs w:val="20"/>
                <w:color w:val="auto"/>
              </w:rPr>
            </w:pPr>
            <w:r>
              <w:rPr>
                <w:rFonts w:ascii="Arial" w:cs="Arial" w:eastAsia="Arial" w:hAnsi="Arial"/>
                <w:sz w:val="17"/>
                <w:szCs w:val="17"/>
                <w:color w:val="auto"/>
                <w:w w:val="95"/>
              </w:rPr>
              <w:t>Reconciliations of basic and diluted weighted-average shares of common stock outstanding are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7"/>
                <w:szCs w:val="17"/>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7"/>
                <w:szCs w:val="17"/>
                <w:color w:val="auto"/>
              </w:rPr>
              <w:t>Six Months Ended</w:t>
            </w:r>
          </w:p>
        </w:tc>
      </w:tr>
      <w:tr>
        <w:trPr>
          <w:trHeight w:val="192"/>
        </w:trPr>
        <w:tc>
          <w:tcPr>
            <w:tcW w:w="6060" w:type="dxa"/>
            <w:vAlign w:val="bottom"/>
            <w:gridSpan w:val="3"/>
          </w:tcPr>
          <w:p>
            <w:pPr>
              <w:spacing w:after="0" w:line="193" w:lineRule="exact"/>
              <w:rPr>
                <w:sz w:val="20"/>
                <w:szCs w:val="20"/>
                <w:color w:val="auto"/>
              </w:rPr>
            </w:pPr>
            <w:r>
              <w:rPr>
                <w:rFonts w:ascii="Arial" w:cs="Arial" w:eastAsia="Arial" w:hAnsi="Arial"/>
                <w:sz w:val="17"/>
                <w:szCs w:val="17"/>
                <w:color w:val="auto"/>
              </w:rPr>
              <w:t>(Shares in thousands)</w:t>
            </w:r>
          </w:p>
        </w:tc>
        <w:tc>
          <w:tcPr>
            <w:tcW w:w="1580" w:type="dxa"/>
            <w:vAlign w:val="bottom"/>
            <w:tcBorders>
              <w:top w:val="single" w:sz="8" w:color="auto"/>
            </w:tcBorders>
            <w:gridSpan w:val="3"/>
          </w:tcPr>
          <w:p>
            <w:pPr>
              <w:jc w:val="right"/>
              <w:ind w:right="760"/>
              <w:spacing w:after="0" w:line="193" w:lineRule="exact"/>
              <w:rPr>
                <w:sz w:val="20"/>
                <w:szCs w:val="20"/>
                <w:color w:val="auto"/>
              </w:rPr>
            </w:pPr>
            <w:r>
              <w:rPr>
                <w:rFonts w:ascii="Arial" w:cs="Arial" w:eastAsia="Arial" w:hAnsi="Arial"/>
                <w:sz w:val="17"/>
                <w:szCs w:val="17"/>
                <w:color w:val="auto"/>
              </w:rPr>
              <w:t>May 1,</w:t>
            </w:r>
          </w:p>
        </w:tc>
        <w:tc>
          <w:tcPr>
            <w:tcW w:w="940" w:type="dxa"/>
            <w:vAlign w:val="bottom"/>
            <w:tcBorders>
              <w:top w:val="single" w:sz="8" w:color="auto"/>
            </w:tcBorders>
          </w:tcPr>
          <w:p>
            <w:pPr>
              <w:jc w:val="center"/>
              <w:ind w:right="95"/>
              <w:spacing w:after="0" w:line="193" w:lineRule="exact"/>
              <w:rPr>
                <w:sz w:val="20"/>
                <w:szCs w:val="20"/>
                <w:color w:val="auto"/>
              </w:rPr>
            </w:pPr>
            <w:r>
              <w:rPr>
                <w:rFonts w:ascii="Arial" w:cs="Arial" w:eastAsia="Arial" w:hAnsi="Arial"/>
                <w:sz w:val="17"/>
                <w:szCs w:val="17"/>
                <w:color w:val="auto"/>
                <w:w w:val="93"/>
              </w:rPr>
              <w:t>May 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00"/>
              <w:spacing w:after="0" w:line="193" w:lineRule="exact"/>
              <w:rPr>
                <w:sz w:val="20"/>
                <w:szCs w:val="20"/>
                <w:color w:val="auto"/>
              </w:rPr>
            </w:pPr>
            <w:r>
              <w:rPr>
                <w:rFonts w:ascii="Arial" w:cs="Arial" w:eastAsia="Arial" w:hAnsi="Arial"/>
                <w:sz w:val="17"/>
                <w:szCs w:val="17"/>
                <w:color w:val="auto"/>
                <w:w w:val="93"/>
              </w:rPr>
              <w:t>May 1,</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5"/>
              <w:spacing w:after="0" w:line="193" w:lineRule="exact"/>
              <w:rPr>
                <w:sz w:val="20"/>
                <w:szCs w:val="20"/>
                <w:color w:val="auto"/>
              </w:rPr>
            </w:pPr>
            <w:r>
              <w:rPr>
                <w:rFonts w:ascii="Arial" w:cs="Arial" w:eastAsia="Arial" w:hAnsi="Arial"/>
                <w:sz w:val="17"/>
                <w:szCs w:val="17"/>
                <w:color w:val="auto"/>
                <w:w w:val="93"/>
              </w:rPr>
              <w:t>May 2,</w:t>
            </w:r>
          </w:p>
        </w:tc>
        <w:tc>
          <w:tcPr>
            <w:tcW w:w="100" w:type="dxa"/>
            <w:vAlign w:val="bottom"/>
          </w:tcPr>
          <w:p>
            <w:pPr>
              <w:spacing w:after="0"/>
              <w:rPr>
                <w:sz w:val="16"/>
                <w:szCs w:val="16"/>
                <w:color w:val="auto"/>
              </w:rPr>
            </w:pPr>
          </w:p>
        </w:tc>
      </w:tr>
      <w:tr>
        <w:trPr>
          <w:trHeight w:val="179"/>
        </w:trPr>
        <w:tc>
          <w:tcPr>
            <w:tcW w:w="6060" w:type="dxa"/>
            <w:vAlign w:val="bottom"/>
            <w:gridSpan w:val="3"/>
          </w:tcPr>
          <w:p>
            <w:pPr>
              <w:spacing w:after="0" w:line="179" w:lineRule="exact"/>
              <w:rPr>
                <w:sz w:val="20"/>
                <w:szCs w:val="20"/>
                <w:color w:val="auto"/>
              </w:rPr>
            </w:pPr>
            <w:r>
              <w:rPr>
                <w:rFonts w:ascii="Arial" w:cs="Arial" w:eastAsia="Arial" w:hAnsi="Arial"/>
                <w:sz w:val="17"/>
                <w:szCs w:val="17"/>
                <w:i w:val="1"/>
                <w:iCs w:val="1"/>
                <w:color w:val="auto"/>
              </w:rPr>
              <w:t>Basic</w:t>
            </w:r>
          </w:p>
        </w:tc>
        <w:tc>
          <w:tcPr>
            <w:tcW w:w="1160" w:type="dxa"/>
            <w:vAlign w:val="bottom"/>
          </w:tcPr>
          <w:p>
            <w:pPr>
              <w:jc w:val="right"/>
              <w:ind w:right="315"/>
              <w:spacing w:after="0" w:line="179" w:lineRule="exact"/>
              <w:rPr>
                <w:sz w:val="20"/>
                <w:szCs w:val="20"/>
                <w:color w:val="auto"/>
              </w:rPr>
            </w:pPr>
            <w:r>
              <w:rPr>
                <w:rFonts w:ascii="Arial" w:cs="Arial" w:eastAsia="Arial" w:hAnsi="Arial"/>
                <w:sz w:val="17"/>
                <w:szCs w:val="17"/>
                <w:color w:val="auto"/>
              </w:rPr>
              <w:t>2009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75"/>
              <w:spacing w:after="0" w:line="179" w:lineRule="exact"/>
              <w:rPr>
                <w:sz w:val="20"/>
                <w:szCs w:val="20"/>
                <w:color w:val="auto"/>
              </w:rPr>
            </w:pPr>
            <w:r>
              <w:rPr>
                <w:rFonts w:ascii="Arial" w:cs="Arial" w:eastAsia="Arial" w:hAnsi="Arial"/>
                <w:sz w:val="17"/>
                <w:szCs w:val="17"/>
                <w:color w:val="auto"/>
                <w:w w:val="89"/>
              </w:rPr>
              <w:t>2008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75"/>
              <w:spacing w:after="0" w:line="179" w:lineRule="exact"/>
              <w:rPr>
                <w:sz w:val="20"/>
                <w:szCs w:val="20"/>
                <w:color w:val="auto"/>
              </w:rPr>
            </w:pPr>
            <w:r>
              <w:rPr>
                <w:rFonts w:ascii="Arial" w:cs="Arial" w:eastAsia="Arial" w:hAnsi="Arial"/>
                <w:sz w:val="17"/>
                <w:szCs w:val="17"/>
                <w:color w:val="auto"/>
                <w:w w:val="89"/>
              </w:rPr>
              <w:t>2009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5"/>
              <w:spacing w:after="0" w:line="179" w:lineRule="exact"/>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5"/>
                <w:szCs w:val="15"/>
                <w:color w:val="auto"/>
              </w:rPr>
            </w:pPr>
          </w:p>
        </w:tc>
      </w:tr>
      <w:tr>
        <w:trPr>
          <w:trHeight w:val="24"/>
        </w:trPr>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Weighted-average number of shares of common stock</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36,397</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36,374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38,301</w:t>
            </w:r>
          </w:p>
        </w:tc>
      </w:tr>
      <w:tr>
        <w:trPr>
          <w:trHeight w:val="210"/>
        </w:trPr>
        <w:tc>
          <w:tcPr>
            <w:tcW w:w="6060" w:type="dxa"/>
            <w:vAlign w:val="bottom"/>
            <w:gridSpan w:val="3"/>
          </w:tcPr>
          <w:p>
            <w:pPr>
              <w:spacing w:after="0"/>
              <w:rPr>
                <w:sz w:val="20"/>
                <w:szCs w:val="20"/>
                <w:color w:val="auto"/>
              </w:rPr>
            </w:pPr>
            <w:r>
              <w:rPr>
                <w:rFonts w:ascii="Arial" w:cs="Arial" w:eastAsia="Arial" w:hAnsi="Arial"/>
                <w:sz w:val="17"/>
                <w:szCs w:val="17"/>
                <w:color w:val="auto"/>
              </w:rPr>
              <w:t>Assumed issuance of contingent shares</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r>
      <w:tr>
        <w:trPr>
          <w:trHeight w:val="192"/>
        </w:trPr>
        <w:tc>
          <w:tcPr>
            <w:tcW w:w="606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w w:val="99"/>
              </w:rPr>
              <w:t>Weighted-average number of shares of common stock and assumed issuance of</w:t>
            </w: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7"/>
        </w:trPr>
        <w:tc>
          <w:tcPr>
            <w:tcW w:w="6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contingent shares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36,397</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36,382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38,313</w:t>
            </w:r>
          </w:p>
        </w:tc>
      </w:tr>
      <w:tr>
        <w:trPr>
          <w:trHeight w:val="167"/>
        </w:trPr>
        <w:tc>
          <w:tcPr>
            <w:tcW w:w="520" w:type="dxa"/>
            <w:vAlign w:val="bottom"/>
            <w:tcBorders>
              <w:top w:val="single" w:sz="8" w:color="CCEEFF"/>
              <w:bottom w:val="single" w:sz="8" w:color="auto"/>
            </w:tcBorders>
            <w:gridSpan w:val="2"/>
          </w:tcPr>
          <w:p>
            <w:pPr>
              <w:spacing w:after="0" w:line="159" w:lineRule="exact"/>
              <w:rPr>
                <w:sz w:val="20"/>
                <w:szCs w:val="20"/>
                <w:color w:val="auto"/>
              </w:rPr>
            </w:pPr>
            <w:r>
              <w:rPr>
                <w:rFonts w:ascii="Arial" w:cs="Arial" w:eastAsia="Arial" w:hAnsi="Arial"/>
                <w:sz w:val="17"/>
                <w:szCs w:val="17"/>
                <w:i w:val="1"/>
                <w:iCs w:val="1"/>
                <w:color w:val="auto"/>
                <w:w w:val="94"/>
              </w:rPr>
              <w:t>Diluted</w:t>
            </w:r>
          </w:p>
        </w:tc>
        <w:tc>
          <w:tcPr>
            <w:tcW w:w="55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1"/>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Weighted-average number of shares of common stock and assumed issuance of</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6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contingent shares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36,397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36,382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38,313</w:t>
            </w:r>
          </w:p>
        </w:tc>
      </w:tr>
      <w:tr>
        <w:trPr>
          <w:trHeight w:val="210"/>
        </w:trPr>
        <w:tc>
          <w:tcPr>
            <w:tcW w:w="6060" w:type="dxa"/>
            <w:vAlign w:val="bottom"/>
            <w:gridSpan w:val="3"/>
          </w:tcPr>
          <w:p>
            <w:pPr>
              <w:spacing w:after="0"/>
              <w:rPr>
                <w:sz w:val="20"/>
                <w:szCs w:val="20"/>
                <w:color w:val="auto"/>
              </w:rPr>
            </w:pPr>
            <w:r>
              <w:rPr>
                <w:rFonts w:ascii="Arial" w:cs="Arial" w:eastAsia="Arial" w:hAnsi="Arial"/>
                <w:sz w:val="17"/>
                <w:szCs w:val="17"/>
                <w:color w:val="auto"/>
              </w:rPr>
              <w:t>Effect of dilutive securities</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366</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950</w:t>
            </w:r>
          </w:p>
        </w:tc>
      </w:tr>
      <w:tr>
        <w:trPr>
          <w:trHeight w:val="192"/>
        </w:trPr>
        <w:tc>
          <w:tcPr>
            <w:tcW w:w="606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w w:val="91"/>
              </w:rPr>
              <w:t>Weighted-average number of shares of common stock, assumed issuance of contingent</w:t>
            </w: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7"/>
        </w:trPr>
        <w:tc>
          <w:tcPr>
            <w:tcW w:w="6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shares, and effect of dilutive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39,126</w:t>
            </w:r>
          </w:p>
        </w:tc>
        <w:tc>
          <w:tcPr>
            <w:tcW w:w="1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36,807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39,263</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80" w:firstLine="213"/>
        <w:spacing w:after="0" w:line="299" w:lineRule="auto"/>
        <w:rPr>
          <w:sz w:val="20"/>
          <w:szCs w:val="20"/>
          <w:color w:val="auto"/>
        </w:rPr>
      </w:pPr>
      <w:r>
        <w:rPr>
          <w:rFonts w:ascii="Arial" w:cs="Arial" w:eastAsia="Arial" w:hAnsi="Arial"/>
          <w:sz w:val="15"/>
          <w:szCs w:val="15"/>
          <w:color w:val="auto"/>
        </w:rPr>
        <w:t>Options to purchase an aggregate of 1,853,681 and 715,135 shares of common stock outstanding during the second quarter of fiscal 2009 and 2008, respectively, were excluded from the diluted net earnings per share calculation because their exercise prices were greater than the average market price of the company’s common stock during the same respective periods. Options to purchase an aggregate of 1,853,681 and 164,940 shares of common stock outstanding during the year-to-date periods through the second quarter of fiscal 2009 and 2008, respectively, were excluded from the diluted net earnings per share calculations because their exercise prices were greater than the average market price of the company’s common stock during the same respective periods.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5960" w:type="dxa"/>
            <w:vAlign w:val="bottom"/>
          </w:tcPr>
          <w:p>
            <w:pPr>
              <w:spacing w:after="0"/>
              <w:rPr>
                <w:sz w:val="20"/>
                <w:szCs w:val="20"/>
                <w:color w:val="auto"/>
              </w:rPr>
            </w:pPr>
            <w:r>
              <w:rPr>
                <w:rFonts w:ascii="Arial" w:cs="Arial" w:eastAsia="Arial" w:hAnsi="Arial"/>
                <w:sz w:val="17"/>
                <w:szCs w:val="17"/>
                <w:b w:val="1"/>
                <w:bCs w:val="1"/>
                <w:color w:val="auto"/>
              </w:rPr>
              <w:t>Goodwill</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7440" w:type="dxa"/>
            <w:vAlign w:val="bottom"/>
            <w:gridSpan w:val="4"/>
          </w:tcPr>
          <w:p>
            <w:pPr>
              <w:spacing w:after="0"/>
              <w:rPr>
                <w:sz w:val="20"/>
                <w:szCs w:val="20"/>
                <w:color w:val="auto"/>
              </w:rPr>
            </w:pPr>
            <w:r>
              <w:rPr>
                <w:rFonts w:ascii="Arial" w:cs="Arial" w:eastAsia="Arial" w:hAnsi="Arial"/>
                <w:sz w:val="17"/>
                <w:szCs w:val="17"/>
                <w:color w:val="auto"/>
                <w:w w:val="94"/>
              </w:rPr>
              <w:t>The changes in the net carrying amount of goodwill for the first six months of fiscal 2009 were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35"/>
              <w:spacing w:after="0"/>
              <w:rPr>
                <w:sz w:val="20"/>
                <w:szCs w:val="20"/>
                <w:color w:val="auto"/>
              </w:rPr>
            </w:pPr>
            <w:r>
              <w:rPr>
                <w:rFonts w:ascii="Arial" w:cs="Arial" w:eastAsia="Arial" w:hAnsi="Arial"/>
                <w:sz w:val="17"/>
                <w:szCs w:val="17"/>
                <w:color w:val="auto"/>
                <w:w w:val="91"/>
              </w:rPr>
              <w:t>Professional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Residential</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5"/>
              </w:rPr>
              <w:t>Segment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8"/>
              </w:rPr>
              <w:t>Segment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color w:val="auto"/>
                <w:w w:val="95"/>
              </w:rPr>
              <w:t>Total</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October 31, 2008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75,456</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10,736</w:t>
            </w:r>
          </w:p>
        </w:tc>
        <w:tc>
          <w:tcPr>
            <w:tcW w:w="160" w:type="dxa"/>
            <w:vAlign w:val="bottom"/>
            <w:tcBorders>
              <w:lef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86,192</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Translation adjustment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198</w:t>
            </w:r>
          </w:p>
        </w:tc>
      </w:tr>
      <w:tr>
        <w:trPr>
          <w:trHeight w:val="26"/>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May 1, 2009</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75,523</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10,867</w:t>
            </w:r>
          </w:p>
        </w:tc>
        <w:tc>
          <w:tcPr>
            <w:tcW w:w="160" w:type="dxa"/>
            <w:vAlign w:val="bottom"/>
            <w:tcBorders>
              <w:left w:val="single" w:sz="8" w:color="CCEEFF"/>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86,390</w:t>
            </w:r>
          </w:p>
        </w:tc>
      </w:tr>
      <w:tr>
        <w:trPr>
          <w:trHeight w:val="425"/>
        </w:trPr>
        <w:tc>
          <w:tcPr>
            <w:tcW w:w="59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Other Intangible Assets</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5"/>
        </w:trPr>
        <w:tc>
          <w:tcPr>
            <w:tcW w:w="5960" w:type="dxa"/>
            <w:vAlign w:val="bottom"/>
          </w:tcPr>
          <w:p>
            <w:pPr>
              <w:spacing w:after="0"/>
              <w:rPr>
                <w:sz w:val="20"/>
                <w:szCs w:val="20"/>
                <w:color w:val="auto"/>
              </w:rPr>
            </w:pPr>
            <w:r>
              <w:rPr>
                <w:rFonts w:ascii="Arial" w:cs="Arial" w:eastAsia="Arial" w:hAnsi="Arial"/>
                <w:sz w:val="17"/>
                <w:szCs w:val="17"/>
                <w:color w:val="auto"/>
              </w:rPr>
              <w:t>The components of other amortizable intangible assets were as follows: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90"/>
              </w:rPr>
              <w:t>Gross Carrying</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May 1, 2009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Life (Years)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5"/>
              </w:rPr>
              <w:t>Amount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Amortization</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color w:val="auto"/>
                <w:w w:val="90"/>
              </w:rPr>
              <w:t>Net</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(6,550)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1,103</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Non-compete agreements</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(1,351)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1,087</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(1,148)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5,086</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Developed technology</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7,868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(2,646)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5,222</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ind w:left="120"/>
              <w:spacing w:after="0"/>
              <w:rPr>
                <w:sz w:val="20"/>
                <w:szCs w:val="20"/>
                <w:color w:val="auto"/>
              </w:rPr>
            </w:pPr>
            <w:r>
              <w:rPr>
                <w:rFonts w:ascii="Arial" w:cs="Arial" w:eastAsia="Arial" w:hAnsi="Arial"/>
                <w:sz w:val="17"/>
                <w:szCs w:val="17"/>
                <w:color w:val="auto"/>
              </w:rPr>
              <w:t>Total amortizable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24,993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(12,495)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12,498</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Non-amortizable - Trade names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5,578</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5,578</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30,571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(12,495)</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18,076</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140" w:type="dxa"/>
            <w:vAlign w:val="bottom"/>
            <w:gridSpan w:val="2"/>
          </w:tcPr>
          <w:p>
            <w:pPr>
              <w:jc w:val="center"/>
              <w:spacing w:after="0"/>
              <w:rPr>
                <w:sz w:val="20"/>
                <w:szCs w:val="20"/>
                <w:color w:val="auto"/>
              </w:rPr>
            </w:pPr>
            <w:r>
              <w:rPr>
                <w:rFonts w:ascii="Arial" w:cs="Arial" w:eastAsia="Arial" w:hAnsi="Arial"/>
                <w:sz w:val="17"/>
                <w:szCs w:val="17"/>
                <w:color w:val="auto"/>
                <w:w w:val="90"/>
              </w:rPr>
              <w:t>Gross Carrying</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October 31, 2008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Life (Years)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5"/>
              </w:rPr>
              <w:t>Amount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Amortization</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color w:val="auto"/>
                <w:w w:val="90"/>
              </w:rPr>
              <w:t>Net</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(6,320)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Non-compete agreements</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(1,180)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1,259</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6,327</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5,399</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Developed technology</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(2,327)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5,259</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ind w:left="120"/>
              <w:spacing w:after="0"/>
              <w:rPr>
                <w:sz w:val="20"/>
                <w:szCs w:val="20"/>
                <w:color w:val="auto"/>
              </w:rPr>
            </w:pPr>
            <w:r>
              <w:rPr>
                <w:rFonts w:ascii="Arial" w:cs="Arial" w:eastAsia="Arial" w:hAnsi="Arial"/>
                <w:sz w:val="17"/>
                <w:szCs w:val="17"/>
                <w:color w:val="auto"/>
              </w:rPr>
              <w:t>Total amortizable</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24,805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(11,555)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13,250</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Non-amortizable - Trade names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5,578</w:t>
            </w:r>
          </w:p>
        </w:tc>
        <w:tc>
          <w:tcPr>
            <w:tcW w:w="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5,578</w:t>
            </w: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30,383</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(11,555)</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18,828</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20" w:firstLine="204"/>
        <w:spacing w:after="0" w:line="263" w:lineRule="auto"/>
        <w:rPr>
          <w:sz w:val="20"/>
          <w:szCs w:val="20"/>
          <w:color w:val="auto"/>
        </w:rPr>
      </w:pPr>
      <w:r>
        <w:rPr>
          <w:rFonts w:ascii="Arial" w:cs="Arial" w:eastAsia="Arial" w:hAnsi="Arial"/>
          <w:sz w:val="17"/>
          <w:szCs w:val="17"/>
          <w:color w:val="auto"/>
        </w:rPr>
        <w:t>Amortization expense for intangible assets during the first six months of fiscal 2009 was $1.0 million. Estimated amortization expense for the remainder of fiscal 2009 and succeeding fiscal years is as follows: fiscal 2009 (remainder), $0.9 million; fiscal 2010, $1.7 million; fiscal 2011, $1.7 million; fiscal 2012, $1.6 million; fiscal 2013, $1.5 million; fiscal 2014; $1.1 million; and after fiscal 2014, $4.0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Data</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Company-owned domestic distributorships, which consists of our distribution segment, has been combined with our corporate activities, financing functions, and elimination of intersegment revenues and expenses that is shown as “Other” in the following tables.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9" w:name="page10"/>
    <w:bookmarkEnd w:id="9"/>
    <w:p>
      <w:pPr>
        <w:ind w:left="220"/>
        <w:spacing w:after="0"/>
        <w:rPr>
          <w:sz w:val="20"/>
          <w:szCs w:val="20"/>
          <w:color w:val="auto"/>
        </w:rPr>
      </w:pPr>
      <w:r>
        <w:rPr>
          <w:rFonts w:ascii="Arial" w:cs="Arial" w:eastAsia="Arial" w:hAnsi="Arial"/>
          <w:sz w:val="17"/>
          <w:szCs w:val="17"/>
          <w:color w:val="auto"/>
        </w:rPr>
        <w:t>The following table shows the summarized financial information concerning the company’s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Three months ended May 1, 2009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Professional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0"/>
              </w:rPr>
              <w:t>Residential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Total</w:t>
            </w:r>
          </w:p>
        </w:tc>
        <w:tc>
          <w:tcPr>
            <w:tcW w:w="260" w:type="dxa"/>
            <w:vAlign w:val="bottom"/>
            <w:gridSpan w:val="2"/>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310,377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183,557</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5,918</w:t>
            </w:r>
          </w:p>
        </w:tc>
        <w:tc>
          <w:tcPr>
            <w:tcW w:w="1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499,852</w:t>
            </w:r>
          </w:p>
        </w:tc>
        <w:tc>
          <w:tcPr>
            <w:tcW w:w="2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7,971</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56,859</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16,581</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(17,383)</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56,057</w:t>
            </w:r>
          </w:p>
        </w:tc>
        <w:tc>
          <w:tcPr>
            <w:tcW w:w="40" w:type="dxa"/>
            <w:vAlign w:val="bottom"/>
            <w:shd w:val="clear" w:color="auto" w:fill="CCEEFF"/>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Three months ended May 2, 2008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right="35"/>
              <w:spacing w:after="0"/>
              <w:rPr>
                <w:sz w:val="20"/>
                <w:szCs w:val="20"/>
                <w:color w:val="auto"/>
              </w:rPr>
            </w:pPr>
            <w:r>
              <w:rPr>
                <w:rFonts w:ascii="Arial" w:cs="Arial" w:eastAsia="Arial" w:hAnsi="Arial"/>
                <w:sz w:val="17"/>
                <w:szCs w:val="17"/>
                <w:color w:val="auto"/>
                <w:w w:val="89"/>
              </w:rPr>
              <w:t>Professional</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55"/>
              <w:spacing w:after="0"/>
              <w:rPr>
                <w:sz w:val="20"/>
                <w:szCs w:val="20"/>
                <w:color w:val="auto"/>
              </w:rPr>
            </w:pPr>
            <w:r>
              <w:rPr>
                <w:rFonts w:ascii="Arial" w:cs="Arial" w:eastAsia="Arial" w:hAnsi="Arial"/>
                <w:sz w:val="17"/>
                <w:szCs w:val="17"/>
                <w:color w:val="auto"/>
                <w:w w:val="90"/>
              </w:rPr>
              <w:t>Residential</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Total</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438,650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192,549</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7,311</w:t>
            </w:r>
          </w:p>
        </w:tc>
        <w:tc>
          <w:tcPr>
            <w:tcW w:w="16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638,510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11,117</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2,538</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(13,655)</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96,907</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20,782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(21,083)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96,606</w:t>
            </w:r>
          </w:p>
        </w:tc>
        <w:tc>
          <w:tcPr>
            <w:tcW w:w="40" w:type="dxa"/>
            <w:vAlign w:val="bottom"/>
          </w:tcPr>
          <w:p>
            <w:pPr>
              <w:spacing w:after="0"/>
              <w:rPr>
                <w:sz w:val="17"/>
                <w:szCs w:val="17"/>
                <w:color w:val="auto"/>
              </w:rPr>
            </w:pPr>
          </w:p>
        </w:tc>
      </w:tr>
      <w:tr>
        <w:trPr>
          <w:trHeight w:val="205"/>
        </w:trPr>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Six months ended May 1, 2009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Professional</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0"/>
              </w:rPr>
              <w:t>Residential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7"/>
                <w:szCs w:val="17"/>
                <w:color w:val="auto"/>
              </w:rPr>
              <w:t>Total</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539,746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290,581</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9,697</w:t>
            </w:r>
          </w:p>
        </w:tc>
        <w:tc>
          <w:tcPr>
            <w:tcW w:w="1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840,024</w:t>
            </w:r>
          </w:p>
        </w:tc>
        <w:tc>
          <w:tcPr>
            <w:tcW w:w="22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10,942</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889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(11,831)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86,988</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21,421</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(42,199)</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66,210</w:t>
            </w:r>
          </w:p>
        </w:tc>
        <w:tc>
          <w:tcPr>
            <w:tcW w:w="40" w:type="dxa"/>
            <w:vAlign w:val="bottom"/>
          </w:tcPr>
          <w:p>
            <w:pPr>
              <w:spacing w:after="0"/>
              <w:rPr>
                <w:sz w:val="17"/>
                <w:szCs w:val="17"/>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526,061</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243,224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242,059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1,011,344</w:t>
            </w:r>
          </w:p>
        </w:tc>
        <w:tc>
          <w:tcPr>
            <w:tcW w:w="40" w:type="dxa"/>
            <w:vAlign w:val="bottom"/>
          </w:tcPr>
          <w:p>
            <w:pPr>
              <w:spacing w:after="0"/>
              <w:rPr>
                <w:sz w:val="17"/>
                <w:szCs w:val="17"/>
                <w:color w:val="auto"/>
              </w:rPr>
            </w:pPr>
          </w:p>
        </w:tc>
      </w:tr>
      <w:tr>
        <w:trPr>
          <w:trHeight w:val="205"/>
        </w:trPr>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Six months ended May 2, 2008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Professional</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0"/>
              </w:rPr>
              <w:t>Residential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7"/>
                <w:szCs w:val="17"/>
                <w:color w:val="auto"/>
              </w:rPr>
              <w:t>Total</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733,697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298,874</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11,738</w:t>
            </w:r>
          </w:p>
        </w:tc>
        <w:tc>
          <w:tcPr>
            <w:tcW w:w="1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1,044,309</w:t>
            </w:r>
          </w:p>
        </w:tc>
        <w:tc>
          <w:tcPr>
            <w:tcW w:w="22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15,961</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(20,415)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148,460</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24,563</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(47,582)</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125,441</w:t>
            </w:r>
          </w:p>
        </w:tc>
        <w:tc>
          <w:tcPr>
            <w:tcW w:w="22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648,050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295,342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260,495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1,203,887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3"/>
        </w:trPr>
        <w:tc>
          <w:tcPr>
            <w:tcW w:w="7440" w:type="dxa"/>
            <w:vAlign w:val="bottom"/>
            <w:gridSpan w:val="5"/>
          </w:tcPr>
          <w:p>
            <w:pPr>
              <w:spacing w:after="0"/>
              <w:rPr>
                <w:sz w:val="20"/>
                <w:szCs w:val="20"/>
                <w:color w:val="auto"/>
              </w:rPr>
            </w:pPr>
            <w:r>
              <w:rPr>
                <w:rFonts w:ascii="Arial" w:cs="Arial" w:eastAsia="Arial" w:hAnsi="Arial"/>
                <w:sz w:val="17"/>
                <w:szCs w:val="17"/>
                <w:color w:val="auto"/>
              </w:rPr>
              <w:t>The following table presents the details of the other segment operating loss before income taxes: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2"/>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center"/>
              <w:ind w:right="300"/>
              <w:spacing w:after="0"/>
              <w:rPr>
                <w:sz w:val="20"/>
                <w:szCs w:val="20"/>
                <w:color w:val="auto"/>
              </w:rPr>
            </w:pPr>
            <w:r>
              <w:rPr>
                <w:rFonts w:ascii="Arial" w:cs="Arial" w:eastAsia="Arial" w:hAnsi="Arial"/>
                <w:sz w:val="17"/>
                <w:szCs w:val="17"/>
                <w:color w:val="auto"/>
                <w:w w:val="92"/>
              </w:rPr>
              <w:t>Six Months Ended</w:t>
            </w:r>
          </w:p>
        </w:tc>
      </w:tr>
      <w:tr>
        <w:trPr>
          <w:trHeight w:val="192"/>
        </w:trPr>
        <w:tc>
          <w:tcPr>
            <w:tcW w:w="59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40"/>
              <w:spacing w:after="0" w:line="193" w:lineRule="exact"/>
              <w:rPr>
                <w:sz w:val="20"/>
                <w:szCs w:val="20"/>
                <w:color w:val="auto"/>
              </w:rPr>
            </w:pPr>
            <w:r>
              <w:rPr>
                <w:rFonts w:ascii="Arial" w:cs="Arial" w:eastAsia="Arial" w:hAnsi="Arial"/>
                <w:sz w:val="17"/>
                <w:szCs w:val="17"/>
                <w:color w:val="auto"/>
                <w:w w:val="93"/>
              </w:rPr>
              <w:t>May 1,</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5"/>
              <w:spacing w:after="0" w:line="193" w:lineRule="exact"/>
              <w:rPr>
                <w:sz w:val="20"/>
                <w:szCs w:val="20"/>
                <w:color w:val="auto"/>
              </w:rPr>
            </w:pPr>
            <w:r>
              <w:rPr>
                <w:rFonts w:ascii="Arial" w:cs="Arial" w:eastAsia="Arial" w:hAnsi="Arial"/>
                <w:sz w:val="17"/>
                <w:szCs w:val="17"/>
                <w:color w:val="auto"/>
                <w:w w:val="93"/>
              </w:rPr>
              <w:t>May 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120"/>
              <w:spacing w:after="0" w:line="193" w:lineRule="exact"/>
              <w:rPr>
                <w:sz w:val="20"/>
                <w:szCs w:val="20"/>
                <w:color w:val="auto"/>
              </w:rPr>
            </w:pPr>
            <w:r>
              <w:rPr>
                <w:rFonts w:ascii="Arial" w:cs="Arial" w:eastAsia="Arial" w:hAnsi="Arial"/>
                <w:sz w:val="17"/>
                <w:szCs w:val="17"/>
                <w:color w:val="auto"/>
              </w:rPr>
              <w:t>May 1,</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380"/>
              <w:spacing w:after="0" w:line="193" w:lineRule="exact"/>
              <w:rPr>
                <w:sz w:val="20"/>
                <w:szCs w:val="20"/>
                <w:color w:val="auto"/>
              </w:rPr>
            </w:pPr>
            <w:r>
              <w:rPr>
                <w:rFonts w:ascii="Arial" w:cs="Arial" w:eastAsia="Arial" w:hAnsi="Arial"/>
                <w:sz w:val="17"/>
                <w:szCs w:val="17"/>
                <w:color w:val="auto"/>
              </w:rPr>
              <w:t>May 2,</w:t>
            </w:r>
          </w:p>
        </w:tc>
        <w:tc>
          <w:tcPr>
            <w:tcW w:w="40" w:type="dxa"/>
            <w:vAlign w:val="bottom"/>
          </w:tcPr>
          <w:p>
            <w:pPr>
              <w:spacing w:after="0"/>
              <w:rPr>
                <w:sz w:val="16"/>
                <w:szCs w:val="16"/>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2009</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2008</w:t>
            </w:r>
          </w:p>
        </w:tc>
        <w:tc>
          <w:tcPr>
            <w:tcW w:w="2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Corporate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(17,437)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(19,396)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(39,813)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(43,889)</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Finance charge revenue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343</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606</w:t>
            </w:r>
          </w:p>
        </w:tc>
        <w:tc>
          <w:tcPr>
            <w:tcW w:w="40" w:type="dxa"/>
            <w:vAlign w:val="bottom"/>
          </w:tcPr>
          <w:p>
            <w:pPr>
              <w:spacing w:after="0"/>
              <w:rPr>
                <w:sz w:val="17"/>
                <w:szCs w:val="17"/>
                <w:color w:val="auto"/>
              </w:rPr>
            </w:pPr>
          </w:p>
        </w:tc>
      </w:tr>
      <w:tr>
        <w:trPr>
          <w:trHeight w:val="192"/>
        </w:trPr>
        <w:tc>
          <w:tcPr>
            <w:tcW w:w="59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Elimination of corporate financing</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7"/>
        </w:trPr>
        <w:tc>
          <w:tcPr>
            <w:tcW w:w="5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2,040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3,048</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3,573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5,250</w:t>
            </w:r>
          </w:p>
        </w:tc>
        <w:tc>
          <w:tcPr>
            <w:tcW w:w="40" w:type="dxa"/>
            <w:vAlign w:val="bottom"/>
            <w:shd w:val="clear" w:color="auto" w:fill="CCEEFF"/>
          </w:tcPr>
          <w:p>
            <w:pPr>
              <w:spacing w:after="0"/>
              <w:rPr>
                <w:sz w:val="18"/>
                <w:szCs w:val="18"/>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(4,420)</w:t>
            </w:r>
          </w:p>
        </w:tc>
        <w:tc>
          <w:tcPr>
            <w:tcW w:w="1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(5,419)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75"/>
              <w:spacing w:after="0"/>
              <w:rPr>
                <w:sz w:val="20"/>
                <w:szCs w:val="20"/>
                <w:color w:val="auto"/>
              </w:rPr>
            </w:pPr>
            <w:r>
              <w:rPr>
                <w:rFonts w:ascii="Arial" w:cs="Arial" w:eastAsia="Arial" w:hAnsi="Arial"/>
                <w:sz w:val="17"/>
                <w:szCs w:val="17"/>
                <w:color w:val="auto"/>
              </w:rPr>
              <w:t>(8,778)</w:t>
            </w:r>
          </w:p>
        </w:tc>
        <w:tc>
          <w:tcPr>
            <w:tcW w:w="16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(10,302)</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2,298</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753</w:t>
            </w:r>
          </w:p>
        </w:tc>
        <w:tc>
          <w:tcPr>
            <w:tcW w:w="40" w:type="dxa"/>
            <w:vAlign w:val="bottom"/>
            <w:shd w:val="clear" w:color="auto" w:fill="CCEEFF"/>
          </w:tcPr>
          <w:p>
            <w:pPr>
              <w:spacing w:after="0"/>
              <w:rPr>
                <w:sz w:val="17"/>
                <w:szCs w:val="17"/>
                <w:color w:val="auto"/>
              </w:rPr>
            </w:pPr>
          </w:p>
        </w:tc>
      </w:tr>
      <w:tr>
        <w:trPr>
          <w:trHeight w:val="26"/>
        </w:trPr>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(17,383)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(21,083)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75"/>
              <w:spacing w:after="0"/>
              <w:rPr>
                <w:sz w:val="20"/>
                <w:szCs w:val="20"/>
                <w:color w:val="auto"/>
              </w:rPr>
            </w:pPr>
            <w:r>
              <w:rPr>
                <w:rFonts w:ascii="Arial" w:cs="Arial" w:eastAsia="Arial" w:hAnsi="Arial"/>
                <w:sz w:val="17"/>
                <w:szCs w:val="17"/>
                <w:color w:val="auto"/>
              </w:rPr>
              <w:t>(42,199)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(47,582)</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Guarantees</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ind w:left="220"/>
        <w:spacing w:after="0"/>
        <w:rPr>
          <w:sz w:val="20"/>
          <w:szCs w:val="20"/>
          <w:color w:val="auto"/>
        </w:rPr>
      </w:pPr>
      <w:r>
        <w:rPr>
          <w:rFonts w:ascii="Arial" w:cs="Arial" w:eastAsia="Arial" w:hAnsi="Arial"/>
          <w:sz w:val="17"/>
          <w:szCs w:val="17"/>
          <w:color w:val="auto"/>
        </w:rPr>
        <w:t>Warranty provisions, claims, and changes in estimates for the first six-month periods in fiscal 2009 and 2008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Beginning</w:t>
            </w: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Warranty</w:t>
            </w:r>
          </w:p>
        </w:tc>
        <w:tc>
          <w:tcPr>
            <w:tcW w:w="1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Warranty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w w:val="92"/>
              </w:rPr>
              <w:t>Changes in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Ending</w:t>
            </w: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Six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7"/>
              </w:rPr>
              <w:t>Balance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1"/>
              </w:rPr>
              <w:t>Provisions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2"/>
              </w:rPr>
              <w:t>Claims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99"/>
              </w:rPr>
              <w:t>Estimates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1"/>
              </w:rPr>
              <w:t>Balance</w:t>
            </w:r>
          </w:p>
        </w:tc>
        <w:tc>
          <w:tcPr>
            <w:tcW w:w="100" w:type="dxa"/>
            <w:vAlign w:val="bottom"/>
          </w:tcPr>
          <w:p>
            <w:pPr>
              <w:spacing w:after="0"/>
              <w:rPr>
                <w:sz w:val="19"/>
                <w:szCs w:val="19"/>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May 1, 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58,770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7"/>
                <w:szCs w:val="17"/>
                <w:color w:val="auto"/>
                <w:w w:val="84"/>
              </w:rPr>
              <w:t>18,611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(15,487)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63,032</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May 2, 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62,030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24,497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(16,934)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69,561</w:t>
            </w:r>
          </w:p>
        </w:tc>
      </w:tr>
      <w:tr>
        <w:trPr>
          <w:trHeight w:val="80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20"/>
                <w:szCs w:val="20"/>
                <w:color w:val="auto"/>
              </w:rPr>
            </w:pPr>
            <w:r>
              <w:rPr>
                <w:rFonts w:ascii="Arial" w:cs="Arial" w:eastAsia="Arial" w:hAnsi="Arial"/>
                <w:sz w:val="17"/>
                <w:szCs w:val="17"/>
                <w:b w:val="1"/>
                <w:bCs w:val="1"/>
                <w:color w:val="auto"/>
              </w:rPr>
              <w:t>Postretirement Benefit and Deferred Compensation Plans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8820" w:type="dxa"/>
            <w:vAlign w:val="bottom"/>
            <w:gridSpan w:val="7"/>
          </w:tcPr>
          <w:p>
            <w:pPr>
              <w:spacing w:after="0"/>
              <w:rPr>
                <w:sz w:val="20"/>
                <w:szCs w:val="20"/>
                <w:color w:val="auto"/>
              </w:rPr>
            </w:pPr>
            <w:r>
              <w:rPr>
                <w:rFonts w:ascii="Arial" w:cs="Arial" w:eastAsia="Arial" w:hAnsi="Arial"/>
                <w:sz w:val="17"/>
                <w:szCs w:val="17"/>
                <w:color w:val="auto"/>
                <w:w w:val="91"/>
              </w:rPr>
              <w:t>The following table presents the components of net periodic benefit costs of the postretirement medical and dental benefit plan:</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6060" w:type="dxa"/>
            <w:vAlign w:val="bottom"/>
          </w:tcPr>
          <w:p>
            <w:pPr>
              <w:spacing w:after="0"/>
              <w:rPr>
                <w:sz w:val="24"/>
                <w:szCs w:val="24"/>
                <w:color w:val="auto"/>
              </w:rPr>
            </w:pPr>
          </w:p>
        </w:tc>
        <w:tc>
          <w:tcPr>
            <w:tcW w:w="2240" w:type="dxa"/>
            <w:vAlign w:val="bottom"/>
            <w:gridSpan w:val="4"/>
          </w:tcPr>
          <w:p>
            <w:pPr>
              <w:jc w:val="right"/>
              <w:ind w:right="155"/>
              <w:spacing w:after="0"/>
              <w:rPr>
                <w:sz w:val="20"/>
                <w:szCs w:val="20"/>
                <w:color w:val="auto"/>
              </w:rPr>
            </w:pPr>
            <w:r>
              <w:rPr>
                <w:rFonts w:ascii="Arial" w:cs="Arial" w:eastAsia="Arial" w:hAnsi="Arial"/>
                <w:sz w:val="17"/>
                <w:szCs w:val="17"/>
                <w:color w:val="auto"/>
              </w:rPr>
              <w:t>Three Months Ended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7"/>
                <w:szCs w:val="17"/>
                <w:color w:val="auto"/>
              </w:rPr>
              <w:t>Six Months Ended</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8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May 1,</w:t>
            </w: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May 2,</w:t>
            </w: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60"/>
              <w:spacing w:after="0" w:line="193" w:lineRule="exact"/>
              <w:rPr>
                <w:sz w:val="20"/>
                <w:szCs w:val="20"/>
                <w:color w:val="auto"/>
              </w:rPr>
            </w:pPr>
            <w:r>
              <w:rPr>
                <w:rFonts w:ascii="Arial" w:cs="Arial" w:eastAsia="Arial" w:hAnsi="Arial"/>
                <w:sz w:val="17"/>
                <w:szCs w:val="17"/>
                <w:color w:val="auto"/>
                <w:w w:val="93"/>
              </w:rPr>
              <w:t>May 1,</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2,</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2009</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2008</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Interest cost</w:t>
            </w:r>
          </w:p>
        </w:tc>
        <w:tc>
          <w:tcPr>
            <w:tcW w:w="8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w w:val="98"/>
              </w:rPr>
              <w:t>175</w:t>
            </w:r>
          </w:p>
        </w:tc>
        <w:tc>
          <w:tcPr>
            <w:tcW w:w="8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w w:val="98"/>
              </w:rPr>
              <w:t>128</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257</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cost</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86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Amortization of losses</w:t>
            </w: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106</w:t>
            </w:r>
          </w:p>
        </w:tc>
      </w:tr>
      <w:tr>
        <w:trPr>
          <w:trHeight w:val="26"/>
        </w:trPr>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expense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229</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223</w:t>
            </w: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446</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580"/>
        <w:spacing w:after="0" w:line="258" w:lineRule="auto"/>
        <w:rPr>
          <w:sz w:val="20"/>
          <w:szCs w:val="20"/>
          <w:color w:val="auto"/>
        </w:rPr>
      </w:pPr>
      <w:r>
        <w:rPr>
          <w:rFonts w:ascii="Arial" w:cs="Arial" w:eastAsia="Arial" w:hAnsi="Arial"/>
          <w:sz w:val="17"/>
          <w:szCs w:val="17"/>
          <w:color w:val="auto"/>
        </w:rPr>
        <w:t>As of May 1, 2009, the company had contributed approximately $0.2 million to its postretirement medical and dental benefit plan in fiscal 2009. The company presently expects to contribute a total of $0.4 million in fiscal 2009, including contributions made through May 1, 2009.</w:t>
      </w:r>
    </w:p>
    <w:p>
      <w:pPr>
        <w:jc w:val="both"/>
        <w:ind w:right="400" w:firstLine="210"/>
        <w:spacing w:after="0" w:line="251"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$3.8 million and $7.6 million for the second quarter and year-to-date periods in fiscal 2009, respectively, and $3.8 million and $8.2 million for the second quarter and year-to-date periods in fiscal 2008, respectively.</w:t>
      </w:r>
    </w:p>
    <w:p>
      <w:pPr>
        <w:spacing w:after="0" w:line="1" w:lineRule="exact"/>
        <w:rPr>
          <w:sz w:val="20"/>
          <w:szCs w:val="20"/>
          <w:color w:val="auto"/>
        </w:rPr>
      </w:pPr>
    </w:p>
    <w:p>
      <w:pPr>
        <w:ind w:right="240" w:firstLine="85"/>
        <w:spacing w:after="0" w:line="256" w:lineRule="auto"/>
        <w:rPr>
          <w:sz w:val="20"/>
          <w:szCs w:val="20"/>
          <w:color w:val="auto"/>
        </w:rPr>
      </w:pPr>
      <w:r>
        <w:rPr>
          <w:rFonts w:ascii="Arial" w:cs="Arial" w:eastAsia="Arial" w:hAnsi="Arial"/>
          <w:sz w:val="17"/>
          <w:szCs w:val="17"/>
          <w:color w:val="auto"/>
        </w:rPr>
        <w:t>The company also offers participants in the company’s deferred compensation plans the ability to invest their deferred compensation in multiple investment funds. The fair value of the investment in the deferred compensation plans as of May 1, 2009 was $13.5 million, which reduced the company’s deferred compensation liability reflected in accrued liabilities on the consolidated balance sheet.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company is subject to U.S. federal income tax as well as income tax of numerous state and foreign jurisdictions. The company is generally no longer subject to U.S. federal tax examinations for taxable years before fiscal 2005 and with limited exceptions, state and foreign income tax examinations for fiscal years before 2004. The Internal Revenue Service is currently examining the company’s income tax returns for the 2006 and 2007 fiscal years. It is possible that the examination phase of the audit may conclude in the next 12 months, and the related unrecognized tax benefits for tax positions taken may change from those recorded as liabilities for uncertain tax positions in the company’s financial statements as of May 1, 2009. Although the outcome of this examination cannot currently be determined, the company believes adequate provisions have been made for any potential unfavorable financial statement impact.</w:t>
      </w:r>
    </w:p>
    <w:p>
      <w:pPr>
        <w:spacing w:after="0" w:line="2" w:lineRule="exact"/>
        <w:rPr>
          <w:sz w:val="20"/>
          <w:szCs w:val="20"/>
          <w:color w:val="auto"/>
        </w:rPr>
      </w:pPr>
    </w:p>
    <w:p>
      <w:pPr>
        <w:ind w:firstLine="204"/>
        <w:spacing w:after="0" w:line="266" w:lineRule="auto"/>
        <w:rPr>
          <w:sz w:val="20"/>
          <w:szCs w:val="20"/>
          <w:color w:val="auto"/>
        </w:rPr>
      </w:pPr>
      <w:r>
        <w:rPr>
          <w:rFonts w:ascii="Arial" w:cs="Arial" w:eastAsia="Arial" w:hAnsi="Arial"/>
          <w:sz w:val="16"/>
          <w:szCs w:val="16"/>
          <w:color w:val="auto"/>
        </w:rPr>
        <w:t>As of May 1, 2009 and May 2, 2008, the company had $5.5 million of liabilities recorded related to unrecognized tax benefits. Accrued interest and penalties on these unrecognized tax benefits was $0.9 million as of May 1, 2009 and May 2, 2008. The company recognizes potential accrued interest and penalties related to unrecognized tax benefits as a component of the provision for income taxes. To the extent interest and penalties are not assessed with respect to uncertain tax positions, the amounts accrued will be revised and reflected as an adjustment to the provision for income taxes. Included in other long-term liabilities as of May 1, 2009 was approximately $3.0 million of unrecognized tax benefits that, if recognized, will affect the company’s effective tax rate.</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does not anticipate that total unrecognized tax benefits will change significantly during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24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In March 2008, the Financial Accounting Standards Board (FASB) issued SFAS No. 161, “Disclosures about Derivative Instruments and Hedging Activities, an amendment of FASB Statement No. 133.” SFAS No. 161 amends and expands the disclosure requirements of SFAS No. 133 with the intent to provide users of financial statements with an enhanced understanding of: (i) how and why an entity uses derivative instruments; (ii) how derivative instruments and related hedged items are accounted for under SFAS No. 133 and its related interpretations; and (iii) how derivative instruments and related hedged items affect an entity’s financial position, financial performance, and cash flows. The company adopted the disclosure requirements of this statement beginning in its first fiscal quarter ended January 30, 2009.</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1" w:name="page12"/>
    <w:bookmarkEnd w:id="11"/>
    <w:p>
      <w:pPr>
        <w:ind w:right="60" w:firstLine="210"/>
        <w:spacing w:after="0" w:line="272"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is not to allow the use of derivatives for trading or speculative purposes. The company’s primary foreign currency exchange rate exposures are with the Euro, the Australian dollar, the Canadian dollar, the British pound, the Mexican peso, and the Japanese yen against the U.S. dollar.</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SFAS No. 133, “Accounting for Derivative Instruments and Hedging Activities” requires companies to recognize all derivative instruments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assets or liabilities at fair value in the statement of financial position. The company formally documents all relationships between hedging instruments and hedged items, as well as its risk-management objective and strategy for undertaking hedge transactions. This process includes linking all derivatives to the forecasted transactions, such as sales to third parties and foreign plant operations. In accordance with SFAS No. 133, for derivative instruments that are designated and qualify as a cash flow hedge, all changes in fair values of outstanding cash flow hedge derivatives, except the ineffective portion, are recorded in other comprehensive income,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3" w:lineRule="exact"/>
        <w:rPr>
          <w:sz w:val="20"/>
          <w:szCs w:val="20"/>
          <w:color w:val="auto"/>
        </w:rPr>
      </w:pPr>
    </w:p>
    <w:p>
      <w:pPr>
        <w:ind w:right="100" w:firstLine="210"/>
        <w:spacing w:after="0" w:line="289" w:lineRule="auto"/>
        <w:rPr>
          <w:sz w:val="20"/>
          <w:szCs w:val="20"/>
          <w:color w:val="auto"/>
        </w:rPr>
      </w:pPr>
      <w:r>
        <w:rPr>
          <w:rFonts w:ascii="Arial" w:cs="Arial" w:eastAsia="Arial" w:hAnsi="Arial"/>
          <w:sz w:val="15"/>
          <w:szCs w:val="15"/>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income (AOCI)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other comprehensive income will be recognized immediately in net earnings. In all situations in which hedge accounting is discontinued and the derivative remains outstanding, the company carries the derivative at its fair value on the balance sheet, recognizing future changes in the fair value in other income, net. For the three and six month periods of fiscal 2009, there were no gains or losses on contracts reclassified into earnings as a result of the discontinuance of cash flow hedges. As of May 1, 2009, the notional amount outstanding of forward contracts designated as cash flow hedges was $49.7 million.</w:t>
      </w:r>
    </w:p>
    <w:p>
      <w:pPr>
        <w:spacing w:after="0" w:line="186"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under SFAS No. 133. </w:t>
      </w:r>
      <w:r>
        <w:rPr>
          <w:rFonts w:ascii="Arial" w:cs="Arial" w:eastAsia="Arial" w:hAnsi="Arial"/>
          <w:sz w:val="16"/>
          <w:szCs w:val="16"/>
          <w:color w:val="auto"/>
        </w:rPr>
        <w:t>The company also enters into forward currency contracts to mitigate the change in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specific assets and liabilities on the consolidated balance sheet. These contracts are not designated as hedging instruments under SFAS No. 133.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12" w:name="page13"/>
    <w:bookmarkEnd w:id="12"/>
    <w:p>
      <w:pPr>
        <w:ind w:left="120"/>
        <w:spacing w:after="0"/>
        <w:rPr>
          <w:sz w:val="20"/>
          <w:szCs w:val="20"/>
          <w:color w:val="auto"/>
        </w:rPr>
      </w:pPr>
      <w:r>
        <w:rPr>
          <w:rFonts w:ascii="Arial" w:cs="Arial" w:eastAsia="Arial" w:hAnsi="Arial"/>
          <w:sz w:val="15"/>
          <w:szCs w:val="15"/>
          <w:color w:val="auto"/>
        </w:rPr>
        <w:t>The following table presents the f</w:t>
      </w:r>
      <w:r>
        <w:rPr>
          <w:rFonts w:ascii="Arial" w:cs="Arial" w:eastAsia="Arial" w:hAnsi="Arial"/>
          <w:sz w:val="15"/>
          <w:szCs w:val="15"/>
          <w:u w:val="single" w:color="auto"/>
          <w:color w:val="auto"/>
        </w:rPr>
        <w:t>air value of the company’s derivatives and consolidated balan</w:t>
      </w:r>
      <w:r>
        <w:rPr>
          <w:rFonts w:ascii="Arial" w:cs="Arial" w:eastAsia="Arial" w:hAnsi="Arial"/>
          <w:sz w:val="15"/>
          <w:szCs w:val="15"/>
          <w:color w:val="auto"/>
        </w:rPr>
        <w:t>ce sheet location.</w:t>
      </w:r>
    </w:p>
    <w:p>
      <w:pPr>
        <w:sectPr>
          <w:pgSz w:w="11900" w:h="16838" w:orient="portrait"/>
          <w:cols w:equalWidth="0" w:num="1">
            <w:col w:w="11420"/>
          </w:cols>
          <w:pgMar w:left="240" w:top="498" w:right="239" w:bottom="1440" w:gutter="0" w:footer="0" w:header="0"/>
        </w:sectPr>
      </w:pPr>
    </w:p>
    <w:p>
      <w:pPr>
        <w:spacing w:after="0" w:line="43"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Asset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14605</wp:posOffset>
            </wp:positionV>
            <wp:extent cx="266446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64460" cy="16510"/>
                    </a:xfrm>
                    <a:prstGeom prst="rect">
                      <a:avLst/>
                    </a:prstGeom>
                    <a:noFill/>
                  </pic:spPr>
                </pic:pic>
              </a:graphicData>
            </a:graphic>
          </wp:anchor>
        </w:drawing>
      </w:r>
    </w:p>
    <w:p>
      <w:pPr>
        <w:spacing w:after="0" w:line="12" w:lineRule="exact"/>
        <w:rPr>
          <w:sz w:val="20"/>
          <w:szCs w:val="20"/>
          <w:color w:val="auto"/>
        </w:rPr>
      </w:pPr>
    </w:p>
    <w:p>
      <w:pPr>
        <w:ind w:left="3120"/>
        <w:spacing w:after="0"/>
        <w:tabs>
          <w:tab w:leader="none" w:pos="5200" w:val="left"/>
        </w:tabs>
        <w:rPr>
          <w:sz w:val="20"/>
          <w:szCs w:val="20"/>
          <w:color w:val="auto"/>
        </w:rPr>
      </w:pPr>
      <w:r>
        <w:rPr>
          <w:rFonts w:ascii="Arial" w:cs="Arial" w:eastAsia="Arial" w:hAnsi="Arial"/>
          <w:sz w:val="17"/>
          <w:szCs w:val="17"/>
          <w:b w:val="1"/>
          <w:bCs w:val="1"/>
          <w:color w:val="auto"/>
        </w:rPr>
        <w:t>May 1, 2009</w:t>
      </w:r>
      <w:r>
        <w:rPr>
          <w:sz w:val="20"/>
          <w:szCs w:val="20"/>
          <w:color w:val="auto"/>
        </w:rPr>
        <w:tab/>
      </w:r>
      <w:r>
        <w:rPr>
          <w:rFonts w:ascii="Arial" w:cs="Arial" w:eastAsia="Arial" w:hAnsi="Arial"/>
          <w:sz w:val="15"/>
          <w:szCs w:val="15"/>
          <w:b w:val="1"/>
          <w:bCs w:val="1"/>
          <w:color w:val="auto"/>
        </w:rPr>
        <w:t>May 2, 2008</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560" w:type="dxa"/>
            <w:vAlign w:val="bottom"/>
            <w:tcBorders>
              <w:top w:val="single" w:sz="8" w:color="auto"/>
              <w:bottom w:val="single" w:sz="8" w:color="auto"/>
            </w:tcBorders>
          </w:tcPr>
          <w:p>
            <w:pPr>
              <w:spacing w:after="0"/>
              <w:rPr>
                <w:sz w:val="17"/>
                <w:szCs w:val="17"/>
                <w:color w:val="auto"/>
              </w:rPr>
            </w:pPr>
          </w:p>
        </w:tc>
        <w:tc>
          <w:tcPr>
            <w:tcW w:w="3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Liability Derivatives</w:t>
            </w:r>
          </w:p>
        </w:tc>
      </w:tr>
      <w:tr>
        <w:trPr>
          <w:trHeight w:val="205"/>
        </w:trPr>
        <w:tc>
          <w:tcPr>
            <w:tcW w:w="1560" w:type="dxa"/>
            <w:vAlign w:val="bottom"/>
          </w:tcPr>
          <w:p>
            <w:pPr>
              <w:ind w:left="660"/>
              <w:spacing w:after="0"/>
              <w:rPr>
                <w:sz w:val="20"/>
                <w:szCs w:val="20"/>
                <w:color w:val="auto"/>
              </w:rPr>
            </w:pPr>
            <w:r>
              <w:rPr>
                <w:rFonts w:ascii="Arial" w:cs="Arial" w:eastAsia="Arial" w:hAnsi="Arial"/>
                <w:sz w:val="17"/>
                <w:szCs w:val="17"/>
                <w:b w:val="1"/>
                <w:bCs w:val="1"/>
                <w:color w:val="auto"/>
                <w:w w:val="93"/>
              </w:rPr>
              <w:t>May 1, 2009</w:t>
            </w:r>
          </w:p>
        </w:tc>
        <w:tc>
          <w:tcPr>
            <w:tcW w:w="3100" w:type="dxa"/>
            <w:vAlign w:val="bottom"/>
          </w:tcPr>
          <w:p>
            <w:pPr>
              <w:ind w:left="1440"/>
              <w:spacing w:after="0"/>
              <w:rPr>
                <w:sz w:val="20"/>
                <w:szCs w:val="20"/>
                <w:color w:val="auto"/>
              </w:rPr>
            </w:pPr>
            <w:r>
              <w:rPr>
                <w:rFonts w:ascii="Arial" w:cs="Arial" w:eastAsia="Arial" w:hAnsi="Arial"/>
                <w:sz w:val="17"/>
                <w:szCs w:val="17"/>
                <w:b w:val="1"/>
                <w:bCs w:val="1"/>
                <w:color w:val="auto"/>
              </w:rPr>
              <w:t>May 2, 2008</w:t>
            </w:r>
          </w:p>
        </w:tc>
      </w:tr>
    </w:tbl>
    <w:p>
      <w:pPr>
        <w:spacing w:after="0" w:line="1" w:lineRule="exact"/>
        <w:rPr>
          <w:sz w:val="20"/>
          <w:szCs w:val="20"/>
          <w:color w:val="auto"/>
        </w:rPr>
      </w:pPr>
    </w:p>
    <w:p>
      <w:pPr>
        <w:sectPr>
          <w:pgSz w:w="11900" w:h="16838" w:orient="portrait"/>
          <w:cols w:equalWidth="0" w:num="2">
            <w:col w:w="6100" w:space="660"/>
            <w:col w:w="4660"/>
          </w:cols>
          <w:pgMar w:left="240" w:top="498"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Balance</w:t>
            </w:r>
          </w:p>
        </w:tc>
        <w:tc>
          <w:tcPr>
            <w:tcW w:w="7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Balance</w:t>
            </w: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Balance</w:t>
            </w:r>
          </w:p>
        </w:tc>
        <w:tc>
          <w:tcPr>
            <w:tcW w:w="4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Balance</w:t>
            </w: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0"/>
              </w:rPr>
              <w:t>Sheet</w:t>
            </w:r>
          </w:p>
        </w:tc>
        <w:tc>
          <w:tcPr>
            <w:tcW w:w="700" w:type="dxa"/>
            <w:vAlign w:val="bottom"/>
          </w:tcPr>
          <w:p>
            <w:pPr>
              <w:ind w:left="200"/>
              <w:spacing w:after="0"/>
              <w:rPr>
                <w:sz w:val="20"/>
                <w:szCs w:val="20"/>
                <w:color w:val="auto"/>
              </w:rPr>
            </w:pPr>
            <w:r>
              <w:rPr>
                <w:rFonts w:ascii="Arial" w:cs="Arial" w:eastAsia="Arial" w:hAnsi="Arial"/>
                <w:sz w:val="17"/>
                <w:szCs w:val="17"/>
                <w:color w:val="auto"/>
              </w:rPr>
              <w:t>Fair</w:t>
            </w:r>
          </w:p>
        </w:tc>
        <w:tc>
          <w:tcPr>
            <w:tcW w:w="152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460" w:type="dxa"/>
            <w:vAlign w:val="bottom"/>
          </w:tcPr>
          <w:p>
            <w:pPr>
              <w:jc w:val="center"/>
              <w:spacing w:after="0"/>
              <w:rPr>
                <w:sz w:val="20"/>
                <w:szCs w:val="20"/>
                <w:color w:val="auto"/>
              </w:rPr>
            </w:pPr>
            <w:r>
              <w:rPr>
                <w:rFonts w:ascii="Arial" w:cs="Arial" w:eastAsia="Arial" w:hAnsi="Arial"/>
                <w:sz w:val="17"/>
                <w:szCs w:val="17"/>
                <w:color w:val="auto"/>
                <w:w w:val="95"/>
              </w:rPr>
              <w:t>Fair</w:t>
            </w: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460" w:type="dxa"/>
            <w:vAlign w:val="bottom"/>
          </w:tcPr>
          <w:p>
            <w:pPr>
              <w:jc w:val="center"/>
              <w:spacing w:after="0"/>
              <w:rPr>
                <w:sz w:val="20"/>
                <w:szCs w:val="20"/>
                <w:color w:val="auto"/>
              </w:rPr>
            </w:pPr>
            <w:r>
              <w:rPr>
                <w:rFonts w:ascii="Arial" w:cs="Arial" w:eastAsia="Arial" w:hAnsi="Arial"/>
                <w:sz w:val="17"/>
                <w:szCs w:val="17"/>
                <w:color w:val="auto"/>
                <w:w w:val="95"/>
              </w:rPr>
              <w:t>Fair</w:t>
            </w:r>
          </w:p>
        </w:tc>
        <w:tc>
          <w:tcPr>
            <w:tcW w:w="176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5"/>
              </w:rPr>
              <w:t>Fair</w:t>
            </w: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7"/>
                <w:szCs w:val="17"/>
                <w:color w:val="auto"/>
              </w:rPr>
              <w:t>(Dollars in thousands)</w:t>
            </w:r>
          </w:p>
        </w:tc>
        <w:tc>
          <w:tcPr>
            <w:tcW w:w="2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Location</w:t>
            </w:r>
          </w:p>
        </w:tc>
        <w:tc>
          <w:tcPr>
            <w:tcW w:w="700" w:type="dxa"/>
            <w:vAlign w:val="bottom"/>
          </w:tcPr>
          <w:p>
            <w:pPr>
              <w:ind w:left="160"/>
              <w:spacing w:after="0"/>
              <w:rPr>
                <w:sz w:val="20"/>
                <w:szCs w:val="20"/>
                <w:color w:val="auto"/>
              </w:rPr>
            </w:pPr>
            <w:r>
              <w:rPr>
                <w:rFonts w:ascii="Arial" w:cs="Arial" w:eastAsia="Arial" w:hAnsi="Arial"/>
                <w:sz w:val="17"/>
                <w:szCs w:val="17"/>
                <w:color w:val="auto"/>
              </w:rPr>
              <w:t>Value</w:t>
            </w:r>
          </w:p>
        </w:tc>
        <w:tc>
          <w:tcPr>
            <w:tcW w:w="1520" w:type="dxa"/>
            <w:vAlign w:val="bottom"/>
          </w:tcPr>
          <w:p>
            <w:pPr>
              <w:jc w:val="center"/>
              <w:spacing w:after="0"/>
              <w:rPr>
                <w:sz w:val="20"/>
                <w:szCs w:val="20"/>
                <w:color w:val="auto"/>
              </w:rPr>
            </w:pPr>
            <w:r>
              <w:rPr>
                <w:rFonts w:ascii="Arial" w:cs="Arial" w:eastAsia="Arial" w:hAnsi="Arial"/>
                <w:sz w:val="17"/>
                <w:szCs w:val="17"/>
                <w:color w:val="auto"/>
                <w:w w:val="96"/>
              </w:rPr>
              <w:t>Location</w:t>
            </w:r>
          </w:p>
        </w:tc>
        <w:tc>
          <w:tcPr>
            <w:tcW w:w="460" w:type="dxa"/>
            <w:vAlign w:val="bottom"/>
          </w:tcPr>
          <w:p>
            <w:pPr>
              <w:jc w:val="center"/>
              <w:spacing w:after="0"/>
              <w:rPr>
                <w:sz w:val="20"/>
                <w:szCs w:val="20"/>
                <w:color w:val="auto"/>
              </w:rPr>
            </w:pPr>
            <w:r>
              <w:rPr>
                <w:rFonts w:ascii="Arial" w:cs="Arial" w:eastAsia="Arial" w:hAnsi="Arial"/>
                <w:sz w:val="17"/>
                <w:szCs w:val="17"/>
                <w:color w:val="auto"/>
                <w:w w:val="91"/>
              </w:rPr>
              <w:t>Value</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6"/>
              </w:rPr>
              <w:t>Location</w:t>
            </w:r>
          </w:p>
        </w:tc>
        <w:tc>
          <w:tcPr>
            <w:tcW w:w="460" w:type="dxa"/>
            <w:vAlign w:val="bottom"/>
          </w:tcPr>
          <w:p>
            <w:pPr>
              <w:jc w:val="center"/>
              <w:spacing w:after="0"/>
              <w:rPr>
                <w:sz w:val="20"/>
                <w:szCs w:val="20"/>
                <w:color w:val="auto"/>
              </w:rPr>
            </w:pPr>
            <w:r>
              <w:rPr>
                <w:rFonts w:ascii="Arial" w:cs="Arial" w:eastAsia="Arial" w:hAnsi="Arial"/>
                <w:sz w:val="17"/>
                <w:szCs w:val="17"/>
                <w:color w:val="auto"/>
                <w:w w:val="91"/>
              </w:rPr>
              <w:t>Value</w:t>
            </w:r>
          </w:p>
        </w:tc>
        <w:tc>
          <w:tcPr>
            <w:tcW w:w="1760" w:type="dxa"/>
            <w:vAlign w:val="bottom"/>
          </w:tcPr>
          <w:p>
            <w:pPr>
              <w:jc w:val="center"/>
              <w:spacing w:after="0"/>
              <w:rPr>
                <w:sz w:val="20"/>
                <w:szCs w:val="20"/>
                <w:color w:val="auto"/>
              </w:rPr>
            </w:pPr>
            <w:r>
              <w:rPr>
                <w:rFonts w:ascii="Arial" w:cs="Arial" w:eastAsia="Arial" w:hAnsi="Arial"/>
                <w:sz w:val="17"/>
                <w:szCs w:val="17"/>
                <w:color w:val="auto"/>
                <w:w w:val="93"/>
              </w:rPr>
              <w:t>Location</w:t>
            </w:r>
          </w:p>
        </w:tc>
        <w:tc>
          <w:tcPr>
            <w:tcW w:w="720" w:type="dxa"/>
            <w:vAlign w:val="bottom"/>
            <w:gridSpan w:val="2"/>
          </w:tcPr>
          <w:p>
            <w:pPr>
              <w:jc w:val="center"/>
              <w:ind w:right="20"/>
              <w:spacing w:after="0"/>
              <w:rPr>
                <w:sz w:val="20"/>
                <w:szCs w:val="20"/>
                <w:color w:val="auto"/>
              </w:rPr>
            </w:pPr>
            <w:r>
              <w:rPr>
                <w:rFonts w:ascii="Arial" w:cs="Arial" w:eastAsia="Arial" w:hAnsi="Arial"/>
                <w:sz w:val="17"/>
                <w:szCs w:val="17"/>
                <w:color w:val="auto"/>
                <w:w w:val="87"/>
              </w:rPr>
              <w:t>Value</w:t>
            </w: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Derivatives Designated as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20"/>
                <w:szCs w:val="20"/>
                <w:color w:val="auto"/>
              </w:rPr>
            </w:pPr>
            <w:r>
              <w:rPr>
                <w:rFonts w:ascii="Arial" w:cs="Arial" w:eastAsia="Arial" w:hAnsi="Arial"/>
                <w:sz w:val="17"/>
                <w:szCs w:val="17"/>
                <w:b w:val="1"/>
                <w:bCs w:val="1"/>
                <w:color w:val="auto"/>
              </w:rPr>
              <w:t>Hedging Instruments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20"/>
                <w:szCs w:val="20"/>
                <w:color w:val="auto"/>
              </w:rPr>
            </w:pPr>
            <w:r>
              <w:rPr>
                <w:rFonts w:ascii="Arial" w:cs="Arial" w:eastAsia="Arial" w:hAnsi="Arial"/>
                <w:sz w:val="17"/>
                <w:szCs w:val="17"/>
                <w:color w:val="auto"/>
              </w:rPr>
              <w:t>Foreign exchange contracts</w:t>
            </w:r>
          </w:p>
        </w:tc>
        <w:tc>
          <w:tcPr>
            <w:tcW w:w="1760" w:type="dxa"/>
            <w:vAlign w:val="bottom"/>
            <w:gridSpan w:val="2"/>
          </w:tcPr>
          <w:p>
            <w:pPr>
              <w:ind w:left="240"/>
              <w:spacing w:after="0"/>
              <w:rPr>
                <w:sz w:val="20"/>
                <w:szCs w:val="20"/>
                <w:color w:val="auto"/>
              </w:rPr>
            </w:pPr>
            <w:r>
              <w:rPr>
                <w:rFonts w:ascii="Arial" w:cs="Arial" w:eastAsia="Arial" w:hAnsi="Arial"/>
                <w:sz w:val="17"/>
                <w:szCs w:val="17"/>
                <w:color w:val="auto"/>
              </w:rPr>
              <w:t>Prepaid expenses</w:t>
            </w:r>
          </w:p>
        </w:tc>
        <w:tc>
          <w:tcPr>
            <w:tcW w:w="2220" w:type="dxa"/>
            <w:vAlign w:val="bottom"/>
            <w:gridSpan w:val="2"/>
          </w:tcPr>
          <w:p>
            <w:pPr>
              <w:ind w:left="220"/>
              <w:spacing w:after="0"/>
              <w:rPr>
                <w:sz w:val="20"/>
                <w:szCs w:val="20"/>
                <w:color w:val="auto"/>
              </w:rPr>
            </w:pPr>
            <w:r>
              <w:rPr>
                <w:rFonts w:ascii="Arial" w:cs="Arial" w:eastAsia="Arial" w:hAnsi="Arial"/>
                <w:sz w:val="17"/>
                <w:szCs w:val="17"/>
                <w:color w:val="auto"/>
              </w:rPr>
              <w:t>$1,245Prepaid expenses</w:t>
            </w:r>
          </w:p>
        </w:tc>
        <w:tc>
          <w:tcPr>
            <w:tcW w:w="460" w:type="dxa"/>
            <w:vAlign w:val="bottom"/>
          </w:tcPr>
          <w:p>
            <w:pPr>
              <w:jc w:val="center"/>
              <w:ind w:right="155"/>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Accrued liabilities</w:t>
            </w:r>
          </w:p>
        </w:tc>
        <w:tc>
          <w:tcPr>
            <w:tcW w:w="460" w:type="dxa"/>
            <w:vAlign w:val="bottom"/>
          </w:tcPr>
          <w:p>
            <w:pPr>
              <w:jc w:val="center"/>
              <w:ind w:right="115"/>
              <w:spacing w:after="0"/>
              <w:rPr>
                <w:sz w:val="20"/>
                <w:szCs w:val="20"/>
                <w:color w:val="auto"/>
              </w:rPr>
            </w:pPr>
            <w:r>
              <w:rPr>
                <w:rFonts w:ascii="Arial" w:cs="Arial" w:eastAsia="Arial" w:hAnsi="Arial"/>
                <w:sz w:val="17"/>
                <w:szCs w:val="17"/>
                <w:color w:val="auto"/>
                <w:w w:val="92"/>
              </w:rPr>
              <w:t>$-</w:t>
            </w:r>
          </w:p>
        </w:tc>
        <w:tc>
          <w:tcPr>
            <w:tcW w:w="1760" w:type="dxa"/>
            <w:vAlign w:val="bottom"/>
          </w:tcPr>
          <w:p>
            <w:pPr>
              <w:spacing w:after="0"/>
              <w:rPr>
                <w:sz w:val="20"/>
                <w:szCs w:val="20"/>
                <w:color w:val="auto"/>
              </w:rPr>
            </w:pPr>
            <w:r>
              <w:rPr>
                <w:rFonts w:ascii="Arial" w:cs="Arial" w:eastAsia="Arial" w:hAnsi="Arial"/>
                <w:sz w:val="17"/>
                <w:szCs w:val="17"/>
                <w:color w:val="auto"/>
              </w:rPr>
              <w:t>Accrued liabilities</w:t>
            </w:r>
          </w:p>
        </w:tc>
        <w:tc>
          <w:tcPr>
            <w:tcW w:w="700" w:type="dxa"/>
            <w:vAlign w:val="bottom"/>
          </w:tcPr>
          <w:p>
            <w:pPr>
              <w:jc w:val="right"/>
              <w:spacing w:after="0"/>
              <w:rPr>
                <w:sz w:val="20"/>
                <w:szCs w:val="20"/>
                <w:color w:val="auto"/>
              </w:rPr>
            </w:pPr>
            <w:r>
              <w:rPr>
                <w:rFonts w:ascii="Arial" w:cs="Arial" w:eastAsia="Arial" w:hAnsi="Arial"/>
                <w:sz w:val="17"/>
                <w:szCs w:val="17"/>
                <w:color w:val="auto"/>
              </w:rPr>
              <w:t>$2,206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20"/>
                <w:szCs w:val="20"/>
                <w:color w:val="auto"/>
              </w:rPr>
            </w:pPr>
            <w:r>
              <w:rPr>
                <w:rFonts w:ascii="Arial" w:cs="Arial" w:eastAsia="Arial" w:hAnsi="Arial"/>
                <w:sz w:val="17"/>
                <w:szCs w:val="17"/>
                <w:b w:val="1"/>
                <w:bCs w:val="1"/>
                <w:color w:val="auto"/>
                <w:w w:val="99"/>
              </w:rPr>
              <w:t>Derivatives Not Designated</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Hedging Instruments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contracts</w:t>
            </w:r>
          </w:p>
        </w:tc>
        <w:tc>
          <w:tcPr>
            <w:tcW w:w="17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Prepaid expenses</w:t>
            </w:r>
          </w:p>
        </w:tc>
        <w:tc>
          <w:tcPr>
            <w:tcW w:w="2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$3,285Prepaid expenses</w:t>
            </w:r>
          </w:p>
        </w:tc>
        <w:tc>
          <w:tcPr>
            <w:tcW w:w="46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Accrued liabilities</w:t>
            </w:r>
          </w:p>
        </w:tc>
        <w:tc>
          <w:tcPr>
            <w:tcW w:w="460" w:type="dxa"/>
            <w:vAlign w:val="bottom"/>
            <w:shd w:val="clear" w:color="auto" w:fill="CCEEFF"/>
          </w:tcPr>
          <w:p>
            <w:pPr>
              <w:jc w:val="center"/>
              <w:ind w:right="115"/>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Accrued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22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Total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220"/>
              <w:spacing w:after="0" w:line="185" w:lineRule="exact"/>
              <w:rPr>
                <w:sz w:val="20"/>
                <w:szCs w:val="20"/>
                <w:color w:val="auto"/>
              </w:rPr>
            </w:pPr>
            <w:r>
              <w:rPr>
                <w:rFonts w:ascii="Arial" w:cs="Arial" w:eastAsia="Arial" w:hAnsi="Arial"/>
                <w:sz w:val="17"/>
                <w:szCs w:val="17"/>
                <w:color w:val="auto"/>
                <w:w w:val="88"/>
              </w:rPr>
              <w:t>$4,530</w:t>
            </w:r>
          </w:p>
        </w:tc>
        <w:tc>
          <w:tcPr>
            <w:tcW w:w="1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center"/>
              <w:ind w:right="155"/>
              <w:spacing w:after="0" w:line="185" w:lineRule="exact"/>
              <w:rPr>
                <w:sz w:val="20"/>
                <w:szCs w:val="20"/>
                <w:color w:val="auto"/>
              </w:rPr>
            </w:pPr>
            <w:r>
              <w:rPr>
                <w:rFonts w:ascii="Arial" w:cs="Arial" w:eastAsia="Arial" w:hAnsi="Arial"/>
                <w:sz w:val="17"/>
                <w:szCs w:val="17"/>
                <w:color w:val="auto"/>
                <w:w w:val="92"/>
              </w:rPr>
              <w:t>$-</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center"/>
              <w:ind w:right="115"/>
              <w:spacing w:after="0" w:line="185" w:lineRule="exact"/>
              <w:rPr>
                <w:sz w:val="20"/>
                <w:szCs w:val="20"/>
                <w:color w:val="auto"/>
              </w:rPr>
            </w:pPr>
            <w:r>
              <w:rPr>
                <w:rFonts w:ascii="Arial" w:cs="Arial" w:eastAsia="Arial" w:hAnsi="Arial"/>
                <w:sz w:val="17"/>
                <w:szCs w:val="17"/>
                <w:color w:val="auto"/>
                <w:w w:val="92"/>
              </w:rPr>
              <w:t>$-</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$4,703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220" w:firstLine="210"/>
        <w:spacing w:after="0" w:line="276" w:lineRule="auto"/>
        <w:rPr>
          <w:sz w:val="20"/>
          <w:szCs w:val="20"/>
          <w:color w:val="auto"/>
        </w:rPr>
      </w:pPr>
      <w:r>
        <w:rPr>
          <w:rFonts w:ascii="Arial" w:cs="Arial" w:eastAsia="Arial" w:hAnsi="Arial"/>
          <w:sz w:val="17"/>
          <w:szCs w:val="17"/>
          <w:color w:val="auto"/>
        </w:rPr>
        <w:t>The following table presents the impact of derivative instruments on the consolidated statements of earnings for the company’s derivatives designed as cash flow hedging instruments under SFAS No. 133 for the three and six months ended May 1, 2009 and May 2, 2008, respectively.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3"/>
              </w:rPr>
              <w:t>Location of Gain</w:t>
            </w: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3"/>
              </w:rPr>
              <w:t>(Loss)</w:t>
            </w:r>
          </w:p>
        </w:tc>
        <w:tc>
          <w:tcPr>
            <w:tcW w:w="194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Gain (Loss)</w:t>
            </w: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Location of Gain</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1"/>
              </w:rPr>
              <w:t>Recognized in Income</w:t>
            </w:r>
          </w:p>
        </w:tc>
        <w:tc>
          <w:tcPr>
            <w:tcW w:w="1940" w:type="dxa"/>
            <w:vAlign w:val="bottom"/>
            <w:gridSpan w:val="3"/>
          </w:tcPr>
          <w:p>
            <w:pPr>
              <w:jc w:val="center"/>
              <w:ind w:right="20"/>
              <w:spacing w:after="0"/>
              <w:rPr>
                <w:sz w:val="20"/>
                <w:szCs w:val="20"/>
                <w:color w:val="auto"/>
              </w:rPr>
            </w:pPr>
            <w:r>
              <w:rPr>
                <w:rFonts w:ascii="Arial" w:cs="Arial" w:eastAsia="Arial" w:hAnsi="Arial"/>
                <w:sz w:val="17"/>
                <w:szCs w:val="17"/>
                <w:color w:val="auto"/>
                <w:w w:val="90"/>
              </w:rPr>
              <w:t>Recognized in Income</w:t>
            </w: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860" w:type="dxa"/>
            <w:vAlign w:val="bottom"/>
            <w:gridSpan w:val="3"/>
          </w:tcPr>
          <w:p>
            <w:pPr>
              <w:jc w:val="center"/>
              <w:spacing w:after="0"/>
              <w:rPr>
                <w:sz w:val="20"/>
                <w:szCs w:val="20"/>
                <w:color w:val="auto"/>
              </w:rPr>
            </w:pPr>
            <w:r>
              <w:rPr>
                <w:rFonts w:ascii="Arial" w:cs="Arial" w:eastAsia="Arial" w:hAnsi="Arial"/>
                <w:sz w:val="17"/>
                <w:szCs w:val="17"/>
                <w:color w:val="auto"/>
                <w:w w:val="93"/>
              </w:rPr>
              <w:t>Gain (Loss)</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(Loss) Reclassified</w:t>
            </w:r>
          </w:p>
        </w:tc>
        <w:tc>
          <w:tcPr>
            <w:tcW w:w="1860" w:type="dxa"/>
            <w:vAlign w:val="bottom"/>
            <w:gridSpan w:val="3"/>
          </w:tcPr>
          <w:p>
            <w:pPr>
              <w:jc w:val="right"/>
              <w:ind w:right="600"/>
              <w:spacing w:after="0"/>
              <w:rPr>
                <w:sz w:val="20"/>
                <w:szCs w:val="20"/>
                <w:color w:val="auto"/>
              </w:rPr>
            </w:pPr>
            <w:r>
              <w:rPr>
                <w:rFonts w:ascii="Arial" w:cs="Arial" w:eastAsia="Arial" w:hAnsi="Arial"/>
                <w:sz w:val="17"/>
                <w:szCs w:val="17"/>
                <w:color w:val="auto"/>
              </w:rPr>
              <w:t>Gain (Loss)</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2"/>
              </w:rPr>
              <w:t>on Derivatives</w:t>
            </w:r>
          </w:p>
        </w:tc>
        <w:tc>
          <w:tcPr>
            <w:tcW w:w="1940" w:type="dxa"/>
            <w:vAlign w:val="bottom"/>
            <w:gridSpan w:val="3"/>
          </w:tcPr>
          <w:p>
            <w:pPr>
              <w:jc w:val="center"/>
              <w:ind w:right="20"/>
              <w:spacing w:after="0"/>
              <w:rPr>
                <w:sz w:val="20"/>
                <w:szCs w:val="20"/>
                <w:color w:val="auto"/>
              </w:rPr>
            </w:pPr>
            <w:r>
              <w:rPr>
                <w:rFonts w:ascii="Arial" w:cs="Arial" w:eastAsia="Arial" w:hAnsi="Arial"/>
                <w:sz w:val="17"/>
                <w:szCs w:val="17"/>
                <w:color w:val="auto"/>
                <w:w w:val="92"/>
              </w:rPr>
              <w:t>on Derivatives</w:t>
            </w: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860" w:type="dxa"/>
            <w:vAlign w:val="bottom"/>
            <w:gridSpan w:val="3"/>
          </w:tcPr>
          <w:p>
            <w:pPr>
              <w:jc w:val="center"/>
              <w:spacing w:after="0"/>
              <w:rPr>
                <w:sz w:val="20"/>
                <w:szCs w:val="20"/>
                <w:color w:val="auto"/>
              </w:rPr>
            </w:pPr>
            <w:r>
              <w:rPr>
                <w:rFonts w:ascii="Arial" w:cs="Arial" w:eastAsia="Arial" w:hAnsi="Arial"/>
                <w:sz w:val="17"/>
                <w:szCs w:val="17"/>
                <w:color w:val="auto"/>
                <w:w w:val="92"/>
              </w:rPr>
              <w:t>Recognized in OCI on</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7"/>
              </w:rPr>
              <w:t>from AOCI</w:t>
            </w:r>
          </w:p>
        </w:tc>
        <w:tc>
          <w:tcPr>
            <w:tcW w:w="1860" w:type="dxa"/>
            <w:vAlign w:val="bottom"/>
            <w:gridSpan w:val="3"/>
          </w:tcPr>
          <w:p>
            <w:pPr>
              <w:jc w:val="right"/>
              <w:ind w:right="400"/>
              <w:spacing w:after="0"/>
              <w:rPr>
                <w:sz w:val="20"/>
                <w:szCs w:val="20"/>
                <w:color w:val="auto"/>
              </w:rPr>
            </w:pPr>
            <w:r>
              <w:rPr>
                <w:rFonts w:ascii="Arial" w:cs="Arial" w:eastAsia="Arial" w:hAnsi="Arial"/>
                <w:sz w:val="17"/>
                <w:szCs w:val="17"/>
                <w:color w:val="auto"/>
              </w:rPr>
              <w:t>Reclassified from</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4"/>
              </w:rPr>
              <w:t>(Ineffective Portion</w:t>
            </w:r>
          </w:p>
        </w:tc>
        <w:tc>
          <w:tcPr>
            <w:tcW w:w="1940" w:type="dxa"/>
            <w:vAlign w:val="bottom"/>
            <w:gridSpan w:val="3"/>
          </w:tcPr>
          <w:p>
            <w:pPr>
              <w:jc w:val="center"/>
              <w:ind w:right="20"/>
              <w:spacing w:after="0"/>
              <w:rPr>
                <w:sz w:val="20"/>
                <w:szCs w:val="20"/>
                <w:color w:val="auto"/>
              </w:rPr>
            </w:pPr>
            <w:r>
              <w:rPr>
                <w:rFonts w:ascii="Arial" w:cs="Arial" w:eastAsia="Arial" w:hAnsi="Arial"/>
                <w:sz w:val="17"/>
                <w:szCs w:val="17"/>
                <w:color w:val="auto"/>
                <w:w w:val="93"/>
              </w:rPr>
              <w:t>(Ineffective Portion and</w:t>
            </w: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860" w:type="dxa"/>
            <w:vAlign w:val="bottom"/>
            <w:gridSpan w:val="3"/>
          </w:tcPr>
          <w:p>
            <w:pPr>
              <w:jc w:val="center"/>
              <w:spacing w:after="0"/>
              <w:rPr>
                <w:sz w:val="20"/>
                <w:szCs w:val="20"/>
                <w:color w:val="auto"/>
              </w:rPr>
            </w:pPr>
            <w:r>
              <w:rPr>
                <w:rFonts w:ascii="Arial" w:cs="Arial" w:eastAsia="Arial" w:hAnsi="Arial"/>
                <w:sz w:val="17"/>
                <w:szCs w:val="17"/>
                <w:color w:val="auto"/>
                <w:w w:val="92"/>
              </w:rPr>
              <w:t>Derivatives</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into Income</w:t>
            </w:r>
          </w:p>
        </w:tc>
        <w:tc>
          <w:tcPr>
            <w:tcW w:w="1860" w:type="dxa"/>
            <w:vAlign w:val="bottom"/>
            <w:gridSpan w:val="3"/>
          </w:tcPr>
          <w:p>
            <w:pPr>
              <w:jc w:val="right"/>
              <w:ind w:right="360"/>
              <w:spacing w:after="0"/>
              <w:rPr>
                <w:sz w:val="20"/>
                <w:szCs w:val="20"/>
                <w:color w:val="auto"/>
              </w:rPr>
            </w:pPr>
            <w:r>
              <w:rPr>
                <w:rFonts w:ascii="Arial" w:cs="Arial" w:eastAsia="Arial" w:hAnsi="Arial"/>
                <w:sz w:val="17"/>
                <w:szCs w:val="17"/>
                <w:color w:val="auto"/>
              </w:rPr>
              <w:t>AOCI into Income</w:t>
            </w:r>
          </w:p>
        </w:tc>
        <w:tc>
          <w:tcPr>
            <w:tcW w:w="1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1"/>
              </w:rPr>
              <w:t>and excluded from</w:t>
            </w:r>
          </w:p>
        </w:tc>
        <w:tc>
          <w:tcPr>
            <w:tcW w:w="194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Excluded from</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7"/>
                <w:szCs w:val="17"/>
                <w:color w:val="auto"/>
                <w:w w:val="94"/>
              </w:rPr>
              <w:t>(Effective Portion)</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4"/>
              </w:rPr>
              <w:t>(Effective Portion)</w:t>
            </w:r>
          </w:p>
        </w:tc>
        <w:tc>
          <w:tcPr>
            <w:tcW w:w="1860" w:type="dxa"/>
            <w:vAlign w:val="bottom"/>
            <w:gridSpan w:val="3"/>
          </w:tcPr>
          <w:p>
            <w:pPr>
              <w:jc w:val="right"/>
              <w:ind w:right="360"/>
              <w:spacing w:after="0"/>
              <w:rPr>
                <w:sz w:val="20"/>
                <w:szCs w:val="20"/>
                <w:color w:val="auto"/>
              </w:rPr>
            </w:pPr>
            <w:r>
              <w:rPr>
                <w:rFonts w:ascii="Arial" w:cs="Arial" w:eastAsia="Arial" w:hAnsi="Arial"/>
                <w:sz w:val="17"/>
                <w:szCs w:val="17"/>
                <w:color w:val="auto"/>
              </w:rPr>
              <w:t>(Effective Portion)</w:t>
            </w:r>
          </w:p>
        </w:tc>
        <w:tc>
          <w:tcPr>
            <w:tcW w:w="1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0"/>
              </w:rPr>
              <w:t>Effectiveness Testing)</w:t>
            </w:r>
          </w:p>
        </w:tc>
        <w:tc>
          <w:tcPr>
            <w:tcW w:w="1940" w:type="dxa"/>
            <w:vAlign w:val="bottom"/>
            <w:gridSpan w:val="3"/>
          </w:tcPr>
          <w:p>
            <w:pPr>
              <w:jc w:val="center"/>
              <w:ind w:right="20"/>
              <w:spacing w:after="0"/>
              <w:rPr>
                <w:sz w:val="20"/>
                <w:szCs w:val="20"/>
                <w:color w:val="auto"/>
              </w:rPr>
            </w:pPr>
            <w:r>
              <w:rPr>
                <w:rFonts w:ascii="Arial" w:cs="Arial" w:eastAsia="Arial" w:hAnsi="Arial"/>
                <w:sz w:val="17"/>
                <w:szCs w:val="17"/>
                <w:color w:val="auto"/>
                <w:w w:val="90"/>
              </w:rPr>
              <w:t>Effectiveness Testing)</w:t>
            </w:r>
          </w:p>
        </w:tc>
        <w:tc>
          <w:tcPr>
            <w:tcW w:w="0" w:type="dxa"/>
            <w:vAlign w:val="bottom"/>
          </w:tcPr>
          <w:p>
            <w:pPr>
              <w:spacing w:after="0"/>
              <w:rPr>
                <w:sz w:val="1"/>
                <w:szCs w:val="1"/>
                <w:color w:val="auto"/>
              </w:rPr>
            </w:pPr>
          </w:p>
        </w:tc>
      </w:tr>
      <w:tr>
        <w:trPr>
          <w:trHeight w:val="192"/>
        </w:trPr>
        <w:tc>
          <w:tcPr>
            <w:tcW w:w="240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040" w:type="dxa"/>
            <w:vAlign w:val="bottom"/>
            <w:tcBorders>
              <w:top w:val="single" w:sz="8" w:color="auto"/>
            </w:tcBorders>
          </w:tcPr>
          <w:p>
            <w:pPr>
              <w:jc w:val="center"/>
              <w:ind w:right="35"/>
              <w:spacing w:after="0" w:line="193" w:lineRule="exact"/>
              <w:rPr>
                <w:sz w:val="20"/>
                <w:szCs w:val="20"/>
                <w:color w:val="auto"/>
              </w:rPr>
            </w:pPr>
            <w:r>
              <w:rPr>
                <w:rFonts w:ascii="Arial" w:cs="Arial" w:eastAsia="Arial" w:hAnsi="Arial"/>
                <w:sz w:val="17"/>
                <w:szCs w:val="17"/>
                <w:color w:val="auto"/>
                <w:w w:val="93"/>
              </w:rPr>
              <w:t>May 1,</w:t>
            </w:r>
          </w:p>
        </w:tc>
        <w:tc>
          <w:tcPr>
            <w:tcW w:w="800" w:type="dxa"/>
            <w:vAlign w:val="bottom"/>
            <w:tcBorders>
              <w:top w:val="single" w:sz="8" w:color="auto"/>
            </w:tcBorders>
          </w:tcPr>
          <w:p>
            <w:pPr>
              <w:jc w:val="center"/>
              <w:ind w:right="15"/>
              <w:spacing w:after="0" w:line="193" w:lineRule="exact"/>
              <w:rPr>
                <w:sz w:val="20"/>
                <w:szCs w:val="20"/>
                <w:color w:val="auto"/>
              </w:rPr>
            </w:pPr>
            <w:r>
              <w:rPr>
                <w:rFonts w:ascii="Arial" w:cs="Arial" w:eastAsia="Arial" w:hAnsi="Arial"/>
                <w:sz w:val="17"/>
                <w:szCs w:val="17"/>
                <w:color w:val="auto"/>
                <w:w w:val="97"/>
              </w:rPr>
              <w:t>May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5"/>
              <w:spacing w:after="0" w:line="193" w:lineRule="exact"/>
              <w:rPr>
                <w:sz w:val="20"/>
                <w:szCs w:val="20"/>
                <w:color w:val="auto"/>
              </w:rPr>
            </w:pPr>
            <w:r>
              <w:rPr>
                <w:rFonts w:ascii="Arial" w:cs="Arial" w:eastAsia="Arial" w:hAnsi="Arial"/>
                <w:sz w:val="17"/>
                <w:szCs w:val="17"/>
                <w:color w:val="auto"/>
                <w:w w:val="93"/>
              </w:rPr>
              <w:t>May 1,</w:t>
            </w:r>
          </w:p>
        </w:tc>
        <w:tc>
          <w:tcPr>
            <w:tcW w:w="80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May 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35"/>
              <w:spacing w:after="0" w:line="193" w:lineRule="exact"/>
              <w:rPr>
                <w:sz w:val="20"/>
                <w:szCs w:val="20"/>
                <w:color w:val="auto"/>
              </w:rPr>
            </w:pPr>
            <w:r>
              <w:rPr>
                <w:rFonts w:ascii="Arial" w:cs="Arial" w:eastAsia="Arial" w:hAnsi="Arial"/>
                <w:sz w:val="17"/>
                <w:szCs w:val="17"/>
                <w:color w:val="auto"/>
                <w:w w:val="93"/>
              </w:rPr>
              <w:t>May 1,</w:t>
            </w:r>
          </w:p>
        </w:tc>
        <w:tc>
          <w:tcPr>
            <w:tcW w:w="80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93"/>
              </w:rPr>
              <w:t>May 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 the three months ended</w:t>
            </w: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2009</w:t>
            </w: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2009</w:t>
            </w: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2008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2009</w:t>
            </w: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40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Foreign exchange contracts</w:t>
            </w:r>
          </w:p>
        </w:tc>
        <w:tc>
          <w:tcPr>
            <w:tcW w:w="1040" w:type="dxa"/>
            <w:vAlign w:val="bottom"/>
            <w:tcBorders>
              <w:bottom w:val="single" w:sz="8" w:color="CCEEFF"/>
            </w:tcBorders>
            <w:shd w:val="clear" w:color="auto" w:fill="CCEEFF"/>
          </w:tcPr>
          <w:p>
            <w:pPr>
              <w:jc w:val="right"/>
              <w:ind w:right="35"/>
              <w:spacing w:after="0" w:line="185" w:lineRule="exact"/>
              <w:rPr>
                <w:sz w:val="20"/>
                <w:szCs w:val="20"/>
                <w:color w:val="auto"/>
              </w:rPr>
            </w:pPr>
            <w:r>
              <w:rPr>
                <w:rFonts w:ascii="Arial" w:cs="Arial" w:eastAsia="Arial" w:hAnsi="Arial"/>
                <w:sz w:val="17"/>
                <w:szCs w:val="17"/>
                <w:color w:val="auto"/>
              </w:rPr>
              <w:t>$(1,071)</w:t>
            </w:r>
          </w:p>
        </w:tc>
        <w:tc>
          <w:tcPr>
            <w:tcW w:w="820" w:type="dxa"/>
            <w:vAlign w:val="bottom"/>
            <w:tcBorders>
              <w:bottom w:val="single" w:sz="8" w:color="CCEEFF"/>
            </w:tcBorders>
            <w:gridSpan w:val="2"/>
            <w:shd w:val="clear" w:color="auto" w:fill="CCEEFF"/>
          </w:tcPr>
          <w:p>
            <w:pPr>
              <w:jc w:val="right"/>
              <w:ind w:right="20"/>
              <w:spacing w:after="0" w:line="185" w:lineRule="exact"/>
              <w:rPr>
                <w:sz w:val="20"/>
                <w:szCs w:val="20"/>
                <w:color w:val="auto"/>
              </w:rPr>
            </w:pPr>
            <w:r>
              <w:rPr>
                <w:rFonts w:ascii="Arial" w:cs="Arial" w:eastAsia="Arial" w:hAnsi="Arial"/>
                <w:sz w:val="17"/>
                <w:szCs w:val="17"/>
                <w:color w:val="auto"/>
              </w:rPr>
              <w:t>$3,253</w:t>
            </w:r>
          </w:p>
        </w:tc>
        <w:tc>
          <w:tcPr>
            <w:tcW w:w="1600" w:type="dxa"/>
            <w:vAlign w:val="bottom"/>
            <w:tcBorders>
              <w:bottom w:val="single" w:sz="8" w:color="CCEEFF"/>
            </w:tcBorders>
            <w:gridSpan w:val="2"/>
            <w:shd w:val="clear" w:color="auto" w:fill="CCEEFF"/>
          </w:tcPr>
          <w:p>
            <w:pPr>
              <w:ind w:left="100"/>
              <w:spacing w:after="0" w:line="185" w:lineRule="exact"/>
              <w:rPr>
                <w:sz w:val="20"/>
                <w:szCs w:val="20"/>
                <w:color w:val="auto"/>
              </w:rPr>
            </w:pPr>
            <w:r>
              <w:rPr>
                <w:rFonts w:ascii="Arial" w:cs="Arial" w:eastAsia="Arial" w:hAnsi="Arial"/>
                <w:sz w:val="17"/>
                <w:szCs w:val="17"/>
                <w:color w:val="auto"/>
              </w:rPr>
              <w:t>Net sales</w:t>
            </w:r>
          </w:p>
        </w:tc>
        <w:tc>
          <w:tcPr>
            <w:tcW w:w="900" w:type="dxa"/>
            <w:vAlign w:val="bottom"/>
            <w:tcBorders>
              <w:bottom w:val="single" w:sz="8" w:color="CCEEFF"/>
            </w:tcBorders>
            <w:shd w:val="clear" w:color="auto" w:fill="CCEEFF"/>
          </w:tcPr>
          <w:p>
            <w:pPr>
              <w:jc w:val="right"/>
              <w:ind w:right="15"/>
              <w:spacing w:after="0" w:line="185" w:lineRule="exact"/>
              <w:rPr>
                <w:sz w:val="20"/>
                <w:szCs w:val="20"/>
                <w:color w:val="auto"/>
              </w:rPr>
            </w:pPr>
            <w:r>
              <w:rPr>
                <w:rFonts w:ascii="Arial" w:cs="Arial" w:eastAsia="Arial" w:hAnsi="Arial"/>
                <w:sz w:val="17"/>
                <w:szCs w:val="17"/>
                <w:color w:val="auto"/>
              </w:rPr>
              <w:t>$5,655</w:t>
            </w:r>
          </w:p>
        </w:tc>
        <w:tc>
          <w:tcPr>
            <w:tcW w:w="800" w:type="dxa"/>
            <w:vAlign w:val="bottom"/>
            <w:tcBorders>
              <w:bottom w:val="single" w:sz="8" w:color="CCEEFF"/>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$(3,863)</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180"/>
              <w:spacing w:after="0" w:line="185" w:lineRule="exact"/>
              <w:rPr>
                <w:sz w:val="20"/>
                <w:szCs w:val="20"/>
                <w:color w:val="auto"/>
              </w:rPr>
            </w:pPr>
            <w:r>
              <w:rPr>
                <w:rFonts w:ascii="Arial" w:cs="Arial" w:eastAsia="Arial" w:hAnsi="Arial"/>
                <w:sz w:val="17"/>
                <w:szCs w:val="17"/>
                <w:color w:val="auto"/>
              </w:rPr>
              <w:t>Other income, net</w:t>
            </w:r>
          </w:p>
        </w:tc>
        <w:tc>
          <w:tcPr>
            <w:tcW w:w="1120" w:type="dxa"/>
            <w:vAlign w:val="bottom"/>
            <w:tcBorders>
              <w:bottom w:val="single" w:sz="8" w:color="auto"/>
            </w:tcBorders>
            <w:shd w:val="clear" w:color="auto" w:fill="CCEEFF"/>
          </w:tcPr>
          <w:p>
            <w:pPr>
              <w:jc w:val="right"/>
              <w:ind w:right="15"/>
              <w:spacing w:after="0" w:line="185" w:lineRule="exact"/>
              <w:rPr>
                <w:sz w:val="20"/>
                <w:szCs w:val="20"/>
                <w:color w:val="auto"/>
              </w:rPr>
            </w:pPr>
            <w:r>
              <w:rPr>
                <w:rFonts w:ascii="Arial" w:cs="Arial" w:eastAsia="Arial" w:hAnsi="Arial"/>
                <w:sz w:val="17"/>
                <w:szCs w:val="17"/>
                <w:color w:val="auto"/>
              </w:rPr>
              <w:t>$729</w:t>
            </w:r>
          </w:p>
        </w:tc>
        <w:tc>
          <w:tcPr>
            <w:tcW w:w="80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$(233)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Foreign exchange contracts</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380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Arial" w:cs="Arial" w:eastAsia="Arial" w:hAnsi="Arial"/>
                <w:sz w:val="17"/>
                <w:szCs w:val="17"/>
                <w:color w:val="auto"/>
              </w:rPr>
              <w:t>Cost of sales</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(1,336)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40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shd w:val="clear" w:color="auto" w:fill="CCEEFF"/>
          </w:tcPr>
          <w:p>
            <w:pPr>
              <w:jc w:val="right"/>
              <w:ind w:right="35"/>
              <w:spacing w:after="0" w:line="185" w:lineRule="exact"/>
              <w:rPr>
                <w:sz w:val="20"/>
                <w:szCs w:val="20"/>
                <w:color w:val="auto"/>
              </w:rPr>
            </w:pPr>
            <w:r>
              <w:rPr>
                <w:rFonts w:ascii="Arial" w:cs="Arial" w:eastAsia="Arial" w:hAnsi="Arial"/>
                <w:sz w:val="17"/>
                <w:szCs w:val="17"/>
                <w:color w:val="auto"/>
              </w:rPr>
              <w:t>$(691)</w:t>
            </w:r>
          </w:p>
        </w:tc>
        <w:tc>
          <w:tcPr>
            <w:tcW w:w="80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$2,972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5"/>
              <w:spacing w:after="0" w:line="185" w:lineRule="exact"/>
              <w:rPr>
                <w:sz w:val="20"/>
                <w:szCs w:val="20"/>
                <w:color w:val="auto"/>
              </w:rPr>
            </w:pPr>
            <w:r>
              <w:rPr>
                <w:rFonts w:ascii="Arial" w:cs="Arial" w:eastAsia="Arial" w:hAnsi="Arial"/>
                <w:sz w:val="17"/>
                <w:szCs w:val="17"/>
                <w:color w:val="auto"/>
              </w:rPr>
              <w:t>$4,319</w:t>
            </w:r>
          </w:p>
        </w:tc>
        <w:tc>
          <w:tcPr>
            <w:tcW w:w="80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$(3,750)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040" w:type="dxa"/>
            <w:vAlign w:val="bottom"/>
          </w:tcPr>
          <w:p>
            <w:pPr>
              <w:jc w:val="center"/>
              <w:ind w:right="35"/>
              <w:spacing w:after="0"/>
              <w:rPr>
                <w:sz w:val="20"/>
                <w:szCs w:val="20"/>
                <w:color w:val="auto"/>
              </w:rPr>
            </w:pPr>
            <w:r>
              <w:rPr>
                <w:rFonts w:ascii="Arial" w:cs="Arial" w:eastAsia="Arial" w:hAnsi="Arial"/>
                <w:sz w:val="17"/>
                <w:szCs w:val="17"/>
                <w:color w:val="auto"/>
                <w:w w:val="93"/>
              </w:rPr>
              <w:t>May 1,</w:t>
            </w:r>
          </w:p>
        </w:tc>
        <w:tc>
          <w:tcPr>
            <w:tcW w:w="82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May 2,</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jc w:val="center"/>
              <w:ind w:right="15"/>
              <w:spacing w:after="0"/>
              <w:rPr>
                <w:sz w:val="20"/>
                <w:szCs w:val="20"/>
                <w:color w:val="auto"/>
              </w:rPr>
            </w:pPr>
            <w:r>
              <w:rPr>
                <w:rFonts w:ascii="Arial" w:cs="Arial" w:eastAsia="Arial" w:hAnsi="Arial"/>
                <w:sz w:val="17"/>
                <w:szCs w:val="17"/>
                <w:color w:val="auto"/>
                <w:w w:val="93"/>
              </w:rPr>
              <w:t>May 1,</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May 2,</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jc w:val="center"/>
              <w:ind w:right="35"/>
              <w:spacing w:after="0"/>
              <w:rPr>
                <w:sz w:val="20"/>
                <w:szCs w:val="20"/>
                <w:color w:val="auto"/>
              </w:rPr>
            </w:pPr>
            <w:r>
              <w:rPr>
                <w:rFonts w:ascii="Arial" w:cs="Arial" w:eastAsia="Arial" w:hAnsi="Arial"/>
                <w:sz w:val="17"/>
                <w:szCs w:val="17"/>
                <w:color w:val="auto"/>
                <w:w w:val="93"/>
              </w:rPr>
              <w:t>May 1,</w:t>
            </w:r>
          </w:p>
        </w:tc>
        <w:tc>
          <w:tcPr>
            <w:tcW w:w="800" w:type="dxa"/>
            <w:vAlign w:val="bottom"/>
          </w:tcPr>
          <w:p>
            <w:pPr>
              <w:jc w:val="center"/>
              <w:spacing w:after="0"/>
              <w:rPr>
                <w:sz w:val="20"/>
                <w:szCs w:val="20"/>
                <w:color w:val="auto"/>
              </w:rPr>
            </w:pPr>
            <w:r>
              <w:rPr>
                <w:rFonts w:ascii="Arial" w:cs="Arial" w:eastAsia="Arial" w:hAnsi="Arial"/>
                <w:sz w:val="17"/>
                <w:szCs w:val="17"/>
                <w:color w:val="auto"/>
                <w:w w:val="93"/>
              </w:rPr>
              <w:t>May 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For the six months ended</w:t>
            </w:r>
          </w:p>
        </w:tc>
        <w:tc>
          <w:tcPr>
            <w:tcW w:w="1040" w:type="dxa"/>
            <w:vAlign w:val="bottom"/>
            <w:tcBorders>
              <w:bottom w:val="single" w:sz="8" w:color="auto"/>
            </w:tcBorders>
            <w:shd w:val="clear" w:color="auto" w:fill="CCEEFF"/>
          </w:tcPr>
          <w:p>
            <w:pPr>
              <w:jc w:val="center"/>
              <w:ind w:right="15"/>
              <w:spacing w:after="0"/>
              <w:rPr>
                <w:sz w:val="20"/>
                <w:szCs w:val="20"/>
                <w:color w:val="auto"/>
              </w:rPr>
            </w:pPr>
            <w:r>
              <w:rPr>
                <w:rFonts w:ascii="Arial" w:cs="Arial" w:eastAsia="Arial" w:hAnsi="Arial"/>
                <w:sz w:val="17"/>
                <w:szCs w:val="17"/>
                <w:color w:val="auto"/>
                <w:w w:val="89"/>
              </w:rPr>
              <w:t>2009</w:t>
            </w:r>
          </w:p>
        </w:tc>
        <w:tc>
          <w:tcPr>
            <w:tcW w:w="800" w:type="dxa"/>
            <w:vAlign w:val="bottom"/>
            <w:tcBorders>
              <w:bottom w:val="single" w:sz="8" w:color="auto"/>
            </w:tcBorders>
            <w:shd w:val="clear" w:color="auto" w:fill="CCEEFF"/>
          </w:tcPr>
          <w:p>
            <w:pPr>
              <w:jc w:val="center"/>
              <w:ind w:right="15"/>
              <w:spacing w:after="0"/>
              <w:rPr>
                <w:sz w:val="20"/>
                <w:szCs w:val="20"/>
                <w:color w:val="auto"/>
              </w:rPr>
            </w:pPr>
            <w:r>
              <w:rPr>
                <w:rFonts w:ascii="Arial" w:cs="Arial" w:eastAsia="Arial" w:hAnsi="Arial"/>
                <w:sz w:val="17"/>
                <w:szCs w:val="17"/>
                <w:color w:val="auto"/>
                <w:w w:val="89"/>
              </w:rPr>
              <w:t>2008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right="35"/>
              <w:spacing w:after="0"/>
              <w:rPr>
                <w:sz w:val="20"/>
                <w:szCs w:val="20"/>
                <w:color w:val="auto"/>
              </w:rPr>
            </w:pPr>
            <w:r>
              <w:rPr>
                <w:rFonts w:ascii="Arial" w:cs="Arial" w:eastAsia="Arial" w:hAnsi="Arial"/>
                <w:sz w:val="17"/>
                <w:szCs w:val="17"/>
                <w:color w:val="auto"/>
                <w:w w:val="89"/>
              </w:rPr>
              <w:t>2009</w:t>
            </w:r>
          </w:p>
        </w:tc>
        <w:tc>
          <w:tcPr>
            <w:tcW w:w="8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2008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right="15"/>
              <w:spacing w:after="0"/>
              <w:rPr>
                <w:sz w:val="20"/>
                <w:szCs w:val="20"/>
                <w:color w:val="auto"/>
              </w:rPr>
            </w:pPr>
            <w:r>
              <w:rPr>
                <w:rFonts w:ascii="Arial" w:cs="Arial" w:eastAsia="Arial" w:hAnsi="Arial"/>
                <w:sz w:val="17"/>
                <w:szCs w:val="17"/>
                <w:color w:val="auto"/>
                <w:w w:val="89"/>
              </w:rPr>
              <w:t>2009</w:t>
            </w:r>
          </w:p>
        </w:tc>
        <w:tc>
          <w:tcPr>
            <w:tcW w:w="800" w:type="dxa"/>
            <w:vAlign w:val="bottom"/>
            <w:tcBorders>
              <w:bottom w:val="single" w:sz="8" w:color="auto"/>
            </w:tcBorders>
            <w:shd w:val="clear" w:color="auto" w:fill="CCEEFF"/>
          </w:tcPr>
          <w:p>
            <w:pPr>
              <w:jc w:val="center"/>
              <w:ind w:right="15"/>
              <w:spacing w:after="0"/>
              <w:rPr>
                <w:sz w:val="20"/>
                <w:szCs w:val="20"/>
                <w:color w:val="auto"/>
              </w:rPr>
            </w:pPr>
            <w:r>
              <w:rPr>
                <w:rFonts w:ascii="Arial" w:cs="Arial" w:eastAsia="Arial" w:hAnsi="Arial"/>
                <w:sz w:val="17"/>
                <w:szCs w:val="17"/>
                <w:color w:val="auto"/>
                <w:w w:val="89"/>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0" w:type="dxa"/>
            <w:vAlign w:val="bottom"/>
          </w:tcPr>
          <w:p>
            <w:pPr>
              <w:spacing w:after="0" w:line="185" w:lineRule="exact"/>
              <w:rPr>
                <w:sz w:val="20"/>
                <w:szCs w:val="20"/>
                <w:color w:val="auto"/>
              </w:rPr>
            </w:pPr>
            <w:r>
              <w:rPr>
                <w:rFonts w:ascii="Arial" w:cs="Arial" w:eastAsia="Arial" w:hAnsi="Arial"/>
                <w:sz w:val="17"/>
                <w:szCs w:val="17"/>
                <w:color w:val="auto"/>
              </w:rPr>
              <w:t>Foreign exchange contracts</w:t>
            </w:r>
          </w:p>
        </w:tc>
        <w:tc>
          <w:tcPr>
            <w:tcW w:w="1040" w:type="dxa"/>
            <w:vAlign w:val="bottom"/>
          </w:tcPr>
          <w:p>
            <w:pPr>
              <w:jc w:val="right"/>
              <w:ind w:right="35"/>
              <w:spacing w:after="0" w:line="185" w:lineRule="exact"/>
              <w:rPr>
                <w:sz w:val="20"/>
                <w:szCs w:val="20"/>
                <w:color w:val="auto"/>
              </w:rPr>
            </w:pPr>
            <w:r>
              <w:rPr>
                <w:rFonts w:ascii="Arial" w:cs="Arial" w:eastAsia="Arial" w:hAnsi="Arial"/>
                <w:sz w:val="17"/>
                <w:szCs w:val="17"/>
                <w:color w:val="auto"/>
              </w:rPr>
              <w:t>$(1,061)</w:t>
            </w:r>
          </w:p>
        </w:tc>
        <w:tc>
          <w:tcPr>
            <w:tcW w:w="82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$3,850</w:t>
            </w:r>
          </w:p>
        </w:tc>
        <w:tc>
          <w:tcPr>
            <w:tcW w:w="1600" w:type="dxa"/>
            <w:vAlign w:val="bottom"/>
            <w:gridSpan w:val="2"/>
          </w:tcPr>
          <w:p>
            <w:pPr>
              <w:ind w:left="100"/>
              <w:spacing w:after="0" w:line="185" w:lineRule="exact"/>
              <w:rPr>
                <w:sz w:val="20"/>
                <w:szCs w:val="20"/>
                <w:color w:val="auto"/>
              </w:rPr>
            </w:pPr>
            <w:r>
              <w:rPr>
                <w:rFonts w:ascii="Arial" w:cs="Arial" w:eastAsia="Arial" w:hAnsi="Arial"/>
                <w:sz w:val="17"/>
                <w:szCs w:val="17"/>
                <w:color w:val="auto"/>
              </w:rPr>
              <w:t>Net sales</w:t>
            </w:r>
          </w:p>
        </w:tc>
        <w:tc>
          <w:tcPr>
            <w:tcW w:w="900" w:type="dxa"/>
            <w:vAlign w:val="bottom"/>
          </w:tcPr>
          <w:p>
            <w:pPr>
              <w:jc w:val="right"/>
              <w:ind w:right="15"/>
              <w:spacing w:after="0" w:line="185" w:lineRule="exact"/>
              <w:rPr>
                <w:sz w:val="20"/>
                <w:szCs w:val="20"/>
                <w:color w:val="auto"/>
              </w:rPr>
            </w:pPr>
            <w:r>
              <w:rPr>
                <w:rFonts w:ascii="Arial" w:cs="Arial" w:eastAsia="Arial" w:hAnsi="Arial"/>
                <w:sz w:val="17"/>
                <w:szCs w:val="17"/>
                <w:color w:val="auto"/>
              </w:rPr>
              <w:t>$8,396</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$(5,803)</w:t>
            </w:r>
          </w:p>
        </w:tc>
        <w:tc>
          <w:tcPr>
            <w:tcW w:w="160" w:type="dxa"/>
            <w:vAlign w:val="bottom"/>
          </w:tcPr>
          <w:p>
            <w:pPr>
              <w:spacing w:after="0"/>
              <w:rPr>
                <w:sz w:val="17"/>
                <w:szCs w:val="17"/>
                <w:color w:val="auto"/>
              </w:rPr>
            </w:pPr>
          </w:p>
        </w:tc>
        <w:tc>
          <w:tcPr>
            <w:tcW w:w="1780" w:type="dxa"/>
            <w:vAlign w:val="bottom"/>
            <w:gridSpan w:val="2"/>
          </w:tcPr>
          <w:p>
            <w:pPr>
              <w:ind w:left="180"/>
              <w:spacing w:after="0" w:line="185" w:lineRule="exact"/>
              <w:rPr>
                <w:sz w:val="20"/>
                <w:szCs w:val="20"/>
                <w:color w:val="auto"/>
              </w:rPr>
            </w:pPr>
            <w:r>
              <w:rPr>
                <w:rFonts w:ascii="Arial" w:cs="Arial" w:eastAsia="Arial" w:hAnsi="Arial"/>
                <w:sz w:val="17"/>
                <w:szCs w:val="17"/>
                <w:color w:val="auto"/>
              </w:rPr>
              <w:t>Other income, net</w:t>
            </w:r>
          </w:p>
        </w:tc>
        <w:tc>
          <w:tcPr>
            <w:tcW w:w="1120" w:type="dxa"/>
            <w:vAlign w:val="bottom"/>
            <w:tcBorders>
              <w:bottom w:val="single" w:sz="8" w:color="auto"/>
            </w:tcBorders>
          </w:tcPr>
          <w:p>
            <w:pPr>
              <w:jc w:val="right"/>
              <w:ind w:right="15"/>
              <w:spacing w:after="0" w:line="185" w:lineRule="exact"/>
              <w:rPr>
                <w:sz w:val="20"/>
                <w:szCs w:val="20"/>
                <w:color w:val="auto"/>
              </w:rPr>
            </w:pPr>
            <w:r>
              <w:rPr>
                <w:rFonts w:ascii="Arial" w:cs="Arial" w:eastAsia="Arial" w:hAnsi="Arial"/>
                <w:sz w:val="17"/>
                <w:szCs w:val="17"/>
                <w:color w:val="auto"/>
              </w:rPr>
              <w:t>$(499)</w:t>
            </w:r>
          </w:p>
        </w:tc>
        <w:tc>
          <w:tcPr>
            <w:tcW w:w="8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contracts</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1,687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Cost of sales</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(2,246)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163</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tcBorders>
              <w:top w:val="single" w:sz="8" w:color="CCEEFF"/>
            </w:tcBorders>
          </w:tcPr>
          <w:p>
            <w:pPr>
              <w:spacing w:after="0" w:line="185" w:lineRule="exact"/>
              <w:rPr>
                <w:sz w:val="20"/>
                <w:szCs w:val="20"/>
                <w:color w:val="auto"/>
              </w:rPr>
            </w:pPr>
            <w:r>
              <w:rPr>
                <w:rFonts w:ascii="Arial" w:cs="Arial" w:eastAsia="Arial" w:hAnsi="Arial"/>
                <w:sz w:val="17"/>
                <w:szCs w:val="17"/>
                <w:color w:val="auto"/>
              </w:rPr>
              <w:t>Total</w:t>
            </w:r>
          </w:p>
        </w:tc>
        <w:tc>
          <w:tcPr>
            <w:tcW w:w="1040" w:type="dxa"/>
            <w:vAlign w:val="bottom"/>
            <w:tcBorders>
              <w:top w:val="single" w:sz="8" w:color="auto"/>
              <w:bottom w:val="single" w:sz="8" w:color="auto"/>
            </w:tcBorders>
          </w:tcPr>
          <w:p>
            <w:pPr>
              <w:jc w:val="right"/>
              <w:ind w:right="35"/>
              <w:spacing w:after="0" w:line="185" w:lineRule="exact"/>
              <w:rPr>
                <w:sz w:val="20"/>
                <w:szCs w:val="20"/>
                <w:color w:val="auto"/>
              </w:rPr>
            </w:pPr>
            <w:r>
              <w:rPr>
                <w:rFonts w:ascii="Arial" w:cs="Arial" w:eastAsia="Arial" w:hAnsi="Arial"/>
                <w:sz w:val="17"/>
                <w:szCs w:val="17"/>
                <w:color w:val="auto"/>
              </w:rPr>
              <w:t>$626</w:t>
            </w:r>
          </w:p>
        </w:tc>
        <w:tc>
          <w:tcPr>
            <w:tcW w:w="80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$3,604</w:t>
            </w: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
              <w:spacing w:after="0" w:line="185" w:lineRule="exact"/>
              <w:rPr>
                <w:sz w:val="20"/>
                <w:szCs w:val="20"/>
                <w:color w:val="auto"/>
              </w:rPr>
            </w:pPr>
            <w:r>
              <w:rPr>
                <w:rFonts w:ascii="Arial" w:cs="Arial" w:eastAsia="Arial" w:hAnsi="Arial"/>
                <w:sz w:val="17"/>
                <w:szCs w:val="17"/>
                <w:color w:val="auto"/>
              </w:rPr>
              <w:t>$6,150</w:t>
            </w:r>
          </w:p>
        </w:tc>
        <w:tc>
          <w:tcPr>
            <w:tcW w:w="80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$(5,640)</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May 1, 2009, the company anticipates to reclassify approximately $1.8 million of gains from AOCI to earnings during the next twelve months.</w:t>
      </w:r>
    </w:p>
    <w:p>
      <w:pPr>
        <w:spacing w:after="0" w:line="20" w:lineRule="exact"/>
        <w:rPr>
          <w:sz w:val="20"/>
          <w:szCs w:val="20"/>
          <w:color w:val="auto"/>
        </w:rPr>
      </w:pPr>
    </w:p>
    <w:p>
      <w:pPr>
        <w:ind w:right="540" w:firstLine="210"/>
        <w:spacing w:after="0" w:line="262" w:lineRule="auto"/>
        <w:rPr>
          <w:sz w:val="20"/>
          <w:szCs w:val="20"/>
          <w:color w:val="auto"/>
        </w:rPr>
      </w:pPr>
      <w:r>
        <w:rPr>
          <w:rFonts w:ascii="Arial" w:cs="Arial" w:eastAsia="Arial" w:hAnsi="Arial"/>
          <w:sz w:val="17"/>
          <w:szCs w:val="17"/>
          <w:color w:val="auto"/>
        </w:rPr>
        <w:t>The following table presents the impact of derivative instruments on the consolidated statements of earnings for the company’s derivatives not designated as hedging instruments under SFAS No. 133.</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800" w:type="dxa"/>
            <w:vAlign w:val="bottom"/>
            <w:gridSpan w:val="4"/>
          </w:tcPr>
          <w:p>
            <w:pPr>
              <w:jc w:val="right"/>
              <w:spacing w:after="0"/>
              <w:rPr>
                <w:sz w:val="20"/>
                <w:szCs w:val="20"/>
                <w:color w:val="auto"/>
              </w:rPr>
            </w:pPr>
            <w:r>
              <w:rPr>
                <w:rFonts w:ascii="Arial" w:cs="Arial" w:eastAsia="Arial" w:hAnsi="Arial"/>
                <w:sz w:val="17"/>
                <w:szCs w:val="17"/>
                <w:color w:val="auto"/>
              </w:rPr>
              <w:t>Gain (Loss) Recognized in Net Earnings</w:t>
            </w:r>
          </w:p>
        </w:tc>
        <w:tc>
          <w:tcPr>
            <w:tcW w:w="940" w:type="dxa"/>
            <w:vAlign w:val="bottom"/>
          </w:tcPr>
          <w:p>
            <w:pPr>
              <w:spacing w:after="0"/>
              <w:rPr>
                <w:sz w:val="17"/>
                <w:szCs w:val="17"/>
                <w:color w:val="auto"/>
              </w:rPr>
            </w:pPr>
          </w:p>
        </w:tc>
      </w:tr>
      <w:tr>
        <w:trPr>
          <w:trHeight w:val="223"/>
        </w:trPr>
        <w:tc>
          <w:tcPr>
            <w:tcW w:w="26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420" w:type="dxa"/>
            <w:vAlign w:val="bottom"/>
            <w:gridSpan w:val="3"/>
          </w:tcPr>
          <w:p>
            <w:pPr>
              <w:jc w:val="right"/>
              <w:ind w:right="540"/>
              <w:spacing w:after="0"/>
              <w:rPr>
                <w:sz w:val="20"/>
                <w:szCs w:val="20"/>
                <w:color w:val="auto"/>
              </w:rPr>
            </w:pPr>
            <w:r>
              <w:rPr>
                <w:rFonts w:ascii="Arial" w:cs="Arial" w:eastAsia="Arial" w:hAnsi="Arial"/>
                <w:sz w:val="17"/>
                <w:szCs w:val="17"/>
                <w:color w:val="auto"/>
              </w:rPr>
              <w:t>Three Months Ended</w:t>
            </w:r>
          </w:p>
        </w:tc>
        <w:tc>
          <w:tcPr>
            <w:tcW w:w="2320" w:type="dxa"/>
            <w:vAlign w:val="bottom"/>
            <w:gridSpan w:val="2"/>
          </w:tcPr>
          <w:p>
            <w:pPr>
              <w:jc w:val="right"/>
              <w:ind w:right="435"/>
              <w:spacing w:after="0"/>
              <w:rPr>
                <w:sz w:val="20"/>
                <w:szCs w:val="20"/>
                <w:color w:val="auto"/>
              </w:rPr>
            </w:pPr>
            <w:r>
              <w:rPr>
                <w:rFonts w:ascii="Arial" w:cs="Arial" w:eastAsia="Arial" w:hAnsi="Arial"/>
                <w:sz w:val="17"/>
                <w:szCs w:val="17"/>
                <w:color w:val="auto"/>
              </w:rPr>
              <w:t>Six Months Ended</w:t>
            </w:r>
          </w:p>
        </w:tc>
      </w:tr>
      <w:tr>
        <w:trPr>
          <w:trHeight w:val="192"/>
        </w:trPr>
        <w:tc>
          <w:tcPr>
            <w:tcW w:w="2600" w:type="dxa"/>
            <w:vAlign w:val="bottom"/>
          </w:tcPr>
          <w:p>
            <w:pPr>
              <w:spacing w:after="0"/>
              <w:rPr>
                <w:sz w:val="16"/>
                <w:szCs w:val="16"/>
                <w:color w:val="auto"/>
              </w:rPr>
            </w:pPr>
          </w:p>
        </w:tc>
        <w:tc>
          <w:tcPr>
            <w:tcW w:w="4080" w:type="dxa"/>
            <w:vAlign w:val="bottom"/>
          </w:tcPr>
          <w:p>
            <w:pPr>
              <w:jc w:val="center"/>
              <w:ind w:left="655"/>
              <w:spacing w:after="0" w:line="193" w:lineRule="exact"/>
              <w:rPr>
                <w:sz w:val="20"/>
                <w:szCs w:val="20"/>
                <w:color w:val="auto"/>
              </w:rPr>
            </w:pPr>
            <w:r>
              <w:rPr>
                <w:rFonts w:ascii="Arial" w:cs="Arial" w:eastAsia="Arial" w:hAnsi="Arial"/>
                <w:sz w:val="17"/>
                <w:szCs w:val="17"/>
                <w:color w:val="auto"/>
                <w:w w:val="94"/>
              </w:rPr>
              <w:t>Location of Gain (Loss)</w:t>
            </w:r>
          </w:p>
        </w:tc>
        <w:tc>
          <w:tcPr>
            <w:tcW w:w="1220" w:type="dxa"/>
            <w:vAlign w:val="bottom"/>
            <w:tcBorders>
              <w:top w:val="single" w:sz="8" w:color="auto"/>
            </w:tcBorders>
          </w:tcPr>
          <w:p>
            <w:pPr>
              <w:jc w:val="center"/>
              <w:ind w:right="95"/>
              <w:spacing w:after="0" w:line="193" w:lineRule="exact"/>
              <w:rPr>
                <w:sz w:val="20"/>
                <w:szCs w:val="20"/>
                <w:color w:val="auto"/>
              </w:rPr>
            </w:pPr>
            <w:r>
              <w:rPr>
                <w:rFonts w:ascii="Arial" w:cs="Arial" w:eastAsia="Arial" w:hAnsi="Arial"/>
                <w:sz w:val="17"/>
                <w:szCs w:val="17"/>
                <w:color w:val="auto"/>
                <w:w w:val="93"/>
              </w:rPr>
              <w:t>May 1,</w:t>
            </w:r>
          </w:p>
        </w:tc>
        <w:tc>
          <w:tcPr>
            <w:tcW w:w="1080" w:type="dxa"/>
            <w:vAlign w:val="bottom"/>
            <w:tcBorders>
              <w:top w:val="single" w:sz="8" w:color="auto"/>
            </w:tcBorders>
          </w:tcPr>
          <w:p>
            <w:pPr>
              <w:jc w:val="center"/>
              <w:ind w:right="115"/>
              <w:spacing w:after="0" w:line="193" w:lineRule="exact"/>
              <w:rPr>
                <w:sz w:val="20"/>
                <w:szCs w:val="20"/>
                <w:color w:val="auto"/>
              </w:rPr>
            </w:pPr>
            <w:r>
              <w:rPr>
                <w:rFonts w:ascii="Arial" w:cs="Arial" w:eastAsia="Arial" w:hAnsi="Arial"/>
                <w:sz w:val="17"/>
                <w:szCs w:val="17"/>
                <w:color w:val="auto"/>
                <w:w w:val="93"/>
              </w:rPr>
              <w:t>May 2,</w:t>
            </w:r>
          </w:p>
        </w:tc>
        <w:tc>
          <w:tcPr>
            <w:tcW w:w="120" w:type="dxa"/>
            <w:vAlign w:val="bottom"/>
          </w:tcPr>
          <w:p>
            <w:pPr>
              <w:spacing w:after="0"/>
              <w:rPr>
                <w:sz w:val="16"/>
                <w:szCs w:val="16"/>
                <w:color w:val="auto"/>
              </w:rPr>
            </w:pPr>
          </w:p>
        </w:tc>
        <w:tc>
          <w:tcPr>
            <w:tcW w:w="1380" w:type="dxa"/>
            <w:vAlign w:val="bottom"/>
            <w:tcBorders>
              <w:top w:val="single" w:sz="8" w:color="auto"/>
            </w:tcBorders>
          </w:tcPr>
          <w:p>
            <w:pPr>
              <w:jc w:val="center"/>
              <w:ind w:right="275"/>
              <w:spacing w:after="0" w:line="193" w:lineRule="exact"/>
              <w:rPr>
                <w:sz w:val="20"/>
                <w:szCs w:val="20"/>
                <w:color w:val="auto"/>
              </w:rPr>
            </w:pPr>
            <w:r>
              <w:rPr>
                <w:rFonts w:ascii="Arial" w:cs="Arial" w:eastAsia="Arial" w:hAnsi="Arial"/>
                <w:sz w:val="17"/>
                <w:szCs w:val="17"/>
                <w:color w:val="auto"/>
                <w:w w:val="97"/>
              </w:rPr>
              <w:t>May 1,</w:t>
            </w:r>
          </w:p>
        </w:tc>
        <w:tc>
          <w:tcPr>
            <w:tcW w:w="940" w:type="dxa"/>
            <w:vAlign w:val="bottom"/>
            <w:tcBorders>
              <w:top w:val="single" w:sz="8" w:color="auto"/>
            </w:tcBorders>
          </w:tcPr>
          <w:p>
            <w:pPr>
              <w:jc w:val="center"/>
              <w:ind w:right="255"/>
              <w:spacing w:after="0" w:line="193" w:lineRule="exact"/>
              <w:rPr>
                <w:sz w:val="20"/>
                <w:szCs w:val="20"/>
                <w:color w:val="auto"/>
              </w:rPr>
            </w:pPr>
            <w:r>
              <w:rPr>
                <w:rFonts w:ascii="Arial" w:cs="Arial" w:eastAsia="Arial" w:hAnsi="Arial"/>
                <w:sz w:val="17"/>
                <w:szCs w:val="17"/>
                <w:color w:val="auto"/>
                <w:w w:val="93"/>
              </w:rPr>
              <w:t>May 2,</w:t>
            </w:r>
          </w:p>
        </w:tc>
      </w:tr>
      <w:tr>
        <w:trPr>
          <w:trHeight w:val="223"/>
        </w:trPr>
        <w:tc>
          <w:tcPr>
            <w:tcW w:w="2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(Dollars in thousands)</w:t>
            </w:r>
          </w:p>
        </w:tc>
        <w:tc>
          <w:tcPr>
            <w:tcW w:w="4080" w:type="dxa"/>
            <w:vAlign w:val="bottom"/>
            <w:tcBorders>
              <w:bottom w:val="single" w:sz="8" w:color="auto"/>
            </w:tcBorders>
          </w:tcPr>
          <w:p>
            <w:pPr>
              <w:jc w:val="center"/>
              <w:ind w:left="655"/>
              <w:spacing w:after="0"/>
              <w:rPr>
                <w:sz w:val="20"/>
                <w:szCs w:val="20"/>
                <w:color w:val="auto"/>
              </w:rPr>
            </w:pPr>
            <w:r>
              <w:rPr>
                <w:rFonts w:ascii="Arial" w:cs="Arial" w:eastAsia="Arial" w:hAnsi="Arial"/>
                <w:sz w:val="17"/>
                <w:szCs w:val="17"/>
                <w:color w:val="auto"/>
                <w:w w:val="90"/>
              </w:rPr>
              <w:t>Recognized in Net Earnings</w:t>
            </w: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2009</w:t>
            </w: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2009</w:t>
            </w: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2008</w:t>
            </w:r>
          </w:p>
        </w:tc>
      </w:tr>
      <w:tr>
        <w:trPr>
          <w:trHeight w:val="205"/>
        </w:trPr>
        <w:tc>
          <w:tcPr>
            <w:tcW w:w="26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26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Foreign exchange contracts</w:t>
            </w:r>
          </w:p>
        </w:tc>
        <w:tc>
          <w:tcPr>
            <w:tcW w:w="4080" w:type="dxa"/>
            <w:vAlign w:val="bottom"/>
            <w:shd w:val="clear" w:color="auto" w:fill="CCEEFF"/>
          </w:tcPr>
          <w:p>
            <w:pPr>
              <w:ind w:left="740"/>
              <w:spacing w:after="0" w:line="185" w:lineRule="exact"/>
              <w:rPr>
                <w:sz w:val="20"/>
                <w:szCs w:val="20"/>
                <w:color w:val="auto"/>
              </w:rPr>
            </w:pPr>
            <w:r>
              <w:rPr>
                <w:rFonts w:ascii="Arial" w:cs="Arial" w:eastAsia="Arial" w:hAnsi="Arial"/>
                <w:sz w:val="17"/>
                <w:szCs w:val="17"/>
                <w:color w:val="auto"/>
              </w:rPr>
              <w:t>Other income, net</w:t>
            </w:r>
          </w:p>
        </w:tc>
        <w:tc>
          <w:tcPr>
            <w:tcW w:w="1220" w:type="dxa"/>
            <w:vAlign w:val="bottom"/>
            <w:shd w:val="clear" w:color="auto" w:fill="CCEEFF"/>
          </w:tcPr>
          <w:p>
            <w:pPr>
              <w:jc w:val="right"/>
              <w:ind w:right="115"/>
              <w:spacing w:after="0" w:line="185" w:lineRule="exact"/>
              <w:rPr>
                <w:sz w:val="20"/>
                <w:szCs w:val="20"/>
                <w:color w:val="auto"/>
              </w:rPr>
            </w:pPr>
            <w:r>
              <w:rPr>
                <w:rFonts w:ascii="Arial" w:cs="Arial" w:eastAsia="Arial" w:hAnsi="Arial"/>
                <w:sz w:val="17"/>
                <w:szCs w:val="17"/>
                <w:color w:val="auto"/>
              </w:rPr>
              <w:t>$(947)</w:t>
            </w:r>
          </w:p>
        </w:tc>
        <w:tc>
          <w:tcPr>
            <w:tcW w:w="1200" w:type="dxa"/>
            <w:vAlign w:val="bottom"/>
            <w:gridSpan w:val="2"/>
            <w:shd w:val="clear" w:color="auto" w:fill="CCEEFF"/>
          </w:tcPr>
          <w:p>
            <w:pPr>
              <w:jc w:val="right"/>
              <w:ind w:right="120"/>
              <w:spacing w:after="0" w:line="185" w:lineRule="exact"/>
              <w:rPr>
                <w:sz w:val="20"/>
                <w:szCs w:val="20"/>
                <w:color w:val="auto"/>
              </w:rPr>
            </w:pPr>
            <w:r>
              <w:rPr>
                <w:rFonts w:ascii="Arial" w:cs="Arial" w:eastAsia="Arial" w:hAnsi="Arial"/>
                <w:sz w:val="17"/>
                <w:szCs w:val="17"/>
                <w:color w:val="auto"/>
              </w:rPr>
              <w:t>$(5,059)</w:t>
            </w:r>
          </w:p>
        </w:tc>
        <w:tc>
          <w:tcPr>
            <w:tcW w:w="1380" w:type="dxa"/>
            <w:vAlign w:val="bottom"/>
            <w:shd w:val="clear" w:color="auto" w:fill="CCEEFF"/>
          </w:tcPr>
          <w:p>
            <w:pPr>
              <w:jc w:val="right"/>
              <w:ind w:right="275"/>
              <w:spacing w:after="0" w:line="185" w:lineRule="exact"/>
              <w:rPr>
                <w:sz w:val="20"/>
                <w:szCs w:val="20"/>
                <w:color w:val="auto"/>
              </w:rPr>
            </w:pPr>
            <w:r>
              <w:rPr>
                <w:rFonts w:ascii="Arial" w:cs="Arial" w:eastAsia="Arial" w:hAnsi="Arial"/>
                <w:sz w:val="17"/>
                <w:szCs w:val="17"/>
                <w:color w:val="auto"/>
              </w:rPr>
              <w:t>$2,782</w:t>
            </w:r>
          </w:p>
        </w:tc>
        <w:tc>
          <w:tcPr>
            <w:tcW w:w="9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$(5,086)</w:t>
            </w:r>
          </w:p>
        </w:tc>
      </w:tr>
      <w:tr>
        <w:trPr>
          <w:trHeight w:val="20"/>
        </w:trPr>
        <w:tc>
          <w:tcPr>
            <w:tcW w:w="260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43"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In September 2006, the FASB issued SFAS No. 157 “Fair Value Measurements.” SFAS No. 157 introduces a framework for measuring fair value and expands required disclosures about fair value measurements of assets and liabilities. The company adopted the standard for financial assets and liabilities and nonfinancial assets and liabilities measured at fair value on a recurring basis as of November 1, 2008, and there was no financial statement impact resulting from the adoption. We will adopt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type w:val="continuous"/>
        </w:sectPr>
      </w:pPr>
    </w:p>
    <w:bookmarkStart w:id="13" w:name="page14"/>
    <w:bookmarkEnd w:id="13"/>
    <w:p>
      <w:pPr>
        <w:ind w:right="180"/>
        <w:spacing w:after="0" w:line="258" w:lineRule="auto"/>
        <w:rPr>
          <w:sz w:val="20"/>
          <w:szCs w:val="20"/>
          <w:color w:val="auto"/>
        </w:rPr>
      </w:pPr>
      <w:r>
        <w:rPr>
          <w:rFonts w:ascii="Arial" w:cs="Arial" w:eastAsia="Arial" w:hAnsi="Arial"/>
          <w:sz w:val="17"/>
          <w:szCs w:val="17"/>
          <w:color w:val="auto"/>
        </w:rPr>
        <w:t>the provisions of SFAS No. 157 for nonfinancial assets and liabilities that are not required or permitted to be measured on a recurring basis during the first quarter of fiscal 2010, as required.</w:t>
      </w:r>
    </w:p>
    <w:p>
      <w:pPr>
        <w:ind w:right="380" w:firstLine="213"/>
        <w:spacing w:after="0" w:line="251" w:lineRule="auto"/>
        <w:rPr>
          <w:sz w:val="20"/>
          <w:szCs w:val="20"/>
          <w:color w:val="auto"/>
        </w:rPr>
      </w:pPr>
      <w:r>
        <w:rPr>
          <w:rFonts w:ascii="Arial" w:cs="Arial" w:eastAsia="Arial" w:hAnsi="Arial"/>
          <w:sz w:val="17"/>
          <w:szCs w:val="17"/>
          <w:color w:val="auto"/>
        </w:rPr>
        <w:t>SFAS No. 157 defines fair value as the exchange price that would be received for an asset or paid to transfer a liability (an exit price) in the principal or most advantageous market for the asset or liability in an orderly transaction between market participants on the measurement date. SFAS No. 157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Level 1 — Quoted prices in active markets for identical assets or liabilities.</w:t>
      </w:r>
    </w:p>
    <w:p>
      <w:pPr>
        <w:spacing w:after="0" w:line="9" w:lineRule="exact"/>
        <w:rPr>
          <w:sz w:val="20"/>
          <w:szCs w:val="20"/>
          <w:color w:val="auto"/>
        </w:rPr>
      </w:pPr>
    </w:p>
    <w:p>
      <w:pPr>
        <w:ind w:right="300" w:firstLine="128"/>
        <w:spacing w:after="0" w:line="251"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ind w:left="1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9" w:lineRule="exact"/>
        <w:rPr>
          <w:sz w:val="20"/>
          <w:szCs w:val="20"/>
          <w:color w:val="auto"/>
        </w:rPr>
      </w:pPr>
    </w:p>
    <w:p>
      <w:pPr>
        <w:ind w:right="500" w:firstLine="210"/>
        <w:spacing w:after="0" w:line="251" w:lineRule="auto"/>
        <w:rPr>
          <w:sz w:val="20"/>
          <w:szCs w:val="20"/>
          <w:color w:val="auto"/>
        </w:rPr>
      </w:pPr>
      <w:r>
        <w:rPr>
          <w:rFonts w:ascii="Arial" w:cs="Arial" w:eastAsia="Arial" w:hAnsi="Arial"/>
          <w:sz w:val="17"/>
          <w:szCs w:val="17"/>
          <w:color w:val="auto"/>
        </w:rPr>
        <w:t>The company utilizes the income approach to measure the fair value of its foreign currency contracts. The income approach uses significant other observable inputs to value derivative instruments that hedge foreign currency transactions.</w:t>
      </w:r>
    </w:p>
    <w:p>
      <w:pPr>
        <w:ind w:left="200"/>
        <w:spacing w:after="0"/>
        <w:rPr>
          <w:sz w:val="20"/>
          <w:szCs w:val="20"/>
          <w:color w:val="auto"/>
        </w:rPr>
      </w:pPr>
      <w:r>
        <w:rPr>
          <w:rFonts w:ascii="Arial" w:cs="Arial" w:eastAsia="Arial" w:hAnsi="Arial"/>
          <w:sz w:val="17"/>
          <w:szCs w:val="17"/>
          <w:color w:val="auto"/>
        </w:rPr>
        <w:t>Assets and liabilities measured at fair value on a recurring basis, as of May 1, 2009, are summarized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20"/>
                <w:szCs w:val="20"/>
                <w:color w:val="auto"/>
              </w:rPr>
            </w:pPr>
            <w:r>
              <w:rPr>
                <w:rFonts w:ascii="Arial" w:cs="Arial" w:eastAsia="Arial" w:hAnsi="Arial"/>
                <w:sz w:val="17"/>
                <w:szCs w:val="17"/>
                <w:color w:val="auto"/>
              </w:rPr>
              <w:t>(Dollars in thousands)</w:t>
            </w:r>
          </w:p>
        </w:tc>
        <w:tc>
          <w:tcPr>
            <w:tcW w:w="1160" w:type="dxa"/>
            <w:vAlign w:val="bottom"/>
          </w:tcPr>
          <w:p>
            <w:pPr>
              <w:jc w:val="right"/>
              <w:ind w:right="555"/>
              <w:spacing w:after="0"/>
              <w:rPr>
                <w:sz w:val="20"/>
                <w:szCs w:val="20"/>
                <w:color w:val="auto"/>
              </w:rPr>
            </w:pPr>
            <w:r>
              <w:rPr>
                <w:rFonts w:ascii="Arial" w:cs="Arial" w:eastAsia="Arial" w:hAnsi="Arial"/>
                <w:sz w:val="17"/>
                <w:szCs w:val="17"/>
                <w:color w:val="auto"/>
                <w:w w:val="91"/>
              </w:rPr>
              <w:t>Level 1</w:t>
            </w:r>
          </w:p>
        </w:tc>
        <w:tc>
          <w:tcPr>
            <w:tcW w:w="2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Level 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7"/>
                <w:szCs w:val="17"/>
                <w:color w:val="auto"/>
              </w:rPr>
              <w:t>Level 3</w:t>
            </w:r>
          </w:p>
        </w:tc>
        <w:tc>
          <w:tcPr>
            <w:tcW w:w="10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
        </w:trPr>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contracts, net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4,530</w:t>
            </w:r>
          </w:p>
        </w:tc>
      </w:tr>
      <w:tr>
        <w:trPr>
          <w:trHeight w:val="205"/>
        </w:trPr>
        <w:tc>
          <w:tcPr>
            <w:tcW w:w="6060" w:type="dxa"/>
            <w:vAlign w:val="bottom"/>
          </w:tcPr>
          <w:p>
            <w:pPr>
              <w:ind w:left="1720"/>
              <w:spacing w:after="0"/>
              <w:rPr>
                <w:sz w:val="20"/>
                <w:szCs w:val="20"/>
                <w:color w:val="auto"/>
              </w:rPr>
            </w:pPr>
            <w:r>
              <w:rPr>
                <w:rFonts w:ascii="Arial" w:cs="Arial" w:eastAsia="Arial" w:hAnsi="Arial"/>
                <w:sz w:val="17"/>
                <w:szCs w:val="17"/>
                <w:color w:val="auto"/>
              </w:rPr>
              <w:t>Total</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4,530</w:t>
            </w:r>
          </w:p>
        </w:tc>
        <w:tc>
          <w:tcPr>
            <w:tcW w:w="14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4,530</w:t>
            </w: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43" w:lineRule="exact"/>
        <w:rPr>
          <w:sz w:val="20"/>
          <w:szCs w:val="20"/>
          <w:color w:val="auto"/>
        </w:rPr>
      </w:pPr>
    </w:p>
    <w:p>
      <w:pPr>
        <w:jc w:val="both"/>
        <w:ind w:right="160"/>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ind w:right="160"/>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00" w:lineRule="exact"/>
        <w:rPr>
          <w:sz w:val="20"/>
          <w:szCs w:val="20"/>
          <w:color w:val="auto"/>
        </w:rPr>
      </w:pPr>
    </w:p>
    <w:p>
      <w:pPr>
        <w:spacing w:after="0" w:line="241"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b w:val="1"/>
          <w:bCs w:val="1"/>
          <w:i w:val="1"/>
          <w:iCs w:val="1"/>
          <w:color w:val="auto"/>
        </w:rPr>
        <w:t xml:space="preserve">Lawnmower Engine Horsepower Marketing and Sales Practices Litigation. </w:t>
      </w:r>
      <w:r>
        <w:rPr>
          <w:rFonts w:ascii="Arial" w:cs="Arial" w:eastAsia="Arial" w:hAnsi="Arial"/>
          <w:sz w:val="16"/>
          <w:szCs w:val="16"/>
          <w:color w:val="auto"/>
        </w:rPr>
        <w:t>In June 2004, individuals who claim to have purchased lawnmowers in Illinois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ind w:right="140" w:firstLine="213"/>
        <w:spacing w:after="0" w:line="251" w:lineRule="auto"/>
        <w:rPr>
          <w:sz w:val="20"/>
          <w:szCs w:val="20"/>
          <w:color w:val="auto"/>
        </w:rPr>
      </w:pPr>
      <w:r>
        <w:rPr>
          <w:rFonts w:ascii="Arial" w:cs="Arial" w:eastAsia="Arial" w:hAnsi="Arial"/>
          <w:sz w:val="17"/>
          <w:szCs w:val="17"/>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that it had reached a settlement agreement with the plaintiffs.</w:t>
      </w:r>
    </w:p>
    <w:p>
      <w:pPr>
        <w:spacing w:after="0" w:line="1" w:lineRule="exact"/>
        <w:rPr>
          <w:sz w:val="20"/>
          <w:szCs w:val="20"/>
          <w:color w:val="auto"/>
        </w:rPr>
      </w:pPr>
    </w:p>
    <w:p>
      <w:pPr>
        <w:ind w:right="260" w:firstLine="213"/>
        <w:spacing w:after="0" w:line="254" w:lineRule="auto"/>
        <w:rPr>
          <w:sz w:val="20"/>
          <w:szCs w:val="20"/>
          <w:color w:val="auto"/>
        </w:rPr>
      </w:pPr>
      <w:r>
        <w:rPr>
          <w:rFonts w:ascii="Arial" w:cs="Arial" w:eastAsia="Arial" w:hAnsi="Arial"/>
          <w:sz w:val="17"/>
          <w:szCs w:val="17"/>
          <w:color w:val="auto"/>
        </w:rPr>
        <w:t>In May 2008, the court issued a memorandum and order that (i) dismissed the RICO claim in its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4" w:name="page15"/>
    <w:bookmarkEnd w:id="14"/>
    <w:p>
      <w:pPr>
        <w:jc w:val="both"/>
        <w:ind w:right="260" w:firstLine="213"/>
        <w:spacing w:after="0" w:line="254" w:lineRule="auto"/>
        <w:rPr>
          <w:sz w:val="20"/>
          <w:szCs w:val="20"/>
          <w:color w:val="auto"/>
        </w:rPr>
      </w:pPr>
      <w:r>
        <w:rPr>
          <w:rFonts w:ascii="Arial" w:cs="Arial" w:eastAsia="Arial" w:hAnsi="Arial"/>
          <w:sz w:val="17"/>
          <w:szCs w:val="17"/>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w:t>
      </w:r>
    </w:p>
    <w:p>
      <w:pPr>
        <w:spacing w:after="0" w:line="2" w:lineRule="exact"/>
        <w:rPr>
          <w:sz w:val="20"/>
          <w:szCs w:val="20"/>
          <w:color w:val="auto"/>
        </w:rPr>
      </w:pPr>
    </w:p>
    <w:p>
      <w:pPr>
        <w:ind w:right="60" w:firstLine="213"/>
        <w:spacing w:after="0" w:line="266" w:lineRule="auto"/>
        <w:rPr>
          <w:sz w:val="20"/>
          <w:szCs w:val="20"/>
          <w:color w:val="auto"/>
        </w:rPr>
      </w:pPr>
      <w:r>
        <w:rPr>
          <w:rFonts w:ascii="Arial" w:cs="Arial" w:eastAsia="Arial" w:hAnsi="Arial"/>
          <w:sz w:val="16"/>
          <w:szCs w:val="16"/>
          <w:color w:val="auto"/>
        </w:rPr>
        <w:t>In September 2008, the company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3" w:lineRule="exact"/>
        <w:rPr>
          <w:sz w:val="20"/>
          <w:szCs w:val="20"/>
          <w:color w:val="auto"/>
        </w:rPr>
      </w:pPr>
    </w:p>
    <w:p>
      <w:pPr>
        <w:ind w:right="20" w:firstLine="204"/>
        <w:spacing w:after="0" w:line="284" w:lineRule="auto"/>
        <w:rPr>
          <w:sz w:val="20"/>
          <w:szCs w:val="20"/>
          <w:color w:val="auto"/>
        </w:rPr>
      </w:pPr>
      <w:r>
        <w:rPr>
          <w:rFonts w:ascii="Arial" w:cs="Arial" w:eastAsia="Arial" w:hAnsi="Arial"/>
          <w:sz w:val="15"/>
          <w:szCs w:val="15"/>
          <w:color w:val="auto"/>
        </w:rPr>
        <w:t>An initial hearing was held in the United States District Court for the Eastern District of Wisconsin in January 2009. At that hearing, the Court (i) appointed lead plaintiffs’ counsel, and (ii) entered a stay of all litigation for 120 days so that the parties could explore mediation. Formal mediation proceedings commenced and on May 28, 2009, the Court extended the litigation stay to August 28, 2009, and re-scheduled the status conference to September 2009. To date, more than 65 lawsuits have been filed in various federal and state courts, which collectively assert claims under the laws of approximately 50 jurisdictions.</w:t>
      </w:r>
    </w:p>
    <w:p>
      <w:pPr>
        <w:spacing w:after="0" w:line="2" w:lineRule="exact"/>
        <w:rPr>
          <w:sz w:val="20"/>
          <w:szCs w:val="20"/>
          <w:color w:val="auto"/>
        </w:rPr>
      </w:pPr>
    </w:p>
    <w:p>
      <w:pPr>
        <w:ind w:right="60" w:firstLine="213"/>
        <w:spacing w:after="0" w:line="275" w:lineRule="auto"/>
        <w:rPr>
          <w:sz w:val="20"/>
          <w:szCs w:val="20"/>
          <w:color w:val="auto"/>
        </w:rPr>
      </w:pPr>
      <w:r>
        <w:rPr>
          <w:rFonts w:ascii="Arial" w:cs="Arial" w:eastAsia="Arial" w:hAnsi="Arial"/>
          <w:sz w:val="16"/>
          <w:szCs w:val="16"/>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Management is also unable to assess at this time whether these lawsuits will have a material adverse effect on the company’s annual consolidated operating results or financial condition, although an unfavorable resolution could be material to the company’s consolidated operating results for a particular period.</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 xml:space="preserve">Textron Innovations Inc. v. The Toro Company; The Toro Company v. Textron Inc. and Jacobsen. </w:t>
      </w:r>
      <w:r>
        <w:rPr>
          <w:rFonts w:ascii="Arial" w:cs="Arial" w:eastAsia="Arial" w:hAnsi="Arial"/>
          <w:sz w:val="17"/>
          <w:szCs w:val="17"/>
          <w:color w:val="auto"/>
        </w:rPr>
        <w:t>In July 2005, Textron Innovations Inc., the patent holding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of Textron, Inc., filed a lawsuit in Delaware Federal District Court against the company for patent infringement. Textron alleges that the company willfully infringed certain claims of three Textron patents by selling its Groundsmaster® commercial mowers. Textron seeks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the company’s motion to stay the litigation and, in June 2007, denied Textron’s motion for reconsideration of the Court’s order staying the proceedings.</w:t>
      </w:r>
    </w:p>
    <w:p>
      <w:pPr>
        <w:spacing w:after="0" w:line="6" w:lineRule="exact"/>
        <w:rPr>
          <w:sz w:val="20"/>
          <w:szCs w:val="20"/>
          <w:color w:val="auto"/>
        </w:rPr>
      </w:pPr>
    </w:p>
    <w:p>
      <w:pPr>
        <w:jc w:val="both"/>
        <w:ind w:right="160" w:firstLine="213"/>
        <w:spacing w:after="0" w:line="255" w:lineRule="auto"/>
        <w:rPr>
          <w:sz w:val="20"/>
          <w:szCs w:val="20"/>
          <w:color w:val="auto"/>
        </w:rPr>
      </w:pPr>
      <w:r>
        <w:rPr>
          <w:rFonts w:ascii="Arial" w:cs="Arial" w:eastAsia="Arial" w:hAnsi="Arial"/>
          <w:sz w:val="17"/>
          <w:szCs w:val="17"/>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While management does not believe that these lawsuits will have a material adverse effect on the company’s consolidated financial condition, an unfavorable resolution could be material to the company’s consolidated operating results.</w:t>
      </w: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498" w:right="419" w:bottom="1440" w:gutter="0" w:footer="0" w:header="0"/>
        </w:sectPr>
      </w:pPr>
    </w:p>
    <w:bookmarkStart w:id="15" w:name="page16"/>
    <w:bookmarkEnd w:id="15"/>
    <w:p>
      <w:pPr>
        <w:jc w:val="center"/>
        <w:ind w:right="120"/>
        <w:spacing w:after="0"/>
        <w:rPr>
          <w:sz w:val="20"/>
          <w:szCs w:val="20"/>
          <w:color w:val="auto"/>
        </w:rPr>
      </w:pPr>
      <w:r>
        <w:rPr>
          <w:rFonts w:ascii="Arial" w:cs="Arial" w:eastAsia="Arial" w:hAnsi="Arial"/>
          <w:sz w:val="20"/>
          <w:szCs w:val="20"/>
          <w:b w:val="1"/>
          <w:bCs w:val="1"/>
          <w:color w:val="auto"/>
        </w:rPr>
        <w:t>Item 2. MANAGEMENT'S DISCUSSION AND ANALYSIS OF FINANCIAL CONDITION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Operations</w:t>
      </w:r>
    </w:p>
    <w:p>
      <w:pPr>
        <w:spacing w:after="0" w:line="24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and agricultural micro-irrigation systems, landscaping equipment, and residential yard and irrigation products worldwide. We sell our products through a network of distributors, dealers, hardware retailers, home centers, mass retailers, and over the Internet. Our businesses are organized into three reportable business segments: professional, residential, and distribution. A company-owned distributorship, which consists of our distribution segment, has been combined with our corporate activities and financing functions. Our emphasis is to provide innovative, well-built, and dependable products supported by an extensive service network. A significant portion of our revenues has historically been, and we expect it to continue to be, attributable to new and enhanced products.</w:t>
      </w:r>
    </w:p>
    <w:p>
      <w:pPr>
        <w:spacing w:after="0" w:line="2" w:lineRule="exact"/>
        <w:rPr>
          <w:sz w:val="20"/>
          <w:szCs w:val="20"/>
          <w:color w:val="auto"/>
        </w:rPr>
      </w:pPr>
    </w:p>
    <w:p>
      <w:pPr>
        <w:ind w:right="340" w:firstLine="210"/>
        <w:spacing w:after="0" w:line="262" w:lineRule="auto"/>
        <w:rPr>
          <w:sz w:val="20"/>
          <w:szCs w:val="20"/>
          <w:color w:val="auto"/>
        </w:rPr>
      </w:pPr>
      <w:r>
        <w:rPr>
          <w:rFonts w:ascii="Arial" w:cs="Arial" w:eastAsia="Arial" w:hAnsi="Arial"/>
          <w:sz w:val="17"/>
          <w:szCs w:val="17"/>
          <w:color w:val="auto"/>
        </w:rPr>
        <w:t>The Management’s Discussion and Analysis of Financial Condition and Results of Operations (MD&amp;A) for the second quarter of fiscal 2009 should be read in conjunction with the MD&amp;A included in our Annual Report on Form 10-K (Item 7) for the fiscal year ended October 31, 2008.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For the second quarter of fiscal 2009, our net sales were down 21.7 percent compared to the second quarter of fiscal 2008. Year-to-date net sales were also down by 19.6 percent compared to the same period last fiscal year. Shipments of most professional segment products were significantly down due to decreased demand and customers’ reluctance to place stocking orders largely as a consequence of the global recessionary conditions, which also resulted in lower field inventory levels for our domestic businesses. Residential segment net sales were also down by 4.7 percent and 2.8 percent for the second quarter and year-to-date periods of fiscal 2009, respectively, compared to the same periods in the prior fiscal year due mainly to a decline in shipments of riding products, which was somewhat offset by an increase in sales of walk power mowers as a result of additional product placement at a key retailer for a new and broader line of walk power mowers. International net sales declined 24.8 percent and 21.6 percent for the second quarter and year-to-date periods of fiscal 2009, respectively, from the same periods in the prior fiscal year, due also to reduced demand as a result of the recessionary conditions affecting our key international markets, as well as a stronger U.S. dollar that negatively impacted net sales by approximately $12 million and $24 million for the second quarter and year-to-date periods of fiscal 2009, respectively. Our net earnings declined 41.3 percent and 46.5 percent for the second quarter and year-to-date periods of fiscal 2009 to $36.9 million and $43.6 million, respectively, compared to the same periods in the prior fiscal year. These decreases were primarily the result of lower sales volumes and lower gross margin due to higher commodity costs, production cuts, and unfavorable product mix in the second quarter and year-to-date periods of fiscal 2009 compared to the same periods last fiscal year.</w:t>
      </w:r>
    </w:p>
    <w:p>
      <w:pPr>
        <w:spacing w:after="0" w:line="1" w:lineRule="exact"/>
        <w:rPr>
          <w:sz w:val="20"/>
          <w:szCs w:val="20"/>
          <w:color w:val="auto"/>
        </w:rPr>
      </w:pPr>
    </w:p>
    <w:p>
      <w:pPr>
        <w:ind w:right="140" w:firstLine="213"/>
        <w:spacing w:after="0" w:line="266" w:lineRule="auto"/>
        <w:rPr>
          <w:sz w:val="20"/>
          <w:szCs w:val="20"/>
          <w:color w:val="auto"/>
        </w:rPr>
      </w:pPr>
      <w:r>
        <w:rPr>
          <w:rFonts w:ascii="Arial" w:cs="Arial" w:eastAsia="Arial" w:hAnsi="Arial"/>
          <w:sz w:val="16"/>
          <w:szCs w:val="16"/>
          <w:color w:val="auto"/>
        </w:rPr>
        <w:t>During this difficult economic environment, we have been reducing expenses and continuing efforts to reduce working capital. As a result of these actions, our selling, general, and administrative (SG&amp;A) expenses were down $22.7 million and $35.3 million for the second quarter and year-to-date periods of fiscal 2009, respectively, compared to the same periods in the prior fiscal year. In February 2009, we announced the reduction of our worldwide salaried and office workforce by approximately 100 employees, suspension of regularly scheduled salary increases, a reduction of officers’ salaries, changes in our vacation policy, and four furlough days – all for the remainder of fiscal 2009. Our inventory levels also decreased 18.7 percent for the second quarter of fiscal 2009 compared to the second quarter of fiscal 2008, which also contributed to a decline in short-term debt of $118.6 million as of the end of the second quarter of fiscal 2009 compared to the end of the second quarter of fiscal 2008. We declared a cash dividend of $0.15 per share during the second quarter of fiscal 2009, which was equivalent to the cash dividend we declared in the first quarter of fiscal 2009 and each quarter of fiscal 2008.</w:t>
      </w:r>
    </w:p>
    <w:p>
      <w:pPr>
        <w:spacing w:after="0" w:line="6" w:lineRule="exact"/>
        <w:rPr>
          <w:sz w:val="20"/>
          <w:szCs w:val="20"/>
          <w:color w:val="auto"/>
        </w:rPr>
      </w:pPr>
    </w:p>
    <w:p>
      <w:pPr>
        <w:ind w:firstLine="210"/>
        <w:spacing w:after="0" w:line="253" w:lineRule="auto"/>
        <w:rPr>
          <w:sz w:val="20"/>
          <w:szCs w:val="20"/>
          <w:color w:val="auto"/>
        </w:rPr>
      </w:pPr>
      <w:r>
        <w:rPr>
          <w:rFonts w:ascii="Arial" w:cs="Arial" w:eastAsia="Arial" w:hAnsi="Arial"/>
          <w:sz w:val="17"/>
          <w:szCs w:val="17"/>
          <w:color w:val="auto"/>
        </w:rPr>
        <w:t>We expect the global economic slow-down to continue for at least the remainder of our fiscal year and to continue to have a negative impact on our financial results for fiscal 2009. However, we believe we are well positioned to manage through this challenging environment because of the actions we have taken to improve operating efficiency and asset utilization, as well as reducing expenses. Our continued focus is on generating customer demand and aggressively driving retail sales for our innovative products, while keeping production closely aligned with expected shipment volumes. We will continue to keep a cautionary eye on the global economies, retail demand, field inventory levels, commodity prices, weather, competitive actions, and other factors identified below under the heading “Forward-Looking Information,” which could cause our actual results to differ from our outlook.</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Net Earnings</w:t>
      </w:r>
    </w:p>
    <w:p>
      <w:pPr>
        <w:spacing w:after="0" w:line="243"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auto"/>
        </w:rPr>
        <w:t>Net earnings for the second quarter of fiscal 2009 were $36.9 million, or $1.00 per diluted share, compared to $62.8 million, or $1.60 per diluted share, for the second quarter of fiscal 2008, net earnings per diluted share decrease of 37.5 percent. Year-to-date net earnings in fiscal 2009 were $43.6 million, or $1.18 per diluted share, compared to $81.4 million, or $2.07 per diluted share, last fiscal year, net earnings per diluted share decrease of 43.0 percent. The primary factors contributing to these declines were lower sales volumes and a decline in gross profit, somewhat offset by a decrease in SG&amp;A expense and a lower effective tax rate.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major operating costs and other income as a percentage of net sales: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19"/>
                <w:szCs w:val="19"/>
                <w:color w:val="auto"/>
              </w:rPr>
            </w:pPr>
          </w:p>
        </w:tc>
        <w:tc>
          <w:tcPr>
            <w:tcW w:w="2760" w:type="dxa"/>
            <w:vAlign w:val="bottom"/>
            <w:gridSpan w:val="4"/>
          </w:tcPr>
          <w:p>
            <w:pPr>
              <w:jc w:val="right"/>
              <w:ind w:right="780"/>
              <w:spacing w:after="0"/>
              <w:rPr>
                <w:sz w:val="20"/>
                <w:szCs w:val="20"/>
                <w:color w:val="auto"/>
              </w:rPr>
            </w:pPr>
            <w:r>
              <w:rPr>
                <w:rFonts w:ascii="Arial" w:cs="Arial" w:eastAsia="Arial" w:hAnsi="Arial"/>
                <w:sz w:val="17"/>
                <w:szCs w:val="17"/>
                <w:color w:val="auto"/>
              </w:rPr>
              <w:t>Three Months Ended</w:t>
            </w:r>
          </w:p>
        </w:tc>
        <w:tc>
          <w:tcPr>
            <w:tcW w:w="2660" w:type="dxa"/>
            <w:vAlign w:val="bottom"/>
            <w:gridSpan w:val="4"/>
          </w:tcPr>
          <w:p>
            <w:pPr>
              <w:jc w:val="right"/>
              <w:ind w:right="760"/>
              <w:spacing w:after="0"/>
              <w:rPr>
                <w:sz w:val="20"/>
                <w:szCs w:val="20"/>
                <w:color w:val="auto"/>
              </w:rPr>
            </w:pPr>
            <w:r>
              <w:rPr>
                <w:rFonts w:ascii="Arial" w:cs="Arial" w:eastAsia="Arial" w:hAnsi="Arial"/>
                <w:sz w:val="17"/>
                <w:szCs w:val="17"/>
                <w:color w:val="auto"/>
              </w:rPr>
              <w:t>Six Months Ended</w:t>
            </w:r>
          </w:p>
        </w:tc>
      </w:tr>
      <w:tr>
        <w:trPr>
          <w:trHeight w:val="192"/>
        </w:trPr>
        <w:tc>
          <w:tcPr>
            <w:tcW w:w="600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93" w:lineRule="exact"/>
              <w:rPr>
                <w:sz w:val="20"/>
                <w:szCs w:val="20"/>
                <w:color w:val="auto"/>
              </w:rPr>
            </w:pPr>
            <w:r>
              <w:rPr>
                <w:rFonts w:ascii="Arial" w:cs="Arial" w:eastAsia="Arial" w:hAnsi="Arial"/>
                <w:sz w:val="17"/>
                <w:szCs w:val="17"/>
                <w:color w:val="auto"/>
                <w:w w:val="93"/>
              </w:rPr>
              <w:t>May 1,</w:t>
            </w:r>
          </w:p>
        </w:tc>
        <w:tc>
          <w:tcPr>
            <w:tcW w:w="11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2,</w:t>
            </w:r>
          </w:p>
        </w:tc>
        <w:tc>
          <w:tcPr>
            <w:tcW w:w="26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80"/>
              <w:spacing w:after="0" w:line="193" w:lineRule="exact"/>
              <w:rPr>
                <w:sz w:val="20"/>
                <w:szCs w:val="20"/>
                <w:color w:val="auto"/>
              </w:rPr>
            </w:pPr>
            <w:r>
              <w:rPr>
                <w:rFonts w:ascii="Arial" w:cs="Arial" w:eastAsia="Arial" w:hAnsi="Arial"/>
                <w:sz w:val="17"/>
                <w:szCs w:val="17"/>
                <w:color w:val="auto"/>
              </w:rPr>
              <w:t>May 1,</w:t>
            </w:r>
          </w:p>
        </w:tc>
        <w:tc>
          <w:tcPr>
            <w:tcW w:w="114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2,</w:t>
            </w:r>
          </w:p>
        </w:tc>
        <w:tc>
          <w:tcPr>
            <w:tcW w:w="140" w:type="dxa"/>
            <w:vAlign w:val="bottom"/>
          </w:tcPr>
          <w:p>
            <w:pPr>
              <w:spacing w:after="0"/>
              <w:rPr>
                <w:sz w:val="16"/>
                <w:szCs w:val="16"/>
                <w:color w:val="auto"/>
              </w:rPr>
            </w:pPr>
          </w:p>
        </w:tc>
      </w:tr>
      <w:tr>
        <w:trPr>
          <w:trHeight w:val="223"/>
        </w:trPr>
        <w:tc>
          <w:tcPr>
            <w:tcW w:w="600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Cost of sales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(67.7)</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(64.3)</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(66.7)</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(63.9)</w:t>
            </w:r>
          </w:p>
        </w:tc>
      </w:tr>
      <w:tr>
        <w:trPr>
          <w:trHeight w:val="26"/>
        </w:trPr>
        <w:tc>
          <w:tcPr>
            <w:tcW w:w="60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36.1</w:t>
            </w:r>
          </w:p>
        </w:tc>
      </w:tr>
      <w:tr>
        <w:trPr>
          <w:trHeight w:val="192"/>
        </w:trPr>
        <w:tc>
          <w:tcPr>
            <w:tcW w:w="6000" w:type="dxa"/>
            <w:vAlign w:val="bottom"/>
          </w:tcPr>
          <w:p>
            <w:pPr>
              <w:spacing w:after="0" w:line="193" w:lineRule="exact"/>
              <w:rPr>
                <w:sz w:val="20"/>
                <w:szCs w:val="20"/>
                <w:color w:val="auto"/>
              </w:rPr>
            </w:pPr>
            <w:r>
              <w:rPr>
                <w:rFonts w:ascii="Arial" w:cs="Arial" w:eastAsia="Arial" w:hAnsi="Arial"/>
                <w:sz w:val="17"/>
                <w:szCs w:val="17"/>
                <w:color w:val="auto"/>
              </w:rPr>
              <w:t>Selling, general, and administrative</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6000" w:type="dxa"/>
            <w:vAlign w:val="bottom"/>
          </w:tcPr>
          <w:p>
            <w:pPr>
              <w:ind w:left="80"/>
              <w:spacing w:after="0"/>
              <w:rPr>
                <w:sz w:val="20"/>
                <w:szCs w:val="20"/>
                <w:color w:val="auto"/>
              </w:rPr>
            </w:pPr>
            <w:r>
              <w:rPr>
                <w:rFonts w:ascii="Arial" w:cs="Arial" w:eastAsia="Arial" w:hAnsi="Arial"/>
                <w:sz w:val="17"/>
                <w:szCs w:val="17"/>
                <w:color w:val="auto"/>
              </w:rPr>
              <w:t>expense</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(20.5)</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(19.6)</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(24.6)</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(23.2)</w:t>
            </w: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0.3</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(0.2)</w:t>
            </w: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0.1</w:t>
            </w: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r>
      <w:tr>
        <w:trPr>
          <w:trHeight w:val="26"/>
        </w:trPr>
        <w:tc>
          <w:tcPr>
            <w:tcW w:w="6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Net earnings</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7.4%</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7.8%</w:t>
            </w:r>
          </w:p>
        </w:tc>
      </w:tr>
      <w:tr>
        <w:trPr>
          <w:trHeight w:val="20"/>
        </w:trPr>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43"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Worldwide consolidated net sales for the second quarter and year-to-date periods of fiscal 2009 were down 21.7 percent and 19.6 percent, respectively, from the same periods in the prior fiscal year. Worldwide professional segment net sales were down 29.2 percent and 26.4 percent for the second quarter and year-to-date periods of fiscal 2009, respectively, compared to the same period in the prior fiscal year as shipments for most product categories were hampered by decreased demand largely resulting from the global economic recession. Worldwide sales of golf maintenance equipment and irrigation systems were down significantly, as were sales of professionally installed residential/commercial irrigation products and landscape contractor equipment. Residential segment net sales also decreased by 4.7 percent and 2.8 percent for the second quarter and year-to-date periods of fiscal 2009, respectively, compared to the same periods in fiscal 2008 due mainly to a decline in worldwide shipments and decreased demand for riding products. Somewhat offsetting these declines were an increase in sales of walk power mowers as a result of additional product placement at a key retailer for a new and broader line of walk power mowers, as well as strong demand for snow thrower products in North America as a result of heavy snow falls during the winter season of 2008/2009 for the year-to-date comparison. International net sales for the second quarter and year-to-date periods of fiscal 2009 were down 24.8 percent and 21.6 percent, respectively, from the same periods in the prior fiscal year due also to reduced demand as a result of the recessionary conditions affecting our key international markets, as well as a stronger U.S. dollar compared to other currencies in which we transact business that accounted for approximately $12 million and $24 million of our net sales decline for the second quarter and year-to-date periods of fiscal 2009,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43"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As a percentage of net sales, gross profit for the second quarter of fiscal 2009 decreased to 32.3 percent compared to 35.7 percent in the second quarter of fiscal 2008. Gross profit as a percent of net sales for the year-to-date period of fiscal 2009 also decreased to 33.3 percent compared to 36.1 percent for year-to-date period of fiscal 2008. These declines were due to the following factors: (i) higher average commodity costs; (ii) increased manufacturing costs from lower plant utilization as we cut production due to a decline in sales volumes, combined with efforts to lower inventory levels; (iii) lower sales of our higher-margin products; and (iv) a stronger U.S. dollar compared to other currencies in which we transact business, in each case in the second quarter and year-to-date periods of fiscal 2009 compared to the same periods in the prior fiscal year. Somewhat offsetting those negative factors were price increases introduced on most products and a decrease in freight expense.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Selling, general, and administrative expense decreased $22.7 million, or 18.2 percent, for the second quarter of fiscal 2009 compared to the second quarter of fiscal 2008. SG&amp;A expense decreased $35.3 million, or 14.6 percent for the year-to-date period of fiscal 2009 compared to the year-to-date period of fiscal 2008. SG&amp;A expense as a percentage of net sales for the second quarter and year-to-date periods of fiscal 2009 increased to 20.5 percent and 24.6 percent, respectively, compared to 19.6 percent and 23.2 percent for the second quarter and year-to-date periods of fiscal 2008, respectively, due to fixed SG&amp;A costs spread over lower sales volumes. The decline in SG&amp;A expense was primarily attributable to overall reduced spending in response to the continuing worldwide recessionary economic conditions, as well as lower profit sharing and incentive compensation expense of $1.8 million and $5.5 million for the second quarter and year-to-date periods of fiscal 2009, respectively, compared to the same periods in the prior fiscal year. Somewhat offsetting those declines were increased costs incurred for workforce reductions of $2.1 million and higher bad debt expense of $1.3 million, mainly for the year-to-date comparison.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Interest expense for the second quarter and year-to-date periods of fiscal 2009 was down 18.4 percent and 14.8 percent, respectively, compared to the same periods in the prior fiscal year as a result of lower average short-term debt levels and a decline in average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4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Other income, net for the second quarter and year-to-date periods of fiscal 2009 increased $2.3 million and $1.4 million, respectively, compared to the same periods in the prior fiscal year. These increases were due to foreign currency exchange rate gains this year compared to foreign currency exchange rate losses last year, somewhat offset by a decline in financing charge revenue and lower 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effective tax rate for the second quarter of fiscal 2009 was 34.2 percent compared to 35.0 percent for the second quarter of fiscal 2008. The effective tax rate for the year-to-date period of fiscal 2009 was 34.2 percent compared to 35.1 percent for the same period in the prior fiscal year. The decrease in the effective tax rate was primarily the result of the reinstatement of the domestic research tax credit and the tax impact of foreign currency exchange rate fluctuations, somewhat offset by a valuation allowance for foreign net operating losses and prior years’ provision adjustments of $0.6 million.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SEGMENTS</w:t>
      </w:r>
    </w:p>
    <w:p>
      <w:pPr>
        <w:spacing w:after="0" w:line="243"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As described previously, we operate in three reportable business segments: professional, residential, and distribution. Company-owned domestic distributorships, which consists of our distribution segment, has been combined with our corporate activities and financing functions that is shown as “Other” in the following tables. Operating earnings for our professional and residential segments are defined as earnings from operations plus other income, net. Operating loss for “Other” includes earnings (loss) from operations, corporate activities, including corporate financing activities, other income, net, and interest expense.</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724" w:right="4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6060" w:type="dxa"/>
            <w:vAlign w:val="bottom"/>
          </w:tcPr>
          <w:p>
            <w:pPr>
              <w:ind w:left="220"/>
              <w:spacing w:after="0"/>
              <w:rPr>
                <w:sz w:val="20"/>
                <w:szCs w:val="20"/>
                <w:color w:val="auto"/>
              </w:rPr>
            </w:pPr>
            <w:r>
              <w:rPr>
                <w:rFonts w:ascii="Arial" w:cs="Arial" w:eastAsia="Arial" w:hAnsi="Arial"/>
                <w:sz w:val="17"/>
                <w:szCs w:val="17"/>
                <w:color w:val="auto"/>
              </w:rPr>
              <w:t>The following table summarizes net sales by segment: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vMerge w:val="restart"/>
          </w:tcPr>
          <w:p>
            <w:pPr>
              <w:jc w:val="center"/>
              <w:ind w:right="460"/>
              <w:spacing w:after="0"/>
              <w:rPr>
                <w:sz w:val="20"/>
                <w:szCs w:val="20"/>
                <w:color w:val="auto"/>
              </w:rPr>
            </w:pPr>
            <w:r>
              <w:rPr>
                <w:rFonts w:ascii="Arial" w:cs="Arial" w:eastAsia="Arial" w:hAnsi="Arial"/>
                <w:sz w:val="17"/>
                <w:szCs w:val="17"/>
                <w:color w:val="auto"/>
                <w:w w:val="90"/>
              </w:rPr>
              <w:t>Three Months Ended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220" w:type="dxa"/>
            <w:vAlign w:val="bottom"/>
          </w:tcPr>
          <w:p>
            <w:pPr>
              <w:spacing w:after="0"/>
              <w:rPr>
                <w:sz w:val="16"/>
                <w:szCs w:val="16"/>
                <w:color w:val="auto"/>
              </w:rPr>
            </w:pPr>
          </w:p>
        </w:tc>
        <w:tc>
          <w:tcPr>
            <w:tcW w:w="1160" w:type="dxa"/>
            <w:vAlign w:val="bottom"/>
            <w:gridSpan w:val="2"/>
          </w:tcPr>
          <w:p>
            <w:pPr>
              <w:jc w:val="center"/>
              <w:ind w:right="440"/>
              <w:spacing w:after="0" w:line="193" w:lineRule="exact"/>
              <w:rPr>
                <w:sz w:val="20"/>
                <w:szCs w:val="20"/>
                <w:color w:val="auto"/>
              </w:rPr>
            </w:pPr>
            <w:r>
              <w:rPr>
                <w:rFonts w:ascii="Arial" w:cs="Arial" w:eastAsia="Arial" w:hAnsi="Arial"/>
                <w:sz w:val="17"/>
                <w:szCs w:val="17"/>
                <w:color w:val="auto"/>
                <w:w w:val="93"/>
              </w:rPr>
              <w:t>May 1,</w:t>
            </w:r>
          </w:p>
        </w:tc>
        <w:tc>
          <w:tcPr>
            <w:tcW w:w="200" w:type="dxa"/>
            <w:vAlign w:val="bottom"/>
          </w:tcPr>
          <w:p>
            <w:pPr>
              <w:spacing w:after="0"/>
              <w:rPr>
                <w:sz w:val="16"/>
                <w:szCs w:val="16"/>
                <w:color w:val="auto"/>
              </w:rPr>
            </w:pPr>
          </w:p>
        </w:tc>
        <w:tc>
          <w:tcPr>
            <w:tcW w:w="1120" w:type="dxa"/>
            <w:vAlign w:val="bottom"/>
            <w:gridSpan w:val="2"/>
          </w:tcPr>
          <w:p>
            <w:pPr>
              <w:jc w:val="center"/>
              <w:ind w:right="400"/>
              <w:spacing w:after="0" w:line="193" w:lineRule="exact"/>
              <w:rPr>
                <w:sz w:val="20"/>
                <w:szCs w:val="20"/>
                <w:color w:val="auto"/>
              </w:rPr>
            </w:pPr>
            <w:r>
              <w:rPr>
                <w:rFonts w:ascii="Arial" w:cs="Arial" w:eastAsia="Arial" w:hAnsi="Arial"/>
                <w:sz w:val="17"/>
                <w:szCs w:val="17"/>
                <w:color w:val="auto"/>
                <w:w w:val="93"/>
              </w:rPr>
              <w:t>May 2,</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9"/>
              </w:rPr>
              <w:t>2009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color w:val="auto"/>
                <w:w w:val="89"/>
              </w:rPr>
              <w:t>2008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310,377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438,650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(128,273)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183,557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192,549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(8,992)</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7,311</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6"/>
        </w:trPr>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 *</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499,852</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638,510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(138,658)</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148,756</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197,770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(49,014)</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7"/>
                <w:szCs w:val="17"/>
                <w:color w:val="auto"/>
                <w:w w:val="92"/>
              </w:rPr>
              <w:t>Six Months Ended</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(Dollars in thousands)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color w:val="auto"/>
                <w:w w:val="93"/>
              </w:rPr>
              <w:t>May 1,</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3"/>
              </w:rPr>
              <w:t>May 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9"/>
              </w:rPr>
              <w:t>2009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color w:val="auto"/>
                <w:w w:val="89"/>
              </w:rPr>
              <w:t>2008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539,746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733,697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(193,951)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290,581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298,874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(8,293)</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(2,041)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6"/>
        </w:trPr>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 *</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840,024</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1,044,309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(204,285)</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279,147</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356,227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(77,080)</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440" w:type="dxa"/>
            <w:vAlign w:val="bottom"/>
            <w:gridSpan w:val="4"/>
          </w:tcPr>
          <w:p>
            <w:pPr>
              <w:ind w:left="220"/>
              <w:spacing w:after="0"/>
              <w:rPr>
                <w:sz w:val="20"/>
                <w:szCs w:val="20"/>
                <w:color w:val="auto"/>
              </w:rPr>
            </w:pPr>
            <w:r>
              <w:rPr>
                <w:rFonts w:ascii="Arial" w:cs="Arial" w:eastAsia="Arial" w:hAnsi="Arial"/>
                <w:sz w:val="17"/>
                <w:szCs w:val="17"/>
                <w:color w:val="auto"/>
              </w:rPr>
              <w:t>The following table summarizes operating earnings (loss) before income taxes by segment: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7"/>
                <w:szCs w:val="17"/>
                <w:color w:val="auto"/>
                <w:w w:val="90"/>
              </w:rPr>
              <w:t>Three Months Ended</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220" w:type="dxa"/>
            <w:vAlign w:val="bottom"/>
          </w:tcPr>
          <w:p>
            <w:pPr>
              <w:spacing w:after="0"/>
              <w:rPr>
                <w:sz w:val="16"/>
                <w:szCs w:val="16"/>
                <w:color w:val="auto"/>
              </w:rPr>
            </w:pPr>
          </w:p>
        </w:tc>
        <w:tc>
          <w:tcPr>
            <w:tcW w:w="1160" w:type="dxa"/>
            <w:vAlign w:val="bottom"/>
            <w:gridSpan w:val="2"/>
          </w:tcPr>
          <w:p>
            <w:pPr>
              <w:jc w:val="center"/>
              <w:ind w:right="440"/>
              <w:spacing w:after="0" w:line="193" w:lineRule="exact"/>
              <w:rPr>
                <w:sz w:val="20"/>
                <w:szCs w:val="20"/>
                <w:color w:val="auto"/>
              </w:rPr>
            </w:pPr>
            <w:r>
              <w:rPr>
                <w:rFonts w:ascii="Arial" w:cs="Arial" w:eastAsia="Arial" w:hAnsi="Arial"/>
                <w:sz w:val="17"/>
                <w:szCs w:val="17"/>
                <w:color w:val="auto"/>
                <w:w w:val="93"/>
              </w:rPr>
              <w:t>May 1,</w:t>
            </w:r>
          </w:p>
        </w:tc>
        <w:tc>
          <w:tcPr>
            <w:tcW w:w="200" w:type="dxa"/>
            <w:vAlign w:val="bottom"/>
          </w:tcPr>
          <w:p>
            <w:pPr>
              <w:spacing w:after="0"/>
              <w:rPr>
                <w:sz w:val="16"/>
                <w:szCs w:val="16"/>
                <w:color w:val="auto"/>
              </w:rPr>
            </w:pPr>
          </w:p>
        </w:tc>
        <w:tc>
          <w:tcPr>
            <w:tcW w:w="1120" w:type="dxa"/>
            <w:vAlign w:val="bottom"/>
            <w:gridSpan w:val="2"/>
          </w:tcPr>
          <w:p>
            <w:pPr>
              <w:jc w:val="center"/>
              <w:ind w:right="400"/>
              <w:spacing w:after="0" w:line="193" w:lineRule="exact"/>
              <w:rPr>
                <w:sz w:val="20"/>
                <w:szCs w:val="20"/>
                <w:color w:val="auto"/>
              </w:rPr>
            </w:pPr>
            <w:r>
              <w:rPr>
                <w:rFonts w:ascii="Arial" w:cs="Arial" w:eastAsia="Arial" w:hAnsi="Arial"/>
                <w:sz w:val="17"/>
                <w:szCs w:val="17"/>
                <w:color w:val="auto"/>
                <w:w w:val="93"/>
              </w:rPr>
              <w:t>May 2,</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9"/>
              </w:rPr>
              <w:t>2009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color w:val="auto"/>
                <w:w w:val="89"/>
              </w:rPr>
              <w:t>2008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56,859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96,907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(40,048)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16,581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20,782</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(4,201)</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(17,383)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(21,083)</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6"/>
        </w:trPr>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56,057</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96,606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(40,549)</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60" w:type="dxa"/>
            <w:vAlign w:val="bottom"/>
            <w:gridSpan w:val="5"/>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7"/>
                <w:szCs w:val="17"/>
                <w:color w:val="auto"/>
                <w:w w:val="92"/>
              </w:rPr>
              <w:t>Six Months Ended</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(Dollars in thousands)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color w:val="auto"/>
                <w:w w:val="93"/>
              </w:rPr>
              <w:t>May 1,</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3"/>
              </w:rPr>
              <w:t>May 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9"/>
              </w:rPr>
              <w:t>2009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color w:val="auto"/>
                <w:w w:val="89"/>
              </w:rPr>
              <w:t>2008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86,988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148,460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(61,472)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21,421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24,563</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(3,142)</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(42,199)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(47,582)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6"/>
        </w:trPr>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66,210</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125,441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(59,231)</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w:t>
      </w:r>
    </w:p>
    <w:p>
      <w:pPr>
        <w:spacing w:after="0" w:line="24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second quarter and year-to-date periods of fiscal 2009 were down 29.2 percent and 26.4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last fiscal year. Shipments declined for most domestic and international product categories due to decreased demand and customers’ reluctance to place stocking orders as a result of the continued worldwide recessionary economic conditions, which also resulted in lower field inventory levels for our domestic businesses. Worldwide sales of golf maintenance equipment and irrigation systems were significantly down as customers delayed investments in new equipment at existing golf courses and new golf course construction slowed. In addition, sales of professionally installed residential/commercial irrigation systems were down due to decreased demand largely as a result of ongoing weakness in the housing and commercial construction markets. Sales of landscape contractor equipment were also down due to the recessionary economic conditions, but were somewhat offset by positive customer response to new product introductions.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9" w:name="page20"/>
    <w:bookmarkEnd w:id="19"/>
    <w:p>
      <w:pPr>
        <w:ind w:right="240"/>
        <w:spacing w:after="0" w:line="275"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second quarter and year-to-date periods of fiscal 2009 decreased 41.3 percent and 41.4</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respectively, compared to the same periods last fiscal year. Expressed as a percentage of net sales, professional segment operating margin decreased to 18.3 percent compared to 22.1 percent in the second quarter of fiscal 2008, and the fiscal 2009 year-to-date professional segment operating margin decreased to 16.1 percent compared to 20.2 percent from the same period last fiscal year. These profit declines were primarily attributable to lower gross margins due to the same factors discussed previously in the Gross Profit section. Higher SG&amp;A expense as a percentage of net sales also adversely affected operating earnings, which was due mainly to fixed SG&amp;A costs spread over lower sales volumes.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residential segment in the second quarter and year-to-date periods of fiscal 2009 were down 4.7 percent and 2.8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last fiscal year. These sales declines were due mainly to lower worldwide shipments and reduced demand for riding products. Somewhat offsetting these declines were an increase in sales of walk power mowers as a result of additional product placement at a key retailer for a new and broader line of walk power mowers, as well as strong demand for snow thrower products in North America as a result of heavy snow falls during the winter season of 2008/2009 for the year-to-date comparison.</w:t>
      </w:r>
    </w:p>
    <w:p>
      <w:pPr>
        <w:spacing w:after="0" w:line="207"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i w:val="1"/>
          <w:iCs w:val="1"/>
          <w:u w:val="single" w:color="auto"/>
          <w:color w:val="auto"/>
        </w:rPr>
        <w:t>Operating Earnings</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earnings for the residential segment in the second quarter and year-to-date periods of fiscal 2009 decreased 20.2 percent and 12.8</w:t>
      </w:r>
      <w:r>
        <w:rPr>
          <w:rFonts w:ascii="Arial" w:cs="Arial" w:eastAsia="Arial" w:hAnsi="Arial"/>
          <w:sz w:val="15"/>
          <w:szCs w:val="15"/>
          <w:i w:val="1"/>
          <w:iCs w:val="1"/>
          <w:color w:val="auto"/>
        </w:rPr>
        <w:t xml:space="preserve"> </w:t>
      </w:r>
      <w:r>
        <w:rPr>
          <w:rFonts w:ascii="Arial" w:cs="Arial" w:eastAsia="Arial" w:hAnsi="Arial"/>
          <w:sz w:val="15"/>
          <w:szCs w:val="15"/>
          <w:color w:val="auto"/>
        </w:rPr>
        <w:t>percent, respectively, compared to the same periods last fiscal year. Expressed as a percentage of net sales, residential segment operating margin decreased to 9.0 percent compared to 10.8 percent in the second quarter of fiscal 2008, and fiscal 2009 year-to-date residential segment operating margin decreased to 7.4 percent compared to 8.2 percent last fiscal year. These profit declines were primarily attributable to lower gross margins due mainly to higher average commodity costs in the first half of fiscal 2009 compared to the first half of fiscal 2008 and unfavorable product mix. Somewhat offsetting the profit decline was lower SG&amp;A expense as a percent of net sales from a decline in spending for marketing, administration, warehousing, and engineering expenses as a result of budget reductions.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43"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Net sales for the other segment include sales from our wholly owned domestic distribution company less sales from the professional and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segments to that distribution company. In addition, elimination of the professional and residential segments’ floor plan interest costs from Toro Credit Company are also included in this segment. Net sales for the other segment were down for the second quarter and year-to-date periods of fiscal 2009 compared to the same periods last fiscal year by $1.4 million, or 19.1 percent, and $2.0 million, or 17.4 percent, respectively, as a result of reduced demand due to the domestic economic recession, as well as a reduction in the elimination of floor plan interest costs as a result of lower receivables with Toro Credit Company and a reduction in interest rates.</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i w:val="1"/>
          <w:iCs w:val="1"/>
          <w:u w:val="single" w:color="auto"/>
          <w:color w:val="auto"/>
        </w:rPr>
        <w:t>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losses for the other segment were down for the second quarter and year-to-date periods of fiscal 2009 by $3.7 million, or 17.5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and $5.4 million, or 11.3 percent, respectively, compared to the same periods last fiscal year. The loss decreases were primarily attributable to the following factors: (i) overall reduced spending in response to the economic downturn; (ii) foreign currency exchange rate gains this year compared to foreign currency exchange rate losses last year; and (iii) decreased interest expense, previously discussed. For the year-to-date period of fiscal 2009 compared to the year-to-date period of fiscal 2008, the other segment operating loss was also impacted by a decline in profit sharing and incentive compensation expense, somewhat offset by costs incurred for workforce reductions and higher bad debt expense.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We have taken proactive measures to help us manage through the tough economic environment that continued to persist through the second quarter of fiscal 2009, including adjusting production plans, controlling costs, and managing our assets. As such, our financial condition remains strong. We continue to place additional emphasis on asset management with our GrowLean initiative, with a focus on: (i) achieving strong profitability of our products and services all the way through the supply chain; (ii) minimizing the amount of working capital in the supply chain; and (iii) maintaining or improving order replenishment and service levels to end users.</w:t>
      </w:r>
    </w:p>
    <w:p>
      <w:pPr>
        <w:spacing w:after="0" w:line="2" w:lineRule="exact"/>
        <w:rPr>
          <w:sz w:val="20"/>
          <w:szCs w:val="20"/>
          <w:color w:val="auto"/>
        </w:rPr>
      </w:pPr>
    </w:p>
    <w:p>
      <w:pPr>
        <w:ind w:right="60" w:firstLine="213"/>
        <w:spacing w:after="0" w:line="254" w:lineRule="auto"/>
        <w:rPr>
          <w:sz w:val="20"/>
          <w:szCs w:val="20"/>
          <w:color w:val="auto"/>
        </w:rPr>
      </w:pPr>
      <w:r>
        <w:rPr>
          <w:rFonts w:ascii="Arial" w:cs="Arial" w:eastAsia="Arial" w:hAnsi="Arial"/>
          <w:sz w:val="17"/>
          <w:szCs w:val="17"/>
          <w:color w:val="auto"/>
        </w:rPr>
        <w:t>Receivables as of the end of the second quarter of fiscal 2009 were down 25.5 percent compared to the end of the second quarter of fiscal 2008 due in part to the decrease in net sales. Our average day’s sales outstanding for receivables improved to 69 days based on sales for the last twelve months ended May 1, 2009, compared to 71 days for the twelve months ended May 2, 2008. Inventory was also down as of the end of the second quarter of fiscal 2009 by 18.7 percent compared to the end of the second quarter of fiscal 2008, and average inventory turnover improved 9.9 percent for the twelve months ended May 1, 2009 compared to the twelve months ended May 2, 2008.</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3"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debt repayments, quarterly cash dividend payments, and stock repurchases for at least the next twelve months.</w:t>
      </w:r>
    </w:p>
    <w:p>
      <w:pPr>
        <w:spacing w:after="0" w:line="20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i w:val="1"/>
          <w:iCs w:val="1"/>
          <w:u w:val="single" w:color="auto"/>
          <w:color w:val="auto"/>
        </w:rPr>
        <w:t>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half of our fiscal year historically uses more operating cash than the second half of our fiscal year due to the seasonality of our business. Cash</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operating activities for the first six months of fiscal 2009 was $38.4 million lower than the first six months of fiscal 2008 due primarily to a lower increase in receivables and inventory levels for the first six months of fiscal 2009 compared to the same period last fiscal year, which was somewhat offset by a decline in net earnings and a lower increase in accounts payable and accrued liabilities for the first six months of fiscal 2009 compared to the same period last fiscal year. Cash used in investing activities was lower by $4.5 million compared to the first six months of fiscal 2008, due mainly to a decrease in purchases of property, plant, and equipment in the first six months of fiscal 2009 compared to the first six months of fiscal 2008. Cash provided by financing activities was also lower by $84.0 million compared to the first six months of fiscal 2008, due to a substantial decline in short-term debt for the first six months of fiscal 2009 compared to the first six months of fiscal 2008, somewhat offset by lower levels of repurchases of our common stock for the first six-month comparison.</w:t>
      </w:r>
    </w:p>
    <w:p>
      <w:pPr>
        <w:spacing w:after="0" w:line="200"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i w:val="1"/>
          <w:iCs w:val="1"/>
          <w:u w:val="single" w:color="auto"/>
          <w:color w:val="auto"/>
        </w:rPr>
        <w:t>Credit Lines and Other Capital Resources</w:t>
      </w:r>
      <w:r>
        <w:rPr>
          <w:rFonts w:ascii="Arial" w:cs="Arial" w:eastAsia="Arial" w:hAnsi="Arial"/>
          <w:sz w:val="15"/>
          <w:szCs w:val="15"/>
          <w:u w:val="single" w:color="auto"/>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Our businesses are seasonal, with accounts receivable balances historically increasing between January and April, as a</w:t>
      </w:r>
      <w:r>
        <w:rPr>
          <w:rFonts w:ascii="Arial" w:cs="Arial" w:eastAsia="Arial" w:hAnsi="Arial"/>
          <w:sz w:val="15"/>
          <w:szCs w:val="15"/>
          <w:i w:val="1"/>
          <w:iCs w:val="1"/>
          <w:color w:val="auto"/>
        </w:rPr>
        <w:t xml:space="preserve"> </w:t>
      </w:r>
      <w:r>
        <w:rPr>
          <w:rFonts w:ascii="Arial" w:cs="Arial" w:eastAsia="Arial" w:hAnsi="Arial"/>
          <w:sz w:val="15"/>
          <w:szCs w:val="15"/>
          <w:color w:val="auto"/>
        </w:rPr>
        <w:t>result of higher sales volumes and payment terms made available to our customers and decreasing between May and December when payments are received. The seasonality of production and shipments causes our working capital requirements to fluctuate during the year. Our peak borrowing usually occurs between January and April. Seasonal cash requirements are financed from operations and with short-term financing arrangements, including a $225.0 million unsecured senior five-year revolving credit facility that expires in January 2012. Interest expense on this credit line is determined based on a LIBOR rate plus a basis point spread defined in the credit agreement. In addition, our non-U.S. operations maintain unsecured short-term lines of credit of approximately $16 million. These facilities bear interest at various rates depending on the rates in their respective countries of operation. We also have a letter of credit subfacility as part of our credit agreement. As of May 1, 2009, we had $32.9 million of outstanding short-term debt and $10.1 million of outstanding standby letters of credit. Average short-term debt was $27.5 million in the first six months of fiscal 2009 compared to $103.0 million in the first six months of fiscal 2008, a decrease of 73.3 percent. This decline was due mainly to a decrease in working capital needs in the first six months of fiscal 2009 compared to the first six months of fiscal 2008 as a result of lower levels of accounts receivable and inventory, as previously discussed, as well as lower levels of repurchases of our common stock during the first six months of fiscal 2009 compared to the same period last fiscal year. As of May 1, 2009, we had $198.7 million of unutilized availability under our credit agreements.</w:t>
      </w:r>
    </w:p>
    <w:p>
      <w:pPr>
        <w:spacing w:after="0" w:line="1" w:lineRule="exact"/>
        <w:rPr>
          <w:sz w:val="20"/>
          <w:szCs w:val="20"/>
          <w:color w:val="auto"/>
        </w:rPr>
      </w:pPr>
    </w:p>
    <w:p>
      <w:pPr>
        <w:ind w:right="40" w:firstLine="213"/>
        <w:spacing w:after="0" w:line="262" w:lineRule="auto"/>
        <w:rPr>
          <w:sz w:val="20"/>
          <w:szCs w:val="20"/>
          <w:color w:val="auto"/>
        </w:rPr>
      </w:pPr>
      <w:r>
        <w:rPr>
          <w:rFonts w:ascii="Arial" w:cs="Arial" w:eastAsia="Arial" w:hAnsi="Arial"/>
          <w:sz w:val="17"/>
          <w:szCs w:val="17"/>
          <w:color w:val="auto"/>
        </w:rPr>
        <w:t>Significant financial covenants in our credit agreement include interest coverage and debt-to-capitalization ratios. We were in compliance with all covenants related to our credit agreements as of May 1, 2009, and expect to be in compliance with all covenants during the remainder of fiscal 2009.</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Off-Balance Sheet Arrangements and Contractual Obligations</w:t>
      </w:r>
    </w:p>
    <w:p>
      <w:pPr>
        <w:spacing w:after="0" w:line="243" w:lineRule="exact"/>
        <w:rPr>
          <w:sz w:val="20"/>
          <w:szCs w:val="20"/>
          <w:color w:val="auto"/>
        </w:rPr>
      </w:pPr>
    </w:p>
    <w:p>
      <w:pPr>
        <w:ind w:right="140"/>
        <w:spacing w:after="0" w:line="304" w:lineRule="auto"/>
        <w:rPr>
          <w:sz w:val="20"/>
          <w:szCs w:val="20"/>
          <w:color w:val="auto"/>
        </w:rPr>
      </w:pPr>
      <w:r>
        <w:rPr>
          <w:rFonts w:ascii="Arial" w:cs="Arial" w:eastAsia="Arial" w:hAnsi="Arial"/>
          <w:sz w:val="15"/>
          <w:szCs w:val="15"/>
          <w:color w:val="auto"/>
        </w:rPr>
        <w:t>Our off-balance sheet arrangements and contractual obligations generally relate to customer financing activities, inventory purchase commitments, deferred compensation arrangements, and operating lease commitments. Third party financing companies purchased $114.8 million of receivables from us during the first six months of fiscal 2009, and $109.8 million was outstanding as of May 1, 2009. See our most recently filed Annual Report on Form 10-K for further details regarding our off-balance sheet arrangements and contractual obligations. No material change in this information occurred during the first six months of fiscal 2009.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are subject to the effects of inflation and changing prices. In the first half of fiscal 2009, average prices paid for commodities we purchase, namely steel and steel components, were higher compared to the first half of fiscal 2008, which hampered our gross margin rate. Somewhat offsetting those higher costs were lower average prices paid for fuel and petroleum-based resins. We will continue to closely follow the commodities that affect our product lines, and we anticipate average prices paid for commodities for the remainder of fiscal 2009 to be approximately equal to the average prices paid in fiscal 2008, if commodity costs continue to trend similar to the first half of fiscal 2009. We plan to attempt to mitigate the impact of inflationary pressures by engaging in proactive vendor negotiations, reviewing alternative sourcing options, and internal cost reduction efforts.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 and Estimates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See our most recent Annual Report on Form 10-K for the fiscal year ended October 31, 2008 for a discussion of our critical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 to be Adopted</w:t>
      </w:r>
    </w:p>
    <w:p>
      <w:pPr>
        <w:spacing w:after="0" w:line="24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In April 2008, the Financial Accounting Standards Board (FASB) finalized Staff Position No. 142-3, “Determination of the Useful Life of Intangible Assets” (FSP 142-3). This position amends the factors that should be considered in developing renewal or extension assumptions used to determine the useful life of a recognized intangible asset under Statement of Financial Accounting Standards (SFAS) No. 142, “Goodwill and Other Intangible Assets.” FSP 142-3 applies to intangible assets that are acquired individually or with a group of other assets and both intangible assets acquired in business combinations and asset acquisitions. We will adopt the provisions of FSP 142-3 on November 1, 2009, as required.</w:t>
      </w:r>
    </w:p>
    <w:p>
      <w:pPr>
        <w:ind w:right="160" w:firstLine="213"/>
        <w:spacing w:after="0" w:line="251" w:lineRule="auto"/>
        <w:rPr>
          <w:sz w:val="20"/>
          <w:szCs w:val="20"/>
          <w:color w:val="auto"/>
        </w:rPr>
      </w:pPr>
      <w:r>
        <w:rPr>
          <w:rFonts w:ascii="Arial" w:cs="Arial" w:eastAsia="Arial" w:hAnsi="Arial"/>
          <w:sz w:val="17"/>
          <w:szCs w:val="17"/>
          <w:color w:val="auto"/>
        </w:rPr>
        <w:t>In December 2007, the FASB issued SFAS No. 141 (Revised 2007), “Business Combinations.” SFAS No. 141R applies to all business combinations and requires most identifiable assets, liabilities, noncontrolling interests, and goodwill acquired to be recorded at “full fair value.” This statement also establishes disclosure requirements that will enable users to evaluate the nature and financial effects of the business combination. We will adopt the provisions of SFAS No. 141R to any business combination occurring on or after November 1, 2009, as required.</w:t>
      </w:r>
    </w:p>
    <w:p>
      <w:pPr>
        <w:spacing w:after="0" w:line="1" w:lineRule="exact"/>
        <w:rPr>
          <w:sz w:val="20"/>
          <w:szCs w:val="20"/>
          <w:color w:val="auto"/>
        </w:rPr>
      </w:pPr>
    </w:p>
    <w:p>
      <w:pPr>
        <w:ind w:right="20" w:firstLine="213"/>
        <w:spacing w:after="0" w:line="251"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and expands disclosures concerning fair value. We adopted the provisions of SFAS No. 157 for financial assets and liabilities and nonfinancial assets and liabilities measured at fair value on a recurring basis during the first quarter of fiscal 2009, as required. We will adopt the provisions of SFAS No. 157 for nonfinancial assets and liabilities that are not required or permitted to be measured on a recurring basis during the first quarter of fiscal 2010, as required. We are currently evaluating the requirements of SFAS No. 157 and, we do not expect the unadopted requirements of this new pronouncement will have a material impact on our consolidated financial condition or results of operations.</w:t>
      </w:r>
    </w:p>
    <w:p>
      <w:pPr>
        <w:spacing w:after="0" w:line="1" w:lineRule="exact"/>
        <w:rPr>
          <w:sz w:val="20"/>
          <w:szCs w:val="20"/>
          <w:color w:val="auto"/>
        </w:rPr>
      </w:pPr>
    </w:p>
    <w:p>
      <w:pPr>
        <w:ind w:right="140" w:firstLine="213"/>
        <w:spacing w:after="0" w:line="262" w:lineRule="auto"/>
        <w:rPr>
          <w:sz w:val="20"/>
          <w:szCs w:val="20"/>
          <w:color w:val="auto"/>
        </w:rPr>
      </w:pPr>
      <w:r>
        <w:rPr>
          <w:rFonts w:ascii="Arial" w:cs="Arial" w:eastAsia="Arial" w:hAnsi="Arial"/>
          <w:sz w:val="17"/>
          <w:szCs w:val="17"/>
          <w:color w:val="auto"/>
        </w:rPr>
        <w:t>No other new accounting pronouncement that has been issued but not yet effective for us during the second quarter of fiscal 2009 has had or is expected to have a material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724" w:right="27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7"/>
          <w:szCs w:val="17"/>
          <w:i w:val="1"/>
          <w:iCs w:val="1"/>
          <w:color w:val="auto"/>
        </w:rPr>
        <w:t>“optimistic,” “plan,” “anticipate,” “continue,” “estimate,” “believe,” “could,” “should,” ”would,” “may,” “possible,” “likely,”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205"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 w:lineRule="exact"/>
        <w:rPr>
          <w:sz w:val="20"/>
          <w:szCs w:val="20"/>
          <w:color w:val="auto"/>
        </w:rPr>
      </w:pPr>
    </w:p>
    <w:p>
      <w:pPr>
        <w:ind w:left="620" w:right="60" w:hanging="618"/>
        <w:spacing w:after="0" w:line="266" w:lineRule="auto"/>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around the world could adversely affect our net sales and earnings, which includes but is not limited to continuation or worsening of the recessionary conditions in the U.S. and other regions around the world and worldwide slow or negative economic growth rates; continued slow down or reductions in golf course development, renovation, and improvement; continued slow down or reductions in home ownership, construction, and home sales; reduced consumer spending levels; reduced credit availability or unfavorable credit terms for our distributors, dealers, and end-user customers; increased unemployment rates; interest rates; inflation; reduced consumer confidence; and general economic and political conditions and expectations in the United States and the foreign economies in which we conduct business.</w:t>
      </w:r>
    </w:p>
    <w:p>
      <w:pPr>
        <w:spacing w:after="0" w:line="4" w:lineRule="exact"/>
        <w:rPr>
          <w:rFonts w:ascii="Arial" w:cs="Arial" w:eastAsia="Arial" w:hAnsi="Arial"/>
          <w:sz w:val="16"/>
          <w:szCs w:val="16"/>
          <w:color w:val="auto"/>
        </w:rPr>
      </w:pPr>
    </w:p>
    <w:p>
      <w:pPr>
        <w:ind w:left="620" w:right="680" w:hanging="618"/>
        <w:spacing w:after="0" w:line="25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Increases in the cost and availability of raw materials and components that we purchase and increases in our other costs of doing business, including transportation costs, may adversely affect our profit margins and business.</w:t>
      </w:r>
    </w:p>
    <w:p>
      <w:pPr>
        <w:ind w:left="620" w:hanging="618"/>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Weather conditions may reduce demand for some of our products and adversely affect our net sales.</w:t>
      </w:r>
    </w:p>
    <w:p>
      <w:pPr>
        <w:spacing w:after="0" w:line="9" w:lineRule="exact"/>
        <w:rPr>
          <w:rFonts w:ascii="Arial" w:cs="Arial" w:eastAsia="Arial" w:hAnsi="Arial"/>
          <w:sz w:val="17"/>
          <w:szCs w:val="17"/>
          <w:color w:val="auto"/>
        </w:rPr>
      </w:pPr>
    </w:p>
    <w:p>
      <w:pPr>
        <w:ind w:left="620" w:hanging="618"/>
        <w:spacing w:after="0" w:line="25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the level of growth in the residential and commercial construction markets, the level of homeowners who outsource lawn care, the amount of investment in golf course renovations and improvements, new golf course development, golf course closures, availability of credit on acceptable credit terms to finance product purchases, and the level of government and municipal revenue, budget, and spending levels for grounds maintenance equipment and other factors.</w:t>
      </w:r>
    </w:p>
    <w:p>
      <w:pPr>
        <w:ind w:left="620" w:right="260" w:hanging="618"/>
        <w:spacing w:after="0" w:line="25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 spending levels, the amount of product placement at retailers, changing buying patterns of customers, and The Home Depot, Inc. as a major customer.</w:t>
      </w:r>
    </w:p>
    <w:p>
      <w:pPr>
        <w:ind w:left="620" w:hanging="618"/>
        <w:spacing w:after="0" w:line="25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and usage of new and existing products, we may experience a decrease in demand for our products, and our business could suffer.</w:t>
      </w:r>
    </w:p>
    <w:p>
      <w:pPr>
        <w:ind w:left="620" w:right="300" w:hanging="618"/>
        <w:spacing w:after="0" w:line="284" w:lineRule="auto"/>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face intense competition in all of our product lines with numerous manufacturers, including from some competitors that have greater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5"/>
          <w:szCs w:val="15"/>
          <w:color w:val="auto"/>
        </w:rPr>
      </w:pPr>
    </w:p>
    <w:p>
      <w:pPr>
        <w:ind w:left="620" w:right="80" w:hanging="618"/>
        <w:spacing w:after="0" w:line="266" w:lineRule="auto"/>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 w:lineRule="exact"/>
        <w:rPr>
          <w:rFonts w:ascii="Arial" w:cs="Arial" w:eastAsia="Arial" w:hAnsi="Arial"/>
          <w:sz w:val="16"/>
          <w:szCs w:val="16"/>
          <w:color w:val="auto"/>
        </w:rPr>
      </w:pPr>
    </w:p>
    <w:p>
      <w:pPr>
        <w:ind w:left="620" w:hanging="618"/>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Fluctuations in foreign currency exchange rates could result in declines in our reported net sales and net earnings.</w:t>
      </w:r>
    </w:p>
    <w:p>
      <w:pPr>
        <w:spacing w:after="0" w:line="9" w:lineRule="exact"/>
        <w:rPr>
          <w:rFonts w:ascii="Arial" w:cs="Arial" w:eastAsia="Arial" w:hAnsi="Arial"/>
          <w:sz w:val="17"/>
          <w:szCs w:val="17"/>
          <w:color w:val="auto"/>
        </w:rPr>
      </w:pPr>
    </w:p>
    <w:p>
      <w:pPr>
        <w:ind w:left="620" w:right="60" w:hanging="618"/>
        <w:spacing w:after="0" w:line="25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ind w:left="620" w:hanging="618"/>
        <w:spacing w:after="0" w:line="25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intend to grow our business in part through additional acquisitions, alliances, stronger customer relations, and new partnerships, which are risky and could harm our business, particularly if we are not able to successfully integrate such acquisitions, alliances, and partnerships.</w:t>
      </w:r>
    </w:p>
    <w:p>
      <w:pPr>
        <w:ind w:left="620" w:right="180" w:hanging="618"/>
        <w:spacing w:after="0" w:line="284" w:lineRule="auto"/>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5"/>
          <w:szCs w:val="15"/>
          <w:color w:val="auto"/>
        </w:rPr>
      </w:pPr>
    </w:p>
    <w:p>
      <w:pPr>
        <w:ind w:left="620" w:right="60" w:hanging="618"/>
        <w:spacing w:after="0" w:line="256"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23" w:name="page24"/>
    <w:bookmarkEnd w:id="23"/>
    <w:p>
      <w:pPr>
        <w:ind w:left="480"/>
        <w:spacing w:after="0"/>
        <w:rPr>
          <w:sz w:val="20"/>
          <w:szCs w:val="20"/>
          <w:color w:val="auto"/>
        </w:rPr>
      </w:pPr>
      <w:r>
        <w:rPr>
          <w:rFonts w:ascii="Arial" w:cs="Arial" w:eastAsia="Arial" w:hAnsi="Arial"/>
          <w:sz w:val="17"/>
          <w:szCs w:val="17"/>
          <w:color w:val="auto"/>
        </w:rPr>
        <w:t>customers by these third parties, or any delay in securing replacement credit sources, could adversely affect our sales and operating results.</w:t>
      </w:r>
    </w:p>
    <w:p>
      <w:pPr>
        <w:spacing w:after="0" w:line="20" w:lineRule="exact"/>
        <w:rPr>
          <w:sz w:val="20"/>
          <w:szCs w:val="20"/>
          <w:color w:val="auto"/>
        </w:rPr>
      </w:pPr>
    </w:p>
    <w:p>
      <w:pPr>
        <w:ind w:left="620" w:right="600" w:hanging="618"/>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620" w:right="480" w:hanging="618"/>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ind w:left="620" w:right="40" w:hanging="618"/>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subject to product liability claims, product quality issues, and other litigation from time to time that could adversely affect our operating results or financial condition, including without limitation the pending litigation against us and other defendants that challenges the horsepower ratings of lawnmowers, of which we are currently unable to assess whether such litigation would have a material adverse effect on our consolidated operating results or financial condition, although an adverse result might be material to our operating results in a particular period.</w:t>
      </w:r>
    </w:p>
    <w:p>
      <w:pPr>
        <w:ind w:left="620" w:hanging="618"/>
        <w:spacing w:after="0" w:line="25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retain our key employees, and attract and retain other qualified personnel, we may not be able to meet strategic objectives and our business could suffer.</w:t>
      </w:r>
    </w:p>
    <w:p>
      <w:pPr>
        <w:ind w:left="620" w:right="100" w:hanging="618"/>
        <w:spacing w:after="0" w:line="266"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spacing w:after="0" w:line="3" w:lineRule="exact"/>
        <w:rPr>
          <w:rFonts w:ascii="Arial" w:cs="Arial" w:eastAsia="Arial" w:hAnsi="Arial"/>
          <w:sz w:val="16"/>
          <w:szCs w:val="16"/>
          <w:color w:val="auto"/>
        </w:rPr>
      </w:pPr>
    </w:p>
    <w:p>
      <w:pPr>
        <w:ind w:left="620" w:right="40" w:hanging="618"/>
        <w:spacing w:after="0" w:line="284" w:lineRule="auto"/>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business is subject to a number of other factors that may adversely affect our operating results, financial condition, or business, such as natural or man-made disasters or global pandemics that may result in shortages of raw materials, higher fuel costs, and an increase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w:t>
      </w:r>
    </w:p>
    <w:p>
      <w:pPr>
        <w:spacing w:after="0" w:line="3" w:lineRule="exact"/>
        <w:rPr>
          <w:sz w:val="20"/>
          <w:szCs w:val="20"/>
          <w:color w:val="auto"/>
        </w:rPr>
      </w:pPr>
    </w:p>
    <w:p>
      <w:pPr>
        <w:ind w:left="620" w:right="480"/>
        <w:spacing w:after="0" w:line="251" w:lineRule="auto"/>
        <w:rPr>
          <w:sz w:val="20"/>
          <w:szCs w:val="20"/>
          <w:color w:val="auto"/>
        </w:rPr>
      </w:pPr>
      <w:r>
        <w:rPr>
          <w:rFonts w:ascii="Arial" w:cs="Arial" w:eastAsia="Arial" w:hAnsi="Arial"/>
          <w:sz w:val="17"/>
          <w:szCs w:val="17"/>
          <w:color w:val="auto"/>
        </w:rPr>
        <w:t>terrorist acts and war that may result in heightened security and higher costs for import and export shipments of components or finished goods, reduced leisure travel, and contraction of the U.S. and world economies.</w:t>
      </w:r>
    </w:p>
    <w:p>
      <w:pPr>
        <w:jc w:val="both"/>
        <w:ind w:right="200"/>
        <w:spacing w:after="0" w:line="251"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(Item 1A).</w:t>
      </w:r>
    </w:p>
    <w:p>
      <w:pPr>
        <w:spacing w:after="0" w:line="1" w:lineRule="exact"/>
        <w:rPr>
          <w:sz w:val="20"/>
          <w:szCs w:val="20"/>
          <w:color w:val="auto"/>
        </w:rPr>
      </w:pPr>
    </w:p>
    <w:p>
      <w:pPr>
        <w:ind w:right="20" w:firstLine="210"/>
        <w:spacing w:after="0" w:line="291"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 We are also exposed to equity market risk pertaining to the trading price of our common stock.</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In the normal course of business, we actively manage the exposure of our foreign currency market risk by entering into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instruments, authorized under company policies that place controls on these activities, with counterparties that are highly rated financial institutions. Our hedging activities involve the primary use of</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4" w:name="page25"/>
    <w:bookmarkEnd w:id="24"/>
    <w:p>
      <w:pPr>
        <w:spacing w:after="0" w:line="253" w:lineRule="auto"/>
        <w:rPr>
          <w:sz w:val="20"/>
          <w:szCs w:val="20"/>
          <w:color w:val="auto"/>
        </w:rPr>
      </w:pPr>
      <w:r>
        <w:rPr>
          <w:rFonts w:ascii="Arial" w:cs="Arial" w:eastAsia="Arial" w:hAnsi="Arial"/>
          <w:sz w:val="17"/>
          <w:szCs w:val="17"/>
          <w:color w:val="auto"/>
        </w:rPr>
        <w:t>forward currency contracts. We use derivative instruments only in an attempt to limit underlying exposure from currency exchange rate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has a negative impact on results from operations, while a weaker dollar and peso generally has a positive effect. Our primary currency exchange rate exposures are with the Euro, the Australian dollar, the Canadian dollar, the British pound, the Mexican peso, and the Japanese yen against the U.S. dollar.</w:t>
      </w:r>
    </w:p>
    <w:p>
      <w:pPr>
        <w:spacing w:after="0" w:line="2" w:lineRule="exact"/>
        <w:rPr>
          <w:sz w:val="20"/>
          <w:szCs w:val="20"/>
          <w:color w:val="auto"/>
        </w:rPr>
      </w:pPr>
    </w:p>
    <w:p>
      <w:pPr>
        <w:ind w:right="80" w:firstLine="210"/>
        <w:spacing w:after="0" w:line="266" w:lineRule="auto"/>
        <w:rPr>
          <w:sz w:val="20"/>
          <w:szCs w:val="20"/>
          <w:color w:val="auto"/>
        </w:rPr>
      </w:pPr>
      <w:r>
        <w:rPr>
          <w:rFonts w:ascii="Arial" w:cs="Arial" w:eastAsia="Arial" w:hAnsi="Arial"/>
          <w:sz w:val="16"/>
          <w:szCs w:val="16"/>
          <w:color w:val="auto"/>
        </w:rPr>
        <w:t>We enter into various contracts, principally forward currency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six months ended May 1, 2009, the amount of gains reclassified to earnings for such cash flow hedges was $4.3 million and $6.1 million, respectively. For the six months ended May 1, 2009, the gains treated as an increase to net sales for contracts to hedge trade sales were $8.4 million and the losses treated as an increase to cost of sales for contracts to hedge inventory purchases were $2.2 million.</w:t>
      </w:r>
    </w:p>
    <w:p>
      <w:pPr>
        <w:spacing w:after="0" w:line="6" w:lineRule="exact"/>
        <w:rPr>
          <w:sz w:val="20"/>
          <w:szCs w:val="20"/>
          <w:color w:val="auto"/>
        </w:rPr>
      </w:pPr>
    </w:p>
    <w:p>
      <w:pPr>
        <w:ind w:right="60" w:firstLine="210"/>
        <w:spacing w:after="0" w:line="299" w:lineRule="auto"/>
        <w:rPr>
          <w:sz w:val="20"/>
          <w:szCs w:val="20"/>
          <w:color w:val="auto"/>
        </w:rPr>
      </w:pPr>
      <w:r>
        <w:rPr>
          <w:rFonts w:ascii="Arial" w:cs="Arial" w:eastAsia="Arial" w:hAnsi="Arial"/>
          <w:sz w:val="15"/>
          <w:szCs w:val="15"/>
          <w:color w:val="auto"/>
        </w:rPr>
        <w:t>The following foreign currency exchange rate contracts held by us have maturity dates in fiscal 2009 and 2010.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and fair value impact of derivative instruments in other income, net for the six months ended May 1, 2009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Value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Fair Value</w:t>
            </w:r>
          </w:p>
        </w:tc>
      </w:tr>
      <w:tr>
        <w:trPr>
          <w:trHeight w:val="205"/>
        </w:trPr>
        <w:tc>
          <w:tcPr>
            <w:tcW w:w="5960" w:type="dxa"/>
            <w:vAlign w:val="bottom"/>
          </w:tcPr>
          <w:p>
            <w:pPr>
              <w:spacing w:after="0"/>
              <w:rPr>
                <w:sz w:val="20"/>
                <w:szCs w:val="20"/>
                <w:color w:val="auto"/>
              </w:rPr>
            </w:pPr>
            <w:r>
              <w:rPr>
                <w:rFonts w:ascii="Arial" w:cs="Arial" w:eastAsia="Arial" w:hAnsi="Arial"/>
                <w:sz w:val="17"/>
                <w:szCs w:val="17"/>
                <w:b w:val="1"/>
                <w:bCs w:val="1"/>
                <w:color w:val="auto"/>
              </w:rPr>
              <w:t>Dollars in thousands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Contracted</w:t>
            </w:r>
          </w:p>
        </w:tc>
        <w:tc>
          <w:tcPr>
            <w:tcW w:w="1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7"/>
                <w:szCs w:val="17"/>
                <w:b w:val="1"/>
                <w:bCs w:val="1"/>
                <w:color w:val="auto"/>
              </w:rPr>
              <w:t>Notional</w:t>
            </w:r>
          </w:p>
        </w:tc>
        <w:tc>
          <w:tcPr>
            <w:tcW w:w="10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Comprehensive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Impact</w:t>
            </w:r>
          </w:p>
        </w:tc>
      </w:tr>
      <w:tr>
        <w:trPr>
          <w:trHeight w:val="227"/>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(except average contracted rate)</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Gain (Loss)</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Buy US dollar/Sell Australian dollar</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0.7690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29,754.1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2,497.7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2,077.6</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Canadian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0.9579</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4,118.9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397.3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686.7</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Buy US dollar/Sell Euro</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1.4153</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74,801.2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8,484.3</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Euro/Sell US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1.3388</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Buy US dollar/Sell British pound</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1.4619</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10,964.5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(117.7)</w:t>
            </w: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Buy Mexican peso/Sell US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12.7702</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28,503.8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(2,798.0)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(2,181.6)</w:t>
            </w:r>
          </w:p>
        </w:tc>
      </w:tr>
    </w:tbl>
    <w:p>
      <w:pPr>
        <w:spacing w:after="0" w:line="207" w:lineRule="exact"/>
        <w:rPr>
          <w:sz w:val="20"/>
          <w:szCs w:val="20"/>
          <w:color w:val="auto"/>
        </w:rPr>
      </w:pPr>
    </w:p>
    <w:p>
      <w:pPr>
        <w:jc w:val="both"/>
        <w:ind w:firstLine="213"/>
        <w:spacing w:after="0" w:line="308"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u w:val="single" w:color="auto"/>
          <w:color w:val="auto"/>
        </w:rPr>
        <w:t>Interest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 risk on interest rates relates primarily to LIBOR-based short-term debt from commercial banks, as well as the potential increase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 steel,</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fuel, petroleum-based resin, and linerboard. In addition, we are a purchaser of components and parts containing various commodities, including steel, aluminum, copper, lead, rubber, and others which are integrated into our end products. Further information regarding rising prices for commodities is presented in Item 2 of this Quarterly Report on Form 10-Q, in the section entitled “Inflation.”</w:t>
      </w:r>
    </w:p>
    <w:p>
      <w:pPr>
        <w:spacing w:after="0" w:line="2" w:lineRule="exact"/>
        <w:rPr>
          <w:sz w:val="20"/>
          <w:szCs w:val="20"/>
          <w:color w:val="auto"/>
        </w:rPr>
      </w:pPr>
    </w:p>
    <w:p>
      <w:pPr>
        <w:ind w:right="540" w:firstLine="210"/>
        <w:spacing w:after="0" w:line="329" w:lineRule="auto"/>
        <w:rPr>
          <w:sz w:val="20"/>
          <w:szCs w:val="20"/>
          <w:color w:val="auto"/>
        </w:rPr>
      </w:pPr>
      <w:r>
        <w:rPr>
          <w:rFonts w:ascii="Arial" w:cs="Arial" w:eastAsia="Arial" w:hAnsi="Arial"/>
          <w:sz w:val="15"/>
          <w:szCs w:val="15"/>
          <w:color w:val="auto"/>
        </w:rPr>
        <w:t>We enter into fixed-price contracts for future purchases of natural gas in the normal course of operations as a means to manage natural gas price risks. These contracts meet the definition of “normal purchases and normal sales” and, therefore, are not considered derivative instruments for accounting purposes.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5" w:name="page26"/>
    <w:bookmarkEnd w:id="25"/>
    <w:p>
      <w:pPr>
        <w:jc w:val="center"/>
        <w:ind w:right="-159"/>
        <w:spacing w:after="0"/>
        <w:rPr>
          <w:sz w:val="20"/>
          <w:szCs w:val="20"/>
          <w:color w:val="auto"/>
        </w:rPr>
      </w:pPr>
      <w:r>
        <w:rPr>
          <w:rFonts w:ascii="Arial" w:cs="Arial" w:eastAsia="Arial" w:hAnsi="Arial"/>
          <w:sz w:val="20"/>
          <w:szCs w:val="20"/>
          <w:b w:val="1"/>
          <w:bCs w:val="1"/>
          <w:color w:val="auto"/>
        </w:rPr>
        <w:t>Item 4. CONTROLS AND PROCEDURES</w:t>
      </w:r>
    </w:p>
    <w:p>
      <w:pPr>
        <w:spacing w:after="0" w:line="243"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second quarter ended May 1, 2009 that has materially affected, or is reasonably likely to materially affect, our internal control over financial reporting.</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PART II. OTHER INFORMATION</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Item 1. LEGAL PROCEEDINGS</w:t>
      </w:r>
    </w:p>
    <w:p>
      <w:pPr>
        <w:spacing w:after="0" w:line="221"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ind w:right="20"/>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b w:val="1"/>
          <w:bCs w:val="1"/>
          <w:i w:val="1"/>
          <w:iCs w:val="1"/>
          <w:color w:val="auto"/>
        </w:rPr>
        <w:t xml:space="preserve">Lawnmower Engine Horsepower Marketing and Sales Practices Litigation. </w:t>
      </w:r>
      <w:r>
        <w:rPr>
          <w:rFonts w:ascii="Arial" w:cs="Arial" w:eastAsia="Arial" w:hAnsi="Arial"/>
          <w:sz w:val="16"/>
          <w:szCs w:val="16"/>
          <w:color w:val="auto"/>
        </w:rPr>
        <w:t>In June 2004, individuals who claim to have purchased lawnmowers in Illinois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ind w:firstLine="213"/>
        <w:spacing w:after="0" w:line="251" w:lineRule="auto"/>
        <w:rPr>
          <w:sz w:val="20"/>
          <w:szCs w:val="20"/>
          <w:color w:val="auto"/>
        </w:rPr>
      </w:pPr>
      <w:r>
        <w:rPr>
          <w:rFonts w:ascii="Arial" w:cs="Arial" w:eastAsia="Arial" w:hAnsi="Arial"/>
          <w:sz w:val="17"/>
          <w:szCs w:val="17"/>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that it had reached a settlement agreement with the plaintiffs.</w:t>
      </w:r>
    </w:p>
    <w:p>
      <w:pPr>
        <w:spacing w:after="0" w:line="1" w:lineRule="exact"/>
        <w:rPr>
          <w:sz w:val="20"/>
          <w:szCs w:val="20"/>
          <w:color w:val="auto"/>
        </w:rPr>
      </w:pPr>
    </w:p>
    <w:p>
      <w:pPr>
        <w:ind w:right="120" w:firstLine="213"/>
        <w:spacing w:after="0" w:line="254" w:lineRule="auto"/>
        <w:rPr>
          <w:sz w:val="20"/>
          <w:szCs w:val="20"/>
          <w:color w:val="auto"/>
        </w:rPr>
      </w:pPr>
      <w:r>
        <w:rPr>
          <w:rFonts w:ascii="Arial" w:cs="Arial" w:eastAsia="Arial" w:hAnsi="Arial"/>
          <w:sz w:val="17"/>
          <w:szCs w:val="17"/>
          <w:color w:val="auto"/>
        </w:rPr>
        <w:t>In May 2008, the court issued a memorandum and order that (i) dismissed the RICO claim in its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80"/>
          </w:cols>
          <w:pgMar w:left="240" w:top="715" w:right="379" w:bottom="1440" w:gutter="0" w:footer="0" w:header="0"/>
        </w:sectPr>
      </w:pPr>
    </w:p>
    <w:bookmarkStart w:id="26" w:name="page27"/>
    <w:bookmarkEnd w:id="26"/>
    <w:p>
      <w:pPr>
        <w:jc w:val="both"/>
        <w:ind w:right="440" w:firstLine="213"/>
        <w:spacing w:after="0" w:line="254" w:lineRule="auto"/>
        <w:rPr>
          <w:sz w:val="20"/>
          <w:szCs w:val="20"/>
          <w:color w:val="auto"/>
        </w:rPr>
      </w:pPr>
      <w:r>
        <w:rPr>
          <w:rFonts w:ascii="Arial" w:cs="Arial" w:eastAsia="Arial" w:hAnsi="Arial"/>
          <w:sz w:val="17"/>
          <w:szCs w:val="17"/>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w:t>
      </w:r>
    </w:p>
    <w:p>
      <w:pPr>
        <w:spacing w:after="0" w:line="2" w:lineRule="exact"/>
        <w:rPr>
          <w:sz w:val="20"/>
          <w:szCs w:val="20"/>
          <w:color w:val="auto"/>
        </w:rPr>
      </w:pPr>
    </w:p>
    <w:p>
      <w:pPr>
        <w:ind w:right="240" w:firstLine="213"/>
        <w:spacing w:after="0" w:line="266" w:lineRule="auto"/>
        <w:rPr>
          <w:sz w:val="20"/>
          <w:szCs w:val="20"/>
          <w:color w:val="auto"/>
        </w:rPr>
      </w:pPr>
      <w:r>
        <w:rPr>
          <w:rFonts w:ascii="Arial" w:cs="Arial" w:eastAsia="Arial" w:hAnsi="Arial"/>
          <w:sz w:val="16"/>
          <w:szCs w:val="16"/>
          <w:color w:val="auto"/>
        </w:rPr>
        <w:t>In September 2008, the company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3" w:lineRule="exact"/>
        <w:rPr>
          <w:sz w:val="20"/>
          <w:szCs w:val="20"/>
          <w:color w:val="auto"/>
        </w:rPr>
      </w:pPr>
    </w:p>
    <w:p>
      <w:pPr>
        <w:ind w:right="200" w:firstLine="204"/>
        <w:spacing w:after="0" w:line="284" w:lineRule="auto"/>
        <w:rPr>
          <w:sz w:val="20"/>
          <w:szCs w:val="20"/>
          <w:color w:val="auto"/>
        </w:rPr>
      </w:pPr>
      <w:r>
        <w:rPr>
          <w:rFonts w:ascii="Arial" w:cs="Arial" w:eastAsia="Arial" w:hAnsi="Arial"/>
          <w:sz w:val="15"/>
          <w:szCs w:val="15"/>
          <w:color w:val="auto"/>
        </w:rPr>
        <w:t>An initial hearing was held in the United States District Court for the Eastern District of Wisconsin in January 2009. At that hearing, the Court (i) appointed lead plaintiffs’ counsel, and (ii) entered a stay of all litigation for 120 days so that the parties could explore mediation. Formal mediation proceedings commenced and on May 28, 2009, the Court extended the litigation stay to August 28, 2009, and re-scheduled the status conference to September 2009. To date, more than 65 lawsuits have been filed in various federal and state courts, which collectively assert claims under the laws of approximately 50 jurisdictions.</w:t>
      </w:r>
    </w:p>
    <w:p>
      <w:pPr>
        <w:spacing w:after="0" w:line="2" w:lineRule="exact"/>
        <w:rPr>
          <w:sz w:val="20"/>
          <w:szCs w:val="20"/>
          <w:color w:val="auto"/>
        </w:rPr>
      </w:pPr>
    </w:p>
    <w:p>
      <w:pPr>
        <w:ind w:right="240" w:firstLine="213"/>
        <w:spacing w:after="0" w:line="275" w:lineRule="auto"/>
        <w:rPr>
          <w:sz w:val="20"/>
          <w:szCs w:val="20"/>
          <w:color w:val="auto"/>
        </w:rPr>
      </w:pPr>
      <w:r>
        <w:rPr>
          <w:rFonts w:ascii="Arial" w:cs="Arial" w:eastAsia="Arial" w:hAnsi="Arial"/>
          <w:sz w:val="16"/>
          <w:szCs w:val="16"/>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Management is also unable to assess at this time whether these lawsuits will have a material adverse effect on the company’s annual consolidated operating results or financial condition, although an unfavorable resolution could be material to the company’s consolidated operating results for a particular period.</w:t>
      </w:r>
    </w:p>
    <w:p>
      <w:pPr>
        <w:spacing w:after="0" w:line="194"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b w:val="1"/>
          <w:bCs w:val="1"/>
          <w:i w:val="1"/>
          <w:iCs w:val="1"/>
          <w:color w:val="auto"/>
        </w:rPr>
        <w:t xml:space="preserve">Textron Innovations Inc. v. The Toro Company; The Toro Company v. Textron Inc. and Jacobsen. </w:t>
      </w:r>
      <w:r>
        <w:rPr>
          <w:rFonts w:ascii="Arial" w:cs="Arial" w:eastAsia="Arial" w:hAnsi="Arial"/>
          <w:sz w:val="17"/>
          <w:szCs w:val="17"/>
          <w:color w:val="auto"/>
        </w:rPr>
        <w:t>In July 2005, Textron Innovations Inc., the patent holding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of Textron, Inc., filed a lawsuit in Delaware Federal District Court against the company for patent infringement. Textron alleges that the company willfully infringed certain claims of three Textron patents by selling our Groundsmaster® commercial mowers. Textron seeks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our motion to stay the litigation and, in June 2007, denied Textron’s motion for reconsideration of the Court’s order staying the proceedings.</w:t>
      </w:r>
    </w:p>
    <w:p>
      <w:pPr>
        <w:spacing w:after="0" w:line="6" w:lineRule="exact"/>
        <w:rPr>
          <w:sz w:val="20"/>
          <w:szCs w:val="20"/>
          <w:color w:val="auto"/>
        </w:rPr>
      </w:pPr>
    </w:p>
    <w:p>
      <w:pPr>
        <w:jc w:val="both"/>
        <w:ind w:right="340" w:firstLine="213"/>
        <w:spacing w:after="0" w:line="255" w:lineRule="auto"/>
        <w:rPr>
          <w:sz w:val="20"/>
          <w:szCs w:val="20"/>
          <w:color w:val="auto"/>
        </w:rPr>
      </w:pPr>
      <w:r>
        <w:rPr>
          <w:rFonts w:ascii="Arial" w:cs="Arial" w:eastAsia="Arial" w:hAnsi="Arial"/>
          <w:sz w:val="17"/>
          <w:szCs w:val="17"/>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While management does not believe that these lawsuits will have a material adverse effect on the company’s consolidated financial condition, an unfavorable resolution could be material to the company’s consolidated operating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There has been no material change in those risk factors.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7"/>
                <w:szCs w:val="17"/>
                <w:color w:val="auto"/>
                <w:w w:val="92"/>
              </w:rPr>
              <w:t>The following table shows our second quarter of fiscal 2009 stock repurchase activity.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Total Number</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Maximum</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of</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Number</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Shares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of Shares that</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Purchased</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May</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As Part of</w:t>
            </w:r>
          </w:p>
        </w:tc>
        <w:tc>
          <w:tcPr>
            <w:tcW w:w="122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Yet Be</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Publicly</w:t>
            </w:r>
          </w:p>
        </w:tc>
        <w:tc>
          <w:tcPr>
            <w:tcW w:w="1220" w:type="dxa"/>
            <w:vAlign w:val="bottom"/>
            <w:gridSpan w:val="2"/>
          </w:tcPr>
          <w:p>
            <w:pPr>
              <w:jc w:val="center"/>
              <w:ind w:right="80"/>
              <w:spacing w:after="0"/>
              <w:rPr>
                <w:sz w:val="20"/>
                <w:szCs w:val="20"/>
                <w:color w:val="auto"/>
              </w:rPr>
            </w:pPr>
            <w:r>
              <w:rPr>
                <w:rFonts w:ascii="Arial" w:cs="Arial" w:eastAsia="Arial" w:hAnsi="Arial"/>
                <w:sz w:val="17"/>
                <w:szCs w:val="17"/>
                <w:color w:val="auto"/>
                <w:w w:val="86"/>
              </w:rPr>
              <w:t>Purchased</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Number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Announced</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Under the Plans</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color w:val="auto"/>
                <w:w w:val="81"/>
              </w:rPr>
              <w:t>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w w:val="88"/>
              </w:rPr>
              <w:t>Average Price</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Plans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rPr>
              <w:t>or</w:t>
            </w:r>
          </w:p>
        </w:tc>
      </w:tr>
      <w:tr>
        <w:trPr>
          <w:trHeight w:val="223"/>
        </w:trPr>
        <w:tc>
          <w:tcPr>
            <w:tcW w:w="5960" w:type="dxa"/>
            <w:vAlign w:val="bottom"/>
          </w:tcPr>
          <w:p>
            <w:pPr>
              <w:ind w:left="2760"/>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Purchased (1)</w:t>
            </w:r>
          </w:p>
        </w:tc>
        <w:tc>
          <w:tcPr>
            <w:tcW w:w="6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w w:val="91"/>
              </w:rPr>
              <w:t>Paid per Share</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or Programs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Programs (1)</w:t>
            </w:r>
          </w:p>
        </w:tc>
      </w:tr>
      <w:tr>
        <w:trPr>
          <w:trHeight w:val="205"/>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9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January 31, 2009 through</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February 27, 2009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2,269,552</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9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February 28, 2009 through</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March 27, 2009</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56,728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27.58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56,728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2,212,824</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9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March 28, 2009 through</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May 1, 2009</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58,913(2)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29.62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55,571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2,157,253</w:t>
            </w:r>
          </w:p>
        </w:tc>
      </w:tr>
      <w:tr>
        <w:trPr>
          <w:trHeight w:val="205"/>
        </w:trPr>
        <w:tc>
          <w:tcPr>
            <w:tcW w:w="5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596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115,641</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2"/>
            <w:shd w:val="clear" w:color="auto" w:fill="CCEEFF"/>
          </w:tcPr>
          <w:p>
            <w:pPr>
              <w:jc w:val="right"/>
              <w:ind w:right="200"/>
              <w:spacing w:after="0" w:line="185" w:lineRule="exact"/>
              <w:rPr>
                <w:sz w:val="20"/>
                <w:szCs w:val="20"/>
                <w:color w:val="auto"/>
              </w:rPr>
            </w:pPr>
            <w:r>
              <w:rPr>
                <w:rFonts w:ascii="Arial" w:cs="Arial" w:eastAsia="Arial" w:hAnsi="Arial"/>
                <w:sz w:val="17"/>
                <w:szCs w:val="17"/>
                <w:color w:val="auto"/>
              </w:rPr>
              <w:t>28.62</w:t>
            </w:r>
          </w:p>
        </w:tc>
        <w:tc>
          <w:tcPr>
            <w:tcW w:w="11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112,299</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8" w:lineRule="exact"/>
        <w:rPr>
          <w:sz w:val="20"/>
          <w:szCs w:val="20"/>
          <w:color w:val="auto"/>
        </w:rPr>
      </w:pPr>
    </w:p>
    <w:p>
      <w:pPr>
        <w:ind w:left="340" w:right="600" w:hanging="338"/>
        <w:spacing w:after="0" w:line="345" w:lineRule="auto"/>
        <w:tabs>
          <w:tab w:leader="none" w:pos="3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On May 21, 2008, the company’s Board of Directors authorized the repurchase of 4,000,000 shares of the company’s common stock in open-market or in privately negotiated transactions. This program has no expiration date but may be terminated by the company’s Board of Directors at any time.</w:t>
      </w:r>
    </w:p>
    <w:p>
      <w:pPr>
        <w:spacing w:after="0" w:line="143" w:lineRule="exact"/>
        <w:rPr>
          <w:rFonts w:ascii="Arial" w:cs="Arial" w:eastAsia="Arial" w:hAnsi="Arial"/>
          <w:sz w:val="15"/>
          <w:szCs w:val="15"/>
          <w:color w:val="auto"/>
        </w:rPr>
      </w:pPr>
    </w:p>
    <w:p>
      <w:pPr>
        <w:ind w:left="340" w:right="120" w:hanging="338"/>
        <w:spacing w:after="0" w:line="263"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3,342 units (shares) of the company’s common stock purchased in open-market transactions at an average price of $25.66 per share on behalf of a rabbi trust formed to pay benefit obligations of the company to participants in deferred compensation plans. These 3,342 shares were not repurchased under the company’s repurchase program described in footnote (1) above.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4. SUBMISSION OF MATTERS TO A VOTE OF SECURITY HOLDERS</w:t>
      </w:r>
    </w:p>
    <w:p>
      <w:pPr>
        <w:spacing w:after="0" w:line="243" w:lineRule="exact"/>
        <w:rPr>
          <w:sz w:val="20"/>
          <w:szCs w:val="20"/>
          <w:color w:val="auto"/>
        </w:rPr>
      </w:pPr>
    </w:p>
    <w:p>
      <w:pPr>
        <w:ind w:right="520"/>
        <w:spacing w:after="0" w:line="276" w:lineRule="auto"/>
        <w:rPr>
          <w:sz w:val="20"/>
          <w:szCs w:val="20"/>
          <w:color w:val="auto"/>
        </w:rPr>
      </w:pPr>
      <w:r>
        <w:rPr>
          <w:rFonts w:ascii="Arial" w:cs="Arial" w:eastAsia="Arial" w:hAnsi="Arial"/>
          <w:sz w:val="17"/>
          <w:szCs w:val="17"/>
          <w:color w:val="auto"/>
        </w:rPr>
        <w:t>Our 2009 Annual Meeting of Shareholders was held on March 18, 2009. The results of the shareholder vote on the business brought before the meeting were as follows:</w:t>
      </w:r>
    </w:p>
    <w:p>
      <w:pPr>
        <w:sectPr>
          <w:pgSz w:w="11900" w:h="16838" w:orient="portrait"/>
          <w:cols w:equalWidth="0" w:num="1">
            <w:col w:w="11420"/>
          </w:cols>
          <w:pgMar w:left="240" w:top="715"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20955</wp:posOffset>
            </wp:positionV>
            <wp:extent cx="91821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821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29845</wp:posOffset>
            </wp:positionV>
            <wp:extent cx="76327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327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28575</wp:posOffset>
            </wp:positionV>
            <wp:extent cx="69024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024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Broker</w:t>
      </w:r>
    </w:p>
    <w:p>
      <w:pPr>
        <w:spacing w:after="0" w:line="20"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37465</wp:posOffset>
            </wp:positionV>
            <wp:extent cx="77152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1651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4">
            <w:col w:w="7040" w:space="720"/>
            <w:col w:w="700" w:space="720"/>
            <w:col w:w="560" w:space="720"/>
            <w:col w:w="960"/>
          </w:cols>
          <w:pgMar w:left="240" w:top="715" w:right="239" w:bottom="1440" w:gutter="0" w:footer="0" w:header="0"/>
          <w:type w:val="continuous"/>
        </w:sectPr>
      </w:pPr>
    </w:p>
    <w:p>
      <w:pPr>
        <w:ind w:left="480" w:right="5820" w:hanging="4"/>
        <w:spacing w:after="0" w:line="255" w:lineRule="auto"/>
        <w:tabs>
          <w:tab w:leader="none" w:pos="651" w:val="left"/>
        </w:tabs>
        <w:numPr>
          <w:ilvl w:val="0"/>
          <w:numId w:val="4"/>
        </w:numPr>
        <w:rPr>
          <w:rFonts w:ascii="Arial" w:cs="Arial" w:eastAsia="Arial" w:hAnsi="Arial"/>
          <w:sz w:val="17"/>
          <w:szCs w:val="17"/>
          <w:color w:val="auto"/>
        </w:rPr>
      </w:pPr>
      <w:r>
        <w:rPr>
          <w:rFonts w:ascii="Arial" w:cs="Arial" w:eastAsia="Arial" w:hAnsi="Arial"/>
          <w:sz w:val="17"/>
          <w:szCs w:val="17"/>
          <w:color w:val="auto"/>
        </w:rPr>
        <w:t>Elect as directors the nominees named in thecompany’s proxy statement, each to serve for a termof three years ending at the 2012 Annual Meeting ofShareholders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7253605" cy="389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389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4360" w:type="dxa"/>
            <w:vAlign w:val="bottom"/>
          </w:tcPr>
          <w:p>
            <w:pPr>
              <w:ind w:left="860"/>
              <w:spacing w:after="0"/>
              <w:rPr>
                <w:sz w:val="20"/>
                <w:szCs w:val="20"/>
                <w:color w:val="auto"/>
              </w:rPr>
            </w:pPr>
            <w:r>
              <w:rPr>
                <w:rFonts w:ascii="Arial" w:cs="Arial" w:eastAsia="Arial" w:hAnsi="Arial"/>
                <w:sz w:val="17"/>
                <w:szCs w:val="17"/>
                <w:color w:val="auto"/>
              </w:rPr>
              <w:t>Janet K. Cooper</w:t>
            </w:r>
          </w:p>
        </w:tc>
        <w:tc>
          <w:tcPr>
            <w:tcW w:w="3240" w:type="dxa"/>
            <w:vAlign w:val="bottom"/>
          </w:tcPr>
          <w:p>
            <w:pPr>
              <w:jc w:val="right"/>
              <w:ind w:right="275"/>
              <w:spacing w:after="0"/>
              <w:rPr>
                <w:sz w:val="20"/>
                <w:szCs w:val="20"/>
                <w:color w:val="auto"/>
              </w:rPr>
            </w:pPr>
            <w:r>
              <w:rPr>
                <w:rFonts w:ascii="Arial" w:cs="Arial" w:eastAsia="Arial" w:hAnsi="Arial"/>
                <w:sz w:val="17"/>
                <w:szCs w:val="17"/>
                <w:color w:val="auto"/>
              </w:rPr>
              <w:t>31,334,838</w:t>
            </w:r>
          </w:p>
        </w:tc>
        <w:tc>
          <w:tcPr>
            <w:tcW w:w="1680" w:type="dxa"/>
            <w:vAlign w:val="bottom"/>
          </w:tcPr>
          <w:p>
            <w:pPr>
              <w:jc w:val="right"/>
              <w:ind w:right="535"/>
              <w:spacing w:after="0"/>
              <w:rPr>
                <w:sz w:val="20"/>
                <w:szCs w:val="20"/>
                <w:color w:val="auto"/>
              </w:rPr>
            </w:pPr>
            <w:r>
              <w:rPr>
                <w:rFonts w:ascii="Arial" w:cs="Arial" w:eastAsia="Arial" w:hAnsi="Arial"/>
                <w:sz w:val="17"/>
                <w:szCs w:val="17"/>
                <w:color w:val="auto"/>
              </w:rPr>
              <w:t>2,125,175</w:t>
            </w:r>
          </w:p>
        </w:tc>
        <w:tc>
          <w:tcPr>
            <w:tcW w:w="1380" w:type="dxa"/>
            <w:vAlign w:val="bottom"/>
          </w:tcPr>
          <w:p>
            <w:pPr>
              <w:jc w:val="right"/>
              <w:ind w:right="595"/>
              <w:spacing w:after="0"/>
              <w:rPr>
                <w:sz w:val="20"/>
                <w:szCs w:val="20"/>
                <w:color w:val="auto"/>
              </w:rPr>
            </w:pPr>
            <w:r>
              <w:rPr>
                <w:rFonts w:ascii="Arial" w:cs="Arial" w:eastAsia="Arial" w:hAnsi="Arial"/>
                <w:sz w:val="17"/>
                <w:szCs w:val="17"/>
                <w:color w:val="auto"/>
              </w:rPr>
              <w:t>0</w:t>
            </w:r>
          </w:p>
        </w:tc>
        <w:tc>
          <w:tcPr>
            <w:tcW w:w="7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5"/>
        </w:trPr>
        <w:tc>
          <w:tcPr>
            <w:tcW w:w="4360" w:type="dxa"/>
            <w:vAlign w:val="bottom"/>
            <w:shd w:val="clear" w:color="auto" w:fill="CCEEFF"/>
          </w:tcPr>
          <w:p>
            <w:pPr>
              <w:ind w:left="860"/>
              <w:spacing w:after="0"/>
              <w:rPr>
                <w:sz w:val="20"/>
                <w:szCs w:val="20"/>
                <w:color w:val="auto"/>
              </w:rPr>
            </w:pPr>
            <w:r>
              <w:rPr>
                <w:rFonts w:ascii="Arial" w:cs="Arial" w:eastAsia="Arial" w:hAnsi="Arial"/>
                <w:sz w:val="17"/>
                <w:szCs w:val="17"/>
                <w:color w:val="auto"/>
              </w:rPr>
              <w:t>Gary L. Ellis</w:t>
            </w:r>
          </w:p>
        </w:tc>
        <w:tc>
          <w:tcPr>
            <w:tcW w:w="324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33,056,733</w:t>
            </w:r>
          </w:p>
        </w:tc>
        <w:tc>
          <w:tcPr>
            <w:tcW w:w="168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403,280</w:t>
            </w:r>
          </w:p>
        </w:tc>
        <w:tc>
          <w:tcPr>
            <w:tcW w:w="1380" w:type="dxa"/>
            <w:vAlign w:val="bottom"/>
            <w:shd w:val="clear" w:color="auto" w:fill="CCEEFF"/>
          </w:tcPr>
          <w:p>
            <w:pPr>
              <w:jc w:val="right"/>
              <w:ind w:right="595"/>
              <w:spacing w:after="0"/>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06"/>
        </w:trPr>
        <w:tc>
          <w:tcPr>
            <w:tcW w:w="4360" w:type="dxa"/>
            <w:vAlign w:val="bottom"/>
          </w:tcPr>
          <w:p>
            <w:pPr>
              <w:ind w:left="860"/>
              <w:spacing w:after="0"/>
              <w:rPr>
                <w:sz w:val="20"/>
                <w:szCs w:val="20"/>
                <w:color w:val="auto"/>
              </w:rPr>
            </w:pPr>
            <w:r>
              <w:rPr>
                <w:rFonts w:ascii="Arial" w:cs="Arial" w:eastAsia="Arial" w:hAnsi="Arial"/>
                <w:sz w:val="17"/>
                <w:szCs w:val="17"/>
                <w:color w:val="auto"/>
              </w:rPr>
              <w:t>Gregg W. Steinhafel</w:t>
            </w:r>
          </w:p>
        </w:tc>
        <w:tc>
          <w:tcPr>
            <w:tcW w:w="3240" w:type="dxa"/>
            <w:vAlign w:val="bottom"/>
          </w:tcPr>
          <w:p>
            <w:pPr>
              <w:jc w:val="right"/>
              <w:ind w:right="275"/>
              <w:spacing w:after="0"/>
              <w:rPr>
                <w:sz w:val="20"/>
                <w:szCs w:val="20"/>
                <w:color w:val="auto"/>
              </w:rPr>
            </w:pPr>
            <w:r>
              <w:rPr>
                <w:rFonts w:ascii="Arial" w:cs="Arial" w:eastAsia="Arial" w:hAnsi="Arial"/>
                <w:sz w:val="17"/>
                <w:szCs w:val="17"/>
                <w:color w:val="auto"/>
              </w:rPr>
              <w:t>32,709,031</w:t>
            </w:r>
          </w:p>
        </w:tc>
        <w:tc>
          <w:tcPr>
            <w:tcW w:w="1680" w:type="dxa"/>
            <w:vAlign w:val="bottom"/>
          </w:tcPr>
          <w:p>
            <w:pPr>
              <w:jc w:val="right"/>
              <w:ind w:right="535"/>
              <w:spacing w:after="0"/>
              <w:rPr>
                <w:sz w:val="20"/>
                <w:szCs w:val="20"/>
                <w:color w:val="auto"/>
              </w:rPr>
            </w:pPr>
            <w:r>
              <w:rPr>
                <w:rFonts w:ascii="Arial" w:cs="Arial" w:eastAsia="Arial" w:hAnsi="Arial"/>
                <w:sz w:val="17"/>
                <w:szCs w:val="17"/>
                <w:color w:val="auto"/>
              </w:rPr>
              <w:t>750,982</w:t>
            </w:r>
          </w:p>
        </w:tc>
        <w:tc>
          <w:tcPr>
            <w:tcW w:w="1380" w:type="dxa"/>
            <w:vAlign w:val="bottom"/>
          </w:tcPr>
          <w:p>
            <w:pPr>
              <w:jc w:val="right"/>
              <w:ind w:right="595"/>
              <w:spacing w:after="0"/>
              <w:rPr>
                <w:sz w:val="20"/>
                <w:szCs w:val="20"/>
                <w:color w:val="auto"/>
              </w:rPr>
            </w:pPr>
            <w:r>
              <w:rPr>
                <w:rFonts w:ascii="Arial" w:cs="Arial" w:eastAsia="Arial" w:hAnsi="Arial"/>
                <w:sz w:val="17"/>
                <w:szCs w:val="17"/>
                <w:color w:val="auto"/>
              </w:rPr>
              <w:t>0</w:t>
            </w:r>
          </w:p>
        </w:tc>
        <w:tc>
          <w:tcPr>
            <w:tcW w:w="760" w:type="dxa"/>
            <w:vAlign w:val="bottom"/>
          </w:tcPr>
          <w:p>
            <w:pPr>
              <w:jc w:val="right"/>
              <w:spacing w:after="0"/>
              <w:rPr>
                <w:sz w:val="20"/>
                <w:szCs w:val="20"/>
                <w:color w:val="auto"/>
              </w:rPr>
            </w:pPr>
            <w:r>
              <w:rPr>
                <w:rFonts w:ascii="Arial" w:cs="Arial" w:eastAsia="Arial" w:hAnsi="Arial"/>
                <w:sz w:val="17"/>
                <w:szCs w:val="17"/>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253605" cy="568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568325"/>
                    </a:xfrm>
                    <a:prstGeom prst="rect">
                      <a:avLst/>
                    </a:prstGeom>
                    <a:noFill/>
                  </pic:spPr>
                </pic:pic>
              </a:graphicData>
            </a:graphic>
          </wp:anchor>
        </w:drawing>
      </w:r>
    </w:p>
    <w:p>
      <w:pPr>
        <w:ind w:left="780" w:right="5740" w:hanging="304"/>
        <w:spacing w:after="0" w:line="255" w:lineRule="auto"/>
        <w:tabs>
          <w:tab w:leader="none" w:pos="644"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Approve an amendment to The Toro Company 2000 Directors Stock Plan to increase the number of shares of the company’s common stock authorized for issuance under the plan by 65,000</w:t>
      </w:r>
    </w:p>
    <w:p>
      <w:pPr>
        <w:spacing w:after="0" w:line="54"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5560" w:type="dxa"/>
            <w:vAlign w:val="bottom"/>
            <w:vMerge w:val="restart"/>
          </w:tcPr>
          <w:p>
            <w:pPr>
              <w:spacing w:after="0"/>
              <w:rPr>
                <w:sz w:val="20"/>
                <w:szCs w:val="20"/>
                <w:color w:val="auto"/>
              </w:rPr>
            </w:pPr>
            <w:r>
              <w:rPr>
                <w:rFonts w:ascii="Arial" w:cs="Arial" w:eastAsia="Arial" w:hAnsi="Arial"/>
                <w:sz w:val="17"/>
                <w:szCs w:val="17"/>
                <w:color w:val="auto"/>
              </w:rPr>
              <w:t>3. Ratify the selection of KPMG LLP as the company’s independent</w:t>
            </w:r>
          </w:p>
        </w:tc>
        <w:tc>
          <w:tcPr>
            <w:tcW w:w="1560" w:type="dxa"/>
            <w:vAlign w:val="bottom"/>
          </w:tcPr>
          <w:p>
            <w:pPr>
              <w:jc w:val="right"/>
              <w:ind w:right="275"/>
              <w:spacing w:after="0"/>
              <w:rPr>
                <w:sz w:val="20"/>
                <w:szCs w:val="20"/>
                <w:color w:val="auto"/>
              </w:rPr>
            </w:pPr>
            <w:r>
              <w:rPr>
                <w:rFonts w:ascii="Arial" w:cs="Arial" w:eastAsia="Arial" w:hAnsi="Arial"/>
                <w:sz w:val="17"/>
                <w:szCs w:val="17"/>
                <w:color w:val="auto"/>
              </w:rPr>
              <w:t>26,739,172</w:t>
            </w:r>
          </w:p>
        </w:tc>
        <w:tc>
          <w:tcPr>
            <w:tcW w:w="1440" w:type="dxa"/>
            <w:vAlign w:val="bottom"/>
          </w:tcPr>
          <w:p>
            <w:pPr>
              <w:jc w:val="right"/>
              <w:ind w:right="295"/>
              <w:spacing w:after="0"/>
              <w:rPr>
                <w:sz w:val="20"/>
                <w:szCs w:val="20"/>
                <w:color w:val="auto"/>
              </w:rPr>
            </w:pPr>
            <w:r>
              <w:rPr>
                <w:rFonts w:ascii="Arial" w:cs="Arial" w:eastAsia="Arial" w:hAnsi="Arial"/>
                <w:sz w:val="17"/>
                <w:szCs w:val="17"/>
                <w:color w:val="auto"/>
              </w:rPr>
              <w:t>2,349,903</w:t>
            </w:r>
          </w:p>
        </w:tc>
        <w:tc>
          <w:tcPr>
            <w:tcW w:w="1320" w:type="dxa"/>
            <w:vAlign w:val="bottom"/>
          </w:tcPr>
          <w:p>
            <w:pPr>
              <w:jc w:val="right"/>
              <w:ind w:right="295"/>
              <w:spacing w:after="0"/>
              <w:rPr>
                <w:sz w:val="20"/>
                <w:szCs w:val="20"/>
                <w:color w:val="auto"/>
              </w:rPr>
            </w:pPr>
            <w:r>
              <w:rPr>
                <w:rFonts w:ascii="Arial" w:cs="Arial" w:eastAsia="Arial" w:hAnsi="Arial"/>
                <w:sz w:val="17"/>
                <w:szCs w:val="17"/>
                <w:color w:val="auto"/>
              </w:rPr>
              <w:t>418,234</w:t>
            </w:r>
          </w:p>
        </w:tc>
        <w:tc>
          <w:tcPr>
            <w:tcW w:w="1060" w:type="dxa"/>
            <w:vAlign w:val="bottom"/>
          </w:tcPr>
          <w:p>
            <w:pPr>
              <w:jc w:val="right"/>
              <w:spacing w:after="0"/>
              <w:rPr>
                <w:sz w:val="20"/>
                <w:szCs w:val="20"/>
                <w:color w:val="auto"/>
              </w:rPr>
            </w:pPr>
            <w:r>
              <w:rPr>
                <w:rFonts w:ascii="Arial" w:cs="Arial" w:eastAsia="Arial" w:hAnsi="Arial"/>
                <w:sz w:val="17"/>
                <w:szCs w:val="17"/>
                <w:color w:val="auto"/>
              </w:rPr>
              <w:t>3,952,704</w:t>
            </w:r>
          </w:p>
        </w:tc>
        <w:tc>
          <w:tcPr>
            <w:tcW w:w="0" w:type="dxa"/>
            <w:vAlign w:val="bottom"/>
          </w:tcPr>
          <w:p>
            <w:pPr>
              <w:spacing w:after="0"/>
              <w:rPr>
                <w:sz w:val="1"/>
                <w:szCs w:val="1"/>
                <w:color w:val="auto"/>
              </w:rPr>
            </w:pPr>
          </w:p>
        </w:tc>
      </w:tr>
      <w:tr>
        <w:trPr>
          <w:trHeight w:val="193"/>
        </w:trPr>
        <w:tc>
          <w:tcPr>
            <w:tcW w:w="556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560" w:type="dxa"/>
            <w:vAlign w:val="bottom"/>
          </w:tcPr>
          <w:p>
            <w:pPr>
              <w:ind w:left="300"/>
              <w:spacing w:after="0"/>
              <w:rPr>
                <w:sz w:val="20"/>
                <w:szCs w:val="20"/>
                <w:color w:val="auto"/>
              </w:rPr>
            </w:pPr>
            <w:r>
              <w:rPr>
                <w:rFonts w:ascii="Arial" w:cs="Arial" w:eastAsia="Arial" w:hAnsi="Arial"/>
                <w:sz w:val="17"/>
                <w:szCs w:val="17"/>
                <w:color w:val="auto"/>
              </w:rPr>
              <w:t>registered public accounting firm for its fiscal year ending October 31,</w:t>
            </w:r>
          </w:p>
        </w:tc>
        <w:tc>
          <w:tcPr>
            <w:tcW w:w="1560" w:type="dxa"/>
            <w:vAlign w:val="bottom"/>
          </w:tcPr>
          <w:p>
            <w:pPr>
              <w:jc w:val="right"/>
              <w:ind w:right="275"/>
              <w:spacing w:after="0"/>
              <w:rPr>
                <w:sz w:val="20"/>
                <w:szCs w:val="20"/>
                <w:color w:val="auto"/>
              </w:rPr>
            </w:pPr>
            <w:r>
              <w:rPr>
                <w:rFonts w:ascii="Arial" w:cs="Arial" w:eastAsia="Arial" w:hAnsi="Arial"/>
                <w:sz w:val="17"/>
                <w:szCs w:val="17"/>
                <w:color w:val="auto"/>
              </w:rPr>
              <w:t>33,181,367</w:t>
            </w:r>
          </w:p>
        </w:tc>
        <w:tc>
          <w:tcPr>
            <w:tcW w:w="1440" w:type="dxa"/>
            <w:vAlign w:val="bottom"/>
          </w:tcPr>
          <w:p>
            <w:pPr>
              <w:jc w:val="right"/>
              <w:ind w:right="295"/>
              <w:spacing w:after="0"/>
              <w:rPr>
                <w:sz w:val="20"/>
                <w:szCs w:val="20"/>
                <w:color w:val="auto"/>
              </w:rPr>
            </w:pPr>
            <w:r>
              <w:rPr>
                <w:rFonts w:ascii="Arial" w:cs="Arial" w:eastAsia="Arial" w:hAnsi="Arial"/>
                <w:sz w:val="17"/>
                <w:szCs w:val="17"/>
                <w:color w:val="auto"/>
              </w:rPr>
              <w:t>117,374</w:t>
            </w:r>
          </w:p>
        </w:tc>
        <w:tc>
          <w:tcPr>
            <w:tcW w:w="1320" w:type="dxa"/>
            <w:vAlign w:val="bottom"/>
          </w:tcPr>
          <w:p>
            <w:pPr>
              <w:jc w:val="right"/>
              <w:ind w:right="295"/>
              <w:spacing w:after="0"/>
              <w:rPr>
                <w:sz w:val="20"/>
                <w:szCs w:val="20"/>
                <w:color w:val="auto"/>
              </w:rPr>
            </w:pPr>
            <w:r>
              <w:rPr>
                <w:rFonts w:ascii="Arial" w:cs="Arial" w:eastAsia="Arial" w:hAnsi="Arial"/>
                <w:sz w:val="17"/>
                <w:szCs w:val="17"/>
                <w:color w:val="auto"/>
              </w:rPr>
              <w:t>161,272</w:t>
            </w:r>
          </w:p>
        </w:tc>
        <w:tc>
          <w:tcPr>
            <w:tcW w:w="10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6"/>
        </w:trPr>
        <w:tc>
          <w:tcPr>
            <w:tcW w:w="5560" w:type="dxa"/>
            <w:vAlign w:val="bottom"/>
          </w:tcPr>
          <w:p>
            <w:pPr>
              <w:ind w:left="300"/>
              <w:spacing w:after="0"/>
              <w:rPr>
                <w:sz w:val="20"/>
                <w:szCs w:val="20"/>
                <w:color w:val="auto"/>
              </w:rPr>
            </w:pPr>
            <w:r>
              <w:rPr>
                <w:rFonts w:ascii="Arial" w:cs="Arial" w:eastAsia="Arial" w:hAnsi="Arial"/>
                <w:sz w:val="17"/>
                <w:szCs w:val="17"/>
                <w:color w:val="auto"/>
              </w:rPr>
              <w:t>2009</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80" w:right="440"/>
        <w:spacing w:after="0" w:line="276" w:lineRule="auto"/>
        <w:rPr>
          <w:sz w:val="20"/>
          <w:szCs w:val="20"/>
          <w:color w:val="auto"/>
        </w:rPr>
      </w:pPr>
      <w:r>
        <w:rPr>
          <w:rFonts w:ascii="Arial" w:cs="Arial" w:eastAsia="Arial" w:hAnsi="Arial"/>
          <w:sz w:val="17"/>
          <w:szCs w:val="17"/>
          <w:color w:val="auto"/>
        </w:rPr>
        <w:t>Robert C. Buhrmaster, Winslow H. Buxton, Robert H. Nassau, and Christopher A. Twomey continue to serve as directors for terms ending at the 2010 Annual Meeting of Shareholders.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Katherine J. Harless, Michael J. Hoffman, and Inge G. Thulin continue to serve as directors for terms ending at the 2011 Annual Meeting of Shareholders.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64"/>
        </w:trPr>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860" w:type="dxa"/>
            <w:vAlign w:val="bottom"/>
          </w:tcPr>
          <w:p>
            <w:pPr>
              <w:ind w:left="3320"/>
              <w:spacing w:after="0"/>
              <w:rPr>
                <w:sz w:val="20"/>
                <w:szCs w:val="20"/>
                <w:color w:val="auto"/>
              </w:rPr>
            </w:pPr>
            <w:r>
              <w:rPr>
                <w:rFonts w:ascii="Arial" w:cs="Arial" w:eastAsia="Arial" w:hAnsi="Arial"/>
                <w:sz w:val="20"/>
                <w:szCs w:val="20"/>
                <w:b w:val="1"/>
                <w:bCs w:val="1"/>
                <w:color w:val="auto"/>
              </w:rPr>
              <w:t>Item 6. EXHIBITS</w:t>
            </w:r>
          </w:p>
        </w:tc>
      </w:tr>
      <w:tr>
        <w:trPr>
          <w:trHeight w:val="425"/>
        </w:trPr>
        <w:tc>
          <w:tcPr>
            <w:tcW w:w="320" w:type="dxa"/>
            <w:vAlign w:val="bottom"/>
          </w:tcPr>
          <w:p>
            <w:pPr>
              <w:spacing w:after="0"/>
              <w:rPr>
                <w:sz w:val="20"/>
                <w:szCs w:val="20"/>
                <w:color w:val="auto"/>
              </w:rPr>
            </w:pPr>
            <w:r>
              <w:rPr>
                <w:rFonts w:ascii="Arial" w:cs="Arial" w:eastAsia="Arial" w:hAnsi="Arial"/>
                <w:sz w:val="17"/>
                <w:szCs w:val="17"/>
                <w:color w:val="auto"/>
              </w:rPr>
              <w:t>(a)</w:t>
            </w:r>
          </w:p>
        </w:tc>
        <w:tc>
          <w:tcPr>
            <w:tcW w:w="1220" w:type="dxa"/>
            <w:vAlign w:val="bottom"/>
          </w:tcPr>
          <w:p>
            <w:pPr>
              <w:ind w:left="140"/>
              <w:spacing w:after="0"/>
              <w:rPr>
                <w:sz w:val="20"/>
                <w:szCs w:val="20"/>
                <w:color w:val="auto"/>
              </w:rPr>
            </w:pPr>
            <w:r>
              <w:rPr>
                <w:rFonts w:ascii="Arial" w:cs="Arial" w:eastAsia="Arial" w:hAnsi="Arial"/>
                <w:sz w:val="17"/>
                <w:szCs w:val="17"/>
                <w:color w:val="auto"/>
              </w:rPr>
              <w:t>Exhibits</w:t>
            </w:r>
          </w:p>
        </w:tc>
        <w:tc>
          <w:tcPr>
            <w:tcW w:w="9860" w:type="dxa"/>
            <w:vAlign w:val="bottom"/>
          </w:tcPr>
          <w:p>
            <w:pPr>
              <w:spacing w:after="0"/>
              <w:rPr>
                <w:sz w:val="24"/>
                <w:szCs w:val="24"/>
                <w:color w:val="auto"/>
              </w:rPr>
            </w:pP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 and 4.1</w:t>
            </w:r>
          </w:p>
        </w:tc>
        <w:tc>
          <w:tcPr>
            <w:tcW w:w="9860" w:type="dxa"/>
            <w:vAlign w:val="bottom"/>
          </w:tcPr>
          <w:p>
            <w:pPr>
              <w:ind w:left="340"/>
              <w:spacing w:after="0"/>
              <w:rPr>
                <w:sz w:val="20"/>
                <w:szCs w:val="20"/>
                <w:color w:val="auto"/>
              </w:rPr>
            </w:pPr>
            <w:r>
              <w:rPr>
                <w:rFonts w:ascii="Arial" w:cs="Arial" w:eastAsia="Arial" w:hAnsi="Arial"/>
                <w:sz w:val="17"/>
                <w:szCs w:val="17"/>
                <w:color w:val="auto"/>
                <w:w w:val="94"/>
              </w:rPr>
              <w:t>Restated Certificate of Incorporation of The Toro Company (incorporated by reference to Exhibit 3.1 to Registrant’s Current Report on</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June 17, 2008, Commission File No. 1-8649).</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3.2 and 4.2</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Amended and Restated Bylaws of The Toro Company (incorporated by reference to Exhibit 3.2 to Registrant’s Current Report on Form 8-</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K dated June 17, 2008, Commission File No. 1-8649).</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4.3</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Specimen Form of Common Stock Certificate (incorporated by reference to Exhibit 4(c) to Registrant’s Quarterly Report on Form 10-Q for</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the fiscal quarter ended August 1, 2008).</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4.4</w:t>
            </w:r>
          </w:p>
        </w:tc>
        <w:tc>
          <w:tcPr>
            <w:tcW w:w="9860" w:type="dxa"/>
            <w:vAlign w:val="bottom"/>
          </w:tcPr>
          <w:p>
            <w:pPr>
              <w:ind w:left="340"/>
              <w:spacing w:after="0"/>
              <w:rPr>
                <w:sz w:val="20"/>
                <w:szCs w:val="20"/>
                <w:color w:val="auto"/>
              </w:rPr>
            </w:pPr>
            <w:r>
              <w:rPr>
                <w:rFonts w:ascii="Arial" w:cs="Arial" w:eastAsia="Arial" w:hAnsi="Arial"/>
                <w:sz w:val="17"/>
                <w:szCs w:val="17"/>
                <w:color w:val="auto"/>
                <w:w w:val="97"/>
              </w:rPr>
              <w:t>Indenture dated as of January 31, 1997, between Registrant and First National Trust Association, as Trustee, relating to The Toro</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3"/>
              </w:rPr>
              <w:t>Company’s 7.80% Debentures due June 15, 2027 (incorporated by reference to Exhibit 4(a) to Registrant’s Current Report on Form 8-K</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dated June 24, 1997, Commission File No. 1-8649).</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4.5</w:t>
            </w:r>
          </w:p>
        </w:tc>
        <w:tc>
          <w:tcPr>
            <w:tcW w:w="9860" w:type="dxa"/>
            <w:vAlign w:val="bottom"/>
          </w:tcPr>
          <w:p>
            <w:pPr>
              <w:ind w:left="340"/>
              <w:spacing w:after="0"/>
              <w:rPr>
                <w:sz w:val="20"/>
                <w:szCs w:val="20"/>
                <w:color w:val="auto"/>
              </w:rPr>
            </w:pPr>
            <w:r>
              <w:rPr>
                <w:rFonts w:ascii="Arial" w:cs="Arial" w:eastAsia="Arial" w:hAnsi="Arial"/>
                <w:sz w:val="17"/>
                <w:szCs w:val="17"/>
                <w:color w:val="auto"/>
                <w:w w:val="90"/>
              </w:rPr>
              <w:t>Indenture dated as of April 20, 2007, between Registrant and The Bank of New York Trust Company, N.A., as Trustee, relating to The Toro</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2"/>
              </w:rPr>
              <w:t>Company’s 6.625% Notes due May 1, 2037 (incorporated by reference to Exhibit 4.3 to Registrant’s Registration Statement on Form S-3</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filed with the Securities and Exchange Commission on April 23, 2007, Registration No. 333-142282).</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4.6</w:t>
            </w: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First Supplemental Indenture dated as of April 26, 2007, between Registrant and The Bank of New York Trust Company, N.A., as Trustee,</w:t>
            </w:r>
          </w:p>
        </w:tc>
      </w:tr>
      <w:tr>
        <w:trPr>
          <w:trHeight w:val="205"/>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w w:val="91"/>
              </w:rPr>
              <w:t>relating to The Toro Company’s 6.625% Notes due May 1, 2037 (incorporated by reference to Exhibit 4.1 to Registrant’s Current Report on</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April 23, 2007, Commission File No. 1-8649).</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4.7</w:t>
            </w:r>
          </w:p>
        </w:tc>
        <w:tc>
          <w:tcPr>
            <w:tcW w:w="9860" w:type="dxa"/>
            <w:vAlign w:val="bottom"/>
          </w:tcPr>
          <w:p>
            <w:pPr>
              <w:ind w:left="340"/>
              <w:spacing w:after="0"/>
              <w:rPr>
                <w:sz w:val="20"/>
                <w:szCs w:val="20"/>
                <w:color w:val="auto"/>
              </w:rPr>
            </w:pPr>
            <w:r>
              <w:rPr>
                <w:rFonts w:ascii="Arial" w:cs="Arial" w:eastAsia="Arial" w:hAnsi="Arial"/>
                <w:sz w:val="17"/>
                <w:szCs w:val="17"/>
                <w:color w:val="auto"/>
                <w:w w:val="94"/>
              </w:rPr>
              <w:t>Form of The Toro Company 6.625% Note due May 1, 2037 (incorporated by reference to Exhibit 4.2 to Registrant’s Current Report on</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Form 8-K dated April 23, 2007, Commission File No. 1-8649).</w:t>
            </w:r>
          </w:p>
        </w:tc>
      </w:tr>
      <w:tr>
        <w:trPr>
          <w:trHeight w:val="409"/>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10.1</w:t>
            </w:r>
          </w:p>
        </w:tc>
        <w:tc>
          <w:tcPr>
            <w:tcW w:w="9860" w:type="dxa"/>
            <w:vAlign w:val="bottom"/>
          </w:tcPr>
          <w:p>
            <w:pPr>
              <w:ind w:left="340"/>
              <w:spacing w:after="0"/>
              <w:rPr>
                <w:sz w:val="20"/>
                <w:szCs w:val="20"/>
                <w:color w:val="auto"/>
              </w:rPr>
            </w:pPr>
            <w:r>
              <w:rPr>
                <w:rFonts w:ascii="Arial" w:cs="Arial" w:eastAsia="Arial" w:hAnsi="Arial"/>
                <w:sz w:val="17"/>
                <w:szCs w:val="17"/>
                <w:color w:val="auto"/>
              </w:rPr>
              <w:t>The Toro Company 2000 Directors Stock Plan (As Amended March 18, 2009) (filed herewith).</w:t>
            </w:r>
          </w:p>
        </w:tc>
      </w:tr>
      <w:tr>
        <w:trPr>
          <w:trHeight w:val="409"/>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31.1</w:t>
            </w:r>
          </w:p>
        </w:tc>
        <w:tc>
          <w:tcPr>
            <w:tcW w:w="9860" w:type="dxa"/>
            <w:vAlign w:val="bottom"/>
          </w:tcPr>
          <w:p>
            <w:pPr>
              <w:ind w:left="340"/>
              <w:spacing w:after="0"/>
              <w:rPr>
                <w:sz w:val="20"/>
                <w:szCs w:val="20"/>
                <w:color w:val="auto"/>
              </w:rPr>
            </w:pPr>
            <w:r>
              <w:rPr>
                <w:rFonts w:ascii="Arial" w:cs="Arial" w:eastAsia="Arial" w:hAnsi="Arial"/>
                <w:sz w:val="17"/>
                <w:szCs w:val="17"/>
                <w:color w:val="auto"/>
                <w:w w:val="96"/>
              </w:rPr>
              <w:t>Certification of Chief Executive Officer Pursuant to Rule 13a-14(a) (Section 302 of the Sarbanes-Oxley Act of 2002) (filed herewith).</w:t>
            </w:r>
          </w:p>
        </w:tc>
      </w:tr>
      <w:tr>
        <w:trPr>
          <w:trHeight w:val="409"/>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31.2</w:t>
            </w:r>
          </w:p>
        </w:tc>
        <w:tc>
          <w:tcPr>
            <w:tcW w:w="9860" w:type="dxa"/>
            <w:vAlign w:val="bottom"/>
          </w:tcPr>
          <w:p>
            <w:pPr>
              <w:ind w:left="340"/>
              <w:spacing w:after="0"/>
              <w:rPr>
                <w:sz w:val="20"/>
                <w:szCs w:val="20"/>
                <w:color w:val="auto"/>
              </w:rPr>
            </w:pPr>
            <w:r>
              <w:rPr>
                <w:rFonts w:ascii="Arial" w:cs="Arial" w:eastAsia="Arial" w:hAnsi="Arial"/>
                <w:sz w:val="17"/>
                <w:szCs w:val="17"/>
                <w:color w:val="auto"/>
                <w:w w:val="96"/>
              </w:rPr>
              <w:t>Certification of Chief Financial Officer Pursuant to Rule 13a-14(a) (Section 302 of the Sarbanes-Oxley Act of 2002) (filed herewith).</w:t>
            </w:r>
          </w:p>
        </w:tc>
      </w:tr>
      <w:tr>
        <w:trPr>
          <w:trHeight w:val="398"/>
        </w:trPr>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7"/>
                <w:szCs w:val="17"/>
                <w:color w:val="auto"/>
              </w:rPr>
              <w:t>32</w:t>
            </w:r>
          </w:p>
        </w:tc>
        <w:tc>
          <w:tcPr>
            <w:tcW w:w="9860" w:type="dxa"/>
            <w:vAlign w:val="bottom"/>
          </w:tcPr>
          <w:p>
            <w:pPr>
              <w:ind w:left="340"/>
              <w:spacing w:after="0"/>
              <w:rPr>
                <w:sz w:val="20"/>
                <w:szCs w:val="20"/>
                <w:color w:val="auto"/>
              </w:rPr>
            </w:pPr>
            <w:r>
              <w:rPr>
                <w:rFonts w:ascii="Arial" w:cs="Arial" w:eastAsia="Arial" w:hAnsi="Arial"/>
                <w:sz w:val="17"/>
                <w:szCs w:val="17"/>
                <w:color w:val="auto"/>
                <w:w w:val="93"/>
              </w:rPr>
              <w:t>Certification of Chief Executive Officer and Chief Financial Officer Pursuant to 18 U.S.C. Section 1350, as Adopted Pursuant to Section</w:t>
            </w:r>
          </w:p>
        </w:tc>
      </w:tr>
      <w:tr>
        <w:trPr>
          <w:trHeight w:val="216"/>
        </w:trPr>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906 of the Sarbanes-Oxley Act of 2002 (furnished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29" w:name="page30"/>
    <w:bookmarkEnd w:id="29"/>
    <w:p>
      <w:pPr>
        <w:jc w:val="center"/>
        <w:ind w:right="-579"/>
        <w:spacing w:after="0"/>
        <w:rPr>
          <w:sz w:val="20"/>
          <w:szCs w:val="20"/>
          <w:color w:val="auto"/>
        </w:rPr>
      </w:pPr>
      <w:r>
        <w:rPr>
          <w:rFonts w:ascii="Arial" w:cs="Arial" w:eastAsia="Arial" w:hAnsi="Arial"/>
          <w:sz w:val="17"/>
          <w:szCs w:val="17"/>
          <w:b w:val="1"/>
          <w:bCs w:val="1"/>
          <w:color w:val="auto"/>
        </w:rPr>
        <w:t>SIGNATURES</w:t>
      </w:r>
    </w:p>
    <w:p>
      <w:pPr>
        <w:spacing w:after="0" w:line="243" w:lineRule="exact"/>
        <w:rPr>
          <w:sz w:val="20"/>
          <w:szCs w:val="20"/>
          <w:color w:val="auto"/>
        </w:rPr>
      </w:pPr>
    </w:p>
    <w:p>
      <w:pPr>
        <w:ind w:left="180"/>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(Registrant)</w:t>
      </w:r>
    </w:p>
    <w:p>
      <w:pPr>
        <w:spacing w:after="0" w:line="228" w:lineRule="exact"/>
        <w:rPr>
          <w:sz w:val="20"/>
          <w:szCs w:val="20"/>
          <w:color w:val="auto"/>
        </w:rPr>
      </w:pPr>
    </w:p>
    <w:p>
      <w:pPr>
        <w:spacing w:after="0"/>
        <w:tabs>
          <w:tab w:leader="none" w:pos="5680" w:val="left"/>
        </w:tabs>
        <w:rPr>
          <w:sz w:val="20"/>
          <w:szCs w:val="20"/>
          <w:color w:val="auto"/>
        </w:rPr>
      </w:pPr>
      <w:r>
        <w:rPr>
          <w:rFonts w:ascii="Arial" w:cs="Arial" w:eastAsia="Arial" w:hAnsi="Arial"/>
          <w:sz w:val="17"/>
          <w:szCs w:val="17"/>
          <w:color w:val="auto"/>
        </w:rPr>
        <w:t>Date: June 5, 2009</w:t>
      </w:r>
      <w:r>
        <w:rPr>
          <w:sz w:val="20"/>
          <w:szCs w:val="20"/>
          <w:color w:val="auto"/>
        </w:rPr>
        <w:tab/>
      </w:r>
      <w:r>
        <w:rPr>
          <w:rFonts w:ascii="Arial" w:cs="Arial" w:eastAsia="Arial" w:hAnsi="Arial"/>
          <w:sz w:val="15"/>
          <w:szCs w:val="15"/>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13970</wp:posOffset>
            </wp:positionV>
            <wp:extent cx="363093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30930" cy="16510"/>
                    </a:xfrm>
                    <a:prstGeom prst="rect">
                      <a:avLst/>
                    </a:prstGeom>
                    <a:noFill/>
                  </pic:spPr>
                </pic:pic>
              </a:graphicData>
            </a:graphic>
          </wp:anchor>
        </w:drawing>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Stephen P. Wolfe</w:t>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(duly authorized officer and principal financial officer)</w:t>
      </w: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40"/>
          </w:cols>
          <w:pgMar w:left="240" w:top="724" w:right="81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TORO COMPANY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2000 DIRECTORS 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Amended March 18, 2009)</w:t>
      </w:r>
    </w:p>
    <w:p>
      <w:pPr>
        <w:spacing w:after="0" w:line="200" w:lineRule="exact"/>
        <w:rPr>
          <w:sz w:val="20"/>
          <w:szCs w:val="20"/>
          <w:color w:val="auto"/>
        </w:rPr>
      </w:pPr>
    </w:p>
    <w:p>
      <w:pPr>
        <w:spacing w:after="0" w:line="254" w:lineRule="exact"/>
        <w:rPr>
          <w:sz w:val="20"/>
          <w:szCs w:val="20"/>
          <w:color w:val="auto"/>
        </w:rPr>
      </w:pPr>
    </w:p>
    <w:p>
      <w:pPr>
        <w:ind w:right="20" w:firstLine="2"/>
        <w:spacing w:after="0" w:line="306" w:lineRule="auto"/>
        <w:tabs>
          <w:tab w:leader="none" w:pos="639"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Purpose of the Plan. </w:t>
      </w:r>
      <w:r>
        <w:rPr>
          <w:rFonts w:ascii="Arial" w:cs="Arial" w:eastAsia="Arial" w:hAnsi="Arial"/>
          <w:sz w:val="15"/>
          <w:szCs w:val="15"/>
          <w:color w:val="auto"/>
        </w:rPr>
        <w:t>The purpose of The Toro Company 2000 Directors Stock Plan (“Plan”) is to enable The Toro Company (the “Company”) to attract and</w:t>
      </w:r>
      <w:r>
        <w:rPr>
          <w:rFonts w:ascii="Arial" w:cs="Arial" w:eastAsia="Arial" w:hAnsi="Arial"/>
          <w:sz w:val="15"/>
          <w:szCs w:val="15"/>
          <w:b w:val="1"/>
          <w:bCs w:val="1"/>
          <w:color w:val="auto"/>
        </w:rPr>
        <w:t xml:space="preserve"> </w:t>
      </w:r>
      <w:r>
        <w:rPr>
          <w:rFonts w:ascii="Arial" w:cs="Arial" w:eastAsia="Arial" w:hAnsi="Arial"/>
          <w:sz w:val="15"/>
          <w:szCs w:val="15"/>
          <w:color w:val="auto"/>
        </w:rPr>
        <w:t>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169" w:lineRule="exact"/>
        <w:rPr>
          <w:rFonts w:ascii="Arial" w:cs="Arial" w:eastAsia="Arial" w:hAnsi="Arial"/>
          <w:sz w:val="15"/>
          <w:szCs w:val="15"/>
          <w:color w:val="auto"/>
        </w:rPr>
      </w:pPr>
    </w:p>
    <w:p>
      <w:pPr>
        <w:ind w:right="360" w:firstLine="2"/>
        <w:spacing w:after="0" w:line="281" w:lineRule="auto"/>
        <w:tabs>
          <w:tab w:leader="none" w:pos="639"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All members of the Company’s Board of Directors who are not current employees of the Company or any of its subsidiaries (“Nonemployee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are eligible to participate in the Plan.</w:t>
      </w:r>
    </w:p>
    <w:p>
      <w:pPr>
        <w:spacing w:after="0" w:line="181" w:lineRule="exact"/>
        <w:rPr>
          <w:rFonts w:ascii="Arial" w:cs="Arial" w:eastAsia="Arial" w:hAnsi="Arial"/>
          <w:sz w:val="17"/>
          <w:szCs w:val="17"/>
          <w:color w:val="auto"/>
        </w:rPr>
      </w:pPr>
    </w:p>
    <w:p>
      <w:pPr>
        <w:ind w:left="640" w:hanging="63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Plan Awards.</w:t>
      </w:r>
    </w:p>
    <w:p>
      <w:pPr>
        <w:spacing w:after="0" w:line="239" w:lineRule="exact"/>
        <w:rPr>
          <w:sz w:val="20"/>
          <w:szCs w:val="20"/>
          <w:color w:val="auto"/>
        </w:rPr>
      </w:pPr>
    </w:p>
    <w:p>
      <w:pPr>
        <w:ind w:right="160" w:firstLine="2"/>
        <w:spacing w:after="0" w:line="278" w:lineRule="auto"/>
        <w:tabs>
          <w:tab w:leader="none" w:pos="63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Directors Shares. </w:t>
      </w:r>
      <w:r>
        <w:rPr>
          <w:rFonts w:ascii="Arial" w:cs="Arial" w:eastAsia="Arial" w:hAnsi="Arial"/>
          <w:sz w:val="16"/>
          <w:szCs w:val="16"/>
          <w:color w:val="auto"/>
        </w:rPr>
        <w:t>To carry out the purposes of the Plan, the Company shall, on the first business day of each fiscal year, issue to each person who is then a</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 shares of the Company’s Common Stock, $1.00 par value (the “Common Stock”), in an amount equal to $20,000 divided by the fair market value of one share of Common Stock rounded down to the greatest number of whole shares (“Directors Shares”), subject to adjustment as provided in Section 5 hereof. Fair market value for this purpose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188" w:lineRule="exact"/>
        <w:rPr>
          <w:rFonts w:ascii="Arial" w:cs="Arial" w:eastAsia="Arial" w:hAnsi="Arial"/>
          <w:sz w:val="16"/>
          <w:szCs w:val="16"/>
          <w:color w:val="auto"/>
        </w:rPr>
      </w:pPr>
    </w:p>
    <w:p>
      <w:pPr>
        <w:ind w:left="640" w:hanging="638"/>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Directors Options.</w:t>
      </w:r>
    </w:p>
    <w:p>
      <w:pPr>
        <w:spacing w:after="0" w:line="243" w:lineRule="exact"/>
        <w:rPr>
          <w:sz w:val="20"/>
          <w:szCs w:val="20"/>
          <w:color w:val="auto"/>
        </w:rPr>
      </w:pPr>
    </w:p>
    <w:p>
      <w:pPr>
        <w:ind w:right="80" w:firstLine="2"/>
        <w:spacing w:after="0" w:line="257" w:lineRule="auto"/>
        <w:tabs>
          <w:tab w:leader="none" w:pos="601"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Annual Grant. </w:t>
      </w:r>
      <w:r>
        <w:rPr>
          <w:rFonts w:ascii="Arial" w:cs="Arial" w:eastAsia="Arial" w:hAnsi="Arial"/>
          <w:sz w:val="17"/>
          <w:szCs w:val="17"/>
          <w:color w:val="auto"/>
        </w:rPr>
        <w:t>Subject to the terms and conditions of this Section 3.b., on the first business day of each fiscal year, the Company shall grant to each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 is then a Nonemployee Director</w:t>
      </w:r>
      <w:r>
        <w:rPr>
          <w:rFonts w:ascii="Arial" w:cs="Arial" w:eastAsia="Arial" w:hAnsi="Arial"/>
          <w:sz w:val="17"/>
          <w:szCs w:val="17"/>
          <w:b w:val="1"/>
          <w:bCs w:val="1"/>
          <w:color w:val="auto"/>
        </w:rPr>
        <w:t>,</w:t>
      </w:r>
      <w:r>
        <w:rPr>
          <w:rFonts w:ascii="Arial" w:cs="Arial" w:eastAsia="Arial" w:hAnsi="Arial"/>
          <w:sz w:val="17"/>
          <w:szCs w:val="17"/>
          <w:color w:val="auto"/>
        </w:rPr>
        <w:t xml:space="preserve"> a nonqualified option to purchase shares of the Common Stock (a “Directors Option”). Each such option shall have a grant date fair value of $40,000, determined using a standard Black-Scholes, binomial or monte carlo valuation formula, based on assumptions consistent with those used to value option grants disclosed under Schedule 14A under the Securities Exchange Act of 1934, or successor requirements, for the business day prior to the date of grant.</w:t>
      </w:r>
    </w:p>
    <w:p>
      <w:pPr>
        <w:spacing w:after="0" w:line="207" w:lineRule="exact"/>
        <w:rPr>
          <w:rFonts w:ascii="Arial" w:cs="Arial" w:eastAsia="Arial" w:hAnsi="Arial"/>
          <w:sz w:val="17"/>
          <w:szCs w:val="17"/>
          <w:color w:val="auto"/>
        </w:rPr>
      </w:pPr>
    </w:p>
    <w:p>
      <w:pPr>
        <w:ind w:left="660" w:hanging="65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Vesting, Transferability and Exercisability.</w:t>
      </w:r>
    </w:p>
    <w:p>
      <w:pPr>
        <w:spacing w:after="0" w:line="239" w:lineRule="exact"/>
        <w:rPr>
          <w:sz w:val="20"/>
          <w:szCs w:val="20"/>
          <w:color w:val="auto"/>
        </w:rPr>
      </w:pPr>
    </w:p>
    <w:p>
      <w:pPr>
        <w:ind w:right="160" w:firstLine="2"/>
        <w:spacing w:after="0" w:line="345" w:lineRule="auto"/>
        <w:tabs>
          <w:tab w:leader="none" w:pos="701"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Vesting. </w:t>
      </w:r>
      <w:r>
        <w:rPr>
          <w:rFonts w:ascii="Arial" w:cs="Arial" w:eastAsia="Arial" w:hAnsi="Arial"/>
          <w:sz w:val="15"/>
          <w:szCs w:val="15"/>
          <w:color w:val="auto"/>
        </w:rPr>
        <w:t>Except as provided in Sections 3.b.ii.(c)(1) and (2) and Section 6, Directors Options shall vest and become exercisable in three equal installments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each of the first, second and third anniversaries following the date of grant, and shall remain exercisable for a term of ten years after the date of grant.</w:t>
      </w:r>
    </w:p>
    <w:p>
      <w:pPr>
        <w:spacing w:after="0" w:line="143" w:lineRule="exact"/>
        <w:rPr>
          <w:rFonts w:ascii="Arial" w:cs="Arial" w:eastAsia="Arial" w:hAnsi="Arial"/>
          <w:sz w:val="15"/>
          <w:szCs w:val="15"/>
          <w:color w:val="auto"/>
        </w:rPr>
      </w:pPr>
    </w:p>
    <w:p>
      <w:pPr>
        <w:ind w:right="100" w:firstLine="2"/>
        <w:spacing w:after="0" w:line="287" w:lineRule="auto"/>
        <w:tabs>
          <w:tab w:leader="none" w:pos="71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Transfer. </w:t>
      </w:r>
      <w:r>
        <w:rPr>
          <w:rFonts w:ascii="Arial" w:cs="Arial" w:eastAsia="Arial" w:hAnsi="Arial"/>
          <w:sz w:val="16"/>
          <w:szCs w:val="16"/>
          <w:color w:val="auto"/>
        </w:rPr>
        <w:t>No Directors Option shall be assigned or transferred, except by will or the laws of descent and distribution. An option so transferred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2" w:name="page33"/>
    <w:bookmarkEnd w:id="32"/>
    <w:p>
      <w:pPr>
        <w:jc w:val="both"/>
        <w:ind w:right="120" w:firstLine="2"/>
        <w:spacing w:after="0" w:line="263" w:lineRule="auto"/>
        <w:tabs>
          <w:tab w:leader="none" w:pos="701"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Exercise. </w:t>
      </w:r>
      <w:r>
        <w:rPr>
          <w:rFonts w:ascii="Arial" w:cs="Arial" w:eastAsia="Arial" w:hAnsi="Arial"/>
          <w:sz w:val="17"/>
          <w:szCs w:val="17"/>
          <w:color w:val="auto"/>
        </w:rPr>
        <w:t>During the lifetime of a Nonemployee Director, Directors Options held by such individual may be exercised only by the Nonemployee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only while serving as a member of the Board of Directors of the Company and only if the Nonemployee Director has been continuously so serving since the date such options were granted, except as follows:</w:t>
      </w:r>
    </w:p>
    <w:p>
      <w:pPr>
        <w:spacing w:after="0" w:line="202" w:lineRule="exact"/>
        <w:rPr>
          <w:sz w:val="20"/>
          <w:szCs w:val="20"/>
          <w:color w:val="auto"/>
        </w:rPr>
      </w:pPr>
    </w:p>
    <w:p>
      <w:pPr>
        <w:ind w:right="60" w:firstLine="2"/>
        <w:spacing w:after="0" w:line="287" w:lineRule="auto"/>
        <w:tabs>
          <w:tab w:leader="none" w:pos="71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Disability or Death. </w:t>
      </w:r>
      <w:r>
        <w:rPr>
          <w:rFonts w:ascii="Arial" w:cs="Arial" w:eastAsia="Arial" w:hAnsi="Arial"/>
          <w:sz w:val="16"/>
          <w:szCs w:val="16"/>
          <w:color w:val="auto"/>
        </w:rPr>
        <w:t>In the event of disability or death of a Nonemployee Director, all outstanding unvested options shall vest effective as of the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death or termination of service by reason of disability, and all such vested options may be exercised by such individual or his or her legal representatives not later than the earlier of the date the option expires or one year after the date such service as a Nonemployee Director ceases by reason of disability or death.</w:t>
      </w:r>
    </w:p>
    <w:p>
      <w:pPr>
        <w:spacing w:after="0" w:line="184" w:lineRule="exact"/>
        <w:rPr>
          <w:rFonts w:ascii="Arial" w:cs="Arial" w:eastAsia="Arial" w:hAnsi="Arial"/>
          <w:sz w:val="16"/>
          <w:szCs w:val="16"/>
          <w:color w:val="auto"/>
        </w:rPr>
      </w:pPr>
    </w:p>
    <w:p>
      <w:pPr>
        <w:ind w:firstLine="2"/>
        <w:spacing w:after="0" w:line="288" w:lineRule="auto"/>
        <w:tabs>
          <w:tab w:leader="none" w:pos="71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Termination. </w:t>
      </w:r>
      <w:r>
        <w:rPr>
          <w:rFonts w:ascii="Arial" w:cs="Arial" w:eastAsia="Arial" w:hAnsi="Arial"/>
          <w:sz w:val="15"/>
          <w:szCs w:val="15"/>
          <w:color w:val="auto"/>
        </w:rPr>
        <w:t>If a Nonemployee Director has served as a member of the Board of Directors for ten full fiscal years or longer and terminates service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(A) outstanding unvested options shall remain outstanding and continue to vest in accordance with their terms, and (B) the Nonemployee Director may exercise all such vested outstanding options for up to four years after the date of termination, but not later than the date an option expires. If a Nonemployee Director has served as a member of the Board of Directors for less than ten years and terminates service on the Board, (C) all unvested options shall expire and be canceled and</w:t>
      </w:r>
    </w:p>
    <w:p>
      <w:pPr>
        <w:spacing w:after="0" w:line="2" w:lineRule="exact"/>
        <w:rPr>
          <w:rFonts w:ascii="Arial" w:cs="Arial" w:eastAsia="Arial" w:hAnsi="Arial"/>
          <w:sz w:val="15"/>
          <w:szCs w:val="15"/>
          <w:color w:val="auto"/>
        </w:rPr>
      </w:pPr>
    </w:p>
    <w:p>
      <w:pPr>
        <w:ind w:right="200"/>
        <w:spacing w:after="0" w:line="262" w:lineRule="auto"/>
        <w:rPr>
          <w:rFonts w:ascii="Arial" w:cs="Arial" w:eastAsia="Arial" w:hAnsi="Arial"/>
          <w:sz w:val="15"/>
          <w:szCs w:val="15"/>
          <w:color w:val="auto"/>
        </w:rPr>
      </w:pPr>
      <w:r>
        <w:rPr>
          <w:rFonts w:ascii="Arial" w:cs="Arial" w:eastAsia="Arial" w:hAnsi="Arial"/>
          <w:sz w:val="17"/>
          <w:szCs w:val="17"/>
          <w:color w:val="auto"/>
        </w:rPr>
        <w:t>(D) the Nonemployee Director may exercise any vested outstanding options for up to three months after the date of termination, but not later than the date an option expires.</w:t>
      </w:r>
    </w:p>
    <w:p>
      <w:pPr>
        <w:spacing w:after="0" w:line="202" w:lineRule="exact"/>
        <w:rPr>
          <w:sz w:val="20"/>
          <w:szCs w:val="20"/>
          <w:color w:val="auto"/>
        </w:rPr>
      </w:pPr>
    </w:p>
    <w:p>
      <w:pPr>
        <w:ind w:firstLine="2"/>
        <w:spacing w:after="0" w:line="272" w:lineRule="auto"/>
        <w:tabs>
          <w:tab w:leader="none" w:pos="71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Methods of Exercise and Payment of Exercise Price. </w:t>
      </w:r>
      <w:r>
        <w:rPr>
          <w:rFonts w:ascii="Arial" w:cs="Arial" w:eastAsia="Arial" w:hAnsi="Arial"/>
          <w:sz w:val="16"/>
          <w:szCs w:val="16"/>
          <w:color w:val="auto"/>
        </w:rPr>
        <w:t>Subject to the terms and conditions of the Plan and the terms and conditions of the option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vested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(1) in cash, (2)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(3) in a combination of cash and Common Stock or (4) by delivery of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No shares of Common Stock shall be issued until full payment has been made.</w:t>
      </w:r>
    </w:p>
    <w:p>
      <w:pPr>
        <w:spacing w:after="0" w:line="235" w:lineRule="exact"/>
        <w:rPr>
          <w:sz w:val="20"/>
          <w:szCs w:val="20"/>
          <w:color w:val="auto"/>
        </w:rPr>
      </w:pPr>
    </w:p>
    <w:p>
      <w:pPr>
        <w:ind w:right="40" w:firstLine="2"/>
        <w:spacing w:after="0" w:line="256" w:lineRule="auto"/>
        <w:tabs>
          <w:tab w:leader="none" w:pos="63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Share Proration. </w:t>
      </w:r>
      <w:r>
        <w:rPr>
          <w:rFonts w:ascii="Arial" w:cs="Arial" w:eastAsia="Arial" w:hAnsi="Arial"/>
          <w:sz w:val="17"/>
          <w:szCs w:val="17"/>
          <w:color w:val="auto"/>
        </w:rPr>
        <w:t>If, on any date on which Directors Shares are to be issued pursuant to Section 3.a. or Directors Options are to be granted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3.b., the number of shares of Common Stock is insufficient for the issuance of the entire number of shares to be issued or for the grant of the entire number of options, as calculated in accordance with Section 3.a. or Section 3.b., respectively, then the number of shares to be issued and options to be granted to each Nonemployee Director entitled to receive Directors Shares or Directors Options on such date shall be such Nonemployee Director’s proportionate share of the available number of shares and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203" w:lineRule="exact"/>
        <w:rPr>
          <w:sz w:val="20"/>
          <w:szCs w:val="20"/>
          <w:color w:val="auto"/>
        </w:rPr>
      </w:pPr>
    </w:p>
    <w:p>
      <w:pPr>
        <w:ind w:right="20" w:firstLine="2"/>
        <w:spacing w:after="0" w:line="301" w:lineRule="auto"/>
        <w:tabs>
          <w:tab w:leader="none" w:pos="639"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Shares in Lieu of Fees. </w:t>
      </w:r>
      <w:r>
        <w:rPr>
          <w:rFonts w:ascii="Arial" w:cs="Arial" w:eastAsia="Arial" w:hAnsi="Arial"/>
          <w:sz w:val="15"/>
          <w:szCs w:val="15"/>
          <w:color w:val="auto"/>
        </w:rPr>
        <w:t>A Nonemployee Director shall have the right to elect to receive shares of Common Stock in lieu of annual retainer and meeting fees</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payable in cash. The election to receive Common Stock shall be made prior to the date fees are otherwise scheduled to be paid but not later than May 31 of the calendar year for which the fees are to be paid. Fees that are earned after the date a director makes an election shall be reserved through the rest of the calendar year and shares shall be issued in December of that year. The number of shares to be issued shall be determined by dividing the dollar amount of reserved fees by the 4 p.m. Eastern Time closing price of one share of Common Stock as reported by the New York Stock Exchange for the date that the shares are issued.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588" w:right="259" w:bottom="1440" w:gutter="0" w:footer="0" w:header="0"/>
        </w:sectPr>
      </w:pPr>
    </w:p>
    <w:bookmarkStart w:id="33" w:name="page34"/>
    <w:bookmarkEnd w:id="33"/>
    <w:p>
      <w:pPr>
        <w:ind w:right="100" w:firstLine="2"/>
        <w:spacing w:after="0" w:line="270" w:lineRule="auto"/>
        <w:tabs>
          <w:tab w:leader="none" w:pos="639"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Stock Subject to Plan. </w:t>
      </w:r>
      <w:r>
        <w:rPr>
          <w:rFonts w:ascii="Arial" w:cs="Arial" w:eastAsia="Arial" w:hAnsi="Arial"/>
          <w:sz w:val="16"/>
          <w:szCs w:val="16"/>
          <w:color w:val="auto"/>
        </w:rPr>
        <w:t>Subject to adjustment as provided in this paragraph and subject to increase by amendment of the Plan, the total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reserved and available for issuance in connection with the Plan shall be 520,000 shares. If any Directors Option granted hereunder expires unexercised, terminates, is exchanged for other options without the issuance of shares of Common Stock or is exercised by delivery or constructive delivery of shares of Common Stock already owned by the option holder, the shares of Common Stock reserved for issuance pursuant to such option shall, to the extent of any such termination or to the extent the shares covered by an option are not issued or used, again be available for option grants under the Plan, unless prohibited by applicable law or regulation.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adjustment in (a) the maximum number and kind of securities subject to the Plan as set forth in this paragraph; (b) the maximum number and kind of securities that may be made subject to Directors Options and the determination of the number or kind of Directors Shares; (c) the number and kind of securities subject to any outstanding Directors Option; and (d) any other adjustments that the Committee determines to be equitable.</w:t>
      </w:r>
    </w:p>
    <w:p>
      <w:pPr>
        <w:spacing w:after="0" w:line="197" w:lineRule="exact"/>
        <w:rPr>
          <w:rFonts w:ascii="Arial" w:cs="Arial" w:eastAsia="Arial" w:hAnsi="Arial"/>
          <w:sz w:val="16"/>
          <w:szCs w:val="16"/>
          <w:color w:val="auto"/>
        </w:rPr>
      </w:pPr>
    </w:p>
    <w:p>
      <w:pPr>
        <w:jc w:val="both"/>
        <w:ind w:right="120" w:firstLine="2"/>
        <w:spacing w:after="0" w:line="266" w:lineRule="auto"/>
        <w:tabs>
          <w:tab w:leader="none" w:pos="639"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Change of Control. </w:t>
      </w:r>
      <w:r>
        <w:rPr>
          <w:rFonts w:ascii="Arial" w:cs="Arial" w:eastAsia="Arial" w:hAnsi="Arial"/>
          <w:sz w:val="17"/>
          <w:szCs w:val="17"/>
          <w:color w:val="auto"/>
        </w:rPr>
        <w:t>In the event of a Change of Control of the Company as hereinafter defined, all Directors Options shall fully vest, and be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their entirety immediately, and notwithstanding any other provisions of the Plan, shall continue to be exercisable for three years following the Change of Control, but not later than ten years after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Change of Control means:</w:t>
      </w:r>
    </w:p>
    <w:p>
      <w:pPr>
        <w:spacing w:after="0" w:line="239" w:lineRule="exact"/>
        <w:rPr>
          <w:sz w:val="20"/>
          <w:szCs w:val="20"/>
          <w:color w:val="auto"/>
        </w:rPr>
      </w:pPr>
    </w:p>
    <w:p>
      <w:pPr>
        <w:ind w:firstLine="2"/>
        <w:spacing w:after="0" w:line="273" w:lineRule="auto"/>
        <w:tabs>
          <w:tab w:leader="none" w:pos="62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197" w:lineRule="exact"/>
        <w:rPr>
          <w:rFonts w:ascii="Arial" w:cs="Arial" w:eastAsia="Arial" w:hAnsi="Arial"/>
          <w:sz w:val="16"/>
          <w:szCs w:val="16"/>
          <w:color w:val="auto"/>
        </w:rPr>
      </w:pPr>
    </w:p>
    <w:p>
      <w:pPr>
        <w:ind w:right="40" w:firstLine="2"/>
        <w:spacing w:after="0" w:line="256" w:lineRule="auto"/>
        <w:tabs>
          <w:tab w:leader="none" w:pos="639"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 w:name="page35"/>
    <w:bookmarkEnd w:id="34"/>
    <w:p>
      <w:pPr>
        <w:ind w:left="-2" w:right="80" w:firstLine="2"/>
        <w:spacing w:after="0" w:line="270" w:lineRule="auto"/>
        <w:tabs>
          <w:tab w:leader="none" w:pos="627"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7" w:lineRule="exact"/>
        <w:rPr>
          <w:rFonts w:ascii="Arial" w:cs="Arial" w:eastAsia="Arial" w:hAnsi="Arial"/>
          <w:sz w:val="16"/>
          <w:szCs w:val="16"/>
          <w:color w:val="auto"/>
        </w:rPr>
      </w:pPr>
    </w:p>
    <w:p>
      <w:pPr>
        <w:ind w:left="638" w:hanging="638"/>
        <w:spacing w:after="0"/>
        <w:tabs>
          <w:tab w:leader="none" w:pos="63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Approval by the stockholders of the Company of a complete liquidation or dissolution of the Company.</w:t>
      </w:r>
    </w:p>
    <w:p>
      <w:pPr>
        <w:spacing w:after="0" w:line="235" w:lineRule="exact"/>
        <w:rPr>
          <w:sz w:val="20"/>
          <w:szCs w:val="20"/>
          <w:color w:val="auto"/>
        </w:rPr>
      </w:pPr>
    </w:p>
    <w:p>
      <w:pPr>
        <w:ind w:left="-2" w:firstLine="2"/>
        <w:spacing w:after="0" w:line="261" w:lineRule="auto"/>
        <w:tabs>
          <w:tab w:leader="none" w:pos="637"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Administration of the Plan. </w:t>
      </w:r>
      <w:r>
        <w:rPr>
          <w:rFonts w:ascii="Arial" w:cs="Arial" w:eastAsia="Arial" w:hAnsi="Arial"/>
          <w:sz w:val="17"/>
          <w:szCs w:val="17"/>
          <w:color w:val="auto"/>
        </w:rPr>
        <w:t>The Plan shall be administered by a committee composed of those members of the Board of Directors of the Company who are</w:t>
      </w:r>
      <w:r>
        <w:rPr>
          <w:rFonts w:ascii="Arial" w:cs="Arial" w:eastAsia="Arial" w:hAnsi="Arial"/>
          <w:sz w:val="17"/>
          <w:szCs w:val="17"/>
          <w:b w:val="1"/>
          <w:bCs w:val="1"/>
          <w:color w:val="auto"/>
        </w:rPr>
        <w:t xml:space="preserve"> </w:t>
      </w:r>
      <w:r>
        <w:rPr>
          <w:rFonts w:ascii="Arial" w:cs="Arial" w:eastAsia="Arial" w:hAnsi="Arial"/>
          <w:sz w:val="17"/>
          <w:szCs w:val="17"/>
          <w:color w:val="auto"/>
        </w:rPr>
        <w:t>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Section 3.b. or Section 5.</w:t>
      </w:r>
    </w:p>
    <w:p>
      <w:pPr>
        <w:spacing w:after="0" w:line="198" w:lineRule="exact"/>
        <w:rPr>
          <w:rFonts w:ascii="Arial" w:cs="Arial" w:eastAsia="Arial" w:hAnsi="Arial"/>
          <w:sz w:val="17"/>
          <w:szCs w:val="17"/>
          <w:color w:val="auto"/>
        </w:rPr>
      </w:pPr>
    </w:p>
    <w:p>
      <w:pPr>
        <w:ind w:left="-2" w:right="60" w:firstLine="2"/>
        <w:spacing w:after="0" w:line="301" w:lineRule="auto"/>
        <w:tabs>
          <w:tab w:leader="none" w:pos="637"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Tax Withholding. </w:t>
      </w:r>
      <w:r>
        <w:rPr>
          <w:rFonts w:ascii="Arial" w:cs="Arial" w:eastAsia="Arial" w:hAnsi="Arial"/>
          <w:sz w:val="15"/>
          <w:szCs w:val="15"/>
          <w:color w:val="auto"/>
        </w:rPr>
        <w:t>The Company shall have the right to deduct from any settlement made under the Plan, including the exercise of an option or the sale of</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72" w:lineRule="exact"/>
        <w:rPr>
          <w:rFonts w:ascii="Arial" w:cs="Arial" w:eastAsia="Arial" w:hAnsi="Arial"/>
          <w:sz w:val="15"/>
          <w:szCs w:val="15"/>
          <w:color w:val="auto"/>
        </w:rPr>
      </w:pPr>
    </w:p>
    <w:p>
      <w:pPr>
        <w:ind w:left="-2" w:right="80" w:firstLine="2"/>
        <w:spacing w:after="0" w:line="281" w:lineRule="auto"/>
        <w:tabs>
          <w:tab w:leader="none" w:pos="637"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Effective Date and Term of Plan. </w:t>
      </w:r>
      <w:r>
        <w:rPr>
          <w:rFonts w:ascii="Arial" w:cs="Arial" w:eastAsia="Arial" w:hAnsi="Arial"/>
          <w:sz w:val="17"/>
          <w:szCs w:val="17"/>
          <w:color w:val="auto"/>
        </w:rPr>
        <w:t>The Plan first became effective March 14, 2001 and shall end March 12, 2011, unless terminated earlier by action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w:t>
      </w:r>
    </w:p>
    <w:p>
      <w:pPr>
        <w:spacing w:after="0" w:line="181" w:lineRule="exact"/>
        <w:rPr>
          <w:rFonts w:ascii="Arial" w:cs="Arial" w:eastAsia="Arial" w:hAnsi="Arial"/>
          <w:sz w:val="17"/>
          <w:szCs w:val="17"/>
          <w:color w:val="auto"/>
        </w:rPr>
      </w:pPr>
    </w:p>
    <w:p>
      <w:pPr>
        <w:ind w:left="-2" w:right="80" w:firstLine="2"/>
        <w:spacing w:after="0" w:line="317" w:lineRule="auto"/>
        <w:tabs>
          <w:tab w:leader="none" w:pos="722"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Amendment. </w:t>
      </w:r>
      <w:r>
        <w:rPr>
          <w:rFonts w:ascii="Arial" w:cs="Arial" w:eastAsia="Arial" w:hAnsi="Arial"/>
          <w:sz w:val="15"/>
          <w:szCs w:val="15"/>
          <w:color w:val="auto"/>
        </w:rPr>
        <w:t>The Board may amend, suspend or terminate the Plan at any time, with or without advance notice to Plan participants. The effective date of</w:t>
      </w:r>
      <w:r>
        <w:rPr>
          <w:rFonts w:ascii="Arial" w:cs="Arial" w:eastAsia="Arial" w:hAnsi="Arial"/>
          <w:sz w:val="15"/>
          <w:szCs w:val="15"/>
          <w:b w:val="1"/>
          <w:bCs w:val="1"/>
          <w:color w:val="auto"/>
        </w:rPr>
        <w:t xml:space="preserve"> </w:t>
      </w:r>
      <w:r>
        <w:rPr>
          <w:rFonts w:ascii="Arial" w:cs="Arial" w:eastAsia="Arial" w:hAnsi="Arial"/>
          <w:sz w:val="15"/>
          <w:szCs w:val="15"/>
          <w:color w:val="auto"/>
        </w:rPr>
        <w:t>any amendment to the Plan shall be the date of its adoption by the Board of Directors, subject to stockholder approval, if required. No amendment of the Plan shall adversely affect in a material manner any right of any option holder with respect to any option theretofore granted without such option holder’s written consent.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7"/>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868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78"/>
          </w:cols>
          <w:pgMar w:left="242" w:top="588" w:right="279" w:bottom="1440" w:gutter="0" w:footer="0" w:header="0"/>
        </w:sectPr>
      </w:pPr>
    </w:p>
    <w:bookmarkStart w:id="35" w:name="page36"/>
    <w:bookmarkEnd w:id="35"/>
    <w:p>
      <w:pPr>
        <w:ind w:left="-2" w:firstLine="2"/>
        <w:spacing w:after="0" w:line="290" w:lineRule="auto"/>
        <w:tabs>
          <w:tab w:leader="none" w:pos="716"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Plan, Directors Shares, Directors Options and agreements entered into under the Plan shall be construed, administered and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ectPr>
          <w:pgSz w:w="11900" w:h="16838" w:orient="portrait"/>
          <w:cols w:equalWidth="0" w:num="1">
            <w:col w:w="11298"/>
          </w:cols>
          <w:pgMar w:left="242" w:top="584"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Michael J. Hoffman, certify that:</w:t>
      </w:r>
    </w:p>
    <w:p>
      <w:pPr>
        <w:spacing w:after="0" w:line="239" w:lineRule="exact"/>
        <w:rPr>
          <w:sz w:val="20"/>
          <w:szCs w:val="20"/>
          <w:color w:val="auto"/>
        </w:rPr>
      </w:pPr>
    </w:p>
    <w:p>
      <w:pPr>
        <w:ind w:left="180" w:hanging="178"/>
        <w:spacing w:after="0"/>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56" w:lineRule="auto"/>
        <w:tabs>
          <w:tab w:leader="none" w:pos="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right="240" w:firstLine="2"/>
        <w:spacing w:after="0" w:line="258" w:lineRule="auto"/>
        <w:tabs>
          <w:tab w:leader="none" w:pos="17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20" w:hanging="221"/>
        <w:spacing w:after="0" w:line="251" w:lineRule="auto"/>
        <w:tabs>
          <w:tab w:leader="none" w:pos="62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June 5, 2009</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Michael J. Hoffman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35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Stephen P. Wolfe, certify that:</w:t>
      </w:r>
    </w:p>
    <w:p>
      <w:pPr>
        <w:spacing w:after="0" w:line="239" w:lineRule="exact"/>
        <w:rPr>
          <w:sz w:val="20"/>
          <w:szCs w:val="20"/>
          <w:color w:val="auto"/>
        </w:rPr>
      </w:pPr>
    </w:p>
    <w:p>
      <w:pPr>
        <w:ind w:left="180" w:hanging="178"/>
        <w:spacing w:after="0"/>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2"/>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56" w:lineRule="auto"/>
        <w:tabs>
          <w:tab w:leader="none" w:pos="62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right="240" w:firstLine="2"/>
        <w:spacing w:after="0" w:line="258" w:lineRule="auto"/>
        <w:tabs>
          <w:tab w:leader="none" w:pos="17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520" w:hanging="224"/>
        <w:spacing w:after="0" w:line="251" w:lineRule="auto"/>
        <w:tabs>
          <w:tab w:leader="none" w:pos="5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3"/>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June 5, 2009</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Stephen P. Wolfe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35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May 1, 2009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05" w:lineRule="exact"/>
        <w:rPr>
          <w:sz w:val="20"/>
          <w:szCs w:val="20"/>
          <w:color w:val="auto"/>
        </w:rPr>
      </w:pPr>
    </w:p>
    <w:p>
      <w:pPr>
        <w:ind w:left="920" w:hanging="281"/>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9" w:lineRule="exact"/>
        <w:rPr>
          <w:rFonts w:ascii="Arial" w:cs="Arial" w:eastAsia="Arial" w:hAnsi="Arial"/>
          <w:sz w:val="17"/>
          <w:szCs w:val="17"/>
          <w:color w:val="auto"/>
        </w:rPr>
      </w:pPr>
    </w:p>
    <w:p>
      <w:pPr>
        <w:ind w:left="920" w:hanging="281"/>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45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June 5, 2009</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52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June 5, 2009</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308"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Roman"/>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3"/>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4"/>
    </w:lvl>
  </w:abstractNum>
  <w:abstractNum w:abstractNumId="12">
    <w:nsid w:val="519B500D"/>
    <w:multiLevelType w:val="hybridMultilevel"/>
    <w:lvl w:ilvl="0">
      <w:lvlJc w:val="left"/>
      <w:lvlText w:val="%1."/>
      <w:numFmt w:val="lowerLetter"/>
      <w:start w:val="3"/>
    </w:lvl>
  </w:abstractNum>
  <w:abstractNum w:abstractNumId="13">
    <w:nsid w:val="431BD7B7"/>
    <w:multiLevelType w:val="hybridMultilevel"/>
    <w:lvl w:ilvl="0">
      <w:lvlJc w:val="left"/>
      <w:lvlText w:val="%1."/>
      <w:numFmt w:val="decimal"/>
      <w:start w:val="4"/>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3"/>
    </w:lvl>
  </w:abstractNum>
  <w:abstractNum w:abstractNumId="17">
    <w:nsid w:val="62BBD95A"/>
    <w:multiLevelType w:val="hybridMultilevel"/>
    <w:lvl w:ilvl="0">
      <w:lvlJc w:val="left"/>
      <w:lvlText w:val="%1."/>
      <w:numFmt w:val="decimal"/>
      <w:start w:val="7"/>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2019-12-10T05:44:50Z</dcterms:created>
  <dcterms:modified xsi:type="dcterms:W3CDTF">2019-12-10T05:44:50Z</dcterms:modified>
</cp:coreProperties>
</file>