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560" w:firstLine="8"/>
        <w:spacing w:after="0" w:line="466" w:lineRule="auto"/>
        <w:tabs>
          <w:tab w:leader="none" w:pos="22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jc w:val="both"/>
        <w:spacing w:after="0" w:line="254"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97155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62865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1, 2022, The Toro Company announced its earnings for the three and nine month periods ended July 29, 2022.</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76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98"/>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September 1, 2022 (furnished herewith).</w:t>
            </w:r>
          </w:p>
        </w:tc>
      </w:tr>
      <w:tr>
        <w:trPr>
          <w:trHeight w:val="20"/>
        </w:trPr>
        <w:tc>
          <w:tcPr>
            <w:tcW w:w="2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59"/>
        </w:trPr>
        <w:tc>
          <w:tcPr>
            <w:tcW w:w="2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September 1, 2022</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Record Third-Quarter Fiscal 2022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Highlighted by Strong Professional Segment Performance and Increased Profitability</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third-quarter net sales up 18.8% year over year to $1.16 billion</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third-quarter reported diluted EPS of $1.19; *adjusted diluted EPS of $1.19</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Operational execution drives gross margin and operating earnings margin expansion</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Raises full-year *adjusted diluted EPS guidance</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September 1, 2022—</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third-quarter ended July 29, 2022.</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delivered record results while advancing our strategic initiatives during the third quarter,” said Richard M. Olson, chairman and chief executive officer. “Our ability to achieve this performance despite the broader macro uncertainty is a testament to the strength of our portfolio, disciplined execution, and collaborative approach. Our team continued to demonstrate resiliency and agility in this unique operating environment, while making progress in restoring historic margin levels and maintaining a sharp focus on serving our customers.</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“Professional segment demand remained robust and broad-based. Our biggest challenge continued to be our ability to fulfill heightened order levels in this time of constrained supply. Residential segment demand was solid, moderating as expected on top of the higher base we have built with the past two years of double-digit growth, and aligned with more typical seasonal trends.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the quarter, we continued to invest for the long-term and prioritized the key technology areas of alternative power, smart-connected, and autonomous solutions. Our focus on technology leadership dovetails with our enterprise-wide commitment to environmental, social, and governance best practices. We were excited to introduce goals and metrics in our latest sustainability report, which should help us drive change in a meaningful way for all stakeholders.”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THIRD-QUARTER FISCAL 2022 FINANCIAL HIGHLIGHTS</w:t>
      </w:r>
    </w:p>
    <w:p>
      <w:pPr>
        <w:spacing w:after="0" w:line="19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$1,160.6 million, up 18.8% from $976.8 million in the third quarter of fiscal 2021.</w:t>
      </w:r>
    </w:p>
    <w:p>
      <w:pPr>
        <w:spacing w:after="0" w:line="175" w:lineRule="exact"/>
        <w:rPr>
          <w:rFonts w:ascii="Arial" w:cs="Arial" w:eastAsia="Arial" w:hAnsi="Arial"/>
          <w:sz w:val="20"/>
          <w:szCs w:val="20"/>
          <w:b w:val="1"/>
          <w:bCs w:val="1"/>
          <w:color w:val="auto"/>
        </w:rPr>
      </w:pPr>
    </w:p>
    <w:p>
      <w:pPr>
        <w:ind w:left="660" w:hanging="328"/>
        <w:spacing w:after="0" w:line="271"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earnings of $125.2 million, up 29.9% from $96.3 million in the third quarter of fiscal 2021; *adjusted net earnings of $125.1 million, up 25.8% from $99.4 million in the third quarter of fiscal 2021.</w:t>
      </w:r>
    </w:p>
    <w:p>
      <w:pPr>
        <w:spacing w:after="0" w:line="115" w:lineRule="exact"/>
        <w:rPr>
          <w:rFonts w:ascii="Arial" w:cs="Arial" w:eastAsia="Arial" w:hAnsi="Arial"/>
          <w:sz w:val="20"/>
          <w:szCs w:val="20"/>
          <w:b w:val="1"/>
          <w:bCs w:val="1"/>
          <w:color w:val="auto"/>
        </w:rPr>
      </w:pPr>
    </w:p>
    <w:p>
      <w:pPr>
        <w:ind w:left="660" w:hanging="328"/>
        <w:spacing w:after="0" w:line="271"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Reported diluted EPS of $1.19 versus $0.89 in the third quarter of fiscal 2021; *adjusted diluted EPS of $1.19 versus $0.92 in the third quarter of fiscal 2021.</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YEAR-TO-DATE FISCAL 2022 FINANCIAL HIGHLIGHTS</w:t>
      </w:r>
    </w:p>
    <w:p>
      <w:pPr>
        <w:spacing w:after="0" w:line="17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sales of $3,342.7 million, up 11.5% from $2,998.9 million in the first nine months of fiscal 2021.</w:t>
      </w:r>
    </w:p>
    <w:p>
      <w:pPr>
        <w:spacing w:after="0" w:line="175" w:lineRule="exact"/>
        <w:rPr>
          <w:rFonts w:ascii="Arial" w:cs="Arial" w:eastAsia="Arial" w:hAnsi="Arial"/>
          <w:sz w:val="20"/>
          <w:szCs w:val="20"/>
          <w:b w:val="1"/>
          <w:bCs w:val="1"/>
          <w:color w:val="auto"/>
        </w:rPr>
      </w:pPr>
    </w:p>
    <w:p>
      <w:pPr>
        <w:ind w:left="660" w:right="20" w:hanging="328"/>
        <w:spacing w:after="0" w:line="271"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earnings of $325.8 million, down 6.9% from $349.8 million in the first nine months of fiscal 2021; *adjusted net earnings of $327.0 million, down 1.8% from $333.0 million in the first nine months of fiscal 2021.</w:t>
      </w:r>
    </w:p>
    <w:p>
      <w:pPr>
        <w:spacing w:after="0" w:line="115" w:lineRule="exact"/>
        <w:rPr>
          <w:rFonts w:ascii="Arial" w:cs="Arial" w:eastAsia="Arial" w:hAnsi="Arial"/>
          <w:sz w:val="20"/>
          <w:szCs w:val="20"/>
          <w:b w:val="1"/>
          <w:bCs w:val="1"/>
          <w:color w:val="auto"/>
        </w:rPr>
      </w:pPr>
    </w:p>
    <w:p>
      <w:pPr>
        <w:ind w:left="660" w:hanging="328"/>
        <w:spacing w:after="0" w:line="271"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Reported diluted EPS of $3.08 versus $3.21 in the first nine months of fiscal 2021; *adjusted diluted EPS of $3.09 versus $3.06 in the first nine months of fiscal 2021.</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continue to see solid demand for our innovative solutions across our end markets and are well-prepared to capitalize on growth opportunities,” continued Olson. “Orders in our professional segment remain strong, including exceptional momentum in underground construction and golf. For solutions geared to landscape contractors and residential customers, demand remains favorable and, as expected, retail patterns are beginning to normalize.</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a macro basis, we are keeping a close eye on the mixed signals we are seeing in the economy. We are also watching the broader supply chain environment, which continues to show signs of improvement. Importantly, our team is driving operational efficiencies that put us in a favorable position as we close out our fiscal year and set us up as an even more productive and agile organization."</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updating its full-year fiscal 2022 guidance and now expects total net sales growth of about 14% and *adjusted diluted EPS in the range of $4.07 to $4.17. This guidance is based on management’s current visibility in what continues to be a dynamic macro environment, and reflects expectations for more normal residential demand patterns and continued operational execution, as well as modest accretion from the company’s Intimidator Group acquisition.</w:t>
      </w:r>
    </w:p>
    <w:p>
      <w:pPr>
        <w:sectPr>
          <w:pgSz w:w="11900" w:h="16838" w:orient="portrait"/>
          <w:cols w:equalWidth="0" w:num="1">
            <w:col w:w="11240"/>
          </w:cols>
          <w:pgMar w:left="320" w:top="11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THIRD-QUARTER FISCAL 2022 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4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$886.2 million, up 23.3% from $718.5 million in the same period last year. The increase was driven primarily by net price realization, higher shipments of zero-turn and stand-on mowers, and incremental revenue from the company’s fiscal 2022 Intimidator Group acquisition, partially offset by lower volume in certain key product categories due to product availability constraints.</w:t>
      </w:r>
    </w:p>
    <w:p>
      <w:pPr>
        <w:spacing w:after="0" w:line="140" w:lineRule="exact"/>
        <w:rPr>
          <w:rFonts w:ascii="Arial" w:cs="Arial" w:eastAsia="Arial" w:hAnsi="Arial"/>
          <w:sz w:val="20"/>
          <w:szCs w:val="20"/>
          <w:color w:val="auto"/>
        </w:rPr>
      </w:pPr>
    </w:p>
    <w:p>
      <w:pPr>
        <w:jc w:val="both"/>
        <w:ind w:left="660" w:hanging="328"/>
        <w:spacing w:after="0" w:line="24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$166.2 million, up 35.9% from $122.3 million in the same period last year, and when expressed as a percentage of net sales, 18.8%, up from 17.0% in the prior-year period. The increase was primarily due to net price realization, productivity improvements, and net sales leverage, partially offset by higher material, freight, and manufacturing costs, and the addition of the Intimidator Group at a lower initial margin than the segment average.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$270.0 million, up 7.1% from $252.1 million in the same period last year. The increase was primarily driven by net price realization and higher shipments of zero-turn riding mowers and snow products, partially offset by lower sales of walk-power mowers and portable-power products.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$26.3 million, down 16.5% from $31.5 million in the same period last year, and when expressed as a percentage of net sales, 9.8%, down from 12.5% in the prior-year period. The decrease was largely driven by higher material, freight, and manufacturing costs, partially offset by increased net price realization, productivity improvements, and favorable product mix.</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for the third quarter was 34.5%, compared with 33.9% for the same prior-year period. The increase in gross margin was primarily due to net price realization and productivity improvements, partially offset by higher material, freight and manufacturing costs, as well as the addition of the Intimidator Group at a lower initial gross margin than the company average.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SG&amp;A expense as a percentage of net sales for the third quarter was 20.5% compared with 21.4% in the prior-year period. The improvement was primarily due to the impact of a one-time legal settlement in the prior-year period and increased net sales leverage, partially offset by higher indirect marketing expenses.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Operating earnings margin was 14.0% for the third quarter, compared with 12.5% in the same prior-year period. *Adjusted operating earnings margin for the third quarter was 14.1%, compared with 13.1% in the same prior-year period.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up $2.2 million for the third quarter to $9.2 million, driven by incremental borrowing to fund the company’s acquisition of the Intimidator Group, as well as higher average interest rates.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reported effective tax rate for the third quarter was 20.3%, compared with 18.0% for the same prior-year period. The reported effective tax rate increase was primarily due to less favorable one-time adjustments in the current-year period, as well as lower tax benefits recorded as excess tax deductions for stock compensation in the current-year period. The *adjusted effective tax rate for the third quarter was 20.7%, compared with 19.3% in the third quarter of 2021. The increase was primarily due to less favorable one-time adjustments in the current-year period.</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118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1, 2022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CDT on September 1, 2022.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$ 4.0 billion in fiscal 2021,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2022 to diluted EPS, which is the most directly comparable GAAP measure, in reliance on the unreasonable efforts exception provided under Item 10(e)(1)(i)(B) of Regulation S-K. The company’s</w:t>
      </w:r>
    </w:p>
    <w:p>
      <w:pPr>
        <w:sectPr>
          <w:pgSz w:w="11900" w:h="16838" w:orient="portrait"/>
          <w:cols w:equalWidth="0" w:num="1">
            <w:col w:w="11240"/>
          </w:cols>
          <w:pgMar w:left="320" w:top="1182" w:right="339" w:bottom="1440" w:gutter="0" w:footer="0" w:header="0"/>
        </w:sectPr>
      </w:pPr>
    </w:p>
    <w:bookmarkStart w:id="8" w:name="page9"/>
    <w:bookmarkEnd w:id="8"/>
    <w:p>
      <w:pPr>
        <w:jc w:val="both"/>
        <w:spacing w:after="0" w:line="241" w:lineRule="auto"/>
        <w:rPr>
          <w:sz w:val="20"/>
          <w:szCs w:val="20"/>
          <w:color w:val="auto"/>
        </w:rPr>
      </w:pPr>
      <w:r>
        <w:rPr>
          <w:rFonts w:ascii="Arial" w:cs="Arial" w:eastAsia="Arial" w:hAnsi="Arial"/>
          <w:sz w:val="20"/>
          <w:szCs w:val="20"/>
          <w:color w:val="auto"/>
        </w:rPr>
        <w:t>adjusted diluted EPS guidance for fiscal 2022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2022 to diluted EPS reconciliation without unreasonable efforts. A quantitative reconciliation of adjusted diluted EPS for fiscal 2022 to diluted EPS would imply a degree of precision and certainty as to these future items that does not exist and could be confusing to investors. From a qualitative perspective, it is anticipated that the differences between adjusted diluted EPS for fiscal 2022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2022 financial guidance, and expectations for more normal Residential demand patterns and continued operational execution, as well as modest accretion from the company’s Intimidator Group acquisition. Particular risks and uncertainties that may affect the company’s operating results or financial position include: COVID-19 related factors, risks, and challenges;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4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July 30, 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1,160,550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976,836</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3,342,678</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2,998,929</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760,644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645,719</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2,236,927</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1,949,823</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399,906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331,117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1,105,751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1,049,106</w:t>
            </w:r>
          </w:p>
        </w:tc>
      </w:tr>
      <w:tr>
        <w:trPr>
          <w:trHeight w:val="216"/>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9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34.5 %</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16"/>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9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236,858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209,178</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680,500</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604,986</w:t>
            </w:r>
          </w:p>
        </w:tc>
      </w:tr>
      <w:tr>
        <w:trPr>
          <w:trHeight w:val="20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98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163,048</w:t>
            </w:r>
          </w:p>
        </w:tc>
        <w:tc>
          <w:tcPr>
            <w:tcW w:w="2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121,939</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425,251</w:t>
            </w:r>
          </w:p>
        </w:tc>
        <w:tc>
          <w:tcPr>
            <w:tcW w:w="280" w:type="dxa"/>
            <w:vAlign w:val="bottom"/>
          </w:tcPr>
          <w:p>
            <w:pPr>
              <w:spacing w:after="0"/>
              <w:rPr>
                <w:sz w:val="18"/>
                <w:szCs w:val="18"/>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444,120</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(9,182)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(7,016)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(24,219)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(21,662)</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3,225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2,528</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8,262</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8,062</w:t>
            </w:r>
          </w:p>
        </w:tc>
      </w:tr>
      <w:tr>
        <w:trPr>
          <w:trHeight w:val="20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157,091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117,451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409,294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430,520</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31,941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21,131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83,509</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80,748</w:t>
            </w:r>
          </w:p>
        </w:tc>
      </w:tr>
      <w:tr>
        <w:trPr>
          <w:trHeight w:val="235"/>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125,150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96,320</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325,785</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349,772</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0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0.90</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3.10</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3.25</w:t>
            </w:r>
          </w:p>
        </w:tc>
      </w:tr>
      <w:tr>
        <w:trPr>
          <w:trHeight w:val="88"/>
        </w:trPr>
        <w:tc>
          <w:tcPr>
            <w:tcW w:w="40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0.89</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3.08</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3.21</w:t>
            </w:r>
          </w:p>
        </w:tc>
      </w:tr>
    </w:tbl>
    <w:p>
      <w:pPr>
        <w:spacing w:after="0" w:line="90" w:lineRule="exact"/>
        <w:rPr>
          <w:sz w:val="20"/>
          <w:szCs w:val="20"/>
          <w:color w:val="auto"/>
        </w:rPr>
      </w:pPr>
    </w:p>
    <w:p>
      <w:pPr>
        <w:sectPr>
          <w:pgSz w:w="11900" w:h="16838" w:orient="portrait"/>
          <w:cols w:equalWidth="0" w:num="1">
            <w:col w:w="11240"/>
          </w:cols>
          <w:pgMar w:left="320" w:top="761" w:right="339" w:bottom="1440" w:gutter="0" w:footer="0" w:header="0"/>
        </w:sect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p>
      <w:pPr>
        <w:spacing w:after="0" w:line="122" w:lineRule="exact"/>
        <w:rPr>
          <w:sz w:val="20"/>
          <w:szCs w:val="20"/>
          <w:color w:val="auto"/>
        </w:r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104,827</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107,130</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104,931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107,667</w:t>
            </w:r>
          </w:p>
        </w:tc>
      </w:tr>
      <w:tr>
        <w:trPr>
          <w:trHeight w:val="499"/>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105,448</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108,363</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105,754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-562610</wp:posOffset>
            </wp:positionV>
            <wp:extent cx="7132320" cy="24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-245745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761" w:right="339"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75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July 30, 2021</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886,232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718,477</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2,484,927</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2,197,058</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56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269,962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252,117</w:t>
            </w:r>
          </w:p>
        </w:tc>
        <w:tc>
          <w:tcPr>
            <w:tcW w:w="280" w:type="dxa"/>
            <w:vAlign w:val="bottom"/>
          </w:tcPr>
          <w:p>
            <w:pPr>
              <w:spacing w:after="0"/>
              <w:rPr>
                <w:sz w:val="18"/>
                <w:szCs w:val="18"/>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845,039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784,852</w:t>
            </w: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4,356</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6,242</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12,712</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17,019</w:t>
            </w:r>
          </w:p>
        </w:tc>
      </w:tr>
      <w:tr>
        <w:trPr>
          <w:trHeight w:val="210"/>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1,160,550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976,836</w:t>
            </w:r>
          </w:p>
        </w:tc>
        <w:tc>
          <w:tcPr>
            <w:tcW w:w="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3,342,678</w:t>
            </w:r>
          </w:p>
        </w:tc>
        <w:tc>
          <w:tcPr>
            <w:tcW w:w="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2,998,929</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5"/>
        </w:trPr>
        <w:tc>
          <w:tcPr>
            <w:tcW w:w="38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216,142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191,665</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656,799</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638,921</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income taxes</w:t>
            </w: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July 30,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166,191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122,331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424,833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406,279</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18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26,348</w:t>
            </w:r>
          </w:p>
        </w:tc>
        <w:tc>
          <w:tcPr>
            <w:tcW w:w="2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31,548</w:t>
            </w:r>
          </w:p>
        </w:tc>
        <w:tc>
          <w:tcPr>
            <w:tcW w:w="260" w:type="dxa"/>
            <w:vAlign w:val="bottom"/>
          </w:tcPr>
          <w:p>
            <w:pPr>
              <w:spacing w:after="0"/>
              <w:rPr>
                <w:sz w:val="18"/>
                <w:szCs w:val="18"/>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95,203</w:t>
            </w:r>
          </w:p>
        </w:tc>
        <w:tc>
          <w:tcPr>
            <w:tcW w:w="240" w:type="dxa"/>
            <w:vAlign w:val="bottom"/>
          </w:tcPr>
          <w:p>
            <w:pPr>
              <w:spacing w:after="0"/>
              <w:rPr>
                <w:sz w:val="18"/>
                <w:szCs w:val="18"/>
                <w:color w:val="auto"/>
              </w:rPr>
            </w:pPr>
          </w:p>
        </w:tc>
        <w:tc>
          <w:tcPr>
            <w:tcW w:w="13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109,642</w:t>
            </w:r>
          </w:p>
        </w:tc>
      </w:t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(35,448)</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(36,428)</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(110,742)</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9"/>
              </w:rPr>
              <w:t>(85,401)</w:t>
            </w:r>
          </w:p>
        </w:tc>
      </w:tr>
      <w:tr>
        <w:trPr>
          <w:trHeight w:val="210"/>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157,091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117,451</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409,294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430,520</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July 30, 2021</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r>
      <w:tr>
        <w:trPr>
          <w:trHeight w:val="169"/>
        </w:trPr>
        <w:tc>
          <w:tcPr>
            <w:tcW w:w="20" w:type="dxa"/>
            <w:vAlign w:val="bottom"/>
            <w:shd w:val="clear" w:color="auto" w:fill="CCEEFF"/>
          </w:tcPr>
          <w:p>
            <w:pPr>
              <w:spacing w:after="0"/>
              <w:rPr>
                <w:sz w:val="14"/>
                <w:szCs w:val="14"/>
                <w:color w:val="auto"/>
              </w:rPr>
            </w:pPr>
          </w:p>
        </w:tc>
        <w:tc>
          <w:tcPr>
            <w:tcW w:w="48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1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231,564</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535,330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405,612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350,657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301,234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310,279</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939,274</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665,648</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738,170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82,861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43,577</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35,124</w:t>
            </w:r>
          </w:p>
        </w:tc>
      </w:tr>
      <w:tr>
        <w:trPr>
          <w:trHeight w:val="209"/>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1,604,356</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1,545,789</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1,489,185</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531,816</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456,992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487,731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583,803</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421,958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421,680</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595,141</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426,497</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420,041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73,349</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72,236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66,990</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31,389</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19,272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961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6,362</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w:t>
            </w: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19,134</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18,943</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24,042</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3,439,949</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2,968,049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65,000</w:t>
            </w:r>
          </w:p>
        </w:tc>
        <w:tc>
          <w:tcPr>
            <w:tcW w:w="260" w:type="dxa"/>
            <w:vAlign w:val="bottom"/>
            <w:tcBorders>
              <w:top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104,217</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487,030</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411,413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503,116</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443,557</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427,407</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419,620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15,675</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15,403</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14,283</w:t>
            </w:r>
          </w:p>
        </w:tc>
      </w:tr>
      <w:tr>
        <w:trPr>
          <w:trHeight w:val="209"/>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1,011,262</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958,440</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937,019</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990,616</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587,345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691,242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60,921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60,002</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55,752</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50,332</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74,381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50,397</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40,216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50,703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50,598</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16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104,194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106,441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105,206</w:t>
            </w: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64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1,213,551</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1,157,428</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1,071,922</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(31,143)</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(26,691)</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(25,996)</w:t>
            </w: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1,286,602</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1,237,178</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1,151,132</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3,439,949</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2,968,049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325,785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349,772</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to)/Distributions from finance affiliate, net</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6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54,269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55,301</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24,760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16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cost for stock-based compensation awards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17,105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16,176</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6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3,358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(42,217)</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(20,080)</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Accounts payable, accrued liabilities, and other liabilities</w:t>
            </w: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(16,929)</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100,563</w:t>
            </w:r>
          </w:p>
        </w:tc>
      </w:tr>
      <w:tr>
        <w:trPr>
          <w:trHeight w:val="209"/>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154,563</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477,135</w:t>
            </w:r>
          </w:p>
        </w:tc>
      </w:tr>
      <w:tr>
        <w:trPr>
          <w:trHeight w:val="74"/>
        </w:trPr>
        <w:tc>
          <w:tcPr>
            <w:tcW w:w="6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(47,961)</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(402,386)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(14,874)</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acquisitions, net of cash acquired</w:t>
            </w:r>
          </w:p>
        </w:tc>
        <w:tc>
          <w:tcPr>
            <w:tcW w:w="1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(27,176)</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Proceeds from sale of a business</w:t>
            </w: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4,605</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18,732</w:t>
            </w:r>
          </w:p>
        </w:tc>
      </w:tr>
      <w:tr>
        <w:trPr>
          <w:trHeight w:val="210"/>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(480,581)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(70,691)</w:t>
            </w:r>
          </w:p>
        </w:tc>
      </w:tr>
      <w:tr>
        <w:trPr>
          <w:trHeight w:val="75"/>
        </w:trPr>
        <w:tc>
          <w:tcPr>
            <w:tcW w:w="69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6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700,000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6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4,440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12,535</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(177,152)</w:t>
            </w:r>
          </w:p>
        </w:tc>
      </w:tr>
      <w:tr>
        <w:trPr>
          <w:trHeight w:val="216"/>
        </w:trPr>
        <w:tc>
          <w:tcPr>
            <w:tcW w:w="6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(94,401)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(84,677)</w:t>
            </w:r>
          </w:p>
        </w:tc>
      </w:tr>
      <w:tr>
        <w:trPr>
          <w:trHeight w:val="210"/>
        </w:trPr>
        <w:tc>
          <w:tcPr>
            <w:tcW w:w="6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162,727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(351,169)</w:t>
            </w:r>
          </w:p>
        </w:tc>
      </w:tr>
      <w:tr>
        <w:trPr>
          <w:trHeight w:val="88"/>
        </w:trPr>
        <w:tc>
          <w:tcPr>
            <w:tcW w:w="69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88"/>
        </w:trPr>
        <w:tc>
          <w:tcPr>
            <w:tcW w:w="69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(174,048)</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55,438</w:t>
            </w:r>
          </w:p>
        </w:tc>
      </w:tr>
      <w:tr>
        <w:trPr>
          <w:trHeight w:val="21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405,612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479,892</w:t>
            </w:r>
          </w:p>
        </w:tc>
      </w:tr>
      <w:tr>
        <w:trPr>
          <w:trHeight w:val="209"/>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231,564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535,330</w:t>
            </w:r>
          </w:p>
        </w:tc>
      </w:tr>
      <w:tr>
        <w:trPr>
          <w:trHeight w:val="21"/>
        </w:trPr>
        <w:tc>
          <w:tcPr>
            <w:tcW w:w="6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three and nine month periods ended July 29, 2022 and July 30,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2"/>
        </w:trPr>
        <w:tc>
          <w:tcPr>
            <w:tcW w:w="3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July 30, 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399,906</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331,117</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1,105,751</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1,049,106</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401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1,425</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400,307</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331,117</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1,107,176</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1,049,106</w:t>
            </w:r>
          </w:p>
        </w:tc>
      </w:tr>
      <w:tr>
        <w:trPr>
          <w:trHeight w:val="88"/>
        </w:trPr>
        <w:tc>
          <w:tcPr>
            <w:tcW w:w="37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163,048</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121,939</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425,251</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444,120</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704</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3,456</w:t>
            </w:r>
          </w:p>
        </w:tc>
        <w:tc>
          <w:tcPr>
            <w:tcW w:w="280" w:type="dxa"/>
            <w:vAlign w:val="bottom"/>
          </w:tcPr>
          <w:p>
            <w:pPr>
              <w:spacing w:after="0"/>
              <w:rPr>
                <w:sz w:val="18"/>
                <w:szCs w:val="18"/>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5,750</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(11,325)</w:t>
            </w:r>
          </w:p>
        </w:tc>
      </w:tr>
      <w:tr>
        <w:trPr>
          <w:trHeight w:val="20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163,752</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127,689</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428,707</w:t>
            </w:r>
          </w:p>
        </w:tc>
        <w:tc>
          <w:tcPr>
            <w:tcW w:w="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432,795</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14.8 %</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0"/>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r>
      <w:tr>
        <w:trPr>
          <w:trHeight w:val="88"/>
        </w:trPr>
        <w:tc>
          <w:tcPr>
            <w:tcW w:w="3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157,091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117,451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409,294</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430,520</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tcPr>
          <w:p>
            <w:pPr>
              <w:spacing w:after="0"/>
              <w:rPr>
                <w:sz w:val="18"/>
                <w:szCs w:val="18"/>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704</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3,456</w:t>
            </w:r>
          </w:p>
        </w:tc>
        <w:tc>
          <w:tcPr>
            <w:tcW w:w="280" w:type="dxa"/>
            <w:vAlign w:val="bottom"/>
          </w:tcPr>
          <w:p>
            <w:pPr>
              <w:spacing w:after="0"/>
              <w:rPr>
                <w:sz w:val="18"/>
                <w:szCs w:val="18"/>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5,750</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(11,325)</w:t>
            </w:r>
          </w:p>
        </w:tc>
      </w:tr>
      <w:tr>
        <w:trPr>
          <w:trHeight w:val="20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157,795</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123,201</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412,750</w:t>
            </w:r>
          </w:p>
        </w:tc>
        <w:tc>
          <w:tcPr>
            <w:tcW w:w="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419,195</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125,150</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96,320</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325,785</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349,772</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561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2,740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60" w:type="dxa"/>
            <w:vAlign w:val="bottom"/>
          </w:tcPr>
          <w:p>
            <w:pPr>
              <w:spacing w:after="0"/>
              <w:rPr>
                <w:sz w:val="18"/>
                <w:szCs w:val="18"/>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4,525</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(8,947)</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(581)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(1,397)</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(1,568)</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(7,846)</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125,130</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99,448</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326,957</w:t>
            </w:r>
          </w:p>
        </w:tc>
        <w:tc>
          <w:tcPr>
            <w:tcW w:w="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332,979</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1.19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0.89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3.08</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3.21</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60" w:type="dxa"/>
            <w:vAlign w:val="bottom"/>
          </w:tcPr>
          <w:p>
            <w:pPr>
              <w:spacing w:after="0"/>
              <w:rPr>
                <w:sz w:val="18"/>
                <w:szCs w:val="18"/>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0.04</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(0.08)</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(0.02)</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(0.07)</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1.19</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0.92</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3.09</w:t>
            </w:r>
          </w:p>
        </w:tc>
        <w:tc>
          <w:tcPr>
            <w:tcW w:w="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3.06</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5"/>
        </w:trPr>
        <w:tc>
          <w:tcPr>
            <w:tcW w:w="378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18.8 %</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20.8 %</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04" w:right="339" w:bottom="1440" w:gutter="0" w:footer="0" w:header="0"/>
        </w:sectPr>
      </w:pPr>
    </w:p>
    <w:bookmarkStart w:id="13" w:name="page14"/>
    <w:bookmarkEnd w:id="13"/>
    <w:p>
      <w:pPr>
        <w:jc w:val="both"/>
        <w:ind w:left="260" w:hanging="171"/>
        <w:spacing w:after="0" w:line="233" w:lineRule="auto"/>
        <w:tabs>
          <w:tab w:leader="none" w:pos="319"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13, 2022, the company completed the acquisition of Intimidator. Acquisition-related costs for the three month period ended July 29, 2022 represent integration costs and acquisition-related costs for the nine month period ended July 29, 2022 represent transaction and integration costs incurred in connection with the acquisition. No acquisition-related costs were incurred during the three and nine month periods ended July 30, 2021.</w:t>
      </w:r>
    </w:p>
    <w:p>
      <w:pPr>
        <w:spacing w:after="0" w:line="150" w:lineRule="exact"/>
        <w:rPr>
          <w:sz w:val="20"/>
          <w:szCs w:val="20"/>
          <w:color w:val="auto"/>
        </w:rPr>
      </w:pPr>
    </w:p>
    <w:p>
      <w:pPr>
        <w:jc w:val="both"/>
        <w:ind w:left="260" w:right="160" w:hanging="171"/>
        <w:spacing w:after="0" w:line="242" w:lineRule="auto"/>
        <w:tabs>
          <w:tab w:leader="none" w:pos="35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 Additionally, during the third quarter of fiscal 2021, the company recorded a charge related to a legal settlement for a series of ongoing patent infringement disputes within selling, general and administrative expense in the Condensed Consolidated Statements of Earnings. Accordingly, litigation settlements, net represents the charge incurred for the settlement of the patent infringement disputes for the three month period ended July 30, 2021. Litigation settlements, net for the nine month period ended July 30, 2021 represents the net amount recorded for the settlement of the Infringement Action, as well as the charge incurred for the settlement of the patent infringement disputes. No amounts were recorded for litigation settlement, net during the three and nine month periods ended July 29, 2022.</w:t>
      </w:r>
    </w:p>
    <w:p>
      <w:pPr>
        <w:spacing w:after="0" w:line="167" w:lineRule="exact"/>
        <w:rPr>
          <w:sz w:val="20"/>
          <w:szCs w:val="20"/>
          <w:color w:val="auto"/>
        </w:rPr>
      </w:pPr>
    </w:p>
    <w:p>
      <w:pPr>
        <w:jc w:val="both"/>
        <w:ind w:left="260" w:right="160" w:hanging="171"/>
        <w:spacing w:after="0" w:line="235" w:lineRule="auto"/>
        <w:tabs>
          <w:tab w:leader="none" w:pos="306"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July 29, 2022 and July 30,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nine</w:t>
      </w:r>
      <w:r>
        <w:rPr>
          <w:rFonts w:ascii="Times New Roman" w:cs="Times New Roman" w:eastAsia="Times New Roman" w:hAnsi="Times New Roman"/>
          <w:sz w:val="18"/>
          <w:szCs w:val="18"/>
          <w:color w:val="auto"/>
        </w:rPr>
        <w:t xml:space="preserve"> month periods ended July 29, 2022 and July 30, 2021:</w:t>
      </w:r>
    </w:p>
    <w:p>
      <w:pPr>
        <w:spacing w:after="0" w:line="18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July 29, 2022</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July 30, 2021</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154,563</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477,135</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w:t>
            </w:r>
          </w:p>
        </w:tc>
        <w:tc>
          <w:tcPr>
            <w:tcW w:w="2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75,772</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47,961</w:t>
            </w:r>
          </w:p>
        </w:tc>
      </w:tr>
      <w:tr>
        <w:trPr>
          <w:trHeight w:val="21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2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78,791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429,174</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325,785</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349,772</w:t>
            </w:r>
          </w:p>
        </w:tc>
      </w:tr>
      <w:tr>
        <w:trPr>
          <w:trHeight w:val="234"/>
        </w:trPr>
        <w:tc>
          <w:tcPr>
            <w:tcW w:w="5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2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52"/>
    </w:lvl>
  </w:abstractNum>
  <w:abstractNum w:abstractNumId="2">
    <w:nsid w:val="41B71EFB"/>
    <w:multiLevelType w:val="hybridMultilevel"/>
    <w:lvl w:ilvl="0">
      <w:lvlJc w:val="left"/>
      <w:lvlText w:val="(%1)"/>
      <w:numFmt w:val="decimal"/>
      <w:start w:val="95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2022-09-01T07:46:20Z</dcterms:created>
  <dcterms:modified xsi:type="dcterms:W3CDTF">2022-09-01T07:46:20Z</dcterms:modified>
</cp:coreProperties>
</file>