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HAMILTON BRADLEY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6"/>
        <w:spacing w:after="0"/>
        <w:rPr>
          <w:sz w:val="20"/>
          <w:szCs w:val="20"/>
          <w:color w:val="auto"/>
        </w:rPr>
      </w:pPr>
      <w:r>
        <w:rPr>
          <w:rFonts w:ascii="Arial" w:cs="Arial" w:eastAsia="Arial" w:hAnsi="Arial"/>
          <w:sz w:val="17"/>
          <w:szCs w:val="17"/>
          <w:color w:val="0000FF"/>
        </w:rPr>
        <w:t>Group VP, Comm, Intl &amp; Irrig</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460" w:type="dxa"/>
            <w:vAlign w:val="bottom"/>
          </w:tcPr>
          <w:p>
            <w:pPr>
              <w:spacing w:after="0"/>
              <w:rPr>
                <w:sz w:val="11"/>
                <w:szCs w:val="11"/>
                <w:color w:val="auto"/>
              </w:rPr>
            </w:pP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2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12/18/2019</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2,929</w:t>
            </w:r>
            <w:r>
              <w:rPr>
                <w:rFonts w:ascii="Arial" w:cs="Arial" w:eastAsia="Arial" w:hAnsi="Arial"/>
                <w:sz w:val="22"/>
                <w:szCs w:val="22"/>
                <w:color w:val="008000"/>
                <w:w w:val="89"/>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1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6,516.864</w:t>
            </w:r>
            <w:r>
              <w:rPr>
                <w:rFonts w:ascii="Arial" w:cs="Arial" w:eastAsia="Arial" w:hAnsi="Arial"/>
                <w:sz w:val="22"/>
                <w:szCs w:val="22"/>
                <w:color w:val="008000"/>
                <w:w w:val="87"/>
                <w:vertAlign w:val="superscript"/>
              </w:rPr>
              <w:t>(2)</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1,850.72</w:t>
            </w:r>
          </w:p>
        </w:tc>
        <w:tc>
          <w:tcPr>
            <w:tcW w:w="340" w:type="dxa"/>
            <w:vAlign w:val="bottom"/>
          </w:tcPr>
          <w:p>
            <w:pPr>
              <w:spacing w:after="0"/>
              <w:rPr>
                <w:sz w:val="23"/>
                <w:szCs w:val="23"/>
                <w:color w:val="auto"/>
              </w:rPr>
            </w:pP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994.643</w:t>
            </w:r>
            <w:r>
              <w:rPr>
                <w:rFonts w:ascii="Arial" w:cs="Arial" w:eastAsia="Arial" w:hAnsi="Arial"/>
                <w:sz w:val="22"/>
                <w:szCs w:val="22"/>
                <w:color w:val="008000"/>
                <w:w w:val="88"/>
                <w:vertAlign w:val="superscript"/>
              </w:rPr>
              <w:t>(3)</w:t>
            </w:r>
          </w:p>
        </w:tc>
        <w:tc>
          <w:tcPr>
            <w:tcW w:w="340" w:type="dxa"/>
            <w:vAlign w:val="bottom"/>
          </w:tcPr>
          <w:p>
            <w:pPr>
              <w:spacing w:after="0"/>
              <w:rPr>
                <w:sz w:val="18"/>
                <w:szCs w:val="18"/>
                <w:color w:val="auto"/>
              </w:rPr>
            </w:pPr>
          </w:p>
        </w:tc>
        <w:tc>
          <w:tcPr>
            <w:tcW w:w="600" w:type="dxa"/>
            <w:vAlign w:val="bottom"/>
          </w:tcPr>
          <w:p>
            <w:pPr>
              <w:jc w:val="center"/>
              <w:ind w:right="35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0"/>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4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76.53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12/19/2019</w:t>
            </w:r>
          </w:p>
        </w:tc>
        <w:tc>
          <w:tcPr>
            <w:tcW w:w="1180" w:type="dxa"/>
            <w:vAlign w:val="bottom"/>
          </w:tcPr>
          <w:p>
            <w:pPr>
              <w:spacing w:after="0"/>
              <w:rPr>
                <w:sz w:val="17"/>
                <w:szCs w:val="17"/>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7"/>
                <w:szCs w:val="17"/>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22,600</w:t>
            </w:r>
          </w:p>
        </w:tc>
        <w:tc>
          <w:tcPr>
            <w:tcW w:w="340" w:type="dxa"/>
            <w:vAlign w:val="bottom"/>
          </w:tcPr>
          <w:p>
            <w:pPr>
              <w:spacing w:after="0"/>
              <w:rPr>
                <w:sz w:val="17"/>
                <w:szCs w:val="17"/>
                <w:color w:val="auto"/>
              </w:rPr>
            </w:pPr>
          </w:p>
        </w:tc>
        <w:tc>
          <w:tcPr>
            <w:tcW w:w="780" w:type="dxa"/>
            <w:vAlign w:val="bottom"/>
          </w:tcPr>
          <w:p>
            <w:pPr>
              <w:ind w:left="260"/>
              <w:spacing w:after="0"/>
              <w:rPr>
                <w:sz w:val="20"/>
                <w:szCs w:val="20"/>
                <w:color w:val="auto"/>
              </w:rPr>
            </w:pPr>
            <w:r>
              <w:rPr>
                <w:rFonts w:ascii="Arial" w:cs="Arial" w:eastAsia="Arial" w:hAnsi="Arial"/>
                <w:sz w:val="11"/>
                <w:szCs w:val="11"/>
                <w:color w:val="008000"/>
              </w:rPr>
              <w:t>(4)</w:t>
            </w:r>
          </w:p>
        </w:tc>
        <w:tc>
          <w:tcPr>
            <w:tcW w:w="740" w:type="dxa"/>
            <w:vAlign w:val="bottom"/>
          </w:tcPr>
          <w:p>
            <w:pPr>
              <w:ind w:left="40"/>
              <w:spacing w:after="0"/>
              <w:rPr>
                <w:sz w:val="20"/>
                <w:szCs w:val="20"/>
                <w:color w:val="auto"/>
              </w:rPr>
            </w:pPr>
            <w:r>
              <w:rPr>
                <w:rFonts w:ascii="Arial" w:cs="Arial" w:eastAsia="Arial" w:hAnsi="Arial"/>
                <w:sz w:val="13"/>
                <w:szCs w:val="13"/>
                <w:color w:val="0000FF"/>
              </w:rPr>
              <w:t>12/19/2029</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22,600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60"/>
              <w:spacing w:after="0"/>
              <w:rPr>
                <w:sz w:val="20"/>
                <w:szCs w:val="20"/>
                <w:color w:val="auto"/>
              </w:rPr>
            </w:pPr>
            <w:r>
              <w:rPr>
                <w:rFonts w:ascii="Arial" w:cs="Arial" w:eastAsia="Arial" w:hAnsi="Arial"/>
                <w:sz w:val="13"/>
                <w:szCs w:val="13"/>
                <w:color w:val="0000FF"/>
              </w:rPr>
              <w:t>22,600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2017 to Fiscal 2019 Performance Period under The Toro Company Amended and Restated 2010 Equity and Incentive Plan, as amended and restated, as approved by the Issuer's Compensation &amp; Human Resources Committee of its Board of Directors on December 3, 2019, and which was conditioned upon and subject to confirmation by the Issuer's Fiscal 2019 financial results that were released on December 18, 2019.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10.886 performance share units acquired by the reporting person since the date of his last report under the dividend reinvestment feature of the Deferred Plan.</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3.016 net shares of common stock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12/20/2019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757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2019-12-20T13:36:32Z</dcterms:created>
  <dcterms:modified xsi:type="dcterms:W3CDTF">2019-12-20T13:36:32Z</dcterms:modified>
</cp:coreProperties>
</file>