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3260" w:type="dxa"/>
            <w:vAlign w:val="bottom"/>
          </w:tcPr>
          <w:p>
            <w:pPr>
              <w:jc w:val="center"/>
              <w:ind w:right="2299"/>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jc w:val="center"/>
              <w:ind w:right="282"/>
              <w:spacing w:after="0"/>
              <w:rPr>
                <w:sz w:val="20"/>
                <w:szCs w:val="20"/>
                <w:color w:val="auto"/>
              </w:rPr>
            </w:pPr>
            <w:r>
              <w:rPr>
                <w:rFonts w:ascii="Arial" w:cs="Arial" w:eastAsia="Arial" w:hAnsi="Arial"/>
                <w:sz w:val="18"/>
                <w:szCs w:val="18"/>
                <w:b w:val="1"/>
                <w:bCs w:val="1"/>
                <w:color w:val="auto"/>
                <w:w w:val="92"/>
              </w:rPr>
              <w:t>1-8649</w:t>
            </w:r>
          </w:p>
        </w:tc>
        <w:tc>
          <w:tcPr>
            <w:tcW w:w="304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41-0580470</w:t>
            </w:r>
          </w:p>
        </w:tc>
      </w:tr>
      <w:tr>
        <w:trPr>
          <w:trHeight w:val="149"/>
        </w:trPr>
        <w:tc>
          <w:tcPr>
            <w:tcW w:w="3260" w:type="dxa"/>
            <w:vAlign w:val="bottom"/>
          </w:tcPr>
          <w:p>
            <w:pPr>
              <w:jc w:val="center"/>
              <w:ind w:right="2299"/>
              <w:spacing w:after="0" w:line="149" w:lineRule="exact"/>
              <w:rPr>
                <w:sz w:val="20"/>
                <w:szCs w:val="20"/>
                <w:color w:val="auto"/>
              </w:rPr>
            </w:pPr>
            <w:r>
              <w:rPr>
                <w:rFonts w:ascii="Arial" w:cs="Arial" w:eastAsia="Arial" w:hAnsi="Arial"/>
                <w:sz w:val="14"/>
                <w:szCs w:val="14"/>
                <w:b w:val="1"/>
                <w:bCs w:val="1"/>
                <w:color w:val="auto"/>
                <w:w w:val="92"/>
              </w:rPr>
              <w:t>(State of</w:t>
            </w:r>
          </w:p>
        </w:tc>
        <w:tc>
          <w:tcPr>
            <w:tcW w:w="25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304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Incorporation)</w:t>
            </w:r>
          </w:p>
        </w:tc>
        <w:tc>
          <w:tcPr>
            <w:tcW w:w="252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3040" w:type="dxa"/>
            <w:vAlign w:val="bottom"/>
          </w:tcPr>
          <w:p>
            <w:pPr>
              <w:jc w:val="center"/>
              <w:ind w:left="1521"/>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3260" w:type="dxa"/>
            <w:vAlign w:val="bottom"/>
          </w:tcPr>
          <w:p>
            <w:pPr>
              <w:jc w:val="center"/>
              <w:ind w:right="399"/>
              <w:spacing w:after="0"/>
              <w:rPr>
                <w:sz w:val="20"/>
                <w:szCs w:val="20"/>
                <w:color w:val="auto"/>
              </w:rPr>
            </w:pPr>
            <w:r>
              <w:rPr>
                <w:rFonts w:ascii="Arial" w:cs="Arial" w:eastAsia="Arial" w:hAnsi="Arial"/>
                <w:sz w:val="18"/>
                <w:szCs w:val="18"/>
                <w:b w:val="1"/>
                <w:bCs w:val="1"/>
                <w:color w:val="auto"/>
                <w:w w:val="87"/>
              </w:rPr>
              <w:t>8111 Lyndale Avenue South</w:t>
            </w:r>
          </w:p>
        </w:tc>
        <w:tc>
          <w:tcPr>
            <w:tcW w:w="2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25"/>
        </w:trPr>
        <w:tc>
          <w:tcPr>
            <w:tcW w:w="3260" w:type="dxa"/>
            <w:vAlign w:val="bottom"/>
          </w:tcPr>
          <w:p>
            <w:pPr>
              <w:jc w:val="center"/>
              <w:ind w:right="399"/>
              <w:spacing w:after="0"/>
              <w:rPr>
                <w:sz w:val="20"/>
                <w:szCs w:val="20"/>
                <w:color w:val="auto"/>
              </w:rPr>
            </w:pPr>
            <w:r>
              <w:rPr>
                <w:rFonts w:ascii="Arial" w:cs="Arial" w:eastAsia="Arial" w:hAnsi="Arial"/>
                <w:sz w:val="18"/>
                <w:szCs w:val="18"/>
                <w:b w:val="1"/>
                <w:bCs w:val="1"/>
                <w:color w:val="auto"/>
                <w:w w:val="90"/>
              </w:rPr>
              <w:t>Bloomington, Minnesota</w:t>
            </w:r>
          </w:p>
        </w:tc>
        <w:tc>
          <w:tcPr>
            <w:tcW w:w="2520" w:type="dxa"/>
            <w:vAlign w:val="bottom"/>
          </w:tcPr>
          <w:p>
            <w:pPr>
              <w:spacing w:after="0"/>
              <w:rPr>
                <w:sz w:val="19"/>
                <w:szCs w:val="19"/>
                <w:color w:val="auto"/>
              </w:rPr>
            </w:pPr>
          </w:p>
        </w:tc>
        <w:tc>
          <w:tcPr>
            <w:tcW w:w="3040" w:type="dxa"/>
            <w:vAlign w:val="bottom"/>
          </w:tcPr>
          <w:p>
            <w:pPr>
              <w:jc w:val="right"/>
              <w:ind w:right="1361"/>
              <w:spacing w:after="0"/>
              <w:rPr>
                <w:sz w:val="20"/>
                <w:szCs w:val="20"/>
                <w:color w:val="auto"/>
              </w:rPr>
            </w:pPr>
            <w:r>
              <w:rPr>
                <w:rFonts w:ascii="Arial" w:cs="Arial" w:eastAsia="Arial" w:hAnsi="Arial"/>
                <w:sz w:val="18"/>
                <w:szCs w:val="18"/>
                <w:b w:val="1"/>
                <w:bCs w:val="1"/>
                <w:color w:val="auto"/>
              </w:rPr>
              <w:t>55420</w:t>
            </w:r>
          </w:p>
        </w:tc>
      </w:tr>
      <w:tr>
        <w:trPr>
          <w:trHeight w:val="186"/>
        </w:trPr>
        <w:tc>
          <w:tcPr>
            <w:tcW w:w="3260" w:type="dxa"/>
            <w:vAlign w:val="bottom"/>
          </w:tcPr>
          <w:p>
            <w:pPr>
              <w:jc w:val="center"/>
              <w:ind w:right="3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304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(952) 888-8801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Toro Company (the “Company”) held its 2014 Annual Meeting of Shareholders on March 18, 2014. The final results of the shareholder vote on the business brought before the meeting were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Against/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color w:val="auto"/>
              </w:rPr>
              <w:t>Broker</w:t>
            </w:r>
          </w:p>
        </w:tc>
      </w:tr>
      <w:tr>
        <w:trPr>
          <w:trHeight w:val="167"/>
        </w:trPr>
        <w:tc>
          <w:tcPr>
            <w:tcW w:w="676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For</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Withheld</w:t>
            </w: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Abstain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Non-Votes</w:t>
            </w:r>
          </w:p>
        </w:tc>
      </w:tr>
      <w:tr>
        <w:trPr>
          <w:trHeight w:val="178"/>
        </w:trPr>
        <w:tc>
          <w:tcPr>
            <w:tcW w:w="67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4"/>
              </w:rPr>
              <w:t>Proposal One—Election of directors to serve for a term of three years ending at the</w:t>
            </w: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Company’s 2017 Annual Meeting of Shareholders</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Jeffrey M. Ettinger</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46,755,931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983,532</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4,916,999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Katherine J. Harless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46,715,627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1,023,836</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4,916,999</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Michael J. Hoffman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45,908,709</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1,830,754</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4,916,999</w:t>
            </w:r>
          </w:p>
        </w:tc>
        <w:tc>
          <w:tcPr>
            <w:tcW w:w="100" w:type="dxa"/>
            <w:vAlign w:val="bottom"/>
          </w:tcPr>
          <w:p>
            <w:pPr>
              <w:spacing w:after="0"/>
              <w:rPr>
                <w:sz w:val="18"/>
                <w:szCs w:val="18"/>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Proposal Two—Ratification of the selection of KPMG LLP as the Company’s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1"/>
              </w:rPr>
              <w:t>independent registered public accounting firm for the Company’s fiscal year ending</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October 31, 2014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52,132,909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370,980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152,573</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Proposal Three—Advisory approval of executive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46,268,958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1,095,691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374,814</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4,916,999</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directors in Proposal One was elected by the Company’s shareholders by the required vote and each of Proposals Two and Three was approved by the Company’s shareholders by the required vote.</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Regarding the Company’s other directors, (i) each of Janet K. Cooper, Gary L. Ellis and Gregg W. Steinhafel continue to serve as a director for a term ending at the Company’s 2015 Annual Meeting of Shareholders; and (ii) each of Robert C. Buhrmaster, James C. O’Rourke and Christopher A. Twomey continue to serve as a director for a term ending at the Company’s 2016 Annual Meeting of Shareholders.</w:t>
      </w:r>
    </w:p>
    <w:p>
      <w:pPr>
        <w:sectPr>
          <w:pgSz w:w="11900" w:h="16838" w:orient="portrait"/>
          <w:cols w:equalWidth="0" w:num="1">
            <w:col w:w="11400"/>
          </w:cols>
          <w:pgMar w:left="240" w:top="270"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March 21, 2014</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2019-12-05T20:21:30Z</dcterms:created>
  <dcterms:modified xsi:type="dcterms:W3CDTF">2019-12-05T20:21:30Z</dcterms:modified>
</cp:coreProperties>
</file>