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233680</wp:posOffset>
            </wp:positionH>
            <wp:positionV relativeFrom="page">
              <wp:posOffset>766445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723265</wp:posOffset>
            </wp:positionV>
            <wp:extent cx="70891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19"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5" w:lineRule="exact"/>
        <w:rPr>
          <w:sz w:val="24"/>
          <w:szCs w:val="24"/>
          <w:color w:val="auto"/>
        </w:rPr>
      </w:pPr>
    </w:p>
    <w:p>
      <w:pPr>
        <w:ind w:left="520" w:hanging="298"/>
        <w:spacing w:after="0"/>
        <w:tabs>
          <w:tab w:leader="none" w:pos="5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ANNUAL REPORT PURSUANT TO SECTION 15(d) OF THE SECURITIES EXCHANGE ACT OF 1934</w:t>
      </w:r>
    </w:p>
    <w:p>
      <w:pPr>
        <w:spacing w:after="0" w:line="264" w:lineRule="exact"/>
        <w:rPr>
          <w:rFonts w:ascii="MS PGothic" w:cs="MS PGothic" w:eastAsia="MS PGothic" w:hAnsi="MS PGothic"/>
          <w:sz w:val="18"/>
          <w:szCs w:val="18"/>
          <w:color w:val="auto"/>
        </w:rPr>
      </w:pPr>
    </w:p>
    <w:p>
      <w:pPr>
        <w:ind w:left="3300"/>
        <w:spacing w:after="0"/>
        <w:rPr>
          <w:rFonts w:ascii="MS PGothic" w:cs="MS PGothic" w:eastAsia="MS PGothic" w:hAnsi="MS PGothic"/>
          <w:sz w:val="18"/>
          <w:szCs w:val="18"/>
          <w:color w:val="auto"/>
        </w:rPr>
      </w:pPr>
      <w:r>
        <w:rPr>
          <w:rFonts w:ascii="Times New Roman" w:cs="Times New Roman" w:eastAsia="Times New Roman" w:hAnsi="Times New Roman"/>
          <w:sz w:val="20"/>
          <w:szCs w:val="20"/>
          <w:b w:val="1"/>
          <w:bCs w:val="1"/>
          <w:color w:val="auto"/>
        </w:rPr>
        <w:t>For the fiscal year ended December 31, 2023</w:t>
      </w:r>
    </w:p>
    <w:p>
      <w:pPr>
        <w:spacing w:after="0" w:line="256" w:lineRule="exact"/>
        <w:rPr>
          <w:rFonts w:ascii="MS PGothic" w:cs="MS PGothic" w:eastAsia="MS PGothic" w:hAnsi="MS PGothic"/>
          <w:sz w:val="18"/>
          <w:szCs w:val="18"/>
          <w:color w:val="auto"/>
        </w:rPr>
      </w:pPr>
    </w:p>
    <w:p>
      <w:pPr>
        <w:ind w:left="5020"/>
        <w:spacing w:after="0"/>
        <w:rPr>
          <w:rFonts w:ascii="MS PGothic" w:cs="MS PGothic" w:eastAsia="MS PGothic" w:hAnsi="MS PGothic"/>
          <w:sz w:val="18"/>
          <w:szCs w:val="18"/>
          <w:color w:val="auto"/>
        </w:rPr>
      </w:pPr>
      <w:r>
        <w:rPr>
          <w:rFonts w:ascii="Times New Roman" w:cs="Times New Roman" w:eastAsia="Times New Roman" w:hAnsi="Times New Roman"/>
          <w:sz w:val="20"/>
          <w:szCs w:val="20"/>
          <w:b w:val="1"/>
          <w:bCs w:val="1"/>
          <w:color w:val="auto"/>
        </w:rPr>
        <w:t>OR</w:t>
      </w:r>
    </w:p>
    <w:p>
      <w:pPr>
        <w:spacing w:after="0" w:line="278" w:lineRule="exact"/>
        <w:rPr>
          <w:rFonts w:ascii="MS PGothic" w:cs="MS PGothic" w:eastAsia="MS PGothic" w:hAnsi="MS PGothic"/>
          <w:sz w:val="18"/>
          <w:szCs w:val="18"/>
          <w:color w:val="auto"/>
        </w:rPr>
      </w:pPr>
    </w:p>
    <w:p>
      <w:pPr>
        <w:ind w:left="300" w:hanging="298"/>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21"/>
          <w:szCs w:val="21"/>
          <w:b w:val="1"/>
          <w:bCs w:val="1"/>
          <w:color w:val="auto"/>
        </w:rPr>
        <w:t>TRANSITION REPORT PURSUANT TO SECTION 15(d) OF THE SECURITIES EXCHANGE ACT OF 1934</w:t>
      </w:r>
    </w:p>
    <w:p>
      <w:pPr>
        <w:spacing w:after="0" w:line="276" w:lineRule="exact"/>
        <w:rPr>
          <w:rFonts w:ascii="MS PGothic" w:cs="MS PGothic" w:eastAsia="MS PGothic" w:hAnsi="MS PGothic"/>
          <w:sz w:val="17"/>
          <w:szCs w:val="17"/>
          <w:color w:val="auto"/>
        </w:rPr>
      </w:pPr>
    </w:p>
    <w:p>
      <w:pPr>
        <w:ind w:left="2440"/>
        <w:spacing w:after="0"/>
        <w:rPr>
          <w:rFonts w:ascii="MS PGothic" w:cs="MS PGothic" w:eastAsia="MS PGothic" w:hAnsi="MS PGothic"/>
          <w:sz w:val="17"/>
          <w:szCs w:val="17"/>
          <w:color w:val="auto"/>
        </w:rPr>
      </w:pPr>
      <w:r>
        <w:rPr>
          <w:rFonts w:ascii="Times New Roman" w:cs="Times New Roman" w:eastAsia="Times New Roman" w:hAnsi="Times New Roman"/>
          <w:sz w:val="20"/>
          <w:szCs w:val="20"/>
          <w:b w:val="1"/>
          <w:bCs w:val="1"/>
          <w:color w:val="auto"/>
        </w:rPr>
        <w:t>For the transition period from _____________ to _____________</w:t>
      </w:r>
    </w:p>
    <w:p>
      <w:pPr>
        <w:spacing w:after="0" w:line="256" w:lineRule="exact"/>
        <w:rPr>
          <w:rFonts w:ascii="MS PGothic" w:cs="MS PGothic" w:eastAsia="MS PGothic" w:hAnsi="MS PGothic"/>
          <w:sz w:val="17"/>
          <w:szCs w:val="17"/>
          <w:color w:val="auto"/>
        </w:rPr>
      </w:pPr>
    </w:p>
    <w:p>
      <w:pPr>
        <w:ind w:left="3840"/>
        <w:spacing w:after="0"/>
        <w:rPr>
          <w:rFonts w:ascii="MS PGothic" w:cs="MS PGothic" w:eastAsia="MS PGothic" w:hAnsi="MS PGothic"/>
          <w:sz w:val="17"/>
          <w:szCs w:val="17"/>
          <w:color w:val="auto"/>
        </w:rPr>
      </w:pPr>
      <w:r>
        <w:rPr>
          <w:rFonts w:ascii="Times New Roman" w:cs="Times New Roman" w:eastAsia="Times New Roman" w:hAnsi="Times New Roman"/>
          <w:sz w:val="20"/>
          <w:szCs w:val="20"/>
          <w:color w:val="auto"/>
        </w:rPr>
        <w:t xml:space="preserve">Commission file number: </w:t>
      </w:r>
      <w:r>
        <w:rPr>
          <w:rFonts w:ascii="Times New Roman" w:cs="Times New Roman" w:eastAsia="Times New Roman" w:hAnsi="Times New Roman"/>
          <w:sz w:val="20"/>
          <w:szCs w:val="20"/>
          <w:b w:val="1"/>
          <w:bCs w:val="1"/>
          <w:color w:val="auto"/>
        </w:rPr>
        <w:t>1-8649</w:t>
      </w:r>
    </w:p>
    <w:p>
      <w:pPr>
        <w:spacing w:after="0" w:line="274"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20"/>
          <w:szCs w:val="20"/>
          <w:color w:val="auto"/>
        </w:rPr>
        <w:t>A. Full title of the plan and address of the plan, if different from that of the issuer named below:</w:t>
      </w:r>
    </w:p>
    <w:p>
      <w:pPr>
        <w:spacing w:after="0" w:line="234"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The Toro Company Retirement Plan</w:t>
      </w:r>
    </w:p>
    <w:p>
      <w:pPr>
        <w:spacing w:after="0" w:line="255"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20"/>
          <w:szCs w:val="20"/>
          <w:color w:val="auto"/>
        </w:rPr>
        <w:t>B. Name of issuer of the securities held pursuant to the plan and the address of its principal executive office:</w:t>
      </w:r>
    </w:p>
    <w:p>
      <w:pPr>
        <w:spacing w:after="0" w:line="218"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32"/>
          <w:szCs w:val="32"/>
          <w:b w:val="1"/>
          <w:bCs w:val="1"/>
          <w:color w:val="auto"/>
        </w:rPr>
        <w:t>The Toro Company</w:t>
      </w:r>
    </w:p>
    <w:p>
      <w:pPr>
        <w:spacing w:after="0" w:line="6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8111 Lyndale Avenue South</w:t>
      </w:r>
    </w:p>
    <w:p>
      <w:pPr>
        <w:spacing w:after="0" w:line="10"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Bloomington, MN 55420-1196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1487170</wp:posOffset>
            </wp:positionV>
            <wp:extent cx="70891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1714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1461770</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0640"/>
          </w:cols>
          <w:pgMar w:left="780" w:top="1440" w:right="4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340" w:type="dxa"/>
            <w:vAlign w:val="bottom"/>
            <w:gridSpan w:val="4"/>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9"/>
              </w:rPr>
              <w:t>THE TORO COMPANY RETIREMENT PLAN</w:t>
            </w: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86"/>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80" w:type="dxa"/>
            <w:vAlign w:val="bottom"/>
          </w:tcPr>
          <w:p>
            <w:pPr>
              <w:jc w:val="center"/>
              <w:ind w:right="203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22"/>
        </w:trPr>
        <w:tc>
          <w:tcPr>
            <w:tcW w:w="87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Page Number</w:t>
            </w:r>
          </w:p>
        </w:tc>
      </w:tr>
      <w:tr>
        <w:trPr>
          <w:trHeight w:val="194"/>
        </w:trPr>
        <w:tc>
          <w:tcPr>
            <w:tcW w:w="878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238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FF"/>
              </w:rPr>
              <w:t>1</w:t>
            </w:r>
          </w:p>
        </w:tc>
      </w:tr>
      <w:tr>
        <w:trPr>
          <w:trHeight w:val="20"/>
        </w:trPr>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42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Statements of Net Assets Available for Benefits</w:t>
            </w:r>
          </w:p>
        </w:tc>
        <w:tc>
          <w:tcPr>
            <w:tcW w:w="4560" w:type="dxa"/>
            <w:vAlign w:val="bottom"/>
            <w:gridSpan w:val="3"/>
          </w:tcPr>
          <w:p>
            <w:pPr>
              <w:spacing w:after="0"/>
              <w:rPr>
                <w:sz w:val="18"/>
                <w:szCs w:val="18"/>
                <w:color w:val="auto"/>
              </w:rPr>
            </w:pP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43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Statements of Changes in Net Assets Available for Benefits</w:t>
            </w:r>
          </w:p>
        </w:tc>
        <w:tc>
          <w:tcPr>
            <w:tcW w:w="4480" w:type="dxa"/>
            <w:vAlign w:val="bottom"/>
            <w:gridSpan w:val="2"/>
          </w:tcPr>
          <w:p>
            <w:pPr>
              <w:spacing w:after="0"/>
              <w:rPr>
                <w:sz w:val="18"/>
                <w:szCs w:val="18"/>
                <w:color w:val="auto"/>
              </w:rPr>
            </w:pP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21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Notes to Financial Statements</w:t>
            </w:r>
          </w:p>
        </w:tc>
        <w:tc>
          <w:tcPr>
            <w:tcW w:w="2140" w:type="dxa"/>
            <w:vAlign w:val="bottom"/>
            <w:gridSpan w:val="3"/>
          </w:tcPr>
          <w:p>
            <w:pPr>
              <w:spacing w:after="0"/>
              <w:rPr>
                <w:sz w:val="18"/>
                <w:szCs w:val="18"/>
                <w:color w:val="auto"/>
              </w:rPr>
            </w:pPr>
          </w:p>
        </w:tc>
        <w:tc>
          <w:tcPr>
            <w:tcW w:w="4480" w:type="dxa"/>
            <w:vAlign w:val="bottom"/>
            <w:gridSpan w:val="2"/>
          </w:tcPr>
          <w:p>
            <w:pPr>
              <w:spacing w:after="0"/>
              <w:rPr>
                <w:sz w:val="18"/>
                <w:szCs w:val="18"/>
                <w:color w:val="auto"/>
              </w:rPr>
            </w:pP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87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Schedule H, line 4i - Schedule of Assets (Held at End of Year)</w:t>
            </w: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45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4280" w:type="dxa"/>
            <w:vAlign w:val="bottom"/>
          </w:tcPr>
          <w:p>
            <w:pPr>
              <w:spacing w:after="0"/>
              <w:rPr>
                <w:sz w:val="18"/>
                <w:szCs w:val="18"/>
                <w:color w:val="auto"/>
              </w:rPr>
            </w:pP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w:t>
            </w:r>
          </w:p>
        </w:tc>
      </w:tr>
      <w:tr>
        <w:trPr>
          <w:trHeight w:val="20"/>
        </w:trPr>
        <w:tc>
          <w:tcPr>
            <w:tcW w:w="7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780" w:type="dxa"/>
            <w:vAlign w:val="bottom"/>
            <w:gridSpan w:val="6"/>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10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Exhibit Index</w:t>
            </w:r>
          </w:p>
        </w:tc>
        <w:tc>
          <w:tcPr>
            <w:tcW w:w="7780" w:type="dxa"/>
            <w:vAlign w:val="bottom"/>
            <w:gridSpan w:val="6"/>
          </w:tcPr>
          <w:p>
            <w:pPr>
              <w:spacing w:after="0"/>
              <w:rPr>
                <w:sz w:val="18"/>
                <w:szCs w:val="18"/>
                <w:color w:val="auto"/>
              </w:rPr>
            </w:pPr>
          </w:p>
        </w:tc>
        <w:tc>
          <w:tcPr>
            <w:tcW w:w="22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11</w:t>
            </w:r>
          </w:p>
        </w:tc>
      </w:tr>
    </w:tbl>
    <w:p>
      <w:pPr>
        <w:sectPr>
          <w:pgSz w:w="11900" w:h="16838" w:orient="portrait"/>
          <w:cols w:equalWidth="0" w:num="1">
            <w:col w:w="11160"/>
          </w:cols>
          <w:pgMar w:left="360" w:top="887"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Plan Participants and Plan Administrator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Toro Company Retirement Plan:</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Financial Statements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The Toro Company Retirement Plan (the Plan) as of December 31, 2023 and 2022, the related statements of changes in net assets available for benefits for the years ended December 31, 2023 and 2022, and the related notes (collectively, the financial statements). In our opinion, the financial statements present fairly, in all material respects, the net assets available for benefits of the Plan as of December 31, 2023 and 2022, and the changes in net assets available for benefits for the years ended December 31, 2023 and 2022, in conformity with U.S. generally accepted accounting principles.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these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Accompanying Supplemental Information</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Schedule H, line 4i - Schedule of Assets (Held at End of Year) as of December 31, 2023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KPMG LLP</w:t>
      </w: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not been able to determine the specific year that we began serving as the Plan's auditor; however, we are aware that we have served as the Plan's auditor since at least 1993.</w:t>
      </w: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Des Moines, Iowa</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June 26, 2024</w:t>
      </w:r>
    </w:p>
    <w:p>
      <w:pPr>
        <w:sectPr>
          <w:pgSz w:w="11900" w:h="16838" w:orient="portrait"/>
          <w:cols w:equalWidth="0" w:num="1">
            <w:col w:w="11240"/>
          </w:cols>
          <w:pgMar w:left="320" w:top="99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THE TORO COMPANY RETIREMENT PLAN</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Statements of Net Assets Available for Benefits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Borders>
              <w:top w:val="single" w:sz="8" w:color="auto"/>
              <w:bottom w:val="single" w:sz="8" w:color="auto"/>
            </w:tcBorders>
          </w:tcPr>
          <w:p>
            <w:pPr>
              <w:spacing w:after="0"/>
              <w:rPr>
                <w:sz w:val="21"/>
                <w:szCs w:val="21"/>
                <w:color w:val="auto"/>
              </w:rPr>
            </w:pPr>
          </w:p>
        </w:tc>
        <w:tc>
          <w:tcPr>
            <w:tcW w:w="50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4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8"/>
              </w:rPr>
              <w:t>ASSETS</w:t>
            </w:r>
          </w:p>
        </w:tc>
        <w:tc>
          <w:tcPr>
            <w:tcW w:w="4360" w:type="dxa"/>
            <w:vAlign w:val="bottom"/>
            <w:tcBorders>
              <w:bottom w:val="single" w:sz="8" w:color="CCEEFF"/>
            </w:tcBorders>
            <w:shd w:val="clear" w:color="auto" w:fill="CCEEFF"/>
          </w:tcPr>
          <w:p>
            <w:pPr>
              <w:spacing w:after="0"/>
              <w:rPr>
                <w:sz w:val="17"/>
                <w:szCs w:val="17"/>
                <w:color w:val="auto"/>
              </w:rPr>
            </w:pPr>
          </w:p>
        </w:tc>
        <w:tc>
          <w:tcPr>
            <w:tcW w:w="30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 held by trustee, at fair value</w:t>
            </w:r>
          </w:p>
        </w:tc>
        <w:tc>
          <w:tcPr>
            <w:tcW w:w="30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3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1,349,968,359</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1,303,394,348</w:t>
            </w:r>
          </w:p>
        </w:tc>
      </w:tr>
      <w:tr>
        <w:trPr>
          <w:trHeight w:val="270"/>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36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29"/>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w:t>
            </w:r>
          </w:p>
        </w:tc>
        <w:tc>
          <w:tcPr>
            <w:tcW w:w="30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Employer contribution receivable</w:t>
            </w:r>
          </w:p>
        </w:tc>
        <w:tc>
          <w:tcPr>
            <w:tcW w:w="304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16,725,965</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16,203,517</w:t>
            </w:r>
          </w:p>
        </w:tc>
      </w:tr>
      <w:tr>
        <w:trPr>
          <w:trHeight w:val="230"/>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Employee contribution receivable</w:t>
            </w:r>
          </w:p>
        </w:tc>
        <w:tc>
          <w:tcPr>
            <w:tcW w:w="30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750,000</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755,000</w:t>
            </w:r>
          </w:p>
        </w:tc>
      </w:tr>
      <w:tr>
        <w:trPr>
          <w:trHeight w:val="229"/>
        </w:trPr>
        <w:tc>
          <w:tcPr>
            <w:tcW w:w="20" w:type="dxa"/>
            <w:vAlign w:val="bottom"/>
          </w:tcPr>
          <w:p>
            <w:pPr>
              <w:spacing w:after="0"/>
              <w:rPr>
                <w:sz w:val="19"/>
                <w:szCs w:val="19"/>
                <w:color w:val="auto"/>
              </w:rPr>
            </w:pPr>
          </w:p>
        </w:tc>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Dividends receivable on The Toro Company Common Stock</w:t>
            </w:r>
          </w:p>
        </w:tc>
        <w:tc>
          <w:tcPr>
            <w:tcW w:w="304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1,157,062</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1,194,771</w:t>
            </w:r>
          </w:p>
        </w:tc>
      </w:tr>
      <w:tr>
        <w:trPr>
          <w:trHeight w:val="230"/>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30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18,673</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131,713</w:t>
            </w:r>
          </w:p>
        </w:tc>
      </w:tr>
      <w:tr>
        <w:trPr>
          <w:trHeight w:val="229"/>
        </w:trPr>
        <w:tc>
          <w:tcPr>
            <w:tcW w:w="20" w:type="dxa"/>
            <w:vAlign w:val="bottom"/>
            <w:tcBorders>
              <w:bottom w:val="single" w:sz="8" w:color="auto"/>
            </w:tcBorders>
          </w:tcPr>
          <w:p>
            <w:pPr>
              <w:spacing w:after="0"/>
              <w:rPr>
                <w:sz w:val="19"/>
                <w:szCs w:val="19"/>
                <w:color w:val="auto"/>
              </w:rPr>
            </w:pPr>
          </w:p>
        </w:tc>
        <w:tc>
          <w:tcPr>
            <w:tcW w:w="50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 receivable due to investments in transit</w:t>
            </w:r>
          </w:p>
        </w:tc>
        <w:tc>
          <w:tcPr>
            <w:tcW w:w="30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101,394</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202,659</w:t>
            </w:r>
          </w:p>
        </w:tc>
      </w:tr>
      <w:tr>
        <w:trPr>
          <w:trHeight w:val="223"/>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receivables</w:t>
            </w:r>
          </w:p>
        </w:tc>
        <w:tc>
          <w:tcPr>
            <w:tcW w:w="30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18,753,094</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18,487,660</w:t>
            </w:r>
          </w:p>
        </w:tc>
      </w:tr>
      <w:tr>
        <w:trPr>
          <w:trHeight w:val="270"/>
        </w:trPr>
        <w:tc>
          <w:tcPr>
            <w:tcW w:w="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4360" w:type="dxa"/>
            <w:vAlign w:val="bottom"/>
            <w:tcBorders>
              <w:bottom w:val="single" w:sz="8" w:color="auto"/>
            </w:tcBorders>
          </w:tcPr>
          <w:p>
            <w:pPr>
              <w:spacing w:after="0"/>
              <w:rPr>
                <w:sz w:val="23"/>
                <w:szCs w:val="23"/>
                <w:color w:val="auto"/>
              </w:rPr>
            </w:pPr>
          </w:p>
        </w:tc>
        <w:tc>
          <w:tcPr>
            <w:tcW w:w="30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r>
      <w:tr>
        <w:trPr>
          <w:trHeight w:val="248"/>
        </w:trPr>
        <w:tc>
          <w:tcPr>
            <w:tcW w:w="20" w:type="dxa"/>
            <w:vAlign w:val="bottom"/>
            <w:tcBorders>
              <w:bottom w:val="single" w:sz="8" w:color="auto"/>
            </w:tcBorders>
            <w:shd w:val="clear" w:color="auto" w:fill="CCEEFF"/>
          </w:tcPr>
          <w:p>
            <w:pPr>
              <w:spacing w:after="0"/>
              <w:rPr>
                <w:sz w:val="21"/>
                <w:szCs w:val="21"/>
                <w:color w:val="auto"/>
              </w:rPr>
            </w:pPr>
          </w:p>
        </w:tc>
        <w:tc>
          <w:tcPr>
            <w:tcW w:w="50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30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1,368,721,453</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1,321,882,008</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360" w:type="dxa"/>
            <w:vAlign w:val="bottom"/>
            <w:tcBorders>
              <w:top w:val="single" w:sz="8" w:color="CCEEFF"/>
              <w:bottom w:val="single" w:sz="8" w:color="auto"/>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528"/>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tc>
        <w:tc>
          <w:tcPr>
            <w:tcW w:w="3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770"/>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40" w:type="dxa"/>
            <w:vAlign w:val="bottom"/>
          </w:tcPr>
          <w:p>
            <w:pPr>
              <w:jc w:val="right"/>
              <w:ind w:right="2330"/>
              <w:spacing w:after="0"/>
              <w:rPr>
                <w:sz w:val="20"/>
                <w:szCs w:val="20"/>
                <w:color w:val="auto"/>
              </w:rPr>
            </w:pPr>
            <w:r>
              <w:rPr>
                <w:rFonts w:ascii="Times New Roman" w:cs="Times New Roman" w:eastAsia="Times New Roman" w:hAnsi="Times New Roman"/>
                <w:sz w:val="18"/>
                <w:szCs w:val="18"/>
                <w:color w:val="auto"/>
              </w:rPr>
              <w:t>2</w:t>
            </w: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240"/>
          </w:cols>
          <w:pgMar w:left="320" w:top="94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THE TORO COMPANY RETIREMENT PLAN</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Statements of Changes in Net Assets Available for Benefits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Years Ended December 31</w:t>
            </w:r>
          </w:p>
        </w:tc>
        <w:tc>
          <w:tcPr>
            <w:tcW w:w="186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 (loss):</w:t>
            </w:r>
          </w:p>
        </w:tc>
        <w:tc>
          <w:tcPr>
            <w:tcW w:w="18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appreciation (depreciation) in the fair value of investments</w:t>
            </w:r>
          </w:p>
        </w:tc>
        <w:tc>
          <w:tcPr>
            <w:tcW w:w="1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91,077,449</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(149,422,652)</w:t>
            </w:r>
          </w:p>
        </w:tc>
      </w:tr>
      <w:tr>
        <w:trPr>
          <w:trHeight w:val="230"/>
        </w:trPr>
        <w:tc>
          <w:tcPr>
            <w:tcW w:w="62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and dividends</w:t>
            </w:r>
          </w:p>
        </w:tc>
        <w:tc>
          <w:tcPr>
            <w:tcW w:w="18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9,020,870</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19,802,826</w:t>
            </w:r>
          </w:p>
        </w:tc>
      </w:tr>
      <w:tr>
        <w:trPr>
          <w:trHeight w:val="223"/>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investment income (loss)</w:t>
            </w:r>
          </w:p>
        </w:tc>
        <w:tc>
          <w:tcPr>
            <w:tcW w:w="186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100,098,319</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(129,619,826)</w:t>
            </w:r>
          </w:p>
        </w:tc>
      </w:tr>
      <w:tr>
        <w:trPr>
          <w:trHeight w:val="270"/>
        </w:trPr>
        <w:tc>
          <w:tcPr>
            <w:tcW w:w="622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Contributions:</w:t>
            </w:r>
          </w:p>
        </w:tc>
        <w:tc>
          <w:tcPr>
            <w:tcW w:w="18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Employer cash contributions</w:t>
            </w:r>
          </w:p>
        </w:tc>
        <w:tc>
          <w:tcPr>
            <w:tcW w:w="18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37,839,463</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36,112,362</w:t>
            </w:r>
          </w:p>
        </w:tc>
      </w:tr>
      <w:tr>
        <w:trPr>
          <w:trHeight w:val="229"/>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contributions</w:t>
            </w:r>
          </w:p>
        </w:tc>
        <w:tc>
          <w:tcPr>
            <w:tcW w:w="186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45,977,334</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41,716,671</w:t>
            </w:r>
          </w:p>
        </w:tc>
      </w:tr>
      <w:tr>
        <w:trPr>
          <w:trHeight w:val="230"/>
        </w:trPr>
        <w:tc>
          <w:tcPr>
            <w:tcW w:w="62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Rollover contributions</w:t>
            </w:r>
          </w:p>
        </w:tc>
        <w:tc>
          <w:tcPr>
            <w:tcW w:w="18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5,304,788</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7,484,632</w:t>
            </w:r>
          </w:p>
        </w:tc>
      </w:tr>
      <w:tr>
        <w:trPr>
          <w:trHeight w:val="223"/>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contributions</w:t>
            </w:r>
          </w:p>
        </w:tc>
        <w:tc>
          <w:tcPr>
            <w:tcW w:w="186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89,121,585</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85,313,665</w:t>
            </w:r>
          </w:p>
        </w:tc>
      </w:tr>
      <w:tr>
        <w:trPr>
          <w:trHeight w:val="270"/>
        </w:trPr>
        <w:tc>
          <w:tcPr>
            <w:tcW w:w="622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Deductions from net assets:</w:t>
            </w:r>
          </w:p>
        </w:tc>
        <w:tc>
          <w:tcPr>
            <w:tcW w:w="18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Benefit payments</w:t>
            </w:r>
          </w:p>
        </w:tc>
        <w:tc>
          <w:tcPr>
            <w:tcW w:w="18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(142,012,163)</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(146,420,222)</w:t>
            </w:r>
          </w:p>
        </w:tc>
      </w:tr>
      <w:tr>
        <w:trPr>
          <w:trHeight w:val="230"/>
        </w:trPr>
        <w:tc>
          <w:tcPr>
            <w:tcW w:w="6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Administrative and other</w:t>
            </w:r>
          </w:p>
        </w:tc>
        <w:tc>
          <w:tcPr>
            <w:tcW w:w="18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(368,296)</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(503,836)</w:t>
            </w:r>
          </w:p>
        </w:tc>
      </w:tr>
      <w:tr>
        <w:trPr>
          <w:trHeight w:val="223"/>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deductions from net assets</w:t>
            </w:r>
          </w:p>
        </w:tc>
        <w:tc>
          <w:tcPr>
            <w:tcW w:w="18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(142,380,459)</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(146,924,058)</w:t>
            </w:r>
          </w:p>
        </w:tc>
      </w:tr>
      <w:tr>
        <w:trPr>
          <w:trHeight w:val="270"/>
        </w:trPr>
        <w:tc>
          <w:tcPr>
            <w:tcW w:w="622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r>
      <w:tr>
        <w:trPr>
          <w:trHeight w:val="223"/>
        </w:trPr>
        <w:tc>
          <w:tcPr>
            <w:tcW w:w="6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net assets available for benefits</w:t>
            </w:r>
          </w:p>
        </w:tc>
        <w:tc>
          <w:tcPr>
            <w:tcW w:w="18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46,839,445</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(191,230,219)</w:t>
            </w:r>
          </w:p>
        </w:tc>
      </w:tr>
      <w:tr>
        <w:trPr>
          <w:trHeight w:val="250"/>
        </w:trPr>
        <w:tc>
          <w:tcPr>
            <w:tcW w:w="62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18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62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Beginning of year</w:t>
            </w:r>
          </w:p>
        </w:tc>
        <w:tc>
          <w:tcPr>
            <w:tcW w:w="18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1,321,882,008</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1,513,112,227</w:t>
            </w:r>
          </w:p>
        </w:tc>
      </w:tr>
      <w:tr>
        <w:trPr>
          <w:trHeight w:val="248"/>
        </w:trPr>
        <w:tc>
          <w:tcPr>
            <w:tcW w:w="62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End of year</w:t>
            </w:r>
          </w:p>
        </w:tc>
        <w:tc>
          <w:tcPr>
            <w:tcW w:w="18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1,368,721,453</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1,321,882,008</w:t>
            </w:r>
          </w:p>
        </w:tc>
      </w:tr>
      <w:tr>
        <w:trPr>
          <w:trHeight w:val="20"/>
        </w:trPr>
        <w:tc>
          <w:tcPr>
            <w:tcW w:w="6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94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THE TORO COMPANY RETIREMENT PLAN</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00" w:lineRule="exact"/>
        <w:rPr>
          <w:sz w:val="20"/>
          <w:szCs w:val="20"/>
          <w:color w:val="auto"/>
        </w:rPr>
      </w:pPr>
    </w:p>
    <w:p>
      <w:pPr>
        <w:spacing w:after="0" w:line="284" w:lineRule="exact"/>
        <w:rPr>
          <w:sz w:val="20"/>
          <w:szCs w:val="20"/>
          <w:color w:val="auto"/>
        </w:rPr>
      </w:pPr>
    </w:p>
    <w:p>
      <w:pPr>
        <w:ind w:left="680" w:hanging="654"/>
        <w:spacing w:after="0"/>
        <w:tabs>
          <w:tab w:leader="none" w:pos="680" w:val="left"/>
        </w:tabs>
        <w:numPr>
          <w:ilvl w:val="0"/>
          <w:numId w:val="2"/>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Summary Description of Plan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description of The Toro Company Retirement Plan (the "Plan") is provided for general information purposes only. The description applies to each of the years for which financial statements are presented. Current and former employees (the "Participants") of The Toro Company (the "Company" or the "Plan Administrator") and its related companies that adopt the Plan should refer to the Plan document, amended and restated effective January 1, 2016, and subsequent amendments and the Summary Plan Description for a more complete description of the Plan's provisions.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Plan is a defined contribution plan formed for the purpose of providing retirement benefits to Participants. The Plan is subject to the provisions of the Employee Retirement Income Security Act of 1974 ("ERISA"). There is a profit-sharing portion and an employee stock ownership plan ("ESOP") portion of the Plan. The portions of Participant accounts that do not hold the Company's Common Stock are included in the profit-sharing portion of the Plan. The portions of Participant accounts that hold the Company's common stock, par value $1.00 per share ("Common Stock"), are included in the ESOP portion of the Plan.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Eligibility for Participation in Plan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 employees of the Company are eligible to contribute to the Plan through their salary reduction contributions after they have completed 30 consecutive days of employment. Once eligible, employees become automatically enrolled to make salary reduction contributions and become Participants, unless they affirmatively elect otherwise.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Contributions and Vesting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becoming eligible to contribute to the Plan, Participants are automatically enrolled to contribute four percent of their pre-tax compensation to the Plan through salary reduction contributions. However, Participants may affirmatively elect otherwise, either not to contribute to the Plan, to contribute at a different pre-tax rate, or to contribute on an after-tax basis with a Roth option. Participants who are automatically enrolled are automatically covered by an escalation provision that increases their rate of pre-tax contribution by one percent each calendar year, not to exceed 15 percent of the Participant's pre-tax compensation, beginning on the first payday on or after the first day of June, unless the Participant affirmatively elects otherwise. The Plan states that total contributions, including both pre-tax contributions and after-tax contributions, as applicable, cannot exceed 50 percent of a Participant's compensation. Participants can elect to contribute on a pre-tax, or after-tax basis under the Roth option, at a rate of their choosing, ranging from one percent to 50 percent of their compensation, in one percent increments, subject to contribution limits set by federal tax law and published by the United States Internal Revenue Service (“IRS”). Participants are immediately 100 percent vested in their own salary reduction contributions.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makes matching contributions to the Plan with respect to a Participant's salary reduction contributions. These matching contributions are equal to 100 percent of a Participant's salary reduction contributions, including catch-up contributions, not to exceed four percent of the Participant's eligible compensation. Such matching contributions vest in full upon completion of two years of vesting service, which is defined as a Plan year in which a Participant is credited with at least one hour of service.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Participants may also be eligible for discretionary annual contributions that may be made by the Company to the Plan on their behalf, which could include contributions in cash or contributions to the ESOP portion of the Plan in the form of Common Stock. Participants are eligible to receive discretionary annual contributions in a given year, if applicable, if they have already met the eligibility requirements to be a Participant in the Plan, were employed by the Company on the last day of the respective Plan year, and have completed 1,000 hours of service during the respective Plan year.</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Discretionary annual contributions made by the Company in cash are invested based on a Participant's selection of investment options, and thus could be included in either the profit-sharing portion of the Plan or the ESOP portion of the Plan depending on the Participant's investment elections. To the extent that a discretionary annual cash contribution is made by the Company for a Plan year, it is allocated among eligible Participants based on each Participant's eligible compensation for the Plan year, plus the Participant's eligible compensation above the Social Security taxable wage base. Discretionary annual cash contributions of $16.2 million and $15.7 million, respectively, were recorded by the Company on behalf of Participants related to the Plan year ended December 31, 2023, paid in 2024, and December 31, 2022, paid in 2023. To the extent that a discretionary annual contribution is made by the Company for a Plan year in the form of Common Stock, it is allocated based on the Participant's eligible compensation for the Plan year. The Company did not make ESOP contributions in the form of Common Stock during the Plan years ended December 31, 2023 and 2022. Discretionary annual contributions made by the Company, including both</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941" w:right="339" w:bottom="1440" w:gutter="0" w:footer="0" w:header="0"/>
        </w:sectPr>
      </w:pPr>
    </w:p>
    <w:bookmarkStart w:id="6" w:name="page7"/>
    <w:bookmarkEnd w:id="6"/>
    <w:p>
      <w:pPr>
        <w:jc w:val="both"/>
        <w:spacing w:after="0" w:line="282" w:lineRule="auto"/>
        <w:rPr>
          <w:sz w:val="20"/>
          <w:szCs w:val="20"/>
          <w:color w:val="auto"/>
        </w:rPr>
      </w:pPr>
      <w:r>
        <w:rPr>
          <w:rFonts w:ascii="Times New Roman" w:cs="Times New Roman" w:eastAsia="Times New Roman" w:hAnsi="Times New Roman"/>
          <w:sz w:val="18"/>
          <w:szCs w:val="18"/>
          <w:color w:val="auto"/>
        </w:rPr>
        <w:t>contributions in cash and in the form of Common Stock, and earnings attributable thereto, vest at a rate of 20 percent after one year of vesting service, with an additional 20 percent vesting each year of vesting service thereafter until the Participant is 100 percent vested.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Rollovers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Participants may make rollover contributions to the Plan representing distributions from other qualified retirement plans. Participants are allowed to subsequently withdraw or transfer such amounts that they previously rolled into the Plan. Transfers of Participants’ interests are made by Fidelity Management Trust Company, acting as the trustee of the Plan ("Trustee"), and are recorded when paid or transferred,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of Participant Accounts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Participants may choose to have their accounts, including those initially invested in Common Stock, invested in any of the investment options made available under the Plan or in Common Stock, subject to certain limitations. No more than 25 percent of a Participant's contributions, and contributions made by the Company on their behalf, may be invested in Common Stock. Reallocations of investments in a Participant’s account cannot be made to Common Stock if more than 25 percent of the Participant’s account is invested in Common Stock. All contributions to the Plan are made to a trust that holds all of the assets of the Plan.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Forfeiture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a Participant's termination of service due to resignation, discharge, or retirement prior to the Plan's retirement age of 65, the unvested portion of such Participant's account balance is forfeited. During the years ended December 31, 2023 and 2022, forfeited non-vested contributions and earnings attributable thereto, including matching contributions and discretionary annual contributions, as applicable, totaled $0.5 million and $0.4 million, respectively. Forfeited amounts are used to offset future Company contributions to the Plan.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of Benefits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Upon a Participant's termination of service due to death, disability, resignation, discharge, or retirement, such Participant, or a designated beneficiary in the event of termination of service due to death or disability, is eligible to receive distribution payments in the form of a lump-sum payment or in installments in an amount equal to the value of such Participant's vested interest in the Plan. Participants may request hardship withdrawals under IRS guidelines in the event of a defined financial hardship which cannot be reasonably met from other resources of the Participant. In addition, at age 59½, Participants are able to take in-service withdrawals in an amount equal to the value of the Participant's vested interest in the Plan. To the extent an account is invested in Common Stock, a withdrawal or distribution can be in the form of Common Stock or cash. Benefit payments are made by the Trustee and are recorded when paid or transferred,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Intimidator Group 401(k) Retirement Plan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13, 2022, the Company completed its acquisition of the privately held Intimidator Group. The Intimidator Group 401(k) Retirement Plan was terminated prior to the acquisition and was liquidated after the acquisition. Participants were given the option to take a distribution or roll over their accounts into the Plan or an IRA of their choosing. In the absence of an affirmative election, the Company forced a direct rollover into an IRA with Millennium Trust.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Rights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 Company has not expressed any intention to do so, the Company has the right under the Plan to discontinue contributions to the Plan at any time and may also terminate the Plan at any time subject to the provisions set forth in ERISA. In the event of termination of the Plan, Participant account balances would become fully vested and would be distributed to Participants.</w:t>
      </w:r>
    </w:p>
    <w:p>
      <w:pPr>
        <w:spacing w:after="0" w:line="192" w:lineRule="exact"/>
        <w:rPr>
          <w:sz w:val="20"/>
          <w:szCs w:val="20"/>
          <w:color w:val="auto"/>
        </w:rPr>
      </w:pPr>
    </w:p>
    <w:p>
      <w:pPr>
        <w:ind w:left="680" w:hanging="654"/>
        <w:spacing w:after="0"/>
        <w:tabs>
          <w:tab w:leader="none" w:pos="680" w:val="left"/>
        </w:tabs>
        <w:numPr>
          <w:ilvl w:val="0"/>
          <w:numId w:val="3"/>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Summary of Significant Accounting Policies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United States generally accepted accounting principles ("U.S. GAAP") and are presented on the accrual basis of accounting.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Estimates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preparation of the financial statements and any supplemental information in conformity with U.S. GAAP requires the Plan Administrator to make estimates and assumptions that affect the reported amounts of net assets available for benefits and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999" w:right="339" w:bottom="1440" w:gutter="0" w:footer="0" w:header="0"/>
        </w:sectPr>
      </w:pPr>
    </w:p>
    <w:bookmarkStart w:id="7" w:name="page8"/>
    <w:bookmarkEnd w:id="7"/>
    <w:p>
      <w:pPr>
        <w:jc w:val="both"/>
        <w:spacing w:after="0" w:line="282" w:lineRule="auto"/>
        <w:rPr>
          <w:sz w:val="20"/>
          <w:szCs w:val="20"/>
          <w:color w:val="auto"/>
        </w:rPr>
      </w:pPr>
      <w:r>
        <w:rPr>
          <w:rFonts w:ascii="Times New Roman" w:cs="Times New Roman" w:eastAsia="Times New Roman" w:hAnsi="Times New Roman"/>
          <w:sz w:val="18"/>
          <w:szCs w:val="18"/>
          <w:color w:val="auto"/>
        </w:rPr>
        <w:t>disclosure of contingent assets and liabilities as of the date of the financial statements and the reported amounts of changes in net assets available for benefits during the reporting period. Actual results could differ from those estimates.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Plan has investments in a variety of investment funds that, in general, are exposed to various risks, such as interest rate and credit risk, as well as overall market volatility. Due to the level of risk associated with certain investments, it is reasonably possible that changes in the values of the investments will occur in the near term and that such changes could materially affect the value of the Participants' account balances and the amounts reported in the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Investments and Income Recognition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Plan's investments are stated at fair value. Fair value is the price that would be received to sell an asset or paid to transfer a liability in an orderly transaction between market participants as of the measurement date. Refer to Note 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for additional information regarding the fair value measurements of the Plan's investments. Purchases and sales of all investments are recorded on a trade-date basis. Net appreciation, or depreciation, includes the Plan's gains, or losses, respectively, on investments bought and sold, as well as held during the year and is reflected in the financial statements. Interest is recorded on an accrual basis. Dividends are recorded on the ex-dividend date.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and 2022, approximately 23 percent and 31 percent of the investments of the Plan, respectively, were invested in Common Stock. As a result of this concentration, net assets available for benefits are particularly sensitive to changes in the fair value of investments in Common Stock. The underlying value of the Common Stock is entirely dependent upon the performance of the Company and the market’s evaluation of such performance and other factors.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Receivable from Participants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general, the Plan does not permit loans to Participants from their individual accounts. However, outstanding Participant loans transferred into the Plan as a result of a plan merger with, and into, the Plan remain outstanding in accordance with the existing terms of the promissory notes and plan loan policies in effect immediately before the merger. Participant loans are recorded as notes receivable from participants on the financial statements. Such Participant loans are valued at the unpaid principal balance plus any accrued but unpaid interest. Interest income is recorded on the accrual basis and related fees are recorded as administrative expense when incurred. No allowance for current expected credit losses has been recorded on the outstanding Participant loan balance as of December 31, 2023 or 2022.</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Indirect Investments in Fully Benefit-Responsive Investment Contracts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Plan indirectly invests in fully benefit-responsive investment contracts and security-backed contracts through the Plan's investment in the Vanguard Retirement Savings Trust IV, held as of December 31, 2023 and 2022. An investment contract is a contract issued by a financial institution to provide a consistent return to the buyer of the contract for a specified period of time. A security-backed contract has similar characteristics as a traditional investment contract and is comprised of two parts: the first part is a fixed-income security or portfolio of fixed-income securities; the second part is a contract value guarantee provided by a third party. Investments in the Vanguard Retirement Savings Trust IV were recorded at a fair value of $50.0 million and $57.6 million as of December 31, 2023 and 2022, respectively. Investments in the Vanguard Retirement Savings Trust IV are categorized as common collective trust funds for the years ended December 31, 2023 and 2022 in Note 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yield earned by the Vanguard Retirement Savings Trust IV was approximately three percent as of December 31, 2023 and 2022.</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Expenses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Administrative costs of the Plan are shared by the Company and Participants, depending upon the type of administrative cost, and are recorded when the expense has been incurred. Investment management fees are netted against investment income.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999" w:right="339" w:bottom="1440" w:gutter="0" w:footer="0" w:header="0"/>
        </w:sectPr>
      </w:pPr>
    </w:p>
    <w:bookmarkStart w:id="8" w:name="page9"/>
    <w:bookmarkEnd w:id="8"/>
    <w:p>
      <w:pPr>
        <w:ind w:left="680" w:hanging="654"/>
        <w:spacing w:after="0"/>
        <w:tabs>
          <w:tab w:leader="none" w:pos="680" w:val="left"/>
        </w:tabs>
        <w:numPr>
          <w:ilvl w:val="0"/>
          <w:numId w:val="4"/>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Fair Value Measurement</w:t>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Plan categorizes its assets and liabilities into one of three levels based on the assumptions (inputs) used in valuing the asset or liability. Level 1 provides the most reliable measure of fair value, while Level 3 generally requires significant management judgment. The three levels are defined as follows:</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Level 1</w:t>
      </w:r>
      <w:r>
        <w:rPr>
          <w:rFonts w:ascii="Times New Roman" w:cs="Times New Roman" w:eastAsia="Times New Roman" w:hAnsi="Times New Roman"/>
          <w:sz w:val="18"/>
          <w:szCs w:val="18"/>
          <w:color w:val="auto"/>
        </w:rPr>
        <w:t>: Unadjusted quoted prices in active markets for identical assets or liabilities.</w:t>
      </w:r>
    </w:p>
    <w:p>
      <w:pPr>
        <w:spacing w:after="0" w:line="117"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color w:val="auto"/>
        </w:rPr>
        <w:t>Level 2</w:t>
      </w:r>
      <w:r>
        <w:rPr>
          <w:rFonts w:ascii="Times New Roman" w:cs="Times New Roman" w:eastAsia="Times New Roman" w:hAnsi="Times New Roman"/>
          <w:sz w:val="18"/>
          <w:szCs w:val="18"/>
          <w:color w:val="auto"/>
        </w:rPr>
        <w:t>: Observable inputs other than Level 1 prices, such as quoted prices for similar assets or liabilities in active markets; quoted prices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identical assets or liabilities in markets that are not active; or other inputs that are observable or can be corroborated by observable market data for substantially the full term of the assets or liabilities.</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Level 3</w:t>
      </w:r>
      <w:r>
        <w:rPr>
          <w:rFonts w:ascii="Times New Roman" w:cs="Times New Roman" w:eastAsia="Times New Roman" w:hAnsi="Times New Roman"/>
          <w:sz w:val="18"/>
          <w:szCs w:val="18"/>
          <w:color w:val="auto"/>
        </w:rPr>
        <w:t>: Unobservable inputs reflecting management’s assumptions about the inputs used in pricing the asset or liability.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asset or liability's fair value measurement level within the fair value hierarchy is based on the lowest level of any input that is significant to the fair value measurement. Valuation techniques maximize the use of relevant observable inputs and minimize the use of unobservable inputs.</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Plan's investments in mutual funds, money market funds, and Common Stock are classified as Level 1 assets in the fair value hierarchy. Mutual funds and investments in Common Stock are valued based on the unadjusted closing market price reported on the active market on which the individual securities are traded. Money market funds are open-end, actively traded mutual funds that are registered with the Securities and Exchange Commission and are valued at the daily closing price as reported by the fund. Investments held within the self-directed brokerage account are classified as Level 1 assets in the fair value hierarchy and primarily consist of mutual funds and common stocks that are valued based on the unadjusted closing market price reported on the active market on which the individual securities are traded. The Plan's investments in common collective trust funds are classified as Level 2 assets in the fair value hierarchy. Common collective trust funds have the characteristics of a structure similar to a mutual fund and are valued based on the readily determinable quoted market price that each fund publishes at the end of each day. While the underlying assets in a common collective trust fund are actively traded on an exchange, the funds themselves are not and, therefore, are classified as Level 2 assets in the fair value hierarchy.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Plan's assets measured at fair value as of December 31, 2023 and 2022 are summarized below:</w:t>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3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Total</w:t>
            </w: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4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7"/>
                <w:szCs w:val="17"/>
                <w:b w:val="1"/>
                <w:bCs w:val="1"/>
                <w:color w:val="auto"/>
              </w:rPr>
              <w:t>Level 3</w:t>
            </w:r>
          </w:p>
        </w:tc>
      </w:tr>
      <w:tr>
        <w:trPr>
          <w:trHeight w:val="225"/>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Mutual funds</w:t>
            </w:r>
          </w:p>
        </w:tc>
        <w:tc>
          <w:tcPr>
            <w:tcW w:w="12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75,255,452</w:t>
            </w:r>
          </w:p>
        </w:tc>
        <w:tc>
          <w:tcPr>
            <w:tcW w:w="4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75,255,452</w:t>
            </w:r>
          </w:p>
        </w:tc>
        <w:tc>
          <w:tcPr>
            <w:tcW w:w="4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Common collective trust funds</w:t>
            </w:r>
          </w:p>
        </w:tc>
        <w:tc>
          <w:tcPr>
            <w:tcW w:w="128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927,238,238</w:t>
            </w:r>
          </w:p>
        </w:tc>
        <w:tc>
          <w:tcPr>
            <w:tcW w:w="40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927,238,238</w:t>
            </w:r>
          </w:p>
        </w:tc>
        <w:tc>
          <w:tcPr>
            <w:tcW w:w="4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Money market funds</w:t>
            </w:r>
          </w:p>
        </w:tc>
        <w:tc>
          <w:tcPr>
            <w:tcW w:w="128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20,357,170</w:t>
            </w: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20,357,170</w:t>
            </w: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Self-directed brokerage</w:t>
            </w:r>
          </w:p>
        </w:tc>
        <w:tc>
          <w:tcPr>
            <w:tcW w:w="128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18,585,761</w:t>
            </w:r>
          </w:p>
        </w:tc>
        <w:tc>
          <w:tcPr>
            <w:tcW w:w="40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18,585,761</w:t>
            </w:r>
          </w:p>
        </w:tc>
        <w:tc>
          <w:tcPr>
            <w:tcW w:w="40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r>
      <w:tr>
        <w:trPr>
          <w:trHeight w:val="230"/>
        </w:trPr>
        <w:tc>
          <w:tcPr>
            <w:tcW w:w="3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 Toro Company Common Stock</w:t>
            </w:r>
          </w:p>
        </w:tc>
        <w:tc>
          <w:tcPr>
            <w:tcW w:w="1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308,531,738</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308,531,738</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3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Investments at fair value</w:t>
            </w:r>
          </w:p>
        </w:tc>
        <w:tc>
          <w:tcPr>
            <w:tcW w:w="12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1,349,968,359</w:t>
            </w:r>
          </w:p>
        </w:tc>
        <w:tc>
          <w:tcPr>
            <w:tcW w:w="4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422,730,121</w:t>
            </w:r>
          </w:p>
        </w:tc>
        <w:tc>
          <w:tcPr>
            <w:tcW w:w="4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927,238,238</w:t>
            </w:r>
          </w:p>
        </w:tc>
        <w:tc>
          <w:tcPr>
            <w:tcW w:w="4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7"/>
                <w:szCs w:val="17"/>
                <w:color w:val="auto"/>
              </w:rPr>
              <w:t>—</w:t>
            </w:r>
          </w:p>
        </w:tc>
      </w:tr>
      <w:tr>
        <w:trPr>
          <w:trHeight w:val="24"/>
        </w:trPr>
        <w:tc>
          <w:tcPr>
            <w:tcW w:w="3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3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Total</w:t>
            </w: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4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7"/>
                <w:szCs w:val="17"/>
                <w:b w:val="1"/>
                <w:bCs w:val="1"/>
                <w:color w:val="auto"/>
              </w:rPr>
              <w:t>Level 3</w:t>
            </w:r>
          </w:p>
        </w:tc>
      </w:tr>
      <w:tr>
        <w:trPr>
          <w:trHeight w:val="225"/>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Mutual funds</w:t>
            </w:r>
          </w:p>
        </w:tc>
        <w:tc>
          <w:tcPr>
            <w:tcW w:w="12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375,940,692</w:t>
            </w:r>
          </w:p>
        </w:tc>
        <w:tc>
          <w:tcPr>
            <w:tcW w:w="4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375,940,692</w:t>
            </w:r>
          </w:p>
        </w:tc>
        <w:tc>
          <w:tcPr>
            <w:tcW w:w="4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Common collective trust funds</w:t>
            </w:r>
          </w:p>
        </w:tc>
        <w:tc>
          <w:tcPr>
            <w:tcW w:w="128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494,017,569</w:t>
            </w:r>
          </w:p>
        </w:tc>
        <w:tc>
          <w:tcPr>
            <w:tcW w:w="40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494,017,569</w:t>
            </w:r>
          </w:p>
        </w:tc>
        <w:tc>
          <w:tcPr>
            <w:tcW w:w="4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Money market funds</w:t>
            </w:r>
          </w:p>
        </w:tc>
        <w:tc>
          <w:tcPr>
            <w:tcW w:w="128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19,187,015</w:t>
            </w: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19,187,015</w:t>
            </w: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Self-directed brokerage</w:t>
            </w:r>
          </w:p>
        </w:tc>
        <w:tc>
          <w:tcPr>
            <w:tcW w:w="128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16,447,674</w:t>
            </w:r>
          </w:p>
        </w:tc>
        <w:tc>
          <w:tcPr>
            <w:tcW w:w="40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16,447,674</w:t>
            </w:r>
          </w:p>
        </w:tc>
        <w:tc>
          <w:tcPr>
            <w:tcW w:w="40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r>
      <w:tr>
        <w:trPr>
          <w:trHeight w:val="230"/>
        </w:trPr>
        <w:tc>
          <w:tcPr>
            <w:tcW w:w="3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 Toro Company Common Stock</w:t>
            </w:r>
          </w:p>
        </w:tc>
        <w:tc>
          <w:tcPr>
            <w:tcW w:w="1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397,801,398</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397,801,398</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3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Investments at fair value</w:t>
            </w:r>
          </w:p>
        </w:tc>
        <w:tc>
          <w:tcPr>
            <w:tcW w:w="12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1,303,394,348</w:t>
            </w:r>
          </w:p>
        </w:tc>
        <w:tc>
          <w:tcPr>
            <w:tcW w:w="4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809,376,779</w:t>
            </w:r>
          </w:p>
        </w:tc>
        <w:tc>
          <w:tcPr>
            <w:tcW w:w="4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494,017,569</w:t>
            </w:r>
          </w:p>
        </w:tc>
        <w:tc>
          <w:tcPr>
            <w:tcW w:w="4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7"/>
                <w:szCs w:val="17"/>
                <w:color w:val="auto"/>
              </w:rPr>
              <w:t>—</w:t>
            </w:r>
          </w:p>
        </w:tc>
      </w:tr>
      <w:tr>
        <w:trPr>
          <w:trHeight w:val="24"/>
        </w:trPr>
        <w:tc>
          <w:tcPr>
            <w:tcW w:w="3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123" w:right="339" w:bottom="1440" w:gutter="0" w:footer="0" w:header="0"/>
        </w:sectPr>
      </w:pPr>
    </w:p>
    <w:bookmarkStart w:id="9" w:name="page10"/>
    <w:bookmarkEnd w:id="9"/>
    <w:p>
      <w:pPr>
        <w:ind w:left="680" w:hanging="654"/>
        <w:spacing w:after="0"/>
        <w:tabs>
          <w:tab w:leader="none" w:pos="680" w:val="left"/>
        </w:tabs>
        <w:numPr>
          <w:ilvl w:val="0"/>
          <w:numId w:val="5"/>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Party-in-Interest Transactions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the Trustee and the Company are parties-in-interest with respect to the Plan. The Plan’s investments are held by the Trustee, and some of the investment funds available to Participants include investment funds under a self-directed brokerage account and money market funds managed by the Trustee. Transactions between the Plan and the Trustee are exempt from being considered as "prohibited transactions" under ERISA Section 408(b). The Plan had no prohibited transactions with parties-in-interest during 2023 and 2022.</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Transactions involving Common Stock qualify as party-in-interest transactions that are exempt from the prohibited transaction rules under ERISA. At December 31, 2023 and 2022, the Plan held 3,214,060 and 3,514,031 shares of Common Stock, respectively, with a cost basis of approximately $74.3 million and $73.9 million, respectively. During the years ended December 31, 2023 and 2022, the Plan recorded dividend income on shares of Common Stock of $4.7 million and $4.6 million, respectively.</w:t>
      </w:r>
    </w:p>
    <w:p>
      <w:pPr>
        <w:spacing w:after="0" w:line="196" w:lineRule="exact"/>
        <w:rPr>
          <w:sz w:val="20"/>
          <w:szCs w:val="20"/>
          <w:color w:val="auto"/>
        </w:rPr>
      </w:pPr>
    </w:p>
    <w:p>
      <w:pPr>
        <w:ind w:left="680" w:hanging="654"/>
        <w:spacing w:after="0"/>
        <w:tabs>
          <w:tab w:leader="none" w:pos="680" w:val="left"/>
        </w:tabs>
        <w:numPr>
          <w:ilvl w:val="0"/>
          <w:numId w:val="6"/>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Plan Tax Status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Plan Administrator received a favorable determination letter dated November 1, 2017 from the IRS stating that the Plan constitutes a qualified plan under Section 401(a) of the United States Internal Revenue Code ("IRC") and that the trust created under the Plan is exempt from federal income tax under Section 501(a) of the IRC. The Plan Administrator believes that the Plan is designed and is currently being operated in compliance with the applicable requirements of the IRC.</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 GAAP requires the Plan Administrator to evaluate tax positions taken by the Plan and recognize a tax liability, or asset, if the Plan has taken an uncertain position that more likely than not would not be sustained upon examination by the IRS. The Plan Administrator has concluded that as of December 31, 2023, there are no uncertain tax positions taken or expected to be taken. The Plan is subject to routine audits by taxing jurisdictions; however, there are currently no audits for any tax periods in progress. The Plan's management believes that the Plan is no longer subject to income tax examinations for years prior to 2019.</w:t>
      </w:r>
    </w:p>
    <w:p>
      <w:pPr>
        <w:spacing w:after="0" w:line="186" w:lineRule="exact"/>
        <w:rPr>
          <w:sz w:val="20"/>
          <w:szCs w:val="20"/>
          <w:color w:val="auto"/>
        </w:rPr>
      </w:pPr>
    </w:p>
    <w:p>
      <w:pPr>
        <w:ind w:left="680" w:hanging="654"/>
        <w:spacing w:after="0"/>
        <w:tabs>
          <w:tab w:leader="none" w:pos="680" w:val="left"/>
        </w:tabs>
        <w:numPr>
          <w:ilvl w:val="0"/>
          <w:numId w:val="7"/>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Subsequent Events</w:t>
      </w:r>
    </w:p>
    <w:p>
      <w:pPr>
        <w:spacing w:after="0" w:line="1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evaluated all subsequent events through June 26, 2024, the date that the financial statements were available to be issued, and concluded that no subsequent events have occurred that would require recognition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123" w:right="339" w:bottom="1440" w:gutter="0" w:footer="0" w:header="0"/>
        </w:sectPr>
      </w:pPr>
    </w:p>
    <w:bookmarkStart w:id="10" w:name="page11"/>
    <w:bookmarkEnd w:id="10"/>
    <w:p>
      <w:pPr>
        <w:ind w:left="3760"/>
        <w:spacing w:after="0"/>
        <w:rPr>
          <w:sz w:val="20"/>
          <w:szCs w:val="20"/>
          <w:color w:val="auto"/>
        </w:rPr>
      </w:pPr>
      <w:r>
        <w:rPr>
          <w:rFonts w:ascii="Times New Roman" w:cs="Times New Roman" w:eastAsia="Times New Roman" w:hAnsi="Times New Roman"/>
          <w:sz w:val="18"/>
          <w:szCs w:val="18"/>
          <w:b w:val="1"/>
          <w:bCs w:val="1"/>
          <w:color w:val="auto"/>
        </w:rPr>
        <w:t>THE TORO COMPANY RETIREMENT PLAN</w:t>
      </w:r>
    </w:p>
    <w:p>
      <w:pPr>
        <w:spacing w:after="0" w:line="5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Schedule H, line 4i - Schedule of Assets (Held at End of Year)</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December 31, 2023</w:t>
      </w:r>
    </w:p>
    <w:p>
      <w:pPr>
        <w:spacing w:after="0" w:line="354" w:lineRule="exact"/>
        <w:rPr>
          <w:sz w:val="20"/>
          <w:szCs w:val="20"/>
          <w:color w:val="auto"/>
        </w:rPr>
      </w:pPr>
    </w:p>
    <w:tbl>
      <w:tblPr>
        <w:tblLayout w:type="fixed"/>
        <w:tblInd w:w="140" w:type="dxa"/>
        <w:tblCellMar>
          <w:top w:w="0" w:type="dxa"/>
          <w:left w:w="0" w:type="dxa"/>
          <w:bottom w:w="0" w:type="dxa"/>
          <w:right w:w="0" w:type="dxa"/>
        </w:tblCellMar>
      </w:tblPr>
      <w:tr>
        <w:trPr>
          <w:trHeight w:val="176"/>
        </w:trPr>
        <w:tc>
          <w:tcPr>
            <w:tcW w:w="380" w:type="dxa"/>
            <w:vAlign w:val="bottom"/>
            <w:tcBorders>
              <w:top w:val="single" w:sz="8" w:color="auto"/>
            </w:tcBorders>
          </w:tcPr>
          <w:p>
            <w:pPr>
              <w:spacing w:after="0"/>
              <w:rPr>
                <w:sz w:val="15"/>
                <w:szCs w:val="15"/>
                <w:color w:val="auto"/>
              </w:rPr>
            </w:pPr>
          </w:p>
        </w:tc>
        <w:tc>
          <w:tcPr>
            <w:tcW w:w="448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Identity of Issue, Borrower, Lessor, or Similar Party</w:t>
            </w:r>
          </w:p>
        </w:tc>
        <w:tc>
          <w:tcPr>
            <w:tcW w:w="4000" w:type="dxa"/>
            <w:vAlign w:val="bottom"/>
            <w:tcBorders>
              <w:top w:val="single" w:sz="8" w:color="auto"/>
            </w:tcBorders>
          </w:tcPr>
          <w:p>
            <w:pPr>
              <w:ind w:left="260"/>
              <w:spacing w:after="0" w:line="175" w:lineRule="exact"/>
              <w:rPr>
                <w:sz w:val="20"/>
                <w:szCs w:val="20"/>
                <w:color w:val="auto"/>
              </w:rPr>
            </w:pPr>
            <w:r>
              <w:rPr>
                <w:rFonts w:ascii="Times New Roman" w:cs="Times New Roman" w:eastAsia="Times New Roman" w:hAnsi="Times New Roman"/>
                <w:sz w:val="16"/>
                <w:szCs w:val="16"/>
                <w:b w:val="1"/>
                <w:bCs w:val="1"/>
                <w:color w:val="auto"/>
              </w:rPr>
              <w:t>Description of Investment, Including Maturity Date,</w:t>
            </w:r>
          </w:p>
        </w:tc>
        <w:tc>
          <w:tcPr>
            <w:tcW w:w="5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Cost</w:t>
            </w:r>
          </w:p>
        </w:tc>
        <w:tc>
          <w:tcPr>
            <w:tcW w:w="2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Current Value</w:t>
            </w:r>
          </w:p>
        </w:tc>
        <w:tc>
          <w:tcPr>
            <w:tcW w:w="0" w:type="dxa"/>
            <w:vAlign w:val="bottom"/>
          </w:tcPr>
          <w:p>
            <w:pPr>
              <w:spacing w:after="0"/>
              <w:rPr>
                <w:sz w:val="1"/>
                <w:szCs w:val="1"/>
                <w:color w:val="auto"/>
              </w:rPr>
            </w:pPr>
          </w:p>
        </w:tc>
      </w:tr>
      <w:tr>
        <w:trPr>
          <w:trHeight w:val="214"/>
        </w:trPr>
        <w:tc>
          <w:tcPr>
            <w:tcW w:w="38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vMerge w:val="continue"/>
          </w:tcPr>
          <w:p>
            <w:pPr>
              <w:spacing w:after="0"/>
              <w:rPr>
                <w:sz w:val="18"/>
                <w:szCs w:val="18"/>
                <w:color w:val="auto"/>
              </w:rPr>
            </w:pPr>
          </w:p>
        </w:tc>
        <w:tc>
          <w:tcPr>
            <w:tcW w:w="4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Rate of Interest, Collateral, Par or Maturity Value</w:t>
            </w:r>
          </w:p>
        </w:tc>
        <w:tc>
          <w:tcPr>
            <w:tcW w:w="58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0" w:type="dxa"/>
            <w:vAlign w:val="bottom"/>
            <w:shd w:val="clear" w:color="auto" w:fill="CCEEFF"/>
          </w:tcPr>
          <w:p>
            <w:pPr>
              <w:spacing w:after="0"/>
              <w:rPr>
                <w:sz w:val="18"/>
                <w:szCs w:val="18"/>
                <w:color w:val="auto"/>
              </w:rPr>
            </w:pPr>
          </w:p>
        </w:tc>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 Rowe Price International Discovery Fund I Class</w:t>
            </w:r>
          </w:p>
        </w:tc>
        <w:tc>
          <w:tcPr>
            <w:tcW w:w="4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Mutual Fund</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15,318,836</w:t>
            </w:r>
          </w:p>
        </w:tc>
        <w:tc>
          <w:tcPr>
            <w:tcW w:w="0" w:type="dxa"/>
            <w:vAlign w:val="bottom"/>
          </w:tcPr>
          <w:p>
            <w:pPr>
              <w:spacing w:after="0"/>
              <w:rPr>
                <w:sz w:val="1"/>
                <w:szCs w:val="1"/>
                <w:color w:val="auto"/>
              </w:rPr>
            </w:pPr>
          </w:p>
        </w:tc>
      </w:tr>
      <w:tr>
        <w:trPr>
          <w:trHeight w:val="213"/>
        </w:trPr>
        <w:tc>
          <w:tcPr>
            <w:tcW w:w="380" w:type="dxa"/>
            <w:vAlign w:val="bottom"/>
          </w:tcPr>
          <w:p>
            <w:pPr>
              <w:spacing w:after="0"/>
              <w:rPr>
                <w:sz w:val="18"/>
                <w:szCs w:val="18"/>
                <w:color w:val="auto"/>
              </w:rPr>
            </w:pPr>
          </w:p>
        </w:tc>
        <w:tc>
          <w:tcPr>
            <w:tcW w:w="4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Vanguard Explorer Fund Admiral Shares</w:t>
            </w:r>
          </w:p>
        </w:tc>
        <w:tc>
          <w:tcPr>
            <w:tcW w:w="4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Mutual Fund</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24,158,135</w:t>
            </w:r>
          </w:p>
        </w:tc>
        <w:tc>
          <w:tcPr>
            <w:tcW w:w="0" w:type="dxa"/>
            <w:vAlign w:val="bottom"/>
          </w:tcPr>
          <w:p>
            <w:pPr>
              <w:spacing w:after="0"/>
              <w:rPr>
                <w:sz w:val="1"/>
                <w:szCs w:val="1"/>
                <w:color w:val="auto"/>
              </w:rPr>
            </w:pPr>
          </w:p>
        </w:tc>
      </w:tr>
      <w:tr>
        <w:trPr>
          <w:trHeight w:val="219"/>
        </w:trPr>
        <w:tc>
          <w:tcPr>
            <w:tcW w:w="380" w:type="dxa"/>
            <w:vAlign w:val="bottom"/>
            <w:shd w:val="clear" w:color="auto" w:fill="CCEEFF"/>
          </w:tcPr>
          <w:p>
            <w:pPr>
              <w:spacing w:after="0"/>
              <w:rPr>
                <w:sz w:val="19"/>
                <w:szCs w:val="19"/>
                <w:color w:val="auto"/>
              </w:rPr>
            </w:pPr>
          </w:p>
        </w:tc>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PIMCO International Bond Fund (Unhedged) Institutional Class</w:t>
            </w:r>
          </w:p>
        </w:tc>
        <w:tc>
          <w:tcPr>
            <w:tcW w:w="4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Mutual Fund</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2,805,352</w:t>
            </w:r>
          </w:p>
        </w:tc>
        <w:tc>
          <w:tcPr>
            <w:tcW w:w="0" w:type="dxa"/>
            <w:vAlign w:val="bottom"/>
          </w:tcPr>
          <w:p>
            <w:pPr>
              <w:spacing w:after="0"/>
              <w:rPr>
                <w:sz w:val="1"/>
                <w:szCs w:val="1"/>
                <w:color w:val="auto"/>
              </w:rPr>
            </w:pPr>
          </w:p>
        </w:tc>
      </w:tr>
      <w:tr>
        <w:trPr>
          <w:trHeight w:val="213"/>
        </w:trPr>
        <w:tc>
          <w:tcPr>
            <w:tcW w:w="380" w:type="dxa"/>
            <w:vAlign w:val="bottom"/>
          </w:tcPr>
          <w:p>
            <w:pPr>
              <w:spacing w:after="0"/>
              <w:rPr>
                <w:sz w:val="18"/>
                <w:szCs w:val="18"/>
                <w:color w:val="auto"/>
              </w:rPr>
            </w:pPr>
          </w:p>
        </w:tc>
        <w:tc>
          <w:tcPr>
            <w:tcW w:w="4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PGIM Total Return Bond Fund Class R6</w:t>
            </w:r>
          </w:p>
        </w:tc>
        <w:tc>
          <w:tcPr>
            <w:tcW w:w="4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Mutual Fund</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9,334,422</w:t>
            </w:r>
          </w:p>
        </w:tc>
        <w:tc>
          <w:tcPr>
            <w:tcW w:w="0" w:type="dxa"/>
            <w:vAlign w:val="bottom"/>
          </w:tcPr>
          <w:p>
            <w:pPr>
              <w:spacing w:after="0"/>
              <w:rPr>
                <w:sz w:val="1"/>
                <w:szCs w:val="1"/>
                <w:color w:val="auto"/>
              </w:rPr>
            </w:pPr>
          </w:p>
        </w:tc>
      </w:tr>
      <w:tr>
        <w:trPr>
          <w:trHeight w:val="219"/>
        </w:trPr>
        <w:tc>
          <w:tcPr>
            <w:tcW w:w="380" w:type="dxa"/>
            <w:vAlign w:val="bottom"/>
            <w:shd w:val="clear" w:color="auto" w:fill="CCEEFF"/>
          </w:tcPr>
          <w:p>
            <w:pPr>
              <w:spacing w:after="0"/>
              <w:rPr>
                <w:sz w:val="19"/>
                <w:szCs w:val="19"/>
                <w:color w:val="auto"/>
              </w:rPr>
            </w:pPr>
          </w:p>
        </w:tc>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American Beacon Small Cap Value Fund Class R6</w:t>
            </w:r>
          </w:p>
        </w:tc>
        <w:tc>
          <w:tcPr>
            <w:tcW w:w="4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Mutual Fund</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23,638,707</w:t>
            </w:r>
          </w:p>
        </w:tc>
        <w:tc>
          <w:tcPr>
            <w:tcW w:w="0" w:type="dxa"/>
            <w:vAlign w:val="bottom"/>
          </w:tcPr>
          <w:p>
            <w:pPr>
              <w:spacing w:after="0"/>
              <w:rPr>
                <w:sz w:val="1"/>
                <w:szCs w:val="1"/>
                <w:color w:val="auto"/>
              </w:rPr>
            </w:pPr>
          </w:p>
        </w:tc>
      </w:tr>
      <w:tr>
        <w:trPr>
          <w:trHeight w:val="213"/>
        </w:trPr>
        <w:tc>
          <w:tcPr>
            <w:tcW w:w="380" w:type="dxa"/>
            <w:vAlign w:val="bottom"/>
          </w:tcPr>
          <w:p>
            <w:pPr>
              <w:spacing w:after="0"/>
              <w:rPr>
                <w:sz w:val="18"/>
                <w:szCs w:val="18"/>
                <w:color w:val="auto"/>
              </w:rPr>
            </w:pPr>
          </w:p>
        </w:tc>
        <w:tc>
          <w:tcPr>
            <w:tcW w:w="4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Northern Trust Collective Aggregate Bond Index Fund</w:t>
            </w:r>
          </w:p>
        </w:tc>
        <w:tc>
          <w:tcPr>
            <w:tcW w:w="4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Common Collective Trust</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14,588,887</w:t>
            </w:r>
          </w:p>
        </w:tc>
        <w:tc>
          <w:tcPr>
            <w:tcW w:w="0" w:type="dxa"/>
            <w:vAlign w:val="bottom"/>
          </w:tcPr>
          <w:p>
            <w:pPr>
              <w:spacing w:after="0"/>
              <w:rPr>
                <w:sz w:val="1"/>
                <w:szCs w:val="1"/>
                <w:color w:val="auto"/>
              </w:rPr>
            </w:pPr>
          </w:p>
        </w:tc>
      </w:tr>
      <w:tr>
        <w:trPr>
          <w:trHeight w:val="219"/>
        </w:trPr>
        <w:tc>
          <w:tcPr>
            <w:tcW w:w="380" w:type="dxa"/>
            <w:vAlign w:val="bottom"/>
            <w:shd w:val="clear" w:color="auto" w:fill="CCEEFF"/>
          </w:tcPr>
          <w:p>
            <w:pPr>
              <w:spacing w:after="0"/>
              <w:rPr>
                <w:sz w:val="19"/>
                <w:szCs w:val="19"/>
                <w:color w:val="auto"/>
              </w:rPr>
            </w:pPr>
          </w:p>
        </w:tc>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Northern Trust Collective S&amp;P 500 Index Fund</w:t>
            </w:r>
          </w:p>
        </w:tc>
        <w:tc>
          <w:tcPr>
            <w:tcW w:w="4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Common Collective Trust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238,126,561</w:t>
            </w:r>
          </w:p>
        </w:tc>
        <w:tc>
          <w:tcPr>
            <w:tcW w:w="0" w:type="dxa"/>
            <w:vAlign w:val="bottom"/>
          </w:tcPr>
          <w:p>
            <w:pPr>
              <w:spacing w:after="0"/>
              <w:rPr>
                <w:sz w:val="1"/>
                <w:szCs w:val="1"/>
                <w:color w:val="auto"/>
              </w:rPr>
            </w:pPr>
          </w:p>
        </w:tc>
      </w:tr>
      <w:tr>
        <w:trPr>
          <w:trHeight w:val="213"/>
        </w:trPr>
        <w:tc>
          <w:tcPr>
            <w:tcW w:w="380" w:type="dxa"/>
            <w:vAlign w:val="bottom"/>
          </w:tcPr>
          <w:p>
            <w:pPr>
              <w:spacing w:after="0"/>
              <w:rPr>
                <w:sz w:val="18"/>
                <w:szCs w:val="18"/>
                <w:color w:val="auto"/>
              </w:rPr>
            </w:pPr>
          </w:p>
        </w:tc>
        <w:tc>
          <w:tcPr>
            <w:tcW w:w="4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Northern Trust Collective Russell 2000 Index Fund</w:t>
            </w:r>
          </w:p>
        </w:tc>
        <w:tc>
          <w:tcPr>
            <w:tcW w:w="4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Common Collective Trust</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12,560,779</w:t>
            </w:r>
          </w:p>
        </w:tc>
        <w:tc>
          <w:tcPr>
            <w:tcW w:w="0" w:type="dxa"/>
            <w:vAlign w:val="bottom"/>
          </w:tcPr>
          <w:p>
            <w:pPr>
              <w:spacing w:after="0"/>
              <w:rPr>
                <w:sz w:val="1"/>
                <w:szCs w:val="1"/>
                <w:color w:val="auto"/>
              </w:rPr>
            </w:pPr>
          </w:p>
        </w:tc>
      </w:tr>
      <w:tr>
        <w:trPr>
          <w:trHeight w:val="219"/>
        </w:trPr>
        <w:tc>
          <w:tcPr>
            <w:tcW w:w="380" w:type="dxa"/>
            <w:vAlign w:val="bottom"/>
            <w:shd w:val="clear" w:color="auto" w:fill="CCEEFF"/>
          </w:tcPr>
          <w:p>
            <w:pPr>
              <w:spacing w:after="0"/>
              <w:rPr>
                <w:sz w:val="19"/>
                <w:szCs w:val="19"/>
                <w:color w:val="auto"/>
              </w:rPr>
            </w:pPr>
          </w:p>
        </w:tc>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Northern Trust Collective S&amp;P 400 Index Fund</w:t>
            </w:r>
          </w:p>
        </w:tc>
        <w:tc>
          <w:tcPr>
            <w:tcW w:w="4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Common Collective Trust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61,683,604</w:t>
            </w:r>
          </w:p>
        </w:tc>
        <w:tc>
          <w:tcPr>
            <w:tcW w:w="0" w:type="dxa"/>
            <w:vAlign w:val="bottom"/>
          </w:tcPr>
          <w:p>
            <w:pPr>
              <w:spacing w:after="0"/>
              <w:rPr>
                <w:sz w:val="1"/>
                <w:szCs w:val="1"/>
                <w:color w:val="auto"/>
              </w:rPr>
            </w:pPr>
          </w:p>
        </w:tc>
      </w:tr>
      <w:tr>
        <w:trPr>
          <w:trHeight w:val="213"/>
        </w:trPr>
        <w:tc>
          <w:tcPr>
            <w:tcW w:w="380" w:type="dxa"/>
            <w:vAlign w:val="bottom"/>
          </w:tcPr>
          <w:p>
            <w:pPr>
              <w:spacing w:after="0"/>
              <w:rPr>
                <w:sz w:val="18"/>
                <w:szCs w:val="18"/>
                <w:color w:val="auto"/>
              </w:rPr>
            </w:pPr>
          </w:p>
        </w:tc>
        <w:tc>
          <w:tcPr>
            <w:tcW w:w="4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Great Gray Europacific Growth Trust Class R2</w:t>
            </w:r>
          </w:p>
        </w:tc>
        <w:tc>
          <w:tcPr>
            <w:tcW w:w="4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Common Collective Trust</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29,934,048</w:t>
            </w:r>
          </w:p>
        </w:tc>
        <w:tc>
          <w:tcPr>
            <w:tcW w:w="0" w:type="dxa"/>
            <w:vAlign w:val="bottom"/>
          </w:tcPr>
          <w:p>
            <w:pPr>
              <w:spacing w:after="0"/>
              <w:rPr>
                <w:sz w:val="1"/>
                <w:szCs w:val="1"/>
                <w:color w:val="auto"/>
              </w:rPr>
            </w:pPr>
          </w:p>
        </w:tc>
      </w:tr>
      <w:tr>
        <w:trPr>
          <w:trHeight w:val="219"/>
        </w:trPr>
        <w:tc>
          <w:tcPr>
            <w:tcW w:w="380" w:type="dxa"/>
            <w:vAlign w:val="bottom"/>
            <w:shd w:val="clear" w:color="auto" w:fill="CCEEFF"/>
          </w:tcPr>
          <w:p>
            <w:pPr>
              <w:spacing w:after="0"/>
              <w:rPr>
                <w:sz w:val="19"/>
                <w:szCs w:val="19"/>
                <w:color w:val="auto"/>
              </w:rPr>
            </w:pPr>
          </w:p>
        </w:tc>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Vanguard Retirement Savings Trust IV</w:t>
            </w:r>
          </w:p>
        </w:tc>
        <w:tc>
          <w:tcPr>
            <w:tcW w:w="4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Common Collective Trust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49,978,253</w:t>
            </w:r>
          </w:p>
        </w:tc>
        <w:tc>
          <w:tcPr>
            <w:tcW w:w="0" w:type="dxa"/>
            <w:vAlign w:val="bottom"/>
          </w:tcPr>
          <w:p>
            <w:pPr>
              <w:spacing w:after="0"/>
              <w:rPr>
                <w:sz w:val="1"/>
                <w:szCs w:val="1"/>
                <w:color w:val="auto"/>
              </w:rPr>
            </w:pPr>
          </w:p>
        </w:tc>
      </w:tr>
      <w:tr>
        <w:trPr>
          <w:trHeight w:val="213"/>
        </w:trPr>
        <w:tc>
          <w:tcPr>
            <w:tcW w:w="380" w:type="dxa"/>
            <w:vAlign w:val="bottom"/>
          </w:tcPr>
          <w:p>
            <w:pPr>
              <w:spacing w:after="0"/>
              <w:rPr>
                <w:sz w:val="18"/>
                <w:szCs w:val="18"/>
                <w:color w:val="auto"/>
              </w:rPr>
            </w:pPr>
          </w:p>
        </w:tc>
        <w:tc>
          <w:tcPr>
            <w:tcW w:w="4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Vanguard Target Retirement Income Trust I</w:t>
            </w:r>
          </w:p>
        </w:tc>
        <w:tc>
          <w:tcPr>
            <w:tcW w:w="4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Common Collective Trust</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9,017,368</w:t>
            </w:r>
          </w:p>
        </w:tc>
        <w:tc>
          <w:tcPr>
            <w:tcW w:w="0" w:type="dxa"/>
            <w:vAlign w:val="bottom"/>
          </w:tcPr>
          <w:p>
            <w:pPr>
              <w:spacing w:after="0"/>
              <w:rPr>
                <w:sz w:val="1"/>
                <w:szCs w:val="1"/>
                <w:color w:val="auto"/>
              </w:rPr>
            </w:pPr>
          </w:p>
        </w:tc>
      </w:tr>
      <w:tr>
        <w:trPr>
          <w:trHeight w:val="219"/>
        </w:trPr>
        <w:tc>
          <w:tcPr>
            <w:tcW w:w="380" w:type="dxa"/>
            <w:vAlign w:val="bottom"/>
            <w:shd w:val="clear" w:color="auto" w:fill="CCEEFF"/>
          </w:tcPr>
          <w:p>
            <w:pPr>
              <w:spacing w:after="0"/>
              <w:rPr>
                <w:sz w:val="19"/>
                <w:szCs w:val="19"/>
                <w:color w:val="auto"/>
              </w:rPr>
            </w:pPr>
          </w:p>
        </w:tc>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Vanguard Target 2020</w:t>
            </w:r>
          </w:p>
        </w:tc>
        <w:tc>
          <w:tcPr>
            <w:tcW w:w="4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Common Collective Trust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21,681,390</w:t>
            </w:r>
          </w:p>
        </w:tc>
        <w:tc>
          <w:tcPr>
            <w:tcW w:w="0" w:type="dxa"/>
            <w:vAlign w:val="bottom"/>
          </w:tcPr>
          <w:p>
            <w:pPr>
              <w:spacing w:after="0"/>
              <w:rPr>
                <w:sz w:val="1"/>
                <w:szCs w:val="1"/>
                <w:color w:val="auto"/>
              </w:rPr>
            </w:pPr>
          </w:p>
        </w:tc>
      </w:tr>
      <w:tr>
        <w:trPr>
          <w:trHeight w:val="213"/>
        </w:trPr>
        <w:tc>
          <w:tcPr>
            <w:tcW w:w="380" w:type="dxa"/>
            <w:vAlign w:val="bottom"/>
          </w:tcPr>
          <w:p>
            <w:pPr>
              <w:spacing w:after="0"/>
              <w:rPr>
                <w:sz w:val="18"/>
                <w:szCs w:val="18"/>
                <w:color w:val="auto"/>
              </w:rPr>
            </w:pPr>
          </w:p>
        </w:tc>
        <w:tc>
          <w:tcPr>
            <w:tcW w:w="4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Vanguard Target 2025</w:t>
            </w:r>
          </w:p>
        </w:tc>
        <w:tc>
          <w:tcPr>
            <w:tcW w:w="4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Common Collective Trust</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79,784,783</w:t>
            </w:r>
          </w:p>
        </w:tc>
        <w:tc>
          <w:tcPr>
            <w:tcW w:w="0" w:type="dxa"/>
            <w:vAlign w:val="bottom"/>
          </w:tcPr>
          <w:p>
            <w:pPr>
              <w:spacing w:after="0"/>
              <w:rPr>
                <w:sz w:val="1"/>
                <w:szCs w:val="1"/>
                <w:color w:val="auto"/>
              </w:rPr>
            </w:pPr>
          </w:p>
        </w:tc>
      </w:tr>
      <w:tr>
        <w:trPr>
          <w:trHeight w:val="219"/>
        </w:trPr>
        <w:tc>
          <w:tcPr>
            <w:tcW w:w="380" w:type="dxa"/>
            <w:vAlign w:val="bottom"/>
            <w:shd w:val="clear" w:color="auto" w:fill="CCEEFF"/>
          </w:tcPr>
          <w:p>
            <w:pPr>
              <w:spacing w:after="0"/>
              <w:rPr>
                <w:sz w:val="19"/>
                <w:szCs w:val="19"/>
                <w:color w:val="auto"/>
              </w:rPr>
            </w:pPr>
          </w:p>
        </w:tc>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Vanguard Target 2030</w:t>
            </w:r>
          </w:p>
        </w:tc>
        <w:tc>
          <w:tcPr>
            <w:tcW w:w="4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Common Collective Trust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90,014,376</w:t>
            </w:r>
          </w:p>
        </w:tc>
        <w:tc>
          <w:tcPr>
            <w:tcW w:w="0" w:type="dxa"/>
            <w:vAlign w:val="bottom"/>
          </w:tcPr>
          <w:p>
            <w:pPr>
              <w:spacing w:after="0"/>
              <w:rPr>
                <w:sz w:val="1"/>
                <w:szCs w:val="1"/>
                <w:color w:val="auto"/>
              </w:rPr>
            </w:pPr>
          </w:p>
        </w:tc>
      </w:tr>
      <w:tr>
        <w:trPr>
          <w:trHeight w:val="213"/>
        </w:trPr>
        <w:tc>
          <w:tcPr>
            <w:tcW w:w="380" w:type="dxa"/>
            <w:vAlign w:val="bottom"/>
          </w:tcPr>
          <w:p>
            <w:pPr>
              <w:spacing w:after="0"/>
              <w:rPr>
                <w:sz w:val="18"/>
                <w:szCs w:val="18"/>
                <w:color w:val="auto"/>
              </w:rPr>
            </w:pPr>
          </w:p>
        </w:tc>
        <w:tc>
          <w:tcPr>
            <w:tcW w:w="4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Vanguard Target 2035</w:t>
            </w:r>
          </w:p>
        </w:tc>
        <w:tc>
          <w:tcPr>
            <w:tcW w:w="4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Common Collective Trust</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86,767,978</w:t>
            </w:r>
          </w:p>
        </w:tc>
        <w:tc>
          <w:tcPr>
            <w:tcW w:w="0" w:type="dxa"/>
            <w:vAlign w:val="bottom"/>
          </w:tcPr>
          <w:p>
            <w:pPr>
              <w:spacing w:after="0"/>
              <w:rPr>
                <w:sz w:val="1"/>
                <w:szCs w:val="1"/>
                <w:color w:val="auto"/>
              </w:rPr>
            </w:pPr>
          </w:p>
        </w:tc>
      </w:tr>
      <w:tr>
        <w:trPr>
          <w:trHeight w:val="219"/>
        </w:trPr>
        <w:tc>
          <w:tcPr>
            <w:tcW w:w="380" w:type="dxa"/>
            <w:vAlign w:val="bottom"/>
            <w:shd w:val="clear" w:color="auto" w:fill="CCEEFF"/>
          </w:tcPr>
          <w:p>
            <w:pPr>
              <w:spacing w:after="0"/>
              <w:rPr>
                <w:sz w:val="19"/>
                <w:szCs w:val="19"/>
                <w:color w:val="auto"/>
              </w:rPr>
            </w:pPr>
          </w:p>
        </w:tc>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Vanguard Target 2040</w:t>
            </w:r>
          </w:p>
        </w:tc>
        <w:tc>
          <w:tcPr>
            <w:tcW w:w="4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Common Collective Trust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69,299,016</w:t>
            </w:r>
          </w:p>
        </w:tc>
        <w:tc>
          <w:tcPr>
            <w:tcW w:w="0" w:type="dxa"/>
            <w:vAlign w:val="bottom"/>
          </w:tcPr>
          <w:p>
            <w:pPr>
              <w:spacing w:after="0"/>
              <w:rPr>
                <w:sz w:val="1"/>
                <w:szCs w:val="1"/>
                <w:color w:val="auto"/>
              </w:rPr>
            </w:pPr>
          </w:p>
        </w:tc>
      </w:tr>
      <w:tr>
        <w:trPr>
          <w:trHeight w:val="213"/>
        </w:trPr>
        <w:tc>
          <w:tcPr>
            <w:tcW w:w="380" w:type="dxa"/>
            <w:vAlign w:val="bottom"/>
          </w:tcPr>
          <w:p>
            <w:pPr>
              <w:spacing w:after="0"/>
              <w:rPr>
                <w:sz w:val="18"/>
                <w:szCs w:val="18"/>
                <w:color w:val="auto"/>
              </w:rPr>
            </w:pPr>
          </w:p>
        </w:tc>
        <w:tc>
          <w:tcPr>
            <w:tcW w:w="4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Vanguard Target 2045</w:t>
            </w:r>
          </w:p>
        </w:tc>
        <w:tc>
          <w:tcPr>
            <w:tcW w:w="4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Common Collective Trust</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59,295,522</w:t>
            </w:r>
          </w:p>
        </w:tc>
        <w:tc>
          <w:tcPr>
            <w:tcW w:w="0" w:type="dxa"/>
            <w:vAlign w:val="bottom"/>
          </w:tcPr>
          <w:p>
            <w:pPr>
              <w:spacing w:after="0"/>
              <w:rPr>
                <w:sz w:val="1"/>
                <w:szCs w:val="1"/>
                <w:color w:val="auto"/>
              </w:rPr>
            </w:pPr>
          </w:p>
        </w:tc>
      </w:tr>
      <w:tr>
        <w:trPr>
          <w:trHeight w:val="219"/>
        </w:trPr>
        <w:tc>
          <w:tcPr>
            <w:tcW w:w="380" w:type="dxa"/>
            <w:vAlign w:val="bottom"/>
            <w:shd w:val="clear" w:color="auto" w:fill="CCEEFF"/>
          </w:tcPr>
          <w:p>
            <w:pPr>
              <w:spacing w:after="0"/>
              <w:rPr>
                <w:sz w:val="19"/>
                <w:szCs w:val="19"/>
                <w:color w:val="auto"/>
              </w:rPr>
            </w:pPr>
          </w:p>
        </w:tc>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Vanguard Target 2050</w:t>
            </w:r>
          </w:p>
        </w:tc>
        <w:tc>
          <w:tcPr>
            <w:tcW w:w="4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Common Collective Trust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42,778,046</w:t>
            </w:r>
          </w:p>
        </w:tc>
        <w:tc>
          <w:tcPr>
            <w:tcW w:w="0" w:type="dxa"/>
            <w:vAlign w:val="bottom"/>
          </w:tcPr>
          <w:p>
            <w:pPr>
              <w:spacing w:after="0"/>
              <w:rPr>
                <w:sz w:val="1"/>
                <w:szCs w:val="1"/>
                <w:color w:val="auto"/>
              </w:rPr>
            </w:pPr>
          </w:p>
        </w:tc>
      </w:tr>
      <w:tr>
        <w:trPr>
          <w:trHeight w:val="213"/>
        </w:trPr>
        <w:tc>
          <w:tcPr>
            <w:tcW w:w="380" w:type="dxa"/>
            <w:vAlign w:val="bottom"/>
          </w:tcPr>
          <w:p>
            <w:pPr>
              <w:spacing w:after="0"/>
              <w:rPr>
                <w:sz w:val="18"/>
                <w:szCs w:val="18"/>
                <w:color w:val="auto"/>
              </w:rPr>
            </w:pPr>
          </w:p>
        </w:tc>
        <w:tc>
          <w:tcPr>
            <w:tcW w:w="4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Vanguard Target 2055</w:t>
            </w:r>
          </w:p>
        </w:tc>
        <w:tc>
          <w:tcPr>
            <w:tcW w:w="4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Common Collective Trust</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34,439,622</w:t>
            </w:r>
          </w:p>
        </w:tc>
        <w:tc>
          <w:tcPr>
            <w:tcW w:w="0" w:type="dxa"/>
            <w:vAlign w:val="bottom"/>
          </w:tcPr>
          <w:p>
            <w:pPr>
              <w:spacing w:after="0"/>
              <w:rPr>
                <w:sz w:val="1"/>
                <w:szCs w:val="1"/>
                <w:color w:val="auto"/>
              </w:rPr>
            </w:pPr>
          </w:p>
        </w:tc>
      </w:tr>
      <w:tr>
        <w:trPr>
          <w:trHeight w:val="219"/>
        </w:trPr>
        <w:tc>
          <w:tcPr>
            <w:tcW w:w="380" w:type="dxa"/>
            <w:vAlign w:val="bottom"/>
            <w:shd w:val="clear" w:color="auto" w:fill="CCEEFF"/>
          </w:tcPr>
          <w:p>
            <w:pPr>
              <w:spacing w:after="0"/>
              <w:rPr>
                <w:sz w:val="19"/>
                <w:szCs w:val="19"/>
                <w:color w:val="auto"/>
              </w:rPr>
            </w:pPr>
          </w:p>
        </w:tc>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Vanguard Target 2060</w:t>
            </w:r>
          </w:p>
        </w:tc>
        <w:tc>
          <w:tcPr>
            <w:tcW w:w="4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Common Collective Trust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17,515,128</w:t>
            </w:r>
          </w:p>
        </w:tc>
        <w:tc>
          <w:tcPr>
            <w:tcW w:w="0" w:type="dxa"/>
            <w:vAlign w:val="bottom"/>
          </w:tcPr>
          <w:p>
            <w:pPr>
              <w:spacing w:after="0"/>
              <w:rPr>
                <w:sz w:val="1"/>
                <w:szCs w:val="1"/>
                <w:color w:val="auto"/>
              </w:rPr>
            </w:pPr>
          </w:p>
        </w:tc>
      </w:tr>
      <w:tr>
        <w:trPr>
          <w:trHeight w:val="213"/>
        </w:trPr>
        <w:tc>
          <w:tcPr>
            <w:tcW w:w="380" w:type="dxa"/>
            <w:vAlign w:val="bottom"/>
          </w:tcPr>
          <w:p>
            <w:pPr>
              <w:spacing w:after="0"/>
              <w:rPr>
                <w:sz w:val="18"/>
                <w:szCs w:val="18"/>
                <w:color w:val="auto"/>
              </w:rPr>
            </w:pPr>
          </w:p>
        </w:tc>
        <w:tc>
          <w:tcPr>
            <w:tcW w:w="4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Vanguard Target 2065</w:t>
            </w:r>
          </w:p>
        </w:tc>
        <w:tc>
          <w:tcPr>
            <w:tcW w:w="4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Common Collective Trust</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9,694,043</w:t>
            </w:r>
          </w:p>
        </w:tc>
        <w:tc>
          <w:tcPr>
            <w:tcW w:w="0" w:type="dxa"/>
            <w:vAlign w:val="bottom"/>
          </w:tcPr>
          <w:p>
            <w:pPr>
              <w:spacing w:after="0"/>
              <w:rPr>
                <w:sz w:val="1"/>
                <w:szCs w:val="1"/>
                <w:color w:val="auto"/>
              </w:rPr>
            </w:pPr>
          </w:p>
        </w:tc>
      </w:tr>
      <w:tr>
        <w:trPr>
          <w:trHeight w:val="219"/>
        </w:trPr>
        <w:tc>
          <w:tcPr>
            <w:tcW w:w="380" w:type="dxa"/>
            <w:vAlign w:val="bottom"/>
            <w:shd w:val="clear" w:color="auto" w:fill="CCEEFF"/>
          </w:tcPr>
          <w:p>
            <w:pPr>
              <w:spacing w:after="0"/>
              <w:rPr>
                <w:sz w:val="19"/>
                <w:szCs w:val="19"/>
                <w:color w:val="auto"/>
              </w:rPr>
            </w:pPr>
          </w:p>
        </w:tc>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Vanguard Target 2070</w:t>
            </w:r>
          </w:p>
        </w:tc>
        <w:tc>
          <w:tcPr>
            <w:tcW w:w="4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Common Collective Trust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78,834</w:t>
            </w:r>
          </w:p>
        </w:tc>
        <w:tc>
          <w:tcPr>
            <w:tcW w:w="0" w:type="dxa"/>
            <w:vAlign w:val="bottom"/>
          </w:tcPr>
          <w:p>
            <w:pPr>
              <w:spacing w:after="0"/>
              <w:rPr>
                <w:sz w:val="1"/>
                <w:szCs w:val="1"/>
                <w:color w:val="auto"/>
              </w:rPr>
            </w:pPr>
          </w:p>
        </w:tc>
      </w:tr>
      <w:tr>
        <w:trPr>
          <w:trHeight w:val="213"/>
        </w:trPr>
        <w:tc>
          <w:tcPr>
            <w:tcW w:w="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Fidelity Treasury Only Money Market</w:t>
            </w:r>
          </w:p>
        </w:tc>
        <w:tc>
          <w:tcPr>
            <w:tcW w:w="4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Money Market Fund</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20,357,170</w:t>
            </w:r>
          </w:p>
        </w:tc>
        <w:tc>
          <w:tcPr>
            <w:tcW w:w="0" w:type="dxa"/>
            <w:vAlign w:val="bottom"/>
          </w:tcPr>
          <w:p>
            <w:pPr>
              <w:spacing w:after="0"/>
              <w:rPr>
                <w:sz w:val="1"/>
                <w:szCs w:val="1"/>
                <w:color w:val="auto"/>
              </w:rPr>
            </w:pPr>
          </w:p>
        </w:tc>
      </w:tr>
      <w:tr>
        <w:trPr>
          <w:trHeight w:val="219"/>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Fidelity Brokerage Link</w:t>
            </w:r>
          </w:p>
        </w:tc>
        <w:tc>
          <w:tcPr>
            <w:tcW w:w="4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Pooled Brokerage Account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18,585,761</w:t>
            </w:r>
          </w:p>
        </w:tc>
        <w:tc>
          <w:tcPr>
            <w:tcW w:w="0" w:type="dxa"/>
            <w:vAlign w:val="bottom"/>
          </w:tcPr>
          <w:p>
            <w:pPr>
              <w:spacing w:after="0"/>
              <w:rPr>
                <w:sz w:val="1"/>
                <w:szCs w:val="1"/>
                <w:color w:val="auto"/>
              </w:rPr>
            </w:pPr>
          </w:p>
        </w:tc>
      </w:tr>
      <w:tr>
        <w:trPr>
          <w:trHeight w:val="213"/>
        </w:trPr>
        <w:tc>
          <w:tcPr>
            <w:tcW w:w="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 Toro Company</w:t>
            </w:r>
          </w:p>
        </w:tc>
        <w:tc>
          <w:tcPr>
            <w:tcW w:w="4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The Toro Company Common Stock</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308,531,738</w:t>
            </w:r>
          </w:p>
        </w:tc>
        <w:tc>
          <w:tcPr>
            <w:tcW w:w="0" w:type="dxa"/>
            <w:vAlign w:val="bottom"/>
          </w:tcPr>
          <w:p>
            <w:pPr>
              <w:spacing w:after="0"/>
              <w:rPr>
                <w:sz w:val="1"/>
                <w:szCs w:val="1"/>
                <w:color w:val="auto"/>
              </w:rPr>
            </w:pPr>
          </w:p>
        </w:tc>
      </w:tr>
      <w:tr>
        <w:trPr>
          <w:trHeight w:val="219"/>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Participant Loan Fund</w:t>
            </w:r>
          </w:p>
        </w:tc>
        <w:tc>
          <w:tcPr>
            <w:tcW w:w="4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Notes receivable from participants***</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18,673</w:t>
            </w:r>
          </w:p>
        </w:tc>
        <w:tc>
          <w:tcPr>
            <w:tcW w:w="0" w:type="dxa"/>
            <w:vAlign w:val="bottom"/>
          </w:tcPr>
          <w:p>
            <w:pPr>
              <w:spacing w:after="0"/>
              <w:rPr>
                <w:sz w:val="1"/>
                <w:szCs w:val="1"/>
                <w:color w:val="auto"/>
              </w:rPr>
            </w:pPr>
          </w:p>
        </w:tc>
      </w:tr>
      <w:tr>
        <w:trPr>
          <w:trHeight w:val="213"/>
        </w:trPr>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Other receivable due to investments in transit</w:t>
            </w:r>
          </w:p>
        </w:tc>
        <w:tc>
          <w:tcPr>
            <w:tcW w:w="4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Other receivable due to investments in transit</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101,394</w:t>
            </w:r>
          </w:p>
        </w:tc>
        <w:tc>
          <w:tcPr>
            <w:tcW w:w="0" w:type="dxa"/>
            <w:vAlign w:val="bottom"/>
          </w:tcPr>
          <w:p>
            <w:pPr>
              <w:spacing w:after="0"/>
              <w:rPr>
                <w:sz w:val="1"/>
                <w:szCs w:val="1"/>
                <w:color w:val="auto"/>
              </w:rPr>
            </w:pPr>
          </w:p>
        </w:tc>
      </w:tr>
      <w:tr>
        <w:trPr>
          <w:trHeight w:val="235"/>
        </w:trPr>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4480" w:type="dxa"/>
            <w:vAlign w:val="bottom"/>
            <w:tcBorders>
              <w:bottom w:val="single" w:sz="8" w:color="auto"/>
            </w:tcBorders>
            <w:shd w:val="clear" w:color="auto" w:fill="CCEEFF"/>
          </w:tcPr>
          <w:p>
            <w:pPr>
              <w:spacing w:after="0"/>
              <w:rPr>
                <w:sz w:val="19"/>
                <w:szCs w:val="19"/>
                <w:color w:val="auto"/>
              </w:rPr>
            </w:pPr>
          </w:p>
        </w:tc>
        <w:tc>
          <w:tcPr>
            <w:tcW w:w="4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1,350,088,426</w:t>
            </w:r>
          </w:p>
        </w:tc>
        <w:tc>
          <w:tcPr>
            <w:tcW w:w="0" w:type="dxa"/>
            <w:vAlign w:val="bottom"/>
          </w:tcPr>
          <w:p>
            <w:pPr>
              <w:spacing w:after="0"/>
              <w:rPr>
                <w:sz w:val="1"/>
                <w:szCs w:val="1"/>
                <w:color w:val="auto"/>
              </w:rPr>
            </w:pPr>
          </w:p>
        </w:tc>
      </w:tr>
      <w:tr>
        <w:trPr>
          <w:trHeight w:val="20"/>
        </w:trPr>
        <w:tc>
          <w:tcPr>
            <w:tcW w:w="380" w:type="dxa"/>
            <w:vAlign w:val="bottom"/>
            <w:tcBorders>
              <w:top w:val="single" w:sz="8" w:color="CCEEFF"/>
              <w:bottom w:val="single" w:sz="8" w:color="auto"/>
            </w:tcBorders>
          </w:tcPr>
          <w:p>
            <w:pPr>
              <w:spacing w:after="0" w:line="20" w:lineRule="exact"/>
              <w:rPr>
                <w:sz w:val="1"/>
                <w:szCs w:val="1"/>
                <w:color w:val="auto"/>
              </w:rPr>
            </w:pPr>
          </w:p>
        </w:tc>
        <w:tc>
          <w:tcPr>
            <w:tcW w:w="4480" w:type="dxa"/>
            <w:vAlign w:val="bottom"/>
            <w:tcBorders>
              <w:top w:val="single" w:sz="8" w:color="CCEEFF"/>
              <w:bottom w:val="single" w:sz="8" w:color="auto"/>
            </w:tcBorders>
          </w:tcPr>
          <w:p>
            <w:pPr>
              <w:spacing w:after="0" w:line="20" w:lineRule="exact"/>
              <w:rPr>
                <w:sz w:val="1"/>
                <w:szCs w:val="1"/>
                <w:color w:val="auto"/>
              </w:rPr>
            </w:pPr>
          </w:p>
        </w:tc>
        <w:tc>
          <w:tcPr>
            <w:tcW w:w="4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180"/>
        <w:spacing w:after="0"/>
        <w:tabs>
          <w:tab w:leader="none" w:pos="360" w:val="left"/>
        </w:tabs>
        <w:rPr>
          <w:sz w:val="20"/>
          <w:szCs w:val="20"/>
          <w:color w:val="auto"/>
        </w:rPr>
      </w:pPr>
      <w:r>
        <w:rPr>
          <w:rFonts w:ascii="Times New Roman" w:cs="Times New Roman" w:eastAsia="Times New Roman" w:hAnsi="Times New Roman"/>
          <w:sz w:val="14"/>
          <w:szCs w:val="14"/>
          <w:color w:val="auto"/>
        </w:rPr>
        <w:t>*</w:t>
        <w:tab/>
        <w:t>Party-in-interest as defined by ERISA.</w:t>
      </w:r>
    </w:p>
    <w:p>
      <w:pPr>
        <w:spacing w:after="0" w:line="55" w:lineRule="exact"/>
        <w:rPr>
          <w:sz w:val="20"/>
          <w:szCs w:val="20"/>
          <w:color w:val="auto"/>
        </w:rPr>
      </w:pPr>
    </w:p>
    <w:p>
      <w:pPr>
        <w:ind w:left="460" w:hanging="290"/>
        <w:spacing w:after="0"/>
        <w:tabs>
          <w:tab w:leader="none" w:pos="4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information is not required for Participant-directed investments and therefore is not included.</w:t>
      </w:r>
    </w:p>
    <w:p>
      <w:pPr>
        <w:spacing w:after="0" w:line="68" w:lineRule="exact"/>
        <w:rPr>
          <w:rFonts w:ascii="Times New Roman" w:cs="Times New Roman" w:eastAsia="Times New Roman" w:hAnsi="Times New Roman"/>
          <w:sz w:val="14"/>
          <w:szCs w:val="14"/>
          <w:color w:val="auto"/>
        </w:rPr>
      </w:pPr>
    </w:p>
    <w:p>
      <w:pPr>
        <w:ind w:left="520" w:hanging="35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 loans outstanding with 1-5 year terms, maturing no later than September 2025, and interest rates of 4.25% - 6.50%.</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Report of Independent Registered Public Accounting Firm.</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941" w:right="459" w:bottom="1440" w:gutter="0" w:footer="0" w:header="0"/>
        </w:sectPr>
      </w:pPr>
    </w:p>
    <w:bookmarkStart w:id="11" w:name="page12"/>
    <w:bookmarkEnd w:id="11"/>
    <w:p>
      <w:pPr>
        <w:jc w:val="center"/>
        <w:ind w:right="-219"/>
        <w:spacing w:after="0"/>
        <w:rPr>
          <w:sz w:val="20"/>
          <w:szCs w:val="20"/>
          <w:color w:val="auto"/>
        </w:rPr>
      </w:pPr>
      <w:r>
        <w:rPr>
          <w:rFonts w:ascii="Times New Roman" w:cs="Times New Roman" w:eastAsia="Times New Roman" w:hAnsi="Times New Roman"/>
          <w:sz w:val="18"/>
          <w:szCs w:val="18"/>
          <w:color w:val="auto"/>
        </w:rPr>
        <w:t>SIGNATURES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Plan Administrator (or other persons who administer the employee benefit plan) has duly caused this annual report to be signed on its behalf by the undersigned hereunto duly authorized.</w:t>
      </w:r>
    </w:p>
    <w:p>
      <w:pPr>
        <w:spacing w:after="0" w:line="200" w:lineRule="exact"/>
        <w:rPr>
          <w:sz w:val="20"/>
          <w:szCs w:val="20"/>
          <w:color w:val="auto"/>
        </w:rPr>
      </w:pPr>
    </w:p>
    <w:p>
      <w:pPr>
        <w:spacing w:after="0" w:line="36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The Toro Company Retirement Plan</w:t>
      </w:r>
    </w:p>
    <w:p>
      <w:pPr>
        <w:spacing w:after="0" w:line="200" w:lineRule="exact"/>
        <w:rPr>
          <w:sz w:val="20"/>
          <w:szCs w:val="20"/>
          <w:color w:val="auto"/>
        </w:rPr>
      </w:pPr>
    </w:p>
    <w:p>
      <w:pPr>
        <w:spacing w:after="0" w:line="255"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Date: June 26, 2024</w:t>
      </w:r>
      <w:r>
        <w:rPr>
          <w:sz w:val="20"/>
          <w:szCs w:val="20"/>
          <w:color w:val="auto"/>
        </w:rPr>
        <w:tab/>
      </w:r>
      <w:r>
        <w:rPr>
          <w:rFonts w:ascii="Times New Roman" w:cs="Times New Roman" w:eastAsia="Times New Roman" w:hAnsi="Times New Roman"/>
          <w:sz w:val="17"/>
          <w:szCs w:val="17"/>
          <w:color w:val="auto"/>
        </w:rPr>
        <w:t>/s/ 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Angela C. Drake</w:t>
      </w:r>
    </w:p>
    <w:p>
      <w:pPr>
        <w:spacing w:after="0" w:line="1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Vice President, Chief Financial Officer of The Toro Company (duly</w:t>
      </w:r>
    </w:p>
    <w:p>
      <w:pPr>
        <w:ind w:left="5620"/>
        <w:spacing w:after="0" w:line="203" w:lineRule="auto"/>
        <w:rPr>
          <w:sz w:val="20"/>
          <w:szCs w:val="20"/>
          <w:color w:val="auto"/>
        </w:rPr>
      </w:pPr>
      <w:r>
        <w:rPr>
          <w:rFonts w:ascii="Times New Roman" w:cs="Times New Roman" w:eastAsia="Times New Roman" w:hAnsi="Times New Roman"/>
          <w:sz w:val="18"/>
          <w:szCs w:val="18"/>
          <w:color w:val="auto"/>
        </w:rPr>
        <w:t>authorized officer, principal financial officer, and principal accounting</w:t>
      </w:r>
    </w:p>
    <w:p>
      <w:pPr>
        <w:ind w:left="5620"/>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320" w:top="891" w:right="559" w:bottom="1440" w:gutter="0" w:footer="0" w:header="0"/>
        </w:sectPr>
      </w:pPr>
    </w:p>
    <w:bookmarkStart w:id="12" w:name="page13"/>
    <w:bookmarkEnd w:id="12"/>
    <w:p>
      <w:pPr>
        <w:spacing w:after="0" w:line="95"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20" w:type="dxa"/>
            <w:vAlign w:val="bottom"/>
            <w:gridSpan w:val="2"/>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675"/>
        </w:trPr>
        <w:tc>
          <w:tcPr>
            <w:tcW w:w="2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r>
        <w:trPr>
          <w:trHeight w:val="223"/>
        </w:trPr>
        <w:tc>
          <w:tcPr>
            <w:tcW w:w="2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884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2"/>
        </w:trPr>
        <w:tc>
          <w:tcPr>
            <w:tcW w:w="2380" w:type="dxa"/>
            <w:vAlign w:val="bottom"/>
            <w:tcBorders>
              <w:left w:val="single" w:sz="8" w:color="auto"/>
              <w:right w:val="single" w:sz="8" w:color="auto"/>
            </w:tcBorders>
          </w:tcPr>
          <w:p>
            <w:pPr>
              <w:ind w:left="40"/>
              <w:spacing w:after="0" w:line="182" w:lineRule="exact"/>
              <w:rPr>
                <w:sz w:val="20"/>
                <w:szCs w:val="20"/>
                <w:color w:val="auto"/>
              </w:rPr>
            </w:pPr>
            <w:r>
              <w:rPr>
                <w:rFonts w:ascii="Times New Roman" w:cs="Times New Roman" w:eastAsia="Times New Roman" w:hAnsi="Times New Roman"/>
                <w:sz w:val="18"/>
                <w:szCs w:val="18"/>
                <w:color w:val="auto"/>
              </w:rPr>
              <w:t>23.1</w:t>
            </w:r>
          </w:p>
        </w:tc>
        <w:tc>
          <w:tcPr>
            <w:tcW w:w="8840" w:type="dxa"/>
            <w:vAlign w:val="bottom"/>
            <w:tcBorders>
              <w:right w:val="single" w:sz="8" w:color="auto"/>
            </w:tcBorders>
            <w:gridSpan w:val="3"/>
          </w:tcPr>
          <w:p>
            <w:pPr>
              <w:ind w:left="20"/>
              <w:spacing w:after="0" w:line="182" w:lineRule="exact"/>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r>
      <w:tr>
        <w:trPr>
          <w:trHeight w:val="21"/>
        </w:trPr>
        <w:tc>
          <w:tcPr>
            <w:tcW w:w="2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360" w:type="dxa"/>
            <w:vAlign w:val="bottom"/>
            <w:tcBorders>
              <w:top w:val="single" w:sz="8" w:color="0000FF"/>
              <w:bottom w:val="single" w:sz="8" w:color="auto"/>
            </w:tcBorders>
          </w:tcPr>
          <w:p>
            <w:pPr>
              <w:spacing w:after="0" w:line="20" w:lineRule="exact"/>
              <w:rPr>
                <w:sz w:val="1"/>
                <w:szCs w:val="1"/>
                <w:color w:val="auto"/>
              </w:rPr>
            </w:pPr>
          </w:p>
        </w:tc>
        <w:tc>
          <w:tcPr>
            <w:tcW w:w="4460" w:type="dxa"/>
            <w:vAlign w:val="bottom"/>
            <w:tcBorders>
              <w:bottom w:val="single" w:sz="8" w:color="auto"/>
              <w:right w:val="single" w:sz="8" w:color="auto"/>
            </w:tcBorders>
          </w:tcPr>
          <w:p>
            <w:pPr>
              <w:spacing w:after="0" w:line="20" w:lineRule="exact"/>
              <w:rPr>
                <w:sz w:val="1"/>
                <w:szCs w:val="1"/>
                <w:color w:val="auto"/>
              </w:rPr>
            </w:pPr>
          </w:p>
        </w:tc>
      </w:tr>
      <w:tr>
        <w:trPr>
          <w:trHeight w:val="1100"/>
        </w:trPr>
        <w:tc>
          <w:tcPr>
            <w:tcW w:w="2380" w:type="dxa"/>
            <w:vAlign w:val="bottom"/>
          </w:tcPr>
          <w:p>
            <w:pPr>
              <w:spacing w:after="0"/>
              <w:rPr>
                <w:sz w:val="24"/>
                <w:szCs w:val="24"/>
                <w:color w:val="auto"/>
              </w:rPr>
            </w:pPr>
          </w:p>
        </w:tc>
        <w:tc>
          <w:tcPr>
            <w:tcW w:w="438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11</w:t>
            </w:r>
          </w:p>
        </w:tc>
        <w:tc>
          <w:tcPr>
            <w:tcW w:w="4460" w:type="dxa"/>
            <w:vAlign w:val="bottom"/>
          </w:tcPr>
          <w:p>
            <w:pPr>
              <w:spacing w:after="0"/>
              <w:rPr>
                <w:sz w:val="24"/>
                <w:szCs w:val="24"/>
                <w:color w:val="auto"/>
              </w:rPr>
            </w:pPr>
          </w:p>
        </w:tc>
      </w:tr>
    </w:tbl>
    <w:p>
      <w:pPr>
        <w:sectPr>
          <w:pgSz w:w="11900" w:h="16838" w:orient="portrait"/>
          <w:cols w:equalWidth="0" w:num="1">
            <w:col w:w="11220"/>
          </w:cols>
          <w:pgMar w:left="340" w:top="1440"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333-59563, 333-11860, 333-100004, 333-119504, and 333-215251) on Form S-8 of our report dated June 26, 2024, with respect to the financial statements of The Toro Company Retirement Plan.</w:t>
      </w: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KPMG LLP</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Des Moines, Iowa</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June 26, 2024</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4"/>
      <w:numFmt w:val="bullet"/>
      <w:start w:val="1"/>
    </w:lvl>
  </w:abstractNum>
  <w:abstractNum w:abstractNumId="5">
    <w:nsid w:val="79E2A9E3"/>
    <w:multiLevelType w:val="hybridMultilevel"/>
    <w:lvl w:ilvl="0">
      <w:lvlJc w:val="left"/>
      <w:lvlText w:val="5"/>
      <w:numFmt w:val="bullet"/>
      <w:start w:val="1"/>
    </w:lvl>
  </w:abstractNum>
  <w:abstractNum w:abstractNumId="6">
    <w:nsid w:val="7545E146"/>
    <w:multiLevelType w:val="hybridMultilevel"/>
    <w:lvl w:ilvl="0">
      <w:lvlJc w:val="left"/>
      <w:lvlText w:val="6"/>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2024-06-26T10:45:58Z</dcterms:created>
  <dcterms:modified xsi:type="dcterms:W3CDTF">2024-06-26T10:45:58Z</dcterms:modified>
</cp:coreProperties>
</file>