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6"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Date of Report (Date of earliest event reported) February 12, 2004</w:t>
      </w:r>
    </w:p>
    <w:p>
      <w:pPr>
        <w:spacing w:after="0" w:line="200" w:lineRule="exact"/>
        <w:rPr>
          <w:sz w:val="20"/>
          <w:szCs w:val="20"/>
          <w:color w:val="auto"/>
        </w:rPr>
      </w:pPr>
    </w:p>
    <w:p>
      <w:pPr>
        <w:spacing w:after="0" w:line="264" w:lineRule="exact"/>
        <w:rPr>
          <w:sz w:val="20"/>
          <w:szCs w:val="20"/>
          <w:color w:val="auto"/>
        </w:rPr>
      </w:pPr>
    </w:p>
    <w:p>
      <w:pPr>
        <w:ind w:left="3980"/>
        <w:spacing w:after="0"/>
        <w:rPr>
          <w:sz w:val="20"/>
          <w:szCs w:val="20"/>
          <w:color w:val="auto"/>
        </w:rPr>
      </w:pPr>
      <w:r>
        <w:rPr>
          <w:rFonts w:ascii="Arial" w:cs="Arial" w:eastAsia="Arial" w:hAnsi="Arial"/>
          <w:sz w:val="32"/>
          <w:szCs w:val="32"/>
          <w:b w:val="1"/>
          <w:bCs w:val="1"/>
          <w:color w:val="auto"/>
        </w:rPr>
        <w:t>THE TORO COMPANY</w:t>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60"/>
          </w:cols>
          <w:pgMar w:left="240" w:top="122" w:right="1399" w:bottom="1440" w:gutter="0" w:footer="0" w:header="0"/>
        </w:sectPr>
      </w:pPr>
    </w:p>
    <w:p>
      <w:pPr>
        <w:spacing w:after="0" w:line="232"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1-8649</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41-0580470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w:t>
      </w:r>
    </w:p>
    <w:p>
      <w:pPr>
        <w:spacing w:after="0" w:line="200" w:lineRule="exact"/>
        <w:rPr>
          <w:sz w:val="20"/>
          <w:szCs w:val="20"/>
          <w:color w:val="auto"/>
        </w:rPr>
      </w:pPr>
    </w:p>
    <w:p>
      <w:pPr>
        <w:sectPr>
          <w:pgSz w:w="11900" w:h="16838" w:orient="portrait"/>
          <w:cols w:equalWidth="0" w:num="3">
            <w:col w:w="4380" w:space="720"/>
            <w:col w:w="2240" w:space="720"/>
            <w:col w:w="2200"/>
          </w:cols>
          <w:pgMar w:left="240" w:top="122" w:right="1399" w:bottom="1440" w:gutter="0" w:footer="0" w:header="0"/>
          <w:type w:val="continuous"/>
        </w:sectPr>
      </w:pPr>
    </w:p>
    <w:p>
      <w:pPr>
        <w:spacing w:after="0" w:line="40"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0"/>
          <w:szCs w:val="20"/>
          <w:color w:val="auto"/>
        </w:rPr>
      </w:pPr>
    </w:p>
    <w:p>
      <w:pPr>
        <w:jc w:val="center"/>
        <w:ind w:right="-1179"/>
        <w:spacing w:after="0"/>
        <w:rPr>
          <w:sz w:val="20"/>
          <w:szCs w:val="20"/>
          <w:color w:val="auto"/>
        </w:rPr>
      </w:pPr>
      <w:r>
        <w:rPr>
          <w:rFonts w:ascii="Arial" w:cs="Arial" w:eastAsia="Arial" w:hAnsi="Arial"/>
          <w:sz w:val="15"/>
          <w:szCs w:val="15"/>
          <w:color w:val="auto"/>
        </w:rPr>
        <w:t>(Address, including zip code, and telephone number, including area code, of</w:t>
      </w:r>
    </w:p>
    <w:p>
      <w:pPr>
        <w:spacing w:after="0" w:line="44"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22" w:right="13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12. Results of Operations and Financial Condition</w:t>
      </w:r>
    </w:p>
    <w:p>
      <w:pPr>
        <w:spacing w:after="0" w:line="225" w:lineRule="exact"/>
        <w:rPr>
          <w:sz w:val="20"/>
          <w:szCs w:val="20"/>
          <w:color w:val="auto"/>
        </w:rPr>
      </w:pPr>
    </w:p>
    <w:p>
      <w:pPr>
        <w:ind w:left="700" w:firstLine="219"/>
        <w:spacing w:after="0" w:line="291" w:lineRule="auto"/>
        <w:rPr>
          <w:sz w:val="20"/>
          <w:szCs w:val="20"/>
          <w:color w:val="auto"/>
        </w:rPr>
      </w:pPr>
      <w:r>
        <w:rPr>
          <w:rFonts w:ascii="Arial" w:cs="Arial" w:eastAsia="Arial" w:hAnsi="Arial"/>
          <w:sz w:val="16"/>
          <w:szCs w:val="16"/>
          <w:color w:val="auto"/>
        </w:rPr>
        <w:t>On February 12, 2004, The Toro Company announced its expected earnings for the three months ended January 30, 2004.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00" w:val="left"/>
          <w:tab w:leader="none" w:pos="5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12, 2004</w:t>
      </w:r>
      <w:r>
        <w:rPr>
          <w:sz w:val="20"/>
          <w:szCs w:val="20"/>
          <w:color w:val="auto"/>
        </w:rPr>
        <w:tab/>
      </w:r>
      <w:r>
        <w:rPr>
          <w:rFonts w:ascii="Arial" w:cs="Arial" w:eastAsia="Arial" w:hAnsi="Arial"/>
          <w:sz w:val="15"/>
          <w:szCs w:val="15"/>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80010</wp:posOffset>
            </wp:positionV>
            <wp:extent cx="3764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0"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60325</wp:posOffset>
            </wp:positionV>
            <wp:extent cx="5008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188" w:lineRule="exact"/>
        <w:rPr>
          <w:sz w:val="20"/>
          <w:szCs w:val="20"/>
          <w:color w:val="auto"/>
        </w:rPr>
      </w:pPr>
    </w:p>
    <w:p>
      <w:pPr>
        <w:ind w:left="2560" w:hanging="1120"/>
        <w:spacing w:after="0"/>
        <w:tabs>
          <w:tab w:leader="none" w:pos="2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w:t>
      </w:r>
    </w:p>
    <w:p>
      <w:pPr>
        <w:spacing w:after="0" w:line="252" w:lineRule="exact"/>
        <w:rPr>
          <w:rFonts w:ascii="Arial" w:cs="Arial" w:eastAsia="Arial" w:hAnsi="Arial"/>
          <w:sz w:val="18"/>
          <w:szCs w:val="18"/>
          <w:color w:val="auto"/>
        </w:rPr>
      </w:pPr>
    </w:p>
    <w:p>
      <w:pPr>
        <w:ind w:left="2560"/>
        <w:spacing w:after="0"/>
        <w:rPr>
          <w:rFonts w:ascii="Arial" w:cs="Arial" w:eastAsia="Arial" w:hAnsi="Arial"/>
          <w:sz w:val="18"/>
          <w:szCs w:val="18"/>
          <w:color w:val="auto"/>
        </w:rPr>
      </w:pPr>
      <w:r>
        <w:rPr>
          <w:rFonts w:ascii="Arial" w:cs="Arial" w:eastAsia="Arial" w:hAnsi="Arial"/>
          <w:sz w:val="15"/>
          <w:szCs w:val="15"/>
          <w:color w:val="auto"/>
        </w:rPr>
        <w:t>Registrant’s press release dated February 12, 2004 (</w:t>
      </w:r>
      <w:r>
        <w:rPr>
          <w:rFonts w:ascii="Arial" w:cs="Arial" w:eastAsia="Arial" w:hAnsi="Arial"/>
          <w:sz w:val="15"/>
          <w:szCs w:val="15"/>
          <w:i w:val="1"/>
          <w:iCs w:val="1"/>
          <w:color w:val="auto"/>
        </w:rPr>
        <w:t>furnished herewith</w:t>
      </w:r>
      <w:r>
        <w:rPr>
          <w:rFonts w:ascii="Arial" w:cs="Arial" w:eastAsia="Arial" w:hAnsi="Arial"/>
          <w:sz w:val="15"/>
          <w:szCs w:val="15"/>
          <w:color w:val="auto"/>
        </w:rPr>
        <w:t>).</w:t>
      </w:r>
    </w:p>
    <w:p>
      <w:pPr>
        <w:sectPr>
          <w:pgSz w:w="11900" w:h="16838" w:orient="portrait"/>
          <w:cols w:equalWidth="0" w:num="1">
            <w:col w:w="10219"/>
          </w:cols>
          <w:pgMar w:left="240" w:top="419" w:right="1440" w:bottom="1440" w:gutter="0" w:footer="0" w:header="0"/>
        </w:sectPr>
      </w:pPr>
    </w:p>
    <w:bookmarkStart w:id="6" w:name="page7"/>
    <w:bookmarkEnd w:id="6"/>
    <w:p>
      <w:pPr>
        <w:ind w:left="2400"/>
        <w:spacing w:after="0"/>
        <w:rPr>
          <w:sz w:val="20"/>
          <w:szCs w:val="20"/>
          <w:color w:val="auto"/>
        </w:rPr>
      </w:pPr>
      <w:r>
        <w:rPr>
          <w:rFonts w:ascii="Arial" w:cs="Arial" w:eastAsia="Arial" w:hAnsi="Arial"/>
          <w:sz w:val="18"/>
          <w:szCs w:val="18"/>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184"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8111 Lyndale Avenue South, Bloomington, Minnesota 55420-1196</w:t>
      </w:r>
    </w:p>
    <w:p>
      <w:pPr>
        <w:spacing w:after="0" w:line="38" w:lineRule="exact"/>
        <w:rPr>
          <w:sz w:val="20"/>
          <w:szCs w:val="20"/>
          <w:color w:val="auto"/>
        </w:rPr>
      </w:pPr>
    </w:p>
    <w:p>
      <w:pPr>
        <w:ind w:left="2400"/>
        <w:spacing w:after="0"/>
        <w:tabs>
          <w:tab w:leader="none" w:pos="5740" w:val="left"/>
        </w:tabs>
        <w:rPr>
          <w:sz w:val="20"/>
          <w:szCs w:val="20"/>
          <w:color w:val="auto"/>
        </w:rPr>
      </w:pPr>
      <w:r>
        <w:rPr>
          <w:rFonts w:ascii="Arial" w:cs="Arial" w:eastAsia="Arial" w:hAnsi="Arial"/>
          <w:sz w:val="18"/>
          <w:szCs w:val="18"/>
          <w:color w:val="auto"/>
        </w:rPr>
        <w:t>#952/888-8801</w:t>
      </w:r>
      <w:r>
        <w:rPr>
          <w:sz w:val="20"/>
          <w:szCs w:val="20"/>
          <w:color w:val="auto"/>
        </w:rPr>
        <w:tab/>
      </w:r>
      <w:r>
        <w:rPr>
          <w:rFonts w:ascii="Arial" w:cs="Arial" w:eastAsia="Arial" w:hAnsi="Arial"/>
          <w:sz w:val="16"/>
          <w:szCs w:val="16"/>
          <w:color w:val="auto"/>
        </w:rPr>
        <w:t>#FAX 952/887-8258</w:t>
      </w:r>
    </w:p>
    <w:p>
      <w:pPr>
        <w:sectPr>
          <w:pgSz w:w="11900" w:h="16838" w:orient="portrait"/>
          <w:cols w:equalWidth="0" w:num="1">
            <w:col w:w="11340"/>
          </w:cols>
          <w:pgMar w:left="240" w:top="117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color w:val="auto"/>
        </w:rPr>
        <w:t xml:space="preserve">Investor Relations </w:t>
      </w:r>
      <w:r>
        <w:rPr>
          <w:rFonts w:ascii="Arial" w:cs="Arial" w:eastAsia="Arial" w:hAnsi="Arial"/>
          <w:sz w:val="16"/>
          <w:szCs w:val="16"/>
          <w:color w:val="auto"/>
        </w:rPr>
        <w:t>Stephen P. Wolfe Vice President, CFO (952) 887-8076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620" w:type="dxa"/>
            <w:vAlign w:val="bottom"/>
          </w:tcPr>
          <w:p>
            <w:pPr>
              <w:spacing w:after="0"/>
              <w:rPr>
                <w:sz w:val="19"/>
                <w:szCs w:val="19"/>
                <w:color w:val="auto"/>
              </w:rPr>
            </w:pPr>
          </w:p>
        </w:tc>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Media Relations</w:t>
            </w:r>
          </w:p>
        </w:tc>
        <w:tc>
          <w:tcPr>
            <w:tcW w:w="2420" w:type="dxa"/>
            <w:vAlign w:val="bottom"/>
          </w:tcPr>
          <w:p>
            <w:pPr>
              <w:ind w:left="520"/>
              <w:spacing w:after="0"/>
              <w:rPr>
                <w:sz w:val="20"/>
                <w:szCs w:val="20"/>
                <w:color w:val="auto"/>
              </w:rPr>
            </w:pPr>
            <w:r>
              <w:rPr>
                <w:rFonts w:ascii="Arial" w:cs="Arial" w:eastAsia="Arial" w:hAnsi="Arial"/>
                <w:sz w:val="18"/>
                <w:szCs w:val="18"/>
                <w:b w:val="1"/>
                <w:bCs w:val="1"/>
                <w:color w:val="auto"/>
              </w:rPr>
              <w:t>Web Site</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Stephen D. Keating</w:t>
            </w:r>
          </w:p>
        </w:tc>
        <w:tc>
          <w:tcPr>
            <w:tcW w:w="3340" w:type="dxa"/>
            <w:vAlign w:val="bottom"/>
          </w:tcPr>
          <w:p>
            <w:pPr>
              <w:ind w:left="680"/>
              <w:spacing w:after="0"/>
              <w:rPr>
                <w:sz w:val="20"/>
                <w:szCs w:val="20"/>
                <w:color w:val="auto"/>
              </w:rPr>
            </w:pPr>
            <w:r>
              <w:rPr>
                <w:rFonts w:ascii="Arial" w:cs="Arial" w:eastAsia="Arial" w:hAnsi="Arial"/>
                <w:sz w:val="18"/>
                <w:szCs w:val="18"/>
                <w:color w:val="auto"/>
              </w:rPr>
              <w:t>Connie Hawkinson</w:t>
            </w:r>
          </w:p>
        </w:tc>
        <w:tc>
          <w:tcPr>
            <w:tcW w:w="2420" w:type="dxa"/>
            <w:vAlign w:val="bottom"/>
          </w:tcPr>
          <w:p>
            <w:pPr>
              <w:ind w:left="520"/>
              <w:spacing w:after="0"/>
              <w:rPr>
                <w:sz w:val="20"/>
                <w:szCs w:val="20"/>
                <w:color w:val="auto"/>
              </w:rPr>
            </w:pPr>
            <w:r>
              <w:rPr>
                <w:rFonts w:ascii="Arial" w:cs="Arial" w:eastAsia="Arial" w:hAnsi="Arial"/>
                <w:sz w:val="18"/>
                <w:szCs w:val="18"/>
                <w:color w:val="auto"/>
                <w:w w:val="88"/>
              </w:rPr>
              <w:t>www.thetorocompany.com</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Director, Investor Relations</w:t>
            </w:r>
          </w:p>
        </w:tc>
        <w:tc>
          <w:tcPr>
            <w:tcW w:w="3340" w:type="dxa"/>
            <w:vAlign w:val="bottom"/>
          </w:tcPr>
          <w:p>
            <w:pPr>
              <w:ind w:left="680"/>
              <w:spacing w:after="0"/>
              <w:rPr>
                <w:sz w:val="20"/>
                <w:szCs w:val="20"/>
                <w:color w:val="auto"/>
              </w:rPr>
            </w:pPr>
            <w:r>
              <w:rPr>
                <w:rFonts w:ascii="Arial" w:cs="Arial" w:eastAsia="Arial" w:hAnsi="Arial"/>
                <w:sz w:val="18"/>
                <w:szCs w:val="18"/>
                <w:color w:val="auto"/>
              </w:rPr>
              <w:t>Toro Media Relations</w:t>
            </w:r>
          </w:p>
        </w:tc>
        <w:tc>
          <w:tcPr>
            <w:tcW w:w="2420" w:type="dxa"/>
            <w:vAlign w:val="bottom"/>
          </w:tcPr>
          <w:p>
            <w:pPr>
              <w:spacing w:after="0"/>
              <w:rPr>
                <w:sz w:val="18"/>
                <w:szCs w:val="18"/>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(952) 887-8526</w:t>
            </w:r>
          </w:p>
        </w:tc>
        <w:tc>
          <w:tcPr>
            <w:tcW w:w="3340" w:type="dxa"/>
            <w:vAlign w:val="bottom"/>
          </w:tcPr>
          <w:p>
            <w:pPr>
              <w:ind w:left="680"/>
              <w:spacing w:after="0"/>
              <w:rPr>
                <w:sz w:val="20"/>
                <w:szCs w:val="20"/>
                <w:color w:val="auto"/>
              </w:rPr>
            </w:pPr>
            <w:r>
              <w:rPr>
                <w:rFonts w:ascii="Arial" w:cs="Arial" w:eastAsia="Arial" w:hAnsi="Arial"/>
                <w:sz w:val="18"/>
                <w:szCs w:val="18"/>
                <w:color w:val="auto"/>
              </w:rPr>
              <w:t>(952) 887-8984, pr@toro.com</w:t>
            </w:r>
          </w:p>
        </w:tc>
        <w:tc>
          <w:tcPr>
            <w:tcW w:w="2420" w:type="dxa"/>
            <w:vAlign w:val="bottom"/>
          </w:tcPr>
          <w:p>
            <w:pPr>
              <w:spacing w:after="0"/>
              <w:rPr>
                <w:sz w:val="19"/>
                <w:szCs w:val="19"/>
                <w:color w:val="auto"/>
              </w:rPr>
            </w:pPr>
          </w:p>
        </w:tc>
      </w:tr>
    </w:tbl>
    <w:p>
      <w:pPr>
        <w:spacing w:after="0" w:line="203" w:lineRule="exact"/>
        <w:rPr>
          <w:sz w:val="20"/>
          <w:szCs w:val="20"/>
          <w:color w:val="auto"/>
        </w:rPr>
      </w:pPr>
    </w:p>
    <w:p>
      <w:pPr>
        <w:sectPr>
          <w:pgSz w:w="11900" w:h="16838" w:orient="portrait"/>
          <w:cols w:equalWidth="0" w:num="2">
            <w:col w:w="1820" w:space="720"/>
            <w:col w:w="8800"/>
          </w:cols>
          <w:pgMar w:left="240" w:top="1179" w:right="3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TORO FIRST QUARTER RESULTS TO EXCEED EARLIER GUIDANCE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Company Expects First Quarter Net Earnings Per Diluted Share of $0.34 to $0.36.</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BLOOMINGTON, Minn. (Feb. 12, 2004) — The Toro Company (NYSE: TTC) said today that it expects earnings for its fiscal first quarter ended January 30, 2004 to range from $0.34 to $0.36 per diluted share, on stronger than expected sales and improved operating performance. The company had earlier forecast fiscal 2004 first quarter net earnings of $0.15 to $0.20 per diluted share.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the comparable fiscal 2003 period, Toro reported $0.27 per diluted share which included a one-time gain of $0.08 resulting from a legal settlement.</w:t>
      </w:r>
    </w:p>
    <w:p>
      <w:pPr>
        <w:spacing w:after="0" w:line="248" w:lineRule="exact"/>
        <w:rPr>
          <w:sz w:val="20"/>
          <w:szCs w:val="20"/>
          <w:color w:val="auto"/>
        </w:rPr>
      </w:pPr>
    </w:p>
    <w:p>
      <w:pPr>
        <w:ind w:right="100" w:firstLine="220"/>
        <w:spacing w:after="0" w:line="306" w:lineRule="auto"/>
        <w:rPr>
          <w:sz w:val="20"/>
          <w:szCs w:val="20"/>
          <w:color w:val="auto"/>
        </w:rPr>
      </w:pPr>
      <w:r>
        <w:rPr>
          <w:rFonts w:ascii="Arial" w:cs="Arial" w:eastAsia="Arial" w:hAnsi="Arial"/>
          <w:sz w:val="16"/>
          <w:szCs w:val="16"/>
          <w:color w:val="auto"/>
        </w:rPr>
        <w:t>Kendrick B. Melrose, The Toro Company Chairman and Chief Executive Officer, said the company’s fiscal 2004 first quarter results benefited from stronger than expected sales across some businesses, improved operating performance resulting from continued momentum of the company’s ‘5 by Five’ profit improvement initiative, in addition to the beneficial impact of one-time items and timing of certain planned expenses.</w:t>
      </w:r>
    </w:p>
    <w:p>
      <w:pPr>
        <w:spacing w:after="0" w:line="161"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The company plans to report its fiscal 2004 first quarter results on February 24, before the start of New York Stock Exchange trading, and will provide further commentary on its first quarter performance and fiscal 2004 outlook at that time. A live webcast and replay of the conference call will be available at www.thetorocompany.com/invest or at www.streetevents.com.</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79" w:right="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2—Toro Expects First Quarter Results to Exceed Guidance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program which is intended to improve our revenue growth and after-tax return on sales; the company’s ability to achieve sales growth and low double-digit diluted earnings per share growth in fiscal 2004; unforeseen product quality problems in the development and production of new and existing products; potential issues with moving production between facilities; continued slow growth in the rate of new golf course construction or existing golf course renovations;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and aluminum prices; financial viability of distributors and dealers;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9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2019-12-13T13:57:04Z</dcterms:created>
  <dcterms:modified xsi:type="dcterms:W3CDTF">2019-12-13T13:57:04Z</dcterms:modified>
</cp:coreProperties>
</file>