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12/03/2015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82"/>
              </w:rPr>
              <w:t>1,766</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320"/>
              <w:spacing w:after="0"/>
              <w:rPr>
                <w:sz w:val="20"/>
                <w:szCs w:val="20"/>
                <w:color w:val="auto"/>
              </w:rPr>
            </w:pPr>
            <w:r>
              <w:rPr>
                <w:rFonts w:ascii="Arial" w:cs="Arial" w:eastAsia="Arial" w:hAnsi="Arial"/>
                <w:sz w:val="18"/>
                <w:szCs w:val="18"/>
                <w:color w:val="0000FF"/>
              </w:rPr>
              <w:t>7,985.834</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320"/>
              <w:spacing w:after="0"/>
              <w:rPr>
                <w:sz w:val="20"/>
                <w:szCs w:val="20"/>
                <w:color w:val="auto"/>
              </w:rPr>
            </w:pPr>
            <w:r>
              <w:rPr>
                <w:rFonts w:ascii="Arial" w:cs="Arial" w:eastAsia="Arial" w:hAnsi="Arial"/>
                <w:sz w:val="18"/>
                <w:szCs w:val="18"/>
                <w:color w:val="0000FF"/>
              </w:rPr>
              <w:t>13,418.94</w:t>
            </w:r>
            <w:r>
              <w:rPr>
                <w:rFonts w:ascii="Arial" w:cs="Arial" w:eastAsia="Arial" w:hAnsi="Arial"/>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12/04/2015</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4,600</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color w:val="0000FF"/>
                <w:w w:val="96"/>
              </w:rPr>
              <w:t>12/04/2025</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8"/>
                <w:szCs w:val="18"/>
                <w:color w:val="0000FF"/>
                <w:w w:val="93"/>
              </w:rPr>
              <w:t>4,600</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4,600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2013 to Fiscal 2015 Performance Period under The Toro Company Amended and Restated 2010 Equity and Incentive Plan, as amended, as approved by the registrant's Compensation &amp; Human Resources Committee of its Board of Directors on December 1, 2015, and which was conditioned upon and subject to confirmation by the registrant's Fiscal 2015 financial results that were released on December 3, 2015.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65.853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29.515 shares of common stock acquired by the reporting person under the dividend reinvestment feature of The Toro Company Direct Stock Purchase Plan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2019-12-23T20:51:45Z</dcterms:created>
  <dcterms:modified xsi:type="dcterms:W3CDTF">2019-12-23T20:51:45Z</dcterms:modified>
</cp:coreProperties>
</file>