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036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0369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BURKART PHILIP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03/16/2010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Irrigation Businesses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ind w:left="560"/>
              <w:spacing w:after="0"/>
              <w:rPr>
                <w:sz w:val="20"/>
                <w:szCs w:val="20"/>
                <w:color w:val="auto"/>
              </w:rPr>
            </w:pPr>
            <w:r>
              <w:rPr>
                <w:rFonts w:ascii="Arial" w:cs="Arial" w:eastAsia="Arial" w:hAnsi="Arial"/>
                <w:sz w:val="18"/>
                <w:szCs w:val="18"/>
                <w:color w:val="0000FF"/>
              </w:rPr>
              <w:t>03/16/2010</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0000FF"/>
              </w:rPr>
              <w:t>M</w:t>
            </w:r>
          </w:p>
        </w:tc>
        <w:tc>
          <w:tcPr>
            <w:tcW w:w="800" w:type="dxa"/>
            <w:vAlign w:val="bottom"/>
          </w:tcPr>
          <w:p>
            <w:pPr>
              <w:ind w:left="180"/>
              <w:spacing w:after="0"/>
              <w:rPr>
                <w:sz w:val="20"/>
                <w:szCs w:val="20"/>
                <w:color w:val="auto"/>
              </w:rPr>
            </w:pPr>
            <w:r>
              <w:rPr>
                <w:rFonts w:ascii="Arial" w:cs="Arial" w:eastAsia="Arial" w:hAnsi="Arial"/>
                <w:sz w:val="18"/>
                <w:szCs w:val="18"/>
                <w:color w:val="0000FF"/>
              </w:rPr>
              <w:t>2,942</w:t>
            </w:r>
          </w:p>
        </w:tc>
        <w:tc>
          <w:tcPr>
            <w:tcW w:w="520" w:type="dxa"/>
            <w:vAlign w:val="bottom"/>
          </w:tcPr>
          <w:p>
            <w:pPr>
              <w:ind w:left="160"/>
              <w:spacing w:after="0"/>
              <w:rPr>
                <w:sz w:val="20"/>
                <w:szCs w:val="20"/>
                <w:color w:val="auto"/>
              </w:rPr>
            </w:pPr>
            <w:r>
              <w:rPr>
                <w:rFonts w:ascii="Arial" w:cs="Arial" w:eastAsia="Arial" w:hAnsi="Arial"/>
                <w:sz w:val="18"/>
                <w:szCs w:val="18"/>
                <w:color w:val="0000FF"/>
              </w:rPr>
              <w:t>A</w:t>
            </w:r>
          </w:p>
        </w:tc>
        <w:tc>
          <w:tcPr>
            <w:tcW w:w="76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8.4063</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44,115</w:t>
            </w:r>
          </w:p>
        </w:tc>
        <w:tc>
          <w:tcPr>
            <w:tcW w:w="320" w:type="dxa"/>
            <w:vAlign w:val="bottom"/>
          </w:tcPr>
          <w:p>
            <w:pPr>
              <w:spacing w:after="0"/>
              <w:rPr>
                <w:sz w:val="23"/>
                <w:szCs w:val="23"/>
                <w:color w:val="auto"/>
              </w:rPr>
            </w:pPr>
          </w:p>
        </w:tc>
        <w:tc>
          <w:tcPr>
            <w:tcW w:w="60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03/16/2010</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2,942</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48.471</w:t>
            </w:r>
            <w:r>
              <w:rPr>
                <w:rFonts w:ascii="Arial" w:cs="Arial" w:eastAsia="Arial" w:hAnsi="Arial"/>
                <w:sz w:val="22"/>
                <w:szCs w:val="22"/>
                <w:color w:val="008000"/>
                <w:w w:val="86"/>
                <w:vertAlign w:val="superscript"/>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41,173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3"/>
              </w:rPr>
              <w:t>21,962.14</w:t>
            </w:r>
            <w:r>
              <w:rPr>
                <w:rFonts w:ascii="Arial" w:cs="Arial" w:eastAsia="Arial" w:hAnsi="Arial"/>
                <w:sz w:val="22"/>
                <w:szCs w:val="22"/>
                <w:color w:val="008000"/>
                <w:w w:val="83"/>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1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5"/>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Incentive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gridSpan w:val="3"/>
            <w:vMerge w:val="restart"/>
          </w:tcPr>
          <w:p>
            <w:pPr>
              <w:ind w:left="100"/>
              <w:spacing w:after="0" w:line="324" w:lineRule="exact"/>
              <w:rPr>
                <w:sz w:val="20"/>
                <w:szCs w:val="20"/>
                <w:color w:val="auto"/>
              </w:rPr>
            </w:pPr>
            <w:r>
              <w:rPr>
                <w:rFonts w:ascii="Arial" w:cs="Arial" w:eastAsia="Arial" w:hAnsi="Arial"/>
                <w:sz w:val="14"/>
                <w:szCs w:val="14"/>
                <w:color w:val="0000FF"/>
                <w:w w:val="94"/>
              </w:rPr>
              <w:t xml:space="preserve">Common   </w:t>
            </w:r>
            <w:r>
              <w:rPr>
                <w:rFonts w:ascii="Arial" w:cs="Arial" w:eastAsia="Arial" w:hAnsi="Arial"/>
                <w:sz w:val="35"/>
                <w:szCs w:val="35"/>
                <w:color w:val="0000FF"/>
                <w:w w:val="94"/>
                <w:vertAlign w:val="subscript"/>
              </w:rPr>
              <w:t>2,942</w:t>
            </w: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tcPr>
          <w:p>
            <w:pPr>
              <w:ind w:left="2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8.4063</w:t>
            </w: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03/16/2010</w:t>
            </w:r>
          </w:p>
        </w:tc>
        <w:tc>
          <w:tcPr>
            <w:tcW w:w="1140" w:type="dxa"/>
            <w:vAlign w:val="bottom"/>
          </w:tcPr>
          <w:p>
            <w:pPr>
              <w:spacing w:after="0"/>
              <w:rPr>
                <w:sz w:val="11"/>
                <w:szCs w:val="11"/>
                <w:color w:val="auto"/>
              </w:rPr>
            </w:pPr>
          </w:p>
        </w:tc>
        <w:tc>
          <w:tcPr>
            <w:tcW w:w="40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1"/>
                <w:szCs w:val="11"/>
                <w:color w:val="auto"/>
              </w:rPr>
            </w:pPr>
          </w:p>
        </w:tc>
        <w:tc>
          <w:tcPr>
            <w:tcW w:w="720" w:type="dxa"/>
            <w:vAlign w:val="bottom"/>
            <w:gridSpan w:val="2"/>
          </w:tcPr>
          <w:p>
            <w:pPr>
              <w:ind w:left="380"/>
              <w:spacing w:after="0" w:line="133" w:lineRule="exact"/>
              <w:rPr>
                <w:sz w:val="20"/>
                <w:szCs w:val="20"/>
                <w:color w:val="auto"/>
              </w:rPr>
            </w:pPr>
            <w:r>
              <w:rPr>
                <w:rFonts w:ascii="Arial" w:cs="Arial" w:eastAsia="Arial" w:hAnsi="Arial"/>
                <w:sz w:val="14"/>
                <w:szCs w:val="14"/>
                <w:color w:val="0000FF"/>
                <w:w w:val="91"/>
              </w:rPr>
              <w:t>2,942</w:t>
            </w:r>
          </w:p>
        </w:tc>
        <w:tc>
          <w:tcPr>
            <w:tcW w:w="800" w:type="dxa"/>
            <w:vAlign w:val="bottom"/>
          </w:tcPr>
          <w:p>
            <w:pPr>
              <w:ind w:left="140"/>
              <w:spacing w:after="0" w:line="133" w:lineRule="exact"/>
              <w:rPr>
                <w:sz w:val="20"/>
                <w:szCs w:val="20"/>
                <w:color w:val="auto"/>
              </w:rPr>
            </w:pPr>
            <w:r>
              <w:rPr>
                <w:rFonts w:ascii="Arial" w:cs="Arial" w:eastAsia="Arial" w:hAnsi="Arial"/>
                <w:sz w:val="14"/>
                <w:szCs w:val="14"/>
                <w:color w:val="0000FF"/>
                <w:w w:val="91"/>
              </w:rPr>
              <w:t>12/05/2000</w:t>
            </w:r>
          </w:p>
        </w:tc>
        <w:tc>
          <w:tcPr>
            <w:tcW w:w="800" w:type="dxa"/>
            <w:vAlign w:val="bottom"/>
          </w:tcPr>
          <w:p>
            <w:pPr>
              <w:ind w:left="140"/>
              <w:spacing w:after="0" w:line="133" w:lineRule="exact"/>
              <w:rPr>
                <w:sz w:val="20"/>
                <w:szCs w:val="20"/>
                <w:color w:val="auto"/>
              </w:rPr>
            </w:pPr>
            <w:r>
              <w:rPr>
                <w:rFonts w:ascii="Arial" w:cs="Arial" w:eastAsia="Arial" w:hAnsi="Arial"/>
                <w:sz w:val="14"/>
                <w:szCs w:val="14"/>
                <w:color w:val="0000FF"/>
                <w:w w:val="91"/>
              </w:rPr>
              <w:t>12/05/2010</w:t>
            </w:r>
          </w:p>
        </w:tc>
        <w:tc>
          <w:tcPr>
            <w:tcW w:w="1320" w:type="dxa"/>
            <w:vAlign w:val="bottom"/>
            <w:gridSpan w:val="3"/>
            <w:vMerge w:val="continue"/>
          </w:tcPr>
          <w:p>
            <w:pPr>
              <w:spacing w:after="0"/>
              <w:rPr>
                <w:sz w:val="11"/>
                <w:szCs w:val="11"/>
                <w:color w:val="auto"/>
              </w:rPr>
            </w:pPr>
          </w:p>
        </w:tc>
        <w:tc>
          <w:tcPr>
            <w:tcW w:w="760" w:type="dxa"/>
            <w:vAlign w:val="bottom"/>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60" w:type="dxa"/>
            <w:vAlign w:val="bottom"/>
          </w:tcPr>
          <w:p>
            <w:pPr>
              <w:ind w:left="380"/>
              <w:spacing w:after="0" w:line="133" w:lineRule="exact"/>
              <w:rPr>
                <w:sz w:val="20"/>
                <w:szCs w:val="20"/>
                <w:color w:val="auto"/>
              </w:rPr>
            </w:pPr>
            <w:r>
              <w:rPr>
                <w:rFonts w:ascii="Arial" w:cs="Arial" w:eastAsia="Arial" w:hAnsi="Arial"/>
                <w:sz w:val="14"/>
                <w:szCs w:val="14"/>
                <w:color w:val="0000FF"/>
                <w:w w:val="76"/>
              </w:rPr>
              <w:t>0</w:t>
            </w:r>
          </w:p>
        </w:tc>
        <w:tc>
          <w:tcPr>
            <w:tcW w:w="320" w:type="dxa"/>
            <w:vAlign w:val="bottom"/>
          </w:tcPr>
          <w:p>
            <w:pPr>
              <w:spacing w:after="0"/>
              <w:rPr>
                <w:sz w:val="11"/>
                <w:szCs w:val="11"/>
                <w:color w:val="auto"/>
              </w:rPr>
            </w:pPr>
          </w:p>
        </w:tc>
        <w:tc>
          <w:tcPr>
            <w:tcW w:w="600" w:type="dxa"/>
            <w:vAlign w:val="bottom"/>
          </w:tcPr>
          <w:p>
            <w:pPr>
              <w:ind w:left="460"/>
              <w:spacing w:after="0" w:line="133" w:lineRule="exact"/>
              <w:rPr>
                <w:sz w:val="20"/>
                <w:szCs w:val="20"/>
                <w:color w:val="auto"/>
              </w:rPr>
            </w:pPr>
            <w:r>
              <w:rPr>
                <w:rFonts w:ascii="Arial" w:cs="Arial" w:eastAsia="Arial" w:hAnsi="Arial"/>
                <w:sz w:val="14"/>
                <w:szCs w:val="14"/>
                <w:color w:val="0000FF"/>
              </w:rPr>
              <w:t>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ind w:left="180"/>
              <w:spacing w:after="0" w:line="149" w:lineRule="exact"/>
              <w:rPr>
                <w:sz w:val="20"/>
                <w:szCs w:val="20"/>
                <w:color w:val="auto"/>
              </w:rPr>
            </w:pPr>
            <w:r>
              <w:rPr>
                <w:rFonts w:ascii="Arial" w:cs="Arial" w:eastAsia="Arial" w:hAnsi="Arial"/>
                <w:sz w:val="14"/>
                <w:szCs w:val="14"/>
                <w:color w:val="0000FF"/>
                <w:w w:val="91"/>
              </w:rPr>
              <w:t>Stock</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$48.46 to $48.57,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90.028 shares of common stock acquired by the reporting person under the dividend reinvestment feature of The Toro Company Investment, Savings &amp; ESOP since the date of his last report.</w:t>
      </w:r>
    </w:p>
    <w:p>
      <w:pPr>
        <w:spacing w:after="0" w:line="51"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03/18/2010</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2019-12-16T23:29:20Z</dcterms:created>
  <dcterms:modified xsi:type="dcterms:W3CDTF">2019-12-16T23:29:20Z</dcterms:modified>
</cp:coreProperties>
</file>