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Altmaier Judy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23"/>
        <w:spacing w:after="0"/>
        <w:rPr>
          <w:sz w:val="20"/>
          <w:szCs w:val="20"/>
          <w:color w:val="auto"/>
        </w:rPr>
      </w:pPr>
      <w:r>
        <w:rPr>
          <w:rFonts w:ascii="Arial" w:cs="Arial" w:eastAsia="Arial" w:hAnsi="Arial"/>
          <w:sz w:val="18"/>
          <w:szCs w:val="18"/>
          <w:color w:val="0000FF"/>
        </w:rPr>
        <w:t>VP, Exmark</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74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12/04/2014</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8"/>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5"/>
              </w:rPr>
              <w:t>6,110</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jc w:val="right"/>
              <w:ind w:right="156"/>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22,245.5</w:t>
            </w:r>
            <w:r>
              <w:rPr>
                <w:rFonts w:ascii="Arial" w:cs="Arial" w:eastAsia="Arial" w:hAnsi="Arial"/>
                <w:sz w:val="22"/>
                <w:szCs w:val="22"/>
                <w:color w:val="008000"/>
                <w:w w:val="84"/>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6,656.267</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211.235</w:t>
            </w:r>
            <w:r>
              <w:rPr>
                <w:rFonts w:ascii="Arial" w:cs="Arial" w:eastAsia="Arial" w:hAnsi="Arial"/>
                <w:sz w:val="22"/>
                <w:szCs w:val="22"/>
                <w:color w:val="008000"/>
                <w:w w:val="84"/>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7"/>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62.75</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12/05/2014</w:t>
            </w:r>
          </w:p>
        </w:tc>
        <w:tc>
          <w:tcPr>
            <w:tcW w:w="114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220" w:type="dxa"/>
            <w:vAlign w:val="bottom"/>
          </w:tcPr>
          <w:p>
            <w:pPr>
              <w:spacing w:after="0"/>
              <w:rPr>
                <w:sz w:val="12"/>
                <w:szCs w:val="12"/>
                <w:color w:val="auto"/>
              </w:rPr>
            </w:pPr>
          </w:p>
        </w:tc>
        <w:tc>
          <w:tcPr>
            <w:tcW w:w="520" w:type="dxa"/>
            <w:vAlign w:val="bottom"/>
            <w:vMerge w:val="restart"/>
          </w:tcPr>
          <w:p>
            <w:pPr>
              <w:ind w:left="100"/>
              <w:spacing w:after="0"/>
              <w:rPr>
                <w:sz w:val="20"/>
                <w:szCs w:val="20"/>
                <w:color w:val="auto"/>
              </w:rPr>
            </w:pPr>
            <w:r>
              <w:rPr>
                <w:rFonts w:ascii="Arial" w:cs="Arial" w:eastAsia="Arial" w:hAnsi="Arial"/>
                <w:sz w:val="14"/>
                <w:szCs w:val="14"/>
                <w:color w:val="0000FF"/>
              </w:rPr>
              <w:t>6,100</w:t>
            </w:r>
          </w:p>
        </w:tc>
        <w:tc>
          <w:tcPr>
            <w:tcW w:w="30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ind w:left="40"/>
              <w:spacing w:after="0"/>
              <w:rPr>
                <w:sz w:val="20"/>
                <w:szCs w:val="20"/>
                <w:color w:val="auto"/>
              </w:rPr>
            </w:pPr>
            <w:r>
              <w:rPr>
                <w:rFonts w:ascii="Arial" w:cs="Arial" w:eastAsia="Arial" w:hAnsi="Arial"/>
                <w:sz w:val="14"/>
                <w:szCs w:val="14"/>
                <w:color w:val="0000FF"/>
                <w:w w:val="99"/>
              </w:rPr>
              <w:t>12/05/2024</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6,100</w:t>
            </w:r>
          </w:p>
        </w:tc>
        <w:tc>
          <w:tcPr>
            <w:tcW w:w="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vMerge w:val="restart"/>
          </w:tcPr>
          <w:p>
            <w:pPr>
              <w:ind w:left="280"/>
              <w:spacing w:after="0"/>
              <w:rPr>
                <w:sz w:val="20"/>
                <w:szCs w:val="20"/>
                <w:color w:val="auto"/>
              </w:rPr>
            </w:pPr>
            <w:r>
              <w:rPr>
                <w:rFonts w:ascii="Arial" w:cs="Arial" w:eastAsia="Arial" w:hAnsi="Arial"/>
                <w:sz w:val="14"/>
                <w:szCs w:val="14"/>
                <w:color w:val="0000FF"/>
              </w:rPr>
              <w:t>6,100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jc w:val="right"/>
              <w:ind w:right="156"/>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2012 to Fiscal 2014 Performance Period under The Toro Company 2010 Equity and Incentive Plan, as amended, as approved by the registrant's Compensation &amp; Human Resources Committee of its Board of Directors on December 2, 2014, and which was conditioned upon and subject to confirmation by the registrant's Fiscal 2014 financial results that were released on December 4, 2014. The reporting person has deferred the payout of her Performance Share Award under The Toro Company Deferred Compensation Plan for Officers (the "Deferred Plan") and, accordingly,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208.777 performance share units acquired by the reporting person since the date of her last report under the dividend reinvestment feature of the Deferred Plan.</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her last report: 2.482 net shares acquired under the dividend reinvestment feature of The Toro Company Investment, Savings &amp; ESOP (IS&amp;ESOP) less quarterly non-discretionary administrative fees; and 58.661 shares acquired through issuer annual investment fund contributions to the IS&amp;ESOP.</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12/08/2014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480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2019-12-17T02:52:10Z</dcterms:created>
  <dcterms:modified xsi:type="dcterms:W3CDTF">2019-12-17T02:52:10Z</dcterms:modified>
</cp:coreProperties>
</file>