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Ramstad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VP, HR and Bus. Development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03/20/2012</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28.62</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9,300.969</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03/20/2012</w:t>
            </w: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257"/>
              <w:spacing w:after="0"/>
              <w:rPr>
                <w:sz w:val="20"/>
                <w:szCs w:val="20"/>
                <w:color w:val="auto"/>
              </w:rPr>
            </w:pPr>
            <w:r>
              <w:rPr>
                <w:rFonts w:ascii="Arial" w:cs="Arial" w:eastAsia="Arial" w:hAnsi="Arial"/>
                <w:sz w:val="14"/>
                <w:szCs w:val="14"/>
                <w:color w:val="0000FF"/>
                <w:w w:val="85"/>
              </w:rPr>
              <w:t>S</w:t>
            </w:r>
          </w:p>
        </w:tc>
        <w:tc>
          <w:tcPr>
            <w:tcW w:w="720" w:type="dxa"/>
            <w:vAlign w:val="bottom"/>
          </w:tcPr>
          <w:p>
            <w:pPr>
              <w:ind w:left="220"/>
              <w:spacing w:after="0"/>
              <w:rPr>
                <w:sz w:val="20"/>
                <w:szCs w:val="20"/>
                <w:color w:val="auto"/>
              </w:rPr>
            </w:pPr>
            <w:r>
              <w:rPr>
                <w:rFonts w:ascii="Arial" w:cs="Arial" w:eastAsia="Arial" w:hAnsi="Arial"/>
                <w:sz w:val="18"/>
                <w:szCs w:val="18"/>
                <w:color w:val="0000FF"/>
              </w:rPr>
              <w:t>6,000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20" w:type="dxa"/>
            <w:vAlign w:val="bottom"/>
          </w:tcPr>
          <w:p>
            <w:pPr>
              <w:spacing w:after="0"/>
              <w:rPr>
                <w:sz w:val="23"/>
                <w:szCs w:val="23"/>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70.5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3,300.969</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270.122</w:t>
            </w:r>
            <w:r>
              <w:rPr>
                <w:rFonts w:ascii="Arial" w:cs="Arial" w:eastAsia="Arial" w:hAnsi="Arial"/>
                <w:sz w:val="22"/>
                <w:szCs w:val="22"/>
                <w:color w:val="008000"/>
                <w:w w:val="84"/>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2,508.691</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28.62</w:t>
            </w:r>
          </w:p>
        </w:tc>
        <w:tc>
          <w:tcPr>
            <w:tcW w:w="1140" w:type="dxa"/>
            <w:vAlign w:val="bottom"/>
          </w:tcPr>
          <w:p>
            <w:pPr>
              <w:ind w:left="260"/>
              <w:spacing w:after="0"/>
              <w:rPr>
                <w:sz w:val="20"/>
                <w:szCs w:val="20"/>
                <w:color w:val="auto"/>
              </w:rPr>
            </w:pPr>
            <w:r>
              <w:rPr>
                <w:rFonts w:ascii="Arial" w:cs="Arial" w:eastAsia="Arial" w:hAnsi="Arial"/>
                <w:sz w:val="14"/>
                <w:szCs w:val="14"/>
                <w:color w:val="0000FF"/>
              </w:rPr>
              <w:t>03/20/2012</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6,000</w:t>
            </w:r>
          </w:p>
        </w:tc>
        <w:tc>
          <w:tcPr>
            <w:tcW w:w="840" w:type="dxa"/>
            <w:vAlign w:val="bottom"/>
            <w:gridSpan w:val="2"/>
          </w:tcPr>
          <w:p>
            <w:pPr>
              <w:jc w:val="right"/>
              <w:ind w:right="77"/>
              <w:spacing w:after="0"/>
              <w:rPr>
                <w:sz w:val="20"/>
                <w:szCs w:val="20"/>
                <w:color w:val="auto"/>
              </w:rPr>
            </w:pPr>
            <w:r>
              <w:rPr>
                <w:rFonts w:ascii="Arial" w:cs="Arial" w:eastAsia="Arial" w:hAnsi="Arial"/>
                <w:sz w:val="14"/>
                <w:szCs w:val="14"/>
                <w:color w:val="0000FF"/>
                <w:w w:val="96"/>
              </w:rPr>
              <w:t>12/03/2009</w:t>
            </w:r>
          </w:p>
        </w:tc>
        <w:tc>
          <w:tcPr>
            <w:tcW w:w="720" w:type="dxa"/>
            <w:vAlign w:val="bottom"/>
          </w:tcPr>
          <w:p>
            <w:pPr>
              <w:ind w:left="40"/>
              <w:spacing w:after="0"/>
              <w:rPr>
                <w:sz w:val="20"/>
                <w:szCs w:val="20"/>
                <w:color w:val="auto"/>
              </w:rPr>
            </w:pPr>
            <w:r>
              <w:rPr>
                <w:rFonts w:ascii="Arial" w:cs="Arial" w:eastAsia="Arial" w:hAnsi="Arial"/>
                <w:sz w:val="14"/>
                <w:szCs w:val="14"/>
                <w:color w:val="0000FF"/>
                <w:w w:val="94"/>
              </w:rPr>
              <w:t>12/03/2018</w:t>
            </w: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20" w:type="dxa"/>
            <w:vAlign w:val="bottom"/>
          </w:tcPr>
          <w:p>
            <w:pPr>
              <w:spacing w:after="0"/>
              <w:rPr>
                <w:sz w:val="17"/>
                <w:szCs w:val="17"/>
                <w:color w:val="auto"/>
              </w:rPr>
            </w:pP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6,000</w:t>
            </w:r>
          </w:p>
        </w:tc>
        <w:tc>
          <w:tcPr>
            <w:tcW w:w="40" w:type="dxa"/>
            <w:vAlign w:val="bottom"/>
          </w:tcPr>
          <w:p>
            <w:pPr>
              <w:spacing w:after="0"/>
              <w:rPr>
                <w:sz w:val="17"/>
                <w:szCs w:val="17"/>
                <w:color w:val="auto"/>
              </w:rPr>
            </w:pP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9,600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11.459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6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0.758 shares acquired under the dividend reinvestment feature of The Toro Company Investment, Savings &amp; ESOP (IS&amp;ESOP); and 51.472 shares acquired through issuer annual investment fund contributions to the IS&amp;ESOP.</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8.691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03/21/2012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2019-12-17T01:32:59Z</dcterms:created>
  <dcterms:modified xsi:type="dcterms:W3CDTF">2019-12-17T01:32:59Z</dcterms:modified>
</cp:coreProperties>
</file>