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3"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394" w:lineRule="exact"/>
        <w:rPr>
          <w:sz w:val="24"/>
          <w:szCs w:val="24"/>
          <w:color w:val="auto"/>
        </w:rPr>
      </w:pPr>
    </w:p>
    <w:p>
      <w:pPr>
        <w:ind w:left="2440"/>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tbl>
      <w:tblPr>
        <w:tblLayout w:type="fixed"/>
        <w:tblInd w:w="220" w:type="dxa"/>
        <w:tblCellMar>
          <w:top w:w="0" w:type="dxa"/>
          <w:left w:w="0" w:type="dxa"/>
          <w:bottom w:w="0" w:type="dxa"/>
          <w:right w:w="0" w:type="dxa"/>
        </w:tblCellMar>
      </w:tblPr>
      <w:tr>
        <w:trPr>
          <w:trHeight w:val="296"/>
        </w:trPr>
        <w:tc>
          <w:tcPr>
            <w:tcW w:w="2680" w:type="dxa"/>
            <w:vAlign w:val="bottom"/>
          </w:tcPr>
          <w:p>
            <w:pPr>
              <w:spacing w:after="0"/>
              <w:rPr>
                <w:sz w:val="24"/>
                <w:szCs w:val="24"/>
                <w:color w:val="auto"/>
              </w:rPr>
            </w:pPr>
          </w:p>
        </w:tc>
        <w:tc>
          <w:tcPr>
            <w:tcW w:w="2700" w:type="dxa"/>
            <w:vAlign w:val="bottom"/>
            <w:gridSpan w:val="3"/>
          </w:tcPr>
          <w:p>
            <w:pPr>
              <w:ind w:left="160"/>
              <w:spacing w:after="0"/>
              <w:rPr>
                <w:sz w:val="20"/>
                <w:szCs w:val="20"/>
                <w:color w:val="auto"/>
              </w:rPr>
            </w:pPr>
            <w:r>
              <w:rPr>
                <w:rFonts w:ascii="Courier New" w:cs="Courier New" w:eastAsia="Courier New" w:hAnsi="Courier New"/>
                <w:sz w:val="18"/>
                <w:szCs w:val="18"/>
                <w:color w:val="auto"/>
              </w:rPr>
              <w:t>WASHINGTON, D.C.  20549</w:t>
            </w:r>
          </w:p>
        </w:tc>
        <w:tc>
          <w:tcPr>
            <w:tcW w:w="2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08"/>
        </w:trPr>
        <w:tc>
          <w:tcPr>
            <w:tcW w:w="2680" w:type="dxa"/>
            <w:vAlign w:val="bottom"/>
          </w:tcPr>
          <w:p>
            <w:pPr>
              <w:spacing w:after="0"/>
              <w:rPr>
                <w:sz w:val="24"/>
                <w:szCs w:val="24"/>
                <w:color w:val="auto"/>
              </w:rPr>
            </w:pPr>
          </w:p>
        </w:tc>
        <w:tc>
          <w:tcPr>
            <w:tcW w:w="2700" w:type="dxa"/>
            <w:vAlign w:val="bottom"/>
            <w:gridSpan w:val="3"/>
          </w:tcPr>
          <w:p>
            <w:pPr>
              <w:jc w:val="right"/>
              <w:ind w:right="32"/>
              <w:spacing w:after="0"/>
              <w:rPr>
                <w:sz w:val="20"/>
                <w:szCs w:val="20"/>
                <w:color w:val="auto"/>
              </w:rPr>
            </w:pPr>
            <w:r>
              <w:rPr>
                <w:rFonts w:ascii="Courier New" w:cs="Courier New" w:eastAsia="Courier New" w:hAnsi="Courier New"/>
                <w:sz w:val="18"/>
                <w:szCs w:val="18"/>
                <w:color w:val="auto"/>
              </w:rPr>
              <w:t>-----------------------</w:t>
            </w:r>
          </w:p>
        </w:tc>
        <w:tc>
          <w:tcPr>
            <w:tcW w:w="2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26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20" w:type="dxa"/>
            <w:vAlign w:val="bottom"/>
          </w:tcPr>
          <w:p>
            <w:pPr>
              <w:spacing w:after="0"/>
              <w:rPr>
                <w:sz w:val="20"/>
                <w:szCs w:val="20"/>
                <w:color w:val="auto"/>
              </w:rPr>
            </w:pPr>
            <w:r>
              <w:rPr>
                <w:rFonts w:ascii="Courier New" w:cs="Courier New" w:eastAsia="Courier New" w:hAnsi="Courier New"/>
                <w:sz w:val="18"/>
                <w:szCs w:val="18"/>
                <w:color w:val="auto"/>
              </w:rPr>
              <w:t>FORM 10-Q</w:t>
            </w:r>
          </w:p>
        </w:tc>
        <w:tc>
          <w:tcPr>
            <w:tcW w:w="38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2680" w:type="dxa"/>
            <w:vAlign w:val="bottom"/>
          </w:tcPr>
          <w:p>
            <w:pPr>
              <w:spacing w:after="0"/>
              <w:rPr>
                <w:sz w:val="24"/>
                <w:szCs w:val="24"/>
                <w:color w:val="auto"/>
              </w:rPr>
            </w:pPr>
          </w:p>
        </w:tc>
        <w:tc>
          <w:tcPr>
            <w:tcW w:w="2700" w:type="dxa"/>
            <w:vAlign w:val="bottom"/>
            <w:gridSpan w:val="3"/>
          </w:tcPr>
          <w:p>
            <w:pPr>
              <w:jc w:val="right"/>
              <w:ind w:right="32"/>
              <w:spacing w:after="0"/>
              <w:rPr>
                <w:sz w:val="20"/>
                <w:szCs w:val="20"/>
                <w:color w:val="auto"/>
              </w:rPr>
            </w:pPr>
            <w:r>
              <w:rPr>
                <w:rFonts w:ascii="Courier New" w:cs="Courier New" w:eastAsia="Courier New" w:hAnsi="Courier New"/>
                <w:sz w:val="18"/>
                <w:szCs w:val="18"/>
                <w:color w:val="auto"/>
                <w:w w:val="98"/>
              </w:rPr>
              <w:t>------------------------</w:t>
            </w:r>
          </w:p>
        </w:tc>
        <w:tc>
          <w:tcPr>
            <w:tcW w:w="2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14"/>
        </w:trPr>
        <w:tc>
          <w:tcPr>
            <w:tcW w:w="3580" w:type="dxa"/>
            <w:vAlign w:val="bottom"/>
            <w:gridSpan w:val="2"/>
          </w:tcPr>
          <w:p>
            <w:pPr>
              <w:jc w:val="right"/>
              <w:ind w:right="12"/>
              <w:spacing w:after="0"/>
              <w:rPr>
                <w:sz w:val="20"/>
                <w:szCs w:val="20"/>
                <w:color w:val="auto"/>
              </w:rPr>
            </w:pPr>
            <w:r>
              <w:rPr>
                <w:rFonts w:ascii="Courier New" w:cs="Courier New" w:eastAsia="Courier New" w:hAnsi="Courier New"/>
                <w:sz w:val="18"/>
                <w:szCs w:val="18"/>
                <w:color w:val="auto"/>
              </w:rPr>
              <w:t>Quarterly Report</w:t>
            </w:r>
          </w:p>
        </w:tc>
        <w:tc>
          <w:tcPr>
            <w:tcW w:w="1420" w:type="dxa"/>
            <w:vAlign w:val="bottom"/>
          </w:tcPr>
          <w:p>
            <w:pPr>
              <w:spacing w:after="0"/>
              <w:rPr>
                <w:sz w:val="20"/>
                <w:szCs w:val="20"/>
                <w:color w:val="auto"/>
              </w:rPr>
            </w:pPr>
            <w:r>
              <w:rPr>
                <w:rFonts w:ascii="Courier New" w:cs="Courier New" w:eastAsia="Courier New" w:hAnsi="Courier New"/>
                <w:sz w:val="18"/>
                <w:szCs w:val="18"/>
                <w:color w:val="auto"/>
                <w:w w:val="99"/>
              </w:rPr>
              <w:t>Under Section</w:t>
            </w:r>
          </w:p>
        </w:tc>
        <w:tc>
          <w:tcPr>
            <w:tcW w:w="380" w:type="dxa"/>
            <w:vAlign w:val="bottom"/>
          </w:tcPr>
          <w:p>
            <w:pPr>
              <w:jc w:val="right"/>
              <w:ind w:right="32"/>
              <w:spacing w:after="0"/>
              <w:rPr>
                <w:sz w:val="20"/>
                <w:szCs w:val="20"/>
                <w:color w:val="auto"/>
              </w:rPr>
            </w:pPr>
            <w:r>
              <w:rPr>
                <w:rFonts w:ascii="Courier New" w:cs="Courier New" w:eastAsia="Courier New" w:hAnsi="Courier New"/>
                <w:sz w:val="18"/>
                <w:szCs w:val="18"/>
                <w:color w:val="auto"/>
              </w:rPr>
              <w:t>13</w:t>
            </w:r>
          </w:p>
        </w:tc>
        <w:tc>
          <w:tcPr>
            <w:tcW w:w="2300" w:type="dxa"/>
            <w:vAlign w:val="bottom"/>
          </w:tcPr>
          <w:p>
            <w:pPr>
              <w:spacing w:after="0"/>
              <w:rPr>
                <w:sz w:val="20"/>
                <w:szCs w:val="20"/>
                <w:color w:val="auto"/>
              </w:rPr>
            </w:pPr>
            <w:r>
              <w:rPr>
                <w:rFonts w:ascii="Courier New" w:cs="Courier New" w:eastAsia="Courier New" w:hAnsi="Courier New"/>
                <w:sz w:val="18"/>
                <w:szCs w:val="18"/>
                <w:color w:val="auto"/>
              </w:rPr>
              <w:t>or 15(d)</w:t>
            </w:r>
          </w:p>
        </w:tc>
        <w:tc>
          <w:tcPr>
            <w:tcW w:w="0" w:type="dxa"/>
            <w:vAlign w:val="bottom"/>
          </w:tcPr>
          <w:p>
            <w:pPr>
              <w:spacing w:after="0"/>
              <w:rPr>
                <w:sz w:val="1"/>
                <w:szCs w:val="1"/>
                <w:color w:val="auto"/>
              </w:rPr>
            </w:pPr>
          </w:p>
        </w:tc>
      </w:tr>
      <w:tr>
        <w:trPr>
          <w:trHeight w:val="296"/>
        </w:trPr>
        <w:tc>
          <w:tcPr>
            <w:tcW w:w="2680" w:type="dxa"/>
            <w:vAlign w:val="bottom"/>
          </w:tcPr>
          <w:p>
            <w:pPr>
              <w:jc w:val="right"/>
              <w:spacing w:after="0"/>
              <w:rPr>
                <w:sz w:val="20"/>
                <w:szCs w:val="20"/>
                <w:color w:val="auto"/>
              </w:rPr>
            </w:pPr>
            <w:r>
              <w:rPr>
                <w:rFonts w:ascii="Courier New" w:cs="Courier New" w:eastAsia="Courier New" w:hAnsi="Courier New"/>
                <w:sz w:val="18"/>
                <w:szCs w:val="18"/>
                <w:color w:val="auto"/>
              </w:rPr>
              <w:t>of the</w:t>
            </w:r>
          </w:p>
        </w:tc>
        <w:tc>
          <w:tcPr>
            <w:tcW w:w="5000" w:type="dxa"/>
            <w:vAlign w:val="bottom"/>
            <w:gridSpan w:val="4"/>
          </w:tcPr>
          <w:p>
            <w:pPr>
              <w:ind w:left="60"/>
              <w:spacing w:after="0"/>
              <w:rPr>
                <w:sz w:val="20"/>
                <w:szCs w:val="20"/>
                <w:color w:val="auto"/>
              </w:rPr>
            </w:pPr>
            <w:r>
              <w:rPr>
                <w:rFonts w:ascii="Courier New" w:cs="Courier New" w:eastAsia="Courier New" w:hAnsi="Courier New"/>
                <w:sz w:val="18"/>
                <w:szCs w:val="18"/>
                <w:color w:val="auto"/>
              </w:rPr>
              <w:t>Securities Exchange Act of 1934</w:t>
            </w:r>
          </w:p>
        </w:tc>
        <w:tc>
          <w:tcPr>
            <w:tcW w:w="0" w:type="dxa"/>
            <w:vAlign w:val="bottom"/>
          </w:tcPr>
          <w:p>
            <w:pPr>
              <w:spacing w:after="0"/>
              <w:rPr>
                <w:sz w:val="1"/>
                <w:szCs w:val="1"/>
                <w:color w:val="auto"/>
              </w:rPr>
            </w:pPr>
          </w:p>
        </w:tc>
      </w:tr>
      <w:tr>
        <w:trPr>
          <w:trHeight w:val="311"/>
        </w:trPr>
        <w:tc>
          <w:tcPr>
            <w:tcW w:w="2680" w:type="dxa"/>
            <w:vAlign w:val="bottom"/>
          </w:tcPr>
          <w:p>
            <w:pPr>
              <w:jc w:val="right"/>
              <w:spacing w:after="0"/>
              <w:rPr>
                <w:sz w:val="20"/>
                <w:szCs w:val="20"/>
                <w:color w:val="auto"/>
              </w:rPr>
            </w:pPr>
            <w:r>
              <w:rPr>
                <w:rFonts w:ascii="Courier New" w:cs="Courier New" w:eastAsia="Courier New" w:hAnsi="Courier New"/>
                <w:sz w:val="18"/>
                <w:szCs w:val="18"/>
                <w:color w:val="auto"/>
              </w:rPr>
              <w:t>For the Quarter Ended</w:t>
            </w:r>
          </w:p>
        </w:tc>
        <w:tc>
          <w:tcPr>
            <w:tcW w:w="900" w:type="dxa"/>
            <w:vAlign w:val="bottom"/>
          </w:tcPr>
          <w:p>
            <w:pPr>
              <w:ind w:left="60"/>
              <w:spacing w:after="0"/>
              <w:rPr>
                <w:sz w:val="20"/>
                <w:szCs w:val="20"/>
                <w:color w:val="auto"/>
              </w:rPr>
            </w:pPr>
            <w:r>
              <w:rPr>
                <w:rFonts w:ascii="Courier New" w:cs="Courier New" w:eastAsia="Courier New" w:hAnsi="Courier New"/>
                <w:sz w:val="18"/>
                <w:szCs w:val="18"/>
                <w:color w:val="auto"/>
              </w:rPr>
              <w:t>October</w:t>
            </w:r>
          </w:p>
        </w:tc>
        <w:tc>
          <w:tcPr>
            <w:tcW w:w="4100" w:type="dxa"/>
            <w:vAlign w:val="bottom"/>
            <w:gridSpan w:val="3"/>
          </w:tcPr>
          <w:p>
            <w:pPr>
              <w:spacing w:after="0"/>
              <w:rPr>
                <w:sz w:val="20"/>
                <w:szCs w:val="20"/>
                <w:color w:val="auto"/>
              </w:rPr>
            </w:pPr>
            <w:r>
              <w:rPr>
                <w:rFonts w:ascii="Courier New" w:cs="Courier New" w:eastAsia="Courier New" w:hAnsi="Courier New"/>
                <w:sz w:val="18"/>
                <w:szCs w:val="18"/>
                <w:color w:val="auto"/>
                <w:w w:val="99"/>
              </w:rPr>
              <w:t>28, 1994 Commission File Number 1-8649</w:t>
            </w:r>
          </w:p>
        </w:tc>
        <w:tc>
          <w:tcPr>
            <w:tcW w:w="0" w:type="dxa"/>
            <w:vAlign w:val="bottom"/>
          </w:tcPr>
          <w:p>
            <w:pPr>
              <w:spacing w:after="0"/>
              <w:rPr>
                <w:sz w:val="1"/>
                <w:szCs w:val="1"/>
                <w:color w:val="auto"/>
              </w:rPr>
            </w:pPr>
          </w:p>
        </w:tc>
      </w:tr>
      <w:tr>
        <w:trPr>
          <w:trHeight w:val="296"/>
        </w:trPr>
        <w:tc>
          <w:tcPr>
            <w:tcW w:w="2680" w:type="dxa"/>
            <w:vAlign w:val="bottom"/>
          </w:tcPr>
          <w:p>
            <w:pPr>
              <w:spacing w:after="0"/>
              <w:rPr>
                <w:sz w:val="24"/>
                <w:szCs w:val="24"/>
                <w:color w:val="auto"/>
              </w:rPr>
            </w:pPr>
          </w:p>
        </w:tc>
        <w:tc>
          <w:tcPr>
            <w:tcW w:w="232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w:t>
            </w:r>
          </w:p>
        </w:tc>
        <w:tc>
          <w:tcPr>
            <w:tcW w:w="380" w:type="dxa"/>
            <w:vAlign w:val="bottom"/>
          </w:tcPr>
          <w:p>
            <w:pPr>
              <w:spacing w:after="0"/>
              <w:rPr>
                <w:sz w:val="24"/>
                <w:szCs w:val="24"/>
                <w:color w:val="auto"/>
              </w:rPr>
            </w:pPr>
          </w:p>
        </w:tc>
        <w:tc>
          <w:tcPr>
            <w:tcW w:w="2300" w:type="dxa"/>
            <w:vAlign w:val="bottom"/>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311"/>
        </w:trPr>
        <w:tc>
          <w:tcPr>
            <w:tcW w:w="268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(Exact name of</w:t>
            </w:r>
          </w:p>
        </w:tc>
        <w:tc>
          <w:tcPr>
            <w:tcW w:w="900" w:type="dxa"/>
            <w:vAlign w:val="bottom"/>
          </w:tcPr>
          <w:p>
            <w:pPr>
              <w:jc w:val="right"/>
              <w:ind w:right="12"/>
              <w:spacing w:after="0"/>
              <w:rPr>
                <w:sz w:val="20"/>
                <w:szCs w:val="20"/>
                <w:color w:val="auto"/>
              </w:rPr>
            </w:pPr>
            <w:r>
              <w:rPr>
                <w:rFonts w:ascii="Courier New" w:cs="Courier New" w:eastAsia="Courier New" w:hAnsi="Courier New"/>
                <w:sz w:val="18"/>
                <w:szCs w:val="18"/>
                <w:color w:val="auto"/>
              </w:rPr>
              <w:t>THE</w:t>
            </w:r>
          </w:p>
        </w:tc>
        <w:tc>
          <w:tcPr>
            <w:tcW w:w="1420" w:type="dxa"/>
            <w:vAlign w:val="bottom"/>
          </w:tcPr>
          <w:p>
            <w:pPr>
              <w:spacing w:after="0"/>
              <w:rPr>
                <w:sz w:val="20"/>
                <w:szCs w:val="20"/>
                <w:color w:val="auto"/>
              </w:rPr>
            </w:pPr>
            <w:r>
              <w:rPr>
                <w:rFonts w:ascii="Courier New" w:cs="Courier New" w:eastAsia="Courier New" w:hAnsi="Courier New"/>
                <w:sz w:val="18"/>
                <w:szCs w:val="18"/>
                <w:color w:val="auto"/>
              </w:rPr>
              <w:t>TORO COMPANY</w:t>
            </w:r>
          </w:p>
        </w:tc>
        <w:tc>
          <w:tcPr>
            <w:tcW w:w="38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6"/>
        </w:trPr>
        <w:tc>
          <w:tcPr>
            <w:tcW w:w="2680" w:type="dxa"/>
            <w:vAlign w:val="bottom"/>
            <w:vMerge w:val="continue"/>
          </w:tcPr>
          <w:p>
            <w:pPr>
              <w:spacing w:after="0"/>
              <w:rPr>
                <w:sz w:val="24"/>
                <w:szCs w:val="24"/>
                <w:color w:val="auto"/>
              </w:rPr>
            </w:pPr>
          </w:p>
        </w:tc>
        <w:tc>
          <w:tcPr>
            <w:tcW w:w="5000" w:type="dxa"/>
            <w:vAlign w:val="bottom"/>
            <w:gridSpan w:val="4"/>
          </w:tcPr>
          <w:p>
            <w:pPr>
              <w:ind w:left="60"/>
              <w:spacing w:after="0"/>
              <w:rPr>
                <w:sz w:val="20"/>
                <w:szCs w:val="20"/>
                <w:color w:val="auto"/>
              </w:rPr>
            </w:pPr>
            <w:r>
              <w:rPr>
                <w:rFonts w:ascii="Courier New" w:cs="Courier New" w:eastAsia="Courier New" w:hAnsi="Courier New"/>
                <w:sz w:val="18"/>
                <w:szCs w:val="18"/>
                <w:color w:val="auto"/>
              </w:rPr>
              <w:t>registrant as specified in its charter)</w:t>
            </w:r>
          </w:p>
        </w:tc>
        <w:tc>
          <w:tcPr>
            <w:tcW w:w="0" w:type="dxa"/>
            <w:vAlign w:val="bottom"/>
          </w:tcPr>
          <w:p>
            <w:pPr>
              <w:spacing w:after="0"/>
              <w:rPr>
                <w:sz w:val="1"/>
                <w:szCs w:val="1"/>
                <w:color w:val="auto"/>
              </w:rPr>
            </w:pPr>
          </w:p>
        </w:tc>
      </w:tr>
      <w:tr>
        <w:trPr>
          <w:trHeight w:val="514"/>
        </w:trPr>
        <w:tc>
          <w:tcPr>
            <w:tcW w:w="2680" w:type="dxa"/>
            <w:vAlign w:val="bottom"/>
          </w:tcPr>
          <w:p>
            <w:pPr>
              <w:jc w:val="right"/>
              <w:ind w:right="912"/>
              <w:spacing w:after="0"/>
              <w:rPr>
                <w:sz w:val="20"/>
                <w:szCs w:val="20"/>
                <w:color w:val="auto"/>
              </w:rPr>
            </w:pPr>
            <w:r>
              <w:rPr>
                <w:rFonts w:ascii="Courier New" w:cs="Courier New" w:eastAsia="Courier New" w:hAnsi="Courier New"/>
                <w:sz w:val="18"/>
                <w:szCs w:val="18"/>
                <w:color w:val="auto"/>
              </w:rPr>
              <w:t>DELAWARE</w:t>
            </w:r>
          </w:p>
        </w:tc>
        <w:tc>
          <w:tcPr>
            <w:tcW w:w="9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68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41-0580470</w:t>
            </w:r>
          </w:p>
        </w:tc>
        <w:tc>
          <w:tcPr>
            <w:tcW w:w="0" w:type="dxa"/>
            <w:vAlign w:val="bottom"/>
          </w:tcPr>
          <w:p>
            <w:pPr>
              <w:spacing w:after="0"/>
              <w:rPr>
                <w:sz w:val="1"/>
                <w:szCs w:val="1"/>
                <w:color w:val="auto"/>
              </w:rPr>
            </w:pPr>
          </w:p>
        </w:tc>
      </w:tr>
      <w:tr>
        <w:trPr>
          <w:trHeight w:val="296"/>
        </w:trPr>
        <w:tc>
          <w:tcPr>
            <w:tcW w:w="2680" w:type="dxa"/>
            <w:vAlign w:val="bottom"/>
          </w:tcPr>
          <w:p>
            <w:pPr>
              <w:jc w:val="right"/>
              <w:ind w:right="72"/>
              <w:spacing w:after="0"/>
              <w:rPr>
                <w:sz w:val="20"/>
                <w:szCs w:val="20"/>
                <w:color w:val="auto"/>
              </w:rPr>
            </w:pPr>
            <w:r>
              <w:rPr>
                <w:rFonts w:ascii="Courier New" w:cs="Courier New" w:eastAsia="Courier New" w:hAnsi="Courier New"/>
                <w:sz w:val="18"/>
                <w:szCs w:val="18"/>
                <w:color w:val="auto"/>
                <w:w w:val="96"/>
              </w:rPr>
              <w:t>(State of Incorporation)</w:t>
            </w:r>
          </w:p>
        </w:tc>
        <w:tc>
          <w:tcPr>
            <w:tcW w:w="900" w:type="dxa"/>
            <w:vAlign w:val="bottom"/>
          </w:tcPr>
          <w:p>
            <w:pPr>
              <w:spacing w:after="0"/>
              <w:rPr>
                <w:sz w:val="24"/>
                <w:szCs w:val="24"/>
                <w:color w:val="auto"/>
              </w:rPr>
            </w:pPr>
          </w:p>
        </w:tc>
        <w:tc>
          <w:tcPr>
            <w:tcW w:w="1800" w:type="dxa"/>
            <w:vAlign w:val="bottom"/>
            <w:gridSpan w:val="2"/>
          </w:tcPr>
          <w:p>
            <w:pPr>
              <w:spacing w:after="0"/>
              <w:rPr>
                <w:sz w:val="20"/>
                <w:szCs w:val="20"/>
                <w:color w:val="auto"/>
              </w:rPr>
            </w:pPr>
            <w:r>
              <w:rPr>
                <w:rFonts w:ascii="Courier New" w:cs="Courier New" w:eastAsia="Courier New" w:hAnsi="Courier New"/>
                <w:sz w:val="18"/>
                <w:szCs w:val="18"/>
                <w:color w:val="auto"/>
              </w:rPr>
              <w:t>(I.R.S. Employer</w:t>
            </w:r>
          </w:p>
        </w:tc>
        <w:tc>
          <w:tcPr>
            <w:tcW w:w="2300" w:type="dxa"/>
            <w:vAlign w:val="bottom"/>
          </w:tcPr>
          <w:p>
            <w:pPr>
              <w:spacing w:after="0"/>
              <w:rPr>
                <w:sz w:val="20"/>
                <w:szCs w:val="20"/>
                <w:color w:val="auto"/>
              </w:rPr>
            </w:pPr>
            <w:r>
              <w:rPr>
                <w:rFonts w:ascii="Courier New" w:cs="Courier New" w:eastAsia="Courier New" w:hAnsi="Courier New"/>
                <w:sz w:val="18"/>
                <w:szCs w:val="18"/>
                <w:color w:val="auto"/>
                <w:w w:val="95"/>
              </w:rPr>
              <w:t>Identification Number)</w:t>
            </w:r>
          </w:p>
        </w:tc>
        <w:tc>
          <w:tcPr>
            <w:tcW w:w="0" w:type="dxa"/>
            <w:vAlign w:val="bottom"/>
          </w:tcPr>
          <w:p>
            <w:pPr>
              <w:spacing w:after="0"/>
              <w:rPr>
                <w:sz w:val="1"/>
                <w:szCs w:val="1"/>
                <w:color w:val="auto"/>
              </w:rPr>
            </w:pPr>
          </w:p>
        </w:tc>
      </w:tr>
      <w:tr>
        <w:trPr>
          <w:trHeight w:val="514"/>
        </w:trPr>
        <w:tc>
          <w:tcPr>
            <w:tcW w:w="2680" w:type="dxa"/>
            <w:vAlign w:val="bottom"/>
          </w:tcPr>
          <w:p>
            <w:pPr>
              <w:spacing w:after="0"/>
              <w:rPr>
                <w:sz w:val="24"/>
                <w:szCs w:val="24"/>
                <w:color w:val="auto"/>
              </w:rPr>
            </w:pPr>
          </w:p>
        </w:tc>
        <w:tc>
          <w:tcPr>
            <w:tcW w:w="2700" w:type="dxa"/>
            <w:vAlign w:val="bottom"/>
            <w:gridSpan w:val="3"/>
          </w:tcPr>
          <w:p>
            <w:pPr>
              <w:ind w:left="60"/>
              <w:spacing w:after="0"/>
              <w:rPr>
                <w:sz w:val="20"/>
                <w:szCs w:val="20"/>
                <w:color w:val="auto"/>
              </w:rPr>
            </w:pPr>
            <w:r>
              <w:rPr>
                <w:rFonts w:ascii="Courier New" w:cs="Courier New" w:eastAsia="Courier New" w:hAnsi="Courier New"/>
                <w:sz w:val="18"/>
                <w:szCs w:val="18"/>
                <w:color w:val="auto"/>
                <w:w w:val="97"/>
              </w:rPr>
              <w:t>8111 LYNDALE AVENUE SOUTH</w:t>
            </w:r>
          </w:p>
        </w:tc>
        <w:tc>
          <w:tcPr>
            <w:tcW w:w="2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5"/>
        </w:trPr>
        <w:tc>
          <w:tcPr>
            <w:tcW w:w="5000" w:type="dxa"/>
            <w:vAlign w:val="bottom"/>
            <w:gridSpan w:val="3"/>
          </w:tcPr>
          <w:p>
            <w:pPr>
              <w:ind w:left="2520"/>
              <w:spacing w:after="0"/>
              <w:rPr>
                <w:sz w:val="20"/>
                <w:szCs w:val="20"/>
                <w:color w:val="auto"/>
              </w:rPr>
            </w:pPr>
            <w:r>
              <w:rPr>
                <w:rFonts w:ascii="Courier New" w:cs="Courier New" w:eastAsia="Courier New" w:hAnsi="Courier New"/>
                <w:sz w:val="18"/>
                <w:szCs w:val="18"/>
                <w:color w:val="auto"/>
              </w:rPr>
              <w:t>BLOOMINGTON, MINNESOTA</w:t>
            </w:r>
          </w:p>
        </w:tc>
        <w:tc>
          <w:tcPr>
            <w:tcW w:w="268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55420</w:t>
            </w:r>
          </w:p>
        </w:tc>
        <w:tc>
          <w:tcPr>
            <w:tcW w:w="0" w:type="dxa"/>
            <w:vAlign w:val="bottom"/>
          </w:tcPr>
          <w:p>
            <w:pPr>
              <w:spacing w:after="0"/>
              <w:rPr>
                <w:sz w:val="1"/>
                <w:szCs w:val="1"/>
                <w:color w:val="auto"/>
              </w:rPr>
            </w:pPr>
          </w:p>
        </w:tc>
      </w:tr>
    </w:tbl>
    <w:p>
      <w:pPr>
        <w:ind w:left="2540"/>
        <w:spacing w:after="0"/>
        <w:rPr>
          <w:sz w:val="20"/>
          <w:szCs w:val="20"/>
          <w:color w:val="auto"/>
        </w:rPr>
      </w:pPr>
      <w:r>
        <w:rPr>
          <w:rFonts w:ascii="Courier New" w:cs="Courier New" w:eastAsia="Courier New" w:hAnsi="Courier New"/>
          <w:sz w:val="18"/>
          <w:szCs w:val="18"/>
          <w:color w:val="auto"/>
        </w:rPr>
        <w:t>TELEPHONE NUMBER: (612) 888-8801</w:t>
      </w:r>
    </w:p>
    <w:p>
      <w:pPr>
        <w:spacing w:after="0" w:line="200" w:lineRule="exact"/>
        <w:rPr>
          <w:sz w:val="24"/>
          <w:szCs w:val="24"/>
          <w:color w:val="auto"/>
        </w:rPr>
      </w:pPr>
    </w:p>
    <w:p>
      <w:pPr>
        <w:spacing w:after="0" w:line="374"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(Address, including zip code, and telephone number, including area code,</w:t>
      </w:r>
    </w:p>
    <w:p>
      <w:pPr>
        <w:spacing w:after="0" w:line="3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of registrant's principal executive offices)</w:t>
      </w:r>
    </w:p>
    <w:p>
      <w:pPr>
        <w:spacing w:after="0" w:line="169" w:lineRule="exact"/>
        <w:rPr>
          <w:sz w:val="24"/>
          <w:szCs w:val="24"/>
          <w:color w:val="auto"/>
        </w:rPr>
      </w:pPr>
    </w:p>
    <w:p>
      <w:pPr>
        <w:ind w:left="264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4"/>
          <w:szCs w:val="24"/>
          <w:color w:val="auto"/>
        </w:rPr>
      </w:pPr>
    </w:p>
    <w:p>
      <w:pPr>
        <w:ind w:right="1779"/>
        <w:spacing w:after="0" w:line="265" w:lineRule="auto"/>
        <w:rPr>
          <w:sz w:val="20"/>
          <w:szCs w:val="20"/>
          <w:color w:val="auto"/>
        </w:rPr>
      </w:pPr>
      <w:r>
        <w:rPr>
          <w:rFonts w:ascii="Courier New" w:cs="Courier New" w:eastAsia="Courier New" w:hAnsi="Courier New"/>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ectPr>
          <w:pgSz w:w="11900" w:h="16838" w:orient="portrait"/>
          <w:cols w:equalWidth="0" w:num="1">
            <w:col w:w="10219"/>
          </w:cols>
          <w:pgMar w:left="240" w:top="623" w:right="1440" w:bottom="1440" w:gutter="0" w:footer="0" w:header="0"/>
        </w:sectPr>
      </w:pPr>
    </w:p>
    <w:p>
      <w:pPr>
        <w:spacing w:after="0" w:line="292" w:lineRule="exact"/>
        <w:rPr>
          <w:sz w:val="24"/>
          <w:szCs w:val="24"/>
          <w:color w:val="auto"/>
        </w:rPr>
      </w:pPr>
    </w:p>
    <w:p>
      <w:pPr>
        <w:ind w:left="1900"/>
        <w:spacing w:after="0"/>
        <w:rPr>
          <w:sz w:val="20"/>
          <w:szCs w:val="20"/>
          <w:color w:val="auto"/>
        </w:rPr>
      </w:pPr>
      <w:r>
        <w:rPr>
          <w:rFonts w:ascii="Courier New" w:cs="Courier New" w:eastAsia="Courier New" w:hAnsi="Courier New"/>
          <w:sz w:val="16"/>
          <w:szCs w:val="16"/>
          <w:color w:val="auto"/>
        </w:rPr>
        <w:t>Yes</w:t>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X</w:t>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No</w:t>
      </w:r>
    </w:p>
    <w:p>
      <w:pPr>
        <w:spacing w:after="0" w:line="115" w:lineRule="exact"/>
        <w:rPr>
          <w:sz w:val="24"/>
          <w:szCs w:val="24"/>
          <w:color w:val="auto"/>
        </w:rPr>
      </w:pPr>
    </w:p>
    <w:p>
      <w:pPr>
        <w:sectPr>
          <w:pgSz w:w="11900" w:h="16838" w:orient="portrait"/>
          <w:cols w:equalWidth="0" w:num="3">
            <w:col w:w="2220" w:space="420"/>
            <w:col w:w="340" w:space="720"/>
            <w:col w:w="6519"/>
          </w:cols>
          <w:pgMar w:left="240" w:top="623" w:right="1440" w:bottom="1440" w:gutter="0" w:footer="0" w:header="0"/>
          <w:type w:val="continuous"/>
        </w:sectPr>
      </w:pPr>
    </w:p>
    <w:p>
      <w:pPr>
        <w:ind w:left="232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4"/>
          <w:szCs w:val="24"/>
          <w:color w:val="auto"/>
        </w:rPr>
      </w:pPr>
    </w:p>
    <w:p>
      <w:pPr>
        <w:sectPr>
          <w:pgSz w:w="11900" w:h="16838" w:orient="portrait"/>
          <w:cols w:equalWidth="0" w:num="2">
            <w:col w:w="3500" w:space="720"/>
            <w:col w:w="5999"/>
          </w:cols>
          <w:pgMar w:left="240" w:top="623" w:right="1440" w:bottom="1440" w:gutter="0" w:footer="0" w:header="0"/>
          <w:type w:val="continuous"/>
        </w:sectPr>
      </w:pPr>
    </w:p>
    <w:p>
      <w:pPr>
        <w:spacing w:after="0" w:line="133" w:lineRule="exact"/>
        <w:rPr>
          <w:sz w:val="24"/>
          <w:szCs w:val="24"/>
          <w:color w:val="auto"/>
        </w:rPr>
      </w:pPr>
    </w:p>
    <w:p>
      <w:pPr>
        <w:ind w:right="2319"/>
        <w:spacing w:after="0" w:line="347" w:lineRule="auto"/>
        <w:rPr>
          <w:sz w:val="20"/>
          <w:szCs w:val="20"/>
          <w:color w:val="auto"/>
        </w:rPr>
      </w:pPr>
      <w:r>
        <w:rPr>
          <w:rFonts w:ascii="Courier New" w:cs="Courier New" w:eastAsia="Courier New" w:hAnsi="Courier New"/>
          <w:sz w:val="18"/>
          <w:szCs w:val="18"/>
          <w:color w:val="auto"/>
        </w:rPr>
        <w:t>The number of shares of Common Stock outstanding as of October 28, 1994 was 12,720,343.</w:t>
      </w:r>
    </w:p>
    <w:p>
      <w:pPr>
        <w:spacing w:after="0" w:line="221" w:lineRule="exact"/>
        <w:rPr>
          <w:sz w:val="24"/>
          <w:szCs w:val="24"/>
          <w:color w:val="auto"/>
        </w:rPr>
      </w:pP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3"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623" w:right="1440" w:bottom="1440" w:gutter="0" w:footer="0" w:header="0"/>
          <w:type w:val="continuous"/>
        </w:sectPr>
      </w:pPr>
    </w:p>
    <w:bookmarkStart w:id="1" w:name="page2"/>
    <w:bookmarkEnd w:id="1"/>
    <w:p>
      <w:pPr>
        <w:jc w:val="center"/>
        <w:ind w:right="1779"/>
        <w:spacing w:after="0"/>
        <w:rPr>
          <w:sz w:val="20"/>
          <w:szCs w:val="20"/>
          <w:color w:val="auto"/>
        </w:rPr>
      </w:pPr>
      <w:r>
        <w:rPr>
          <w:rFonts w:ascii="Courier New" w:cs="Courier New" w:eastAsia="Courier New" w:hAnsi="Courier New"/>
          <w:sz w:val="18"/>
          <w:szCs w:val="18"/>
          <w:color w:val="auto"/>
        </w:rPr>
        <w:t>THE TORO COMPANY</w:t>
      </w:r>
    </w:p>
    <w:p>
      <w:pPr>
        <w:spacing w:after="0" w:line="3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INDEX TO FORM 10-Q</w:t>
      </w:r>
    </w:p>
    <w:p>
      <w:pPr>
        <w:spacing w:after="0" w:line="372"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Page Number</w:t>
      </w:r>
    </w:p>
    <w:p>
      <w:pPr>
        <w:spacing w:after="0" w:line="31" w:lineRule="exact"/>
        <w:rPr>
          <w:sz w:val="20"/>
          <w:szCs w:val="20"/>
          <w:color w:val="auto"/>
        </w:rPr>
      </w:pPr>
    </w:p>
    <w:p>
      <w:pPr>
        <w:ind w:left="7280"/>
        <w:spacing w:after="0"/>
        <w:rPr>
          <w:sz w:val="20"/>
          <w:szCs w:val="20"/>
          <w:color w:val="auto"/>
        </w:rPr>
      </w:pPr>
      <w:r>
        <w:rPr>
          <w:rFonts w:ascii="Courier New" w:cs="Courier New" w:eastAsia="Courier New" w:hAnsi="Courier New"/>
          <w:sz w:val="16"/>
          <w:szCs w:val="16"/>
          <w:color w:val="auto"/>
        </w:rPr>
        <w:t>-----------</w:t>
      </w:r>
    </w:p>
    <w:p>
      <w:pPr>
        <w:spacing w:after="0" w:line="192"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PART I.</w:t>
      </w:r>
      <w:r>
        <w:rPr>
          <w:sz w:val="20"/>
          <w:szCs w:val="20"/>
          <w:color w:val="auto"/>
        </w:rPr>
        <w:tab/>
      </w:r>
      <w:r>
        <w:rPr>
          <w:rFonts w:ascii="Courier New" w:cs="Courier New" w:eastAsia="Courier New" w:hAnsi="Courier New"/>
          <w:sz w:val="16"/>
          <w:szCs w:val="16"/>
          <w:color w:val="auto"/>
        </w:rPr>
        <w:t>FINANCIAL INFORMATION:</w:t>
      </w:r>
    </w:p>
    <w:p>
      <w:pPr>
        <w:spacing w:after="0" w:line="201" w:lineRule="exact"/>
        <w:rPr>
          <w:sz w:val="20"/>
          <w:szCs w:val="20"/>
          <w:color w:val="auto"/>
        </w:rPr>
      </w:pPr>
    </w:p>
    <w:p>
      <w:pPr>
        <w:ind w:left="960" w:right="3899"/>
        <w:spacing w:after="0" w:line="257" w:lineRule="auto"/>
        <w:rPr>
          <w:sz w:val="20"/>
          <w:szCs w:val="20"/>
          <w:color w:val="auto"/>
        </w:rPr>
      </w:pPr>
      <w:r>
        <w:rPr>
          <w:rFonts w:ascii="Courier New" w:cs="Courier New" w:eastAsia="Courier New" w:hAnsi="Courier New"/>
          <w:sz w:val="18"/>
          <w:szCs w:val="18"/>
          <w:color w:val="auto"/>
        </w:rPr>
        <w:t>Condensed Consolidated Statements of Operations and Retained Earnings -</w:t>
      </w:r>
    </w:p>
    <w:p>
      <w:pPr>
        <w:ind w:left="1160"/>
        <w:spacing w:after="0"/>
        <w:rPr>
          <w:sz w:val="20"/>
          <w:szCs w:val="20"/>
          <w:color w:val="auto"/>
        </w:rPr>
      </w:pPr>
      <w:r>
        <w:rPr>
          <w:rFonts w:ascii="Courier New" w:cs="Courier New" w:eastAsia="Courier New" w:hAnsi="Courier New"/>
          <w:sz w:val="18"/>
          <w:szCs w:val="18"/>
          <w:color w:val="auto"/>
        </w:rPr>
        <w:t>Three Months Ended October 28, 1994 and October 29, 1993. . . . .3</w:t>
      </w:r>
    </w:p>
    <w:p>
      <w:pPr>
        <w:spacing w:after="0" w:line="169"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Condensed Consolidated Balance Sheets -</w:t>
      </w:r>
    </w:p>
    <w:p>
      <w:pPr>
        <w:spacing w:after="0" w:line="3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October 28, 1994, October 29, 1993 and July 31, 1994. . . . . . .4</w:t>
      </w:r>
    </w:p>
    <w:p>
      <w:pPr>
        <w:spacing w:after="0" w:line="169"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Consolidated Statements of Cash Flows -</w:t>
      </w:r>
    </w:p>
    <w:p>
      <w:pPr>
        <w:spacing w:after="0" w:line="31" w:lineRule="exact"/>
        <w:rPr>
          <w:sz w:val="20"/>
          <w:szCs w:val="20"/>
          <w:color w:val="auto"/>
        </w:rPr>
      </w:pPr>
    </w:p>
    <w:p>
      <w:pPr>
        <w:jc w:val="both"/>
        <w:ind w:left="960" w:right="2099" w:firstLine="211"/>
        <w:spacing w:after="0" w:line="447" w:lineRule="auto"/>
        <w:rPr>
          <w:sz w:val="20"/>
          <w:szCs w:val="20"/>
          <w:color w:val="auto"/>
        </w:rPr>
      </w:pPr>
      <w:r>
        <w:rPr>
          <w:rFonts w:ascii="Courier New" w:cs="Courier New" w:eastAsia="Courier New" w:hAnsi="Courier New"/>
          <w:sz w:val="16"/>
          <w:szCs w:val="16"/>
          <w:color w:val="auto"/>
        </w:rPr>
        <w:t>Three Months Ended October 28, 1994 and October 29, 1993. . . . .5 Notes to Condensed Consolidated Financial Statements. . . . . . . .6 Management's Discussion and Analysis of Financial</w:t>
      </w:r>
    </w:p>
    <w:p>
      <w:pPr>
        <w:ind w:left="1160"/>
        <w:spacing w:after="0"/>
        <w:rPr>
          <w:sz w:val="20"/>
          <w:szCs w:val="20"/>
          <w:color w:val="auto"/>
        </w:rPr>
      </w:pPr>
      <w:r>
        <w:rPr>
          <w:rFonts w:ascii="Courier New" w:cs="Courier New" w:eastAsia="Courier New" w:hAnsi="Courier New"/>
          <w:sz w:val="16"/>
          <w:szCs w:val="16"/>
          <w:color w:val="auto"/>
        </w:rPr>
        <w:t>Condition and Results of Operations . . . . . . . . . . . . . . .7-8</w:t>
      </w:r>
    </w:p>
    <w:p>
      <w:pPr>
        <w:spacing w:after="0" w:line="39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PART II. OTHER INFORMATION:</w:t>
      </w:r>
    </w:p>
    <w:p>
      <w:pPr>
        <w:spacing w:after="0" w:line="200" w:lineRule="exact"/>
        <w:rPr>
          <w:sz w:val="20"/>
          <w:szCs w:val="20"/>
          <w:color w:val="auto"/>
        </w:rPr>
      </w:pPr>
    </w:p>
    <w:p>
      <w:pPr>
        <w:spacing w:after="0" w:line="204" w:lineRule="exact"/>
        <w:rPr>
          <w:sz w:val="20"/>
          <w:szCs w:val="20"/>
          <w:color w:val="auto"/>
        </w:rPr>
      </w:pPr>
    </w:p>
    <w:p>
      <w:pPr>
        <w:ind w:left="960" w:right="1999"/>
        <w:spacing w:after="0" w:line="670" w:lineRule="auto"/>
        <w:rPr>
          <w:sz w:val="20"/>
          <w:szCs w:val="20"/>
          <w:color w:val="auto"/>
        </w:rPr>
      </w:pPr>
      <w:r>
        <w:rPr>
          <w:rFonts w:ascii="Courier New" w:cs="Courier New" w:eastAsia="Courier New" w:hAnsi="Courier New"/>
          <w:sz w:val="16"/>
          <w:szCs w:val="16"/>
          <w:color w:val="auto"/>
        </w:rPr>
        <w:t>Item 6 Exhibits and Reports on Form 8-K. . . . . . . . . . . . . .9 Exhibit 11 Computation of Earnings (Loss) per Common Share . . . .10</w:t>
      </w:r>
    </w:p>
    <w:p>
      <w:pPr>
        <w:spacing w:after="0" w:line="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219"/>
          </w:cols>
          <w:pgMar w:left="240" w:top="691" w:right="1440" w:bottom="1440" w:gutter="0" w:footer="0" w:header="0"/>
        </w:sectPr>
      </w:pPr>
    </w:p>
    <w:bookmarkStart w:id="2" w:name="page3"/>
    <w:bookmarkEnd w:id="2"/>
    <w:p>
      <w:pPr>
        <w:jc w:val="center"/>
        <w:ind w:right="1679"/>
        <w:spacing w:after="0"/>
        <w:rPr>
          <w:sz w:val="20"/>
          <w:szCs w:val="20"/>
          <w:color w:val="auto"/>
        </w:rPr>
      </w:pPr>
      <w:r>
        <w:rPr>
          <w:rFonts w:ascii="Courier New" w:cs="Courier New" w:eastAsia="Courier New" w:hAnsi="Courier New"/>
          <w:sz w:val="18"/>
          <w:szCs w:val="18"/>
          <w:color w:val="auto"/>
        </w:rPr>
        <w:t>PART I. FINANCIAL INFORMATION</w:t>
      </w:r>
    </w:p>
    <w:p>
      <w:pPr>
        <w:spacing w:after="0" w:line="201" w:lineRule="exact"/>
        <w:rPr>
          <w:sz w:val="20"/>
          <w:szCs w:val="20"/>
          <w:color w:val="auto"/>
        </w:rPr>
      </w:pPr>
    </w:p>
    <w:p>
      <w:pPr>
        <w:jc w:val="center"/>
        <w:ind w:right="1679"/>
        <w:spacing w:after="0"/>
        <w:rPr>
          <w:sz w:val="20"/>
          <w:szCs w:val="20"/>
          <w:color w:val="auto"/>
        </w:rPr>
      </w:pPr>
      <w:r>
        <w:rPr>
          <w:rFonts w:ascii="Courier New" w:cs="Courier New" w:eastAsia="Courier New" w:hAnsi="Courier New"/>
          <w:sz w:val="18"/>
          <w:szCs w:val="18"/>
          <w:color w:val="auto"/>
        </w:rPr>
        <w:t>THE TORO COMPANY AND SUBSIDIARIES</w:t>
      </w:r>
    </w:p>
    <w:p>
      <w:pPr>
        <w:spacing w:after="0" w:line="29" w:lineRule="exact"/>
        <w:rPr>
          <w:sz w:val="20"/>
          <w:szCs w:val="20"/>
          <w:color w:val="auto"/>
        </w:rPr>
      </w:pPr>
    </w:p>
    <w:p>
      <w:pPr>
        <w:jc w:val="center"/>
        <w:ind w:right="1679"/>
        <w:spacing w:after="0"/>
        <w:rPr>
          <w:sz w:val="20"/>
          <w:szCs w:val="20"/>
          <w:color w:val="auto"/>
        </w:rPr>
      </w:pPr>
      <w:r>
        <w:rPr>
          <w:rFonts w:ascii="Courier New" w:cs="Courier New" w:eastAsia="Courier New" w:hAnsi="Courier New"/>
          <w:sz w:val="18"/>
          <w:szCs w:val="18"/>
          <w:color w:val="auto"/>
        </w:rPr>
        <w:t>CONDENSED CONSOLIDATED STATEMENTS OF OPERATIONS AND RETAINED EARNINGS</w:t>
      </w:r>
    </w:p>
    <w:p>
      <w:pPr>
        <w:jc w:val="center"/>
        <w:ind w:right="1679"/>
        <w:spacing w:after="0" w:line="238" w:lineRule="auto"/>
        <w:rPr>
          <w:sz w:val="20"/>
          <w:szCs w:val="20"/>
          <w:color w:val="auto"/>
        </w:rPr>
      </w:pPr>
      <w:r>
        <w:rPr>
          <w:rFonts w:ascii="Courier New" w:cs="Courier New" w:eastAsia="Courier New" w:hAnsi="Courier New"/>
          <w:sz w:val="18"/>
          <w:szCs w:val="18"/>
          <w:color w:val="auto"/>
        </w:rPr>
        <w:t>(UNAUDITED)</w:t>
      </w:r>
    </w:p>
    <w:p>
      <w:pPr>
        <w:jc w:val="center"/>
        <w:ind w:right="1679"/>
        <w:spacing w:after="0"/>
        <w:rPr>
          <w:sz w:val="20"/>
          <w:szCs w:val="20"/>
          <w:color w:val="auto"/>
        </w:rPr>
      </w:pPr>
      <w:r>
        <w:rPr>
          <w:rFonts w:ascii="Courier New" w:cs="Courier New" w:eastAsia="Courier New" w:hAnsi="Courier New"/>
          <w:sz w:val="18"/>
          <w:szCs w:val="18"/>
          <w:color w:val="auto"/>
        </w:rPr>
        <w:t>(DOLLARS IN THOUSANDS, EXCEPT PER-SHARE DATA)</w:t>
      </w:r>
    </w:p>
    <w:p>
      <w:pPr>
        <w:spacing w:after="0" w:line="200" w:lineRule="exact"/>
        <w:rPr>
          <w:sz w:val="20"/>
          <w:szCs w:val="20"/>
          <w:color w:val="auto"/>
        </w:rPr>
      </w:pPr>
    </w:p>
    <w:p>
      <w:pPr>
        <w:spacing w:after="0" w:line="374" w:lineRule="exact"/>
        <w:rPr>
          <w:sz w:val="20"/>
          <w:szCs w:val="20"/>
          <w:color w:val="auto"/>
        </w:rPr>
      </w:pPr>
    </w:p>
    <w:p>
      <w:pPr>
        <w:jc w:val="center"/>
        <w:ind w:left="2720"/>
        <w:spacing w:after="0"/>
        <w:rPr>
          <w:sz w:val="20"/>
          <w:szCs w:val="20"/>
          <w:color w:val="auto"/>
        </w:rPr>
      </w:pPr>
      <w:r>
        <w:rPr>
          <w:rFonts w:ascii="Courier New" w:cs="Courier New" w:eastAsia="Courier New" w:hAnsi="Courier New"/>
          <w:sz w:val="18"/>
          <w:szCs w:val="18"/>
          <w:color w:val="auto"/>
        </w:rPr>
        <w:t>Three Months Ended</w:t>
      </w:r>
    </w:p>
    <w:p>
      <w:pPr>
        <w:spacing w:after="0" w:line="31" w:lineRule="exact"/>
        <w:rPr>
          <w:sz w:val="20"/>
          <w:szCs w:val="20"/>
          <w:color w:val="auto"/>
        </w:rPr>
      </w:pPr>
    </w:p>
    <w:p>
      <w:pPr>
        <w:ind w:left="5700"/>
        <w:spacing w:after="0"/>
        <w:rPr>
          <w:sz w:val="20"/>
          <w:szCs w:val="20"/>
          <w:color w:val="auto"/>
        </w:rPr>
      </w:pPr>
      <w:r>
        <w:rPr>
          <w:rFonts w:ascii="Courier New" w:cs="Courier New" w:eastAsia="Courier New" w:hAnsi="Courier New"/>
          <w:sz w:val="16"/>
          <w:szCs w:val="16"/>
          <w:color w:val="auto"/>
        </w:rPr>
        <w:t>--------------------------</w:t>
      </w:r>
    </w:p>
    <w:tbl>
      <w:tblPr>
        <w:tblLayout w:type="fixed"/>
        <w:tblInd w:w="0" w:type="dxa"/>
        <w:tblCellMar>
          <w:top w:w="0" w:type="dxa"/>
          <w:left w:w="0" w:type="dxa"/>
          <w:bottom w:w="0" w:type="dxa"/>
          <w:right w:w="0" w:type="dxa"/>
        </w:tblCellMar>
      </w:tblPr>
      <w:tr>
        <w:trPr>
          <w:trHeight w:val="192"/>
        </w:trPr>
        <w:tc>
          <w:tcPr>
            <w:tcW w:w="7060" w:type="dxa"/>
            <w:vAlign w:val="bottom"/>
            <w:gridSpan w:val="2"/>
          </w:tcPr>
          <w:p>
            <w:pPr>
              <w:jc w:val="right"/>
              <w:ind w:right="112"/>
              <w:spacing w:after="0" w:line="192" w:lineRule="exact"/>
              <w:rPr>
                <w:sz w:val="20"/>
                <w:szCs w:val="20"/>
                <w:color w:val="auto"/>
              </w:rPr>
            </w:pPr>
            <w:r>
              <w:rPr>
                <w:rFonts w:ascii="Courier New" w:cs="Courier New" w:eastAsia="Courier New" w:hAnsi="Courier New"/>
                <w:sz w:val="18"/>
                <w:szCs w:val="18"/>
                <w:color w:val="auto"/>
              </w:rPr>
              <w:t>October 28,</w:t>
            </w:r>
          </w:p>
        </w:tc>
        <w:tc>
          <w:tcPr>
            <w:tcW w:w="1380" w:type="dxa"/>
            <w:vAlign w:val="bottom"/>
            <w:gridSpan w:val="2"/>
          </w:tcPr>
          <w:p>
            <w:pPr>
              <w:jc w:val="right"/>
              <w:spacing w:after="0" w:line="192" w:lineRule="exact"/>
              <w:rPr>
                <w:sz w:val="20"/>
                <w:szCs w:val="20"/>
                <w:color w:val="auto"/>
              </w:rPr>
            </w:pPr>
            <w:r>
              <w:rPr>
                <w:rFonts w:ascii="Courier New" w:cs="Courier New" w:eastAsia="Courier New" w:hAnsi="Courier New"/>
                <w:sz w:val="18"/>
                <w:szCs w:val="18"/>
                <w:color w:val="auto"/>
              </w:rPr>
              <w:t>October 29,</w:t>
            </w:r>
          </w:p>
        </w:tc>
        <w:tc>
          <w:tcPr>
            <w:tcW w:w="0" w:type="dxa"/>
            <w:vAlign w:val="bottom"/>
          </w:tcPr>
          <w:p>
            <w:pPr>
              <w:spacing w:after="0"/>
              <w:rPr>
                <w:sz w:val="1"/>
                <w:szCs w:val="1"/>
                <w:color w:val="auto"/>
              </w:rPr>
            </w:pPr>
          </w:p>
        </w:tc>
      </w:tr>
      <w:tr>
        <w:trPr>
          <w:trHeight w:val="203"/>
        </w:trPr>
        <w:tc>
          <w:tcPr>
            <w:tcW w:w="6020" w:type="dxa"/>
            <w:vAlign w:val="bottom"/>
          </w:tcPr>
          <w:p>
            <w:pPr>
              <w:spacing w:after="0"/>
              <w:rPr>
                <w:sz w:val="17"/>
                <w:szCs w:val="17"/>
                <w:color w:val="auto"/>
              </w:rPr>
            </w:pPr>
          </w:p>
        </w:tc>
        <w:tc>
          <w:tcPr>
            <w:tcW w:w="104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w w:val="92"/>
              </w:rPr>
              <w:t>1994</w:t>
            </w:r>
          </w:p>
        </w:tc>
        <w:tc>
          <w:tcPr>
            <w:tcW w:w="420" w:type="dxa"/>
            <w:vAlign w:val="bottom"/>
          </w:tcPr>
          <w:p>
            <w:pPr>
              <w:spacing w:after="0"/>
              <w:rPr>
                <w:sz w:val="17"/>
                <w:szCs w:val="17"/>
                <w:color w:val="auto"/>
              </w:rPr>
            </w:pPr>
          </w:p>
        </w:tc>
        <w:tc>
          <w:tcPr>
            <w:tcW w:w="9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1993</w:t>
            </w:r>
          </w:p>
        </w:tc>
        <w:tc>
          <w:tcPr>
            <w:tcW w:w="0" w:type="dxa"/>
            <w:vAlign w:val="bottom"/>
          </w:tcPr>
          <w:p>
            <w:pPr>
              <w:spacing w:after="0"/>
              <w:rPr>
                <w:sz w:val="1"/>
                <w:szCs w:val="1"/>
                <w:color w:val="auto"/>
              </w:rPr>
            </w:pPr>
          </w:p>
        </w:tc>
      </w:tr>
      <w:tr>
        <w:trPr>
          <w:trHeight w:val="296"/>
        </w:trPr>
        <w:tc>
          <w:tcPr>
            <w:tcW w:w="7060" w:type="dxa"/>
            <w:vAlign w:val="bottom"/>
            <w:gridSpan w:val="2"/>
          </w:tcPr>
          <w:p>
            <w:pPr>
              <w:jc w:val="right"/>
              <w:ind w:right="112"/>
              <w:spacing w:after="0"/>
              <w:rPr>
                <w:sz w:val="20"/>
                <w:szCs w:val="20"/>
                <w:color w:val="auto"/>
              </w:rPr>
            </w:pPr>
            <w:r>
              <w:rPr>
                <w:rFonts w:ascii="Courier New" w:cs="Courier New" w:eastAsia="Courier New" w:hAnsi="Courier New"/>
                <w:sz w:val="18"/>
                <w:szCs w:val="18"/>
                <w:color w:val="auto"/>
              </w:rPr>
              <w:t>-----------</w:t>
            </w:r>
          </w:p>
        </w:tc>
        <w:tc>
          <w:tcPr>
            <w:tcW w:w="1380" w:type="dxa"/>
            <w:vAlign w:val="bottom"/>
            <w:gridSpan w:val="2"/>
          </w:tcPr>
          <w:p>
            <w:pPr>
              <w:ind w:left="220"/>
              <w:spacing w:after="0"/>
              <w:rPr>
                <w:sz w:val="20"/>
                <w:szCs w:val="20"/>
                <w:color w:val="auto"/>
              </w:rPr>
            </w:pPr>
            <w:r>
              <w:rPr>
                <w:rFonts w:ascii="Courier New" w:cs="Courier New" w:eastAsia="Courier New" w:hAnsi="Courier New"/>
                <w:sz w:val="18"/>
                <w:szCs w:val="18"/>
                <w:color w:val="auto"/>
                <w:w w:val="95"/>
              </w:rPr>
              <w:t>-----------</w:t>
            </w:r>
          </w:p>
        </w:tc>
        <w:tc>
          <w:tcPr>
            <w:tcW w:w="0" w:type="dxa"/>
            <w:vAlign w:val="bottom"/>
          </w:tcPr>
          <w:p>
            <w:pPr>
              <w:spacing w:after="0"/>
              <w:rPr>
                <w:sz w:val="1"/>
                <w:szCs w:val="1"/>
                <w:color w:val="auto"/>
              </w:rPr>
            </w:pPr>
          </w:p>
        </w:tc>
      </w:tr>
      <w:tr>
        <w:trPr>
          <w:trHeight w:val="311"/>
        </w:trPr>
        <w:tc>
          <w:tcPr>
            <w:tcW w:w="6020" w:type="dxa"/>
            <w:vAlign w:val="bottom"/>
          </w:tcPr>
          <w:p>
            <w:pPr>
              <w:spacing w:after="0"/>
              <w:rPr>
                <w:sz w:val="20"/>
                <w:szCs w:val="20"/>
                <w:color w:val="auto"/>
              </w:rPr>
            </w:pPr>
            <w:r>
              <w:rPr>
                <w:rFonts w:ascii="Courier New" w:cs="Courier New" w:eastAsia="Courier New" w:hAnsi="Courier New"/>
                <w:sz w:val="18"/>
                <w:szCs w:val="18"/>
                <w:color w:val="auto"/>
              </w:rPr>
              <w:t>Net sales. . . . . . . . . . . . . . . . . . . . . . .$</w:t>
            </w:r>
          </w:p>
        </w:tc>
        <w:tc>
          <w:tcPr>
            <w:tcW w:w="1040" w:type="dxa"/>
            <w:vAlign w:val="bottom"/>
          </w:tcPr>
          <w:p>
            <w:pPr>
              <w:jc w:val="right"/>
              <w:ind w:right="232"/>
              <w:spacing w:after="0"/>
              <w:rPr>
                <w:sz w:val="20"/>
                <w:szCs w:val="20"/>
                <w:color w:val="auto"/>
              </w:rPr>
            </w:pPr>
            <w:r>
              <w:rPr>
                <w:rFonts w:ascii="Courier New" w:cs="Courier New" w:eastAsia="Courier New" w:hAnsi="Courier New"/>
                <w:sz w:val="18"/>
                <w:szCs w:val="18"/>
                <w:color w:val="auto"/>
                <w:w w:val="92"/>
              </w:rPr>
              <w:t>205,704</w:t>
            </w:r>
          </w:p>
        </w:tc>
        <w:tc>
          <w:tcPr>
            <w:tcW w:w="420" w:type="dxa"/>
            <w:vAlign w:val="bottom"/>
          </w:tcPr>
          <w:p>
            <w:pPr>
              <w:ind w:left="220"/>
              <w:spacing w:after="0"/>
              <w:rPr>
                <w:sz w:val="20"/>
                <w:szCs w:val="20"/>
                <w:color w:val="auto"/>
              </w:rPr>
            </w:pPr>
            <w:r>
              <w:rPr>
                <w:rFonts w:ascii="Courier New" w:cs="Courier New" w:eastAsia="Courier New" w:hAnsi="Courier New"/>
                <w:sz w:val="18"/>
                <w:szCs w:val="18"/>
                <w:color w:val="auto"/>
              </w:rPr>
              <w:t>$</w:t>
            </w:r>
          </w:p>
        </w:tc>
        <w:tc>
          <w:tcPr>
            <w:tcW w:w="9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135,761</w:t>
            </w:r>
          </w:p>
        </w:tc>
        <w:tc>
          <w:tcPr>
            <w:tcW w:w="0" w:type="dxa"/>
            <w:vAlign w:val="bottom"/>
          </w:tcPr>
          <w:p>
            <w:pPr>
              <w:spacing w:after="0"/>
              <w:rPr>
                <w:sz w:val="1"/>
                <w:szCs w:val="1"/>
                <w:color w:val="auto"/>
              </w:rPr>
            </w:pPr>
          </w:p>
        </w:tc>
      </w:tr>
      <w:tr>
        <w:trPr>
          <w:trHeight w:val="203"/>
        </w:trPr>
        <w:tc>
          <w:tcPr>
            <w:tcW w:w="6020" w:type="dxa"/>
            <w:vAlign w:val="bottom"/>
          </w:tcPr>
          <w:p>
            <w:pPr>
              <w:spacing w:after="0" w:line="203" w:lineRule="exact"/>
              <w:rPr>
                <w:sz w:val="20"/>
                <w:szCs w:val="20"/>
                <w:color w:val="auto"/>
              </w:rPr>
            </w:pPr>
            <w:r>
              <w:rPr>
                <w:rFonts w:ascii="Courier New" w:cs="Courier New" w:eastAsia="Courier New" w:hAnsi="Courier New"/>
                <w:sz w:val="18"/>
                <w:szCs w:val="18"/>
                <w:color w:val="auto"/>
              </w:rPr>
              <w:t>Cost of sales. . . . . . . . . . . . . . . . . . . . .</w:t>
            </w:r>
          </w:p>
        </w:tc>
        <w:tc>
          <w:tcPr>
            <w:tcW w:w="10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w w:val="92"/>
              </w:rPr>
              <w:t>129,639</w:t>
            </w:r>
          </w:p>
        </w:tc>
        <w:tc>
          <w:tcPr>
            <w:tcW w:w="420" w:type="dxa"/>
            <w:vAlign w:val="bottom"/>
          </w:tcPr>
          <w:p>
            <w:pPr>
              <w:spacing w:after="0"/>
              <w:rPr>
                <w:sz w:val="17"/>
                <w:szCs w:val="17"/>
                <w:color w:val="auto"/>
              </w:rPr>
            </w:pPr>
          </w:p>
        </w:tc>
        <w:tc>
          <w:tcPr>
            <w:tcW w:w="9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86,726</w:t>
            </w:r>
          </w:p>
        </w:tc>
        <w:tc>
          <w:tcPr>
            <w:tcW w:w="0" w:type="dxa"/>
            <w:vAlign w:val="bottom"/>
          </w:tcPr>
          <w:p>
            <w:pPr>
              <w:spacing w:after="0"/>
              <w:rPr>
                <w:sz w:val="1"/>
                <w:szCs w:val="1"/>
                <w:color w:val="auto"/>
              </w:rPr>
            </w:pPr>
          </w:p>
        </w:tc>
      </w:tr>
      <w:tr>
        <w:trPr>
          <w:trHeight w:val="203"/>
        </w:trPr>
        <w:tc>
          <w:tcPr>
            <w:tcW w:w="6020" w:type="dxa"/>
            <w:vAlign w:val="bottom"/>
            <w:vMerge w:val="restart"/>
          </w:tcPr>
          <w:p>
            <w:pPr>
              <w:ind w:left="420"/>
              <w:spacing w:after="0"/>
              <w:rPr>
                <w:sz w:val="20"/>
                <w:szCs w:val="20"/>
                <w:color w:val="auto"/>
              </w:rPr>
            </w:pPr>
            <w:r>
              <w:rPr>
                <w:rFonts w:ascii="Courier New" w:cs="Courier New" w:eastAsia="Courier New" w:hAnsi="Courier New"/>
                <w:sz w:val="18"/>
                <w:szCs w:val="18"/>
                <w:color w:val="auto"/>
                <w:w w:val="82"/>
              </w:rPr>
              <w:t>Gross profit . . . . . . . . . . . . . . . . . . .</w:t>
            </w:r>
            <w:r>
              <w:rPr>
                <w:rFonts w:ascii="Courier New" w:cs="Courier New" w:eastAsia="Courier New" w:hAnsi="Courier New"/>
                <w:sz w:val="35"/>
                <w:szCs w:val="35"/>
                <w:color w:val="auto"/>
                <w:w w:val="82"/>
                <w:vertAlign w:val="superscript"/>
              </w:rPr>
              <w:t>----------</w:t>
            </w:r>
          </w:p>
        </w:tc>
        <w:tc>
          <w:tcPr>
            <w:tcW w:w="1040" w:type="dxa"/>
            <w:vAlign w:val="bottom"/>
            <w:vMerge w:val="restart"/>
          </w:tcPr>
          <w:p>
            <w:pPr>
              <w:jc w:val="right"/>
              <w:ind w:right="232"/>
              <w:spacing w:after="0"/>
              <w:rPr>
                <w:sz w:val="20"/>
                <w:szCs w:val="20"/>
                <w:color w:val="auto"/>
              </w:rPr>
            </w:pPr>
            <w:r>
              <w:rPr>
                <w:rFonts w:ascii="Courier New" w:cs="Courier New" w:eastAsia="Courier New" w:hAnsi="Courier New"/>
                <w:sz w:val="18"/>
                <w:szCs w:val="18"/>
                <w:color w:val="auto"/>
              </w:rPr>
              <w:t>76,065</w:t>
            </w:r>
          </w:p>
        </w:tc>
        <w:tc>
          <w:tcPr>
            <w:tcW w:w="138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6020" w:type="dxa"/>
            <w:vAlign w:val="bottom"/>
            <w:vMerge w:val="continue"/>
          </w:tcPr>
          <w:p>
            <w:pPr>
              <w:spacing w:after="0"/>
              <w:rPr>
                <w:sz w:val="17"/>
                <w:szCs w:val="17"/>
                <w:color w:val="auto"/>
              </w:rPr>
            </w:pPr>
          </w:p>
        </w:tc>
        <w:tc>
          <w:tcPr>
            <w:tcW w:w="1040" w:type="dxa"/>
            <w:vAlign w:val="bottom"/>
            <w:vMerge w:val="continue"/>
          </w:tcPr>
          <w:p>
            <w:pPr>
              <w:spacing w:after="0"/>
              <w:rPr>
                <w:sz w:val="17"/>
                <w:szCs w:val="17"/>
                <w:color w:val="auto"/>
              </w:rPr>
            </w:pPr>
          </w:p>
        </w:tc>
        <w:tc>
          <w:tcPr>
            <w:tcW w:w="420" w:type="dxa"/>
            <w:vAlign w:val="bottom"/>
          </w:tcPr>
          <w:p>
            <w:pPr>
              <w:spacing w:after="0"/>
              <w:rPr>
                <w:sz w:val="17"/>
                <w:szCs w:val="17"/>
                <w:color w:val="auto"/>
              </w:rPr>
            </w:pPr>
          </w:p>
        </w:tc>
        <w:tc>
          <w:tcPr>
            <w:tcW w:w="9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49,035</w:t>
            </w:r>
          </w:p>
        </w:tc>
        <w:tc>
          <w:tcPr>
            <w:tcW w:w="0" w:type="dxa"/>
            <w:vAlign w:val="bottom"/>
          </w:tcPr>
          <w:p>
            <w:pPr>
              <w:spacing w:after="0"/>
              <w:rPr>
                <w:sz w:val="1"/>
                <w:szCs w:val="1"/>
                <w:color w:val="auto"/>
              </w:rPr>
            </w:pPr>
          </w:p>
        </w:tc>
      </w:tr>
      <w:tr>
        <w:trPr>
          <w:trHeight w:val="203"/>
        </w:trPr>
        <w:tc>
          <w:tcPr>
            <w:tcW w:w="6020" w:type="dxa"/>
            <w:vAlign w:val="bottom"/>
          </w:tcPr>
          <w:p>
            <w:pPr>
              <w:spacing w:after="0" w:line="203" w:lineRule="exact"/>
              <w:rPr>
                <w:sz w:val="20"/>
                <w:szCs w:val="20"/>
                <w:color w:val="auto"/>
              </w:rPr>
            </w:pPr>
            <w:r>
              <w:rPr>
                <w:rFonts w:ascii="Courier New" w:cs="Courier New" w:eastAsia="Courier New" w:hAnsi="Courier New"/>
                <w:sz w:val="18"/>
                <w:szCs w:val="18"/>
                <w:color w:val="auto"/>
              </w:rPr>
              <w:t>Selling, general and administrative expense. . . . . .</w:t>
            </w:r>
          </w:p>
        </w:tc>
        <w:tc>
          <w:tcPr>
            <w:tcW w:w="10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62,677</w:t>
            </w:r>
          </w:p>
        </w:tc>
        <w:tc>
          <w:tcPr>
            <w:tcW w:w="420" w:type="dxa"/>
            <w:vAlign w:val="bottom"/>
          </w:tcPr>
          <w:p>
            <w:pPr>
              <w:spacing w:after="0"/>
              <w:rPr>
                <w:sz w:val="17"/>
                <w:szCs w:val="17"/>
                <w:color w:val="auto"/>
              </w:rPr>
            </w:pPr>
          </w:p>
        </w:tc>
        <w:tc>
          <w:tcPr>
            <w:tcW w:w="9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51,995</w:t>
            </w:r>
          </w:p>
        </w:tc>
        <w:tc>
          <w:tcPr>
            <w:tcW w:w="0" w:type="dxa"/>
            <w:vAlign w:val="bottom"/>
          </w:tcPr>
          <w:p>
            <w:pPr>
              <w:spacing w:after="0"/>
              <w:rPr>
                <w:sz w:val="1"/>
                <w:szCs w:val="1"/>
                <w:color w:val="auto"/>
              </w:rPr>
            </w:pPr>
          </w:p>
        </w:tc>
      </w:tr>
      <w:tr>
        <w:trPr>
          <w:trHeight w:val="203"/>
        </w:trPr>
        <w:tc>
          <w:tcPr>
            <w:tcW w:w="6020" w:type="dxa"/>
            <w:vAlign w:val="bottom"/>
            <w:vMerge w:val="restart"/>
          </w:tcPr>
          <w:p>
            <w:pPr>
              <w:ind w:left="420"/>
              <w:spacing w:after="0"/>
              <w:rPr>
                <w:sz w:val="20"/>
                <w:szCs w:val="20"/>
                <w:color w:val="auto"/>
              </w:rPr>
            </w:pPr>
            <w:r>
              <w:rPr>
                <w:rFonts w:ascii="Courier New" w:cs="Courier New" w:eastAsia="Courier New" w:hAnsi="Courier New"/>
                <w:sz w:val="18"/>
                <w:szCs w:val="18"/>
                <w:color w:val="auto"/>
                <w:w w:val="82"/>
              </w:rPr>
              <w:t>Earnings (loss) from operations. . . . . . . . . .</w:t>
            </w:r>
            <w:r>
              <w:rPr>
                <w:rFonts w:ascii="Courier New" w:cs="Courier New" w:eastAsia="Courier New" w:hAnsi="Courier New"/>
                <w:sz w:val="35"/>
                <w:szCs w:val="35"/>
                <w:color w:val="auto"/>
                <w:w w:val="82"/>
                <w:vertAlign w:val="superscript"/>
              </w:rPr>
              <w:t>----------</w:t>
            </w:r>
          </w:p>
        </w:tc>
        <w:tc>
          <w:tcPr>
            <w:tcW w:w="1040" w:type="dxa"/>
            <w:vAlign w:val="bottom"/>
            <w:vMerge w:val="restart"/>
          </w:tcPr>
          <w:p>
            <w:pPr>
              <w:jc w:val="right"/>
              <w:ind w:right="232"/>
              <w:spacing w:after="0"/>
              <w:rPr>
                <w:sz w:val="20"/>
                <w:szCs w:val="20"/>
                <w:color w:val="auto"/>
              </w:rPr>
            </w:pPr>
            <w:r>
              <w:rPr>
                <w:rFonts w:ascii="Courier New" w:cs="Courier New" w:eastAsia="Courier New" w:hAnsi="Courier New"/>
                <w:sz w:val="18"/>
                <w:szCs w:val="18"/>
                <w:color w:val="auto"/>
              </w:rPr>
              <w:t>13,388</w:t>
            </w:r>
          </w:p>
        </w:tc>
        <w:tc>
          <w:tcPr>
            <w:tcW w:w="138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6020" w:type="dxa"/>
            <w:vAlign w:val="bottom"/>
            <w:vMerge w:val="continue"/>
          </w:tcPr>
          <w:p>
            <w:pPr>
              <w:spacing w:after="0"/>
              <w:rPr>
                <w:sz w:val="17"/>
                <w:szCs w:val="17"/>
                <w:color w:val="auto"/>
              </w:rPr>
            </w:pPr>
          </w:p>
        </w:tc>
        <w:tc>
          <w:tcPr>
            <w:tcW w:w="1040" w:type="dxa"/>
            <w:vAlign w:val="bottom"/>
            <w:vMerge w:val="continue"/>
          </w:tcPr>
          <w:p>
            <w:pPr>
              <w:spacing w:after="0"/>
              <w:rPr>
                <w:sz w:val="17"/>
                <w:szCs w:val="17"/>
                <w:color w:val="auto"/>
              </w:rPr>
            </w:pPr>
          </w:p>
        </w:tc>
        <w:tc>
          <w:tcPr>
            <w:tcW w:w="420" w:type="dxa"/>
            <w:vAlign w:val="bottom"/>
          </w:tcPr>
          <w:p>
            <w:pPr>
              <w:spacing w:after="0"/>
              <w:rPr>
                <w:sz w:val="17"/>
                <w:szCs w:val="17"/>
                <w:color w:val="auto"/>
              </w:rPr>
            </w:pP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(2,960)</w:t>
            </w:r>
          </w:p>
        </w:tc>
        <w:tc>
          <w:tcPr>
            <w:tcW w:w="0" w:type="dxa"/>
            <w:vAlign w:val="bottom"/>
          </w:tcPr>
          <w:p>
            <w:pPr>
              <w:spacing w:after="0"/>
              <w:rPr>
                <w:sz w:val="1"/>
                <w:szCs w:val="1"/>
                <w:color w:val="auto"/>
              </w:rPr>
            </w:pPr>
          </w:p>
        </w:tc>
      </w:tr>
      <w:tr>
        <w:trPr>
          <w:trHeight w:val="203"/>
        </w:trPr>
        <w:tc>
          <w:tcPr>
            <w:tcW w:w="6020" w:type="dxa"/>
            <w:vAlign w:val="bottom"/>
          </w:tcPr>
          <w:p>
            <w:pPr>
              <w:spacing w:after="0" w:line="203" w:lineRule="exact"/>
              <w:rPr>
                <w:sz w:val="20"/>
                <w:szCs w:val="20"/>
                <w:color w:val="auto"/>
              </w:rPr>
            </w:pPr>
            <w:r>
              <w:rPr>
                <w:rFonts w:ascii="Courier New" w:cs="Courier New" w:eastAsia="Courier New" w:hAnsi="Courier New"/>
                <w:sz w:val="18"/>
                <w:szCs w:val="18"/>
                <w:color w:val="auto"/>
              </w:rPr>
              <w:t>Interest expense . . . . . . . . . . . . . . . . . . .</w:t>
            </w:r>
          </w:p>
        </w:tc>
        <w:tc>
          <w:tcPr>
            <w:tcW w:w="10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2,480</w:t>
            </w:r>
          </w:p>
        </w:tc>
        <w:tc>
          <w:tcPr>
            <w:tcW w:w="420" w:type="dxa"/>
            <w:vAlign w:val="bottom"/>
          </w:tcPr>
          <w:p>
            <w:pPr>
              <w:spacing w:after="0"/>
              <w:rPr>
                <w:sz w:val="17"/>
                <w:szCs w:val="17"/>
                <w:color w:val="auto"/>
              </w:rPr>
            </w:pPr>
          </w:p>
        </w:tc>
        <w:tc>
          <w:tcPr>
            <w:tcW w:w="9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3,338</w:t>
            </w:r>
          </w:p>
        </w:tc>
        <w:tc>
          <w:tcPr>
            <w:tcW w:w="0" w:type="dxa"/>
            <w:vAlign w:val="bottom"/>
          </w:tcPr>
          <w:p>
            <w:pPr>
              <w:spacing w:after="0"/>
              <w:rPr>
                <w:sz w:val="1"/>
                <w:szCs w:val="1"/>
                <w:color w:val="auto"/>
              </w:rPr>
            </w:pPr>
          </w:p>
        </w:tc>
      </w:tr>
      <w:tr>
        <w:trPr>
          <w:trHeight w:val="203"/>
        </w:trPr>
        <w:tc>
          <w:tcPr>
            <w:tcW w:w="6020" w:type="dxa"/>
            <w:vAlign w:val="bottom"/>
          </w:tcPr>
          <w:p>
            <w:pPr>
              <w:spacing w:after="0" w:line="203" w:lineRule="exact"/>
              <w:rPr>
                <w:sz w:val="20"/>
                <w:szCs w:val="20"/>
                <w:color w:val="auto"/>
              </w:rPr>
            </w:pPr>
            <w:r>
              <w:rPr>
                <w:rFonts w:ascii="Courier New" w:cs="Courier New" w:eastAsia="Courier New" w:hAnsi="Courier New"/>
                <w:sz w:val="18"/>
                <w:szCs w:val="18"/>
                <w:color w:val="auto"/>
              </w:rPr>
              <w:t>Other income, net. . . . . . . . . . . . . . . . . . .</w:t>
            </w:r>
          </w:p>
        </w:tc>
        <w:tc>
          <w:tcPr>
            <w:tcW w:w="10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(2,929)</w:t>
            </w:r>
          </w:p>
        </w:tc>
        <w:tc>
          <w:tcPr>
            <w:tcW w:w="420" w:type="dxa"/>
            <w:vAlign w:val="bottom"/>
          </w:tcPr>
          <w:p>
            <w:pPr>
              <w:spacing w:after="0"/>
              <w:rPr>
                <w:sz w:val="17"/>
                <w:szCs w:val="17"/>
                <w:color w:val="auto"/>
              </w:rPr>
            </w:pP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(3,141)</w:t>
            </w:r>
          </w:p>
        </w:tc>
        <w:tc>
          <w:tcPr>
            <w:tcW w:w="0" w:type="dxa"/>
            <w:vAlign w:val="bottom"/>
          </w:tcPr>
          <w:p>
            <w:pPr>
              <w:spacing w:after="0"/>
              <w:rPr>
                <w:sz w:val="1"/>
                <w:szCs w:val="1"/>
                <w:color w:val="auto"/>
              </w:rPr>
            </w:pPr>
          </w:p>
        </w:tc>
      </w:tr>
      <w:tr>
        <w:trPr>
          <w:trHeight w:val="203"/>
        </w:trPr>
        <w:tc>
          <w:tcPr>
            <w:tcW w:w="6020" w:type="dxa"/>
            <w:vAlign w:val="bottom"/>
            <w:vMerge w:val="restart"/>
          </w:tcPr>
          <w:p>
            <w:pPr>
              <w:ind w:left="420"/>
              <w:spacing w:after="0"/>
              <w:rPr>
                <w:sz w:val="20"/>
                <w:szCs w:val="20"/>
                <w:color w:val="auto"/>
              </w:rPr>
            </w:pPr>
            <w:r>
              <w:rPr>
                <w:rFonts w:ascii="Courier New" w:cs="Courier New" w:eastAsia="Courier New" w:hAnsi="Courier New"/>
                <w:sz w:val="18"/>
                <w:szCs w:val="18"/>
                <w:color w:val="auto"/>
                <w:w w:val="82"/>
              </w:rPr>
              <w:t>Earnings (loss) before income taxes. . . . . . . .</w:t>
            </w:r>
            <w:r>
              <w:rPr>
                <w:rFonts w:ascii="Courier New" w:cs="Courier New" w:eastAsia="Courier New" w:hAnsi="Courier New"/>
                <w:sz w:val="35"/>
                <w:szCs w:val="35"/>
                <w:color w:val="auto"/>
                <w:w w:val="82"/>
                <w:vertAlign w:val="superscript"/>
              </w:rPr>
              <w:t>----------</w:t>
            </w:r>
          </w:p>
        </w:tc>
        <w:tc>
          <w:tcPr>
            <w:tcW w:w="1040" w:type="dxa"/>
            <w:vAlign w:val="bottom"/>
            <w:vMerge w:val="restart"/>
          </w:tcPr>
          <w:p>
            <w:pPr>
              <w:jc w:val="right"/>
              <w:ind w:right="232"/>
              <w:spacing w:after="0"/>
              <w:rPr>
                <w:sz w:val="20"/>
                <w:szCs w:val="20"/>
                <w:color w:val="auto"/>
              </w:rPr>
            </w:pPr>
            <w:r>
              <w:rPr>
                <w:rFonts w:ascii="Courier New" w:cs="Courier New" w:eastAsia="Courier New" w:hAnsi="Courier New"/>
                <w:sz w:val="18"/>
                <w:szCs w:val="18"/>
                <w:color w:val="auto"/>
              </w:rPr>
              <w:t>13,837</w:t>
            </w:r>
          </w:p>
        </w:tc>
        <w:tc>
          <w:tcPr>
            <w:tcW w:w="138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6020" w:type="dxa"/>
            <w:vAlign w:val="bottom"/>
            <w:vMerge w:val="continue"/>
          </w:tcPr>
          <w:p>
            <w:pPr>
              <w:spacing w:after="0"/>
              <w:rPr>
                <w:sz w:val="17"/>
                <w:szCs w:val="17"/>
                <w:color w:val="auto"/>
              </w:rPr>
            </w:pPr>
          </w:p>
        </w:tc>
        <w:tc>
          <w:tcPr>
            <w:tcW w:w="1040" w:type="dxa"/>
            <w:vAlign w:val="bottom"/>
            <w:vMerge w:val="continue"/>
          </w:tcPr>
          <w:p>
            <w:pPr>
              <w:spacing w:after="0"/>
              <w:rPr>
                <w:sz w:val="17"/>
                <w:szCs w:val="17"/>
                <w:color w:val="auto"/>
              </w:rPr>
            </w:pPr>
          </w:p>
        </w:tc>
        <w:tc>
          <w:tcPr>
            <w:tcW w:w="420" w:type="dxa"/>
            <w:vAlign w:val="bottom"/>
          </w:tcPr>
          <w:p>
            <w:pPr>
              <w:spacing w:after="0"/>
              <w:rPr>
                <w:sz w:val="17"/>
                <w:szCs w:val="17"/>
                <w:color w:val="auto"/>
              </w:rPr>
            </w:pP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(3,157)</w:t>
            </w:r>
          </w:p>
        </w:tc>
        <w:tc>
          <w:tcPr>
            <w:tcW w:w="0" w:type="dxa"/>
            <w:vAlign w:val="bottom"/>
          </w:tcPr>
          <w:p>
            <w:pPr>
              <w:spacing w:after="0"/>
              <w:rPr>
                <w:sz w:val="1"/>
                <w:szCs w:val="1"/>
                <w:color w:val="auto"/>
              </w:rPr>
            </w:pPr>
          </w:p>
        </w:tc>
      </w:tr>
      <w:tr>
        <w:trPr>
          <w:trHeight w:val="203"/>
        </w:trPr>
        <w:tc>
          <w:tcPr>
            <w:tcW w:w="6020" w:type="dxa"/>
            <w:vAlign w:val="bottom"/>
          </w:tcPr>
          <w:p>
            <w:pPr>
              <w:spacing w:after="0" w:line="203" w:lineRule="exact"/>
              <w:rPr>
                <w:sz w:val="20"/>
                <w:szCs w:val="20"/>
                <w:color w:val="auto"/>
              </w:rPr>
            </w:pPr>
            <w:r>
              <w:rPr>
                <w:rFonts w:ascii="Courier New" w:cs="Courier New" w:eastAsia="Courier New" w:hAnsi="Courier New"/>
                <w:sz w:val="18"/>
                <w:szCs w:val="18"/>
                <w:color w:val="auto"/>
              </w:rPr>
              <w:t>Provision (benefit) for income taxes . . . . . . . . .</w:t>
            </w:r>
          </w:p>
        </w:tc>
        <w:tc>
          <w:tcPr>
            <w:tcW w:w="10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5,535</w:t>
            </w:r>
          </w:p>
        </w:tc>
        <w:tc>
          <w:tcPr>
            <w:tcW w:w="420" w:type="dxa"/>
            <w:vAlign w:val="bottom"/>
          </w:tcPr>
          <w:p>
            <w:pPr>
              <w:spacing w:after="0"/>
              <w:rPr>
                <w:sz w:val="17"/>
                <w:szCs w:val="17"/>
                <w:color w:val="auto"/>
              </w:rPr>
            </w:pP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(1,263)</w:t>
            </w:r>
          </w:p>
        </w:tc>
        <w:tc>
          <w:tcPr>
            <w:tcW w:w="0" w:type="dxa"/>
            <w:vAlign w:val="bottom"/>
          </w:tcPr>
          <w:p>
            <w:pPr>
              <w:spacing w:after="0"/>
              <w:rPr>
                <w:sz w:val="1"/>
                <w:szCs w:val="1"/>
                <w:color w:val="auto"/>
              </w:rPr>
            </w:pPr>
          </w:p>
        </w:tc>
      </w:tr>
      <w:tr>
        <w:trPr>
          <w:trHeight w:val="203"/>
        </w:trPr>
        <w:tc>
          <w:tcPr>
            <w:tcW w:w="6020" w:type="dxa"/>
            <w:vAlign w:val="bottom"/>
            <w:vMerge w:val="restart"/>
          </w:tcPr>
          <w:p>
            <w:pPr>
              <w:ind w:left="420"/>
              <w:spacing w:after="0"/>
              <w:rPr>
                <w:sz w:val="20"/>
                <w:szCs w:val="20"/>
                <w:color w:val="auto"/>
              </w:rPr>
            </w:pPr>
            <w:r>
              <w:rPr>
                <w:rFonts w:ascii="Courier New" w:cs="Courier New" w:eastAsia="Courier New" w:hAnsi="Courier New"/>
                <w:sz w:val="18"/>
                <w:szCs w:val="18"/>
                <w:color w:val="auto"/>
                <w:w w:val="80"/>
              </w:rPr>
              <w:t>Net earnings (loss). . . . . . . . . . . . . . . .$</w:t>
            </w:r>
            <w:r>
              <w:rPr>
                <w:rFonts w:ascii="Courier New" w:cs="Courier New" w:eastAsia="Courier New" w:hAnsi="Courier New"/>
                <w:sz w:val="35"/>
                <w:szCs w:val="35"/>
                <w:color w:val="auto"/>
                <w:w w:val="80"/>
                <w:vertAlign w:val="superscript"/>
              </w:rPr>
              <w:t>----------</w:t>
            </w:r>
          </w:p>
        </w:tc>
        <w:tc>
          <w:tcPr>
            <w:tcW w:w="1040" w:type="dxa"/>
            <w:vAlign w:val="bottom"/>
            <w:vMerge w:val="restart"/>
          </w:tcPr>
          <w:p>
            <w:pPr>
              <w:jc w:val="right"/>
              <w:ind w:right="232"/>
              <w:spacing w:after="0"/>
              <w:rPr>
                <w:sz w:val="20"/>
                <w:szCs w:val="20"/>
                <w:color w:val="auto"/>
              </w:rPr>
            </w:pPr>
            <w:r>
              <w:rPr>
                <w:rFonts w:ascii="Courier New" w:cs="Courier New" w:eastAsia="Courier New" w:hAnsi="Courier New"/>
                <w:sz w:val="18"/>
                <w:szCs w:val="18"/>
                <w:color w:val="auto"/>
              </w:rPr>
              <w:t>8,302</w:t>
            </w:r>
          </w:p>
        </w:tc>
        <w:tc>
          <w:tcPr>
            <w:tcW w:w="138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313"/>
        </w:trPr>
        <w:tc>
          <w:tcPr>
            <w:tcW w:w="6020" w:type="dxa"/>
            <w:vAlign w:val="bottom"/>
            <w:vMerge w:val="continue"/>
          </w:tcPr>
          <w:p>
            <w:pPr>
              <w:spacing w:after="0"/>
              <w:rPr>
                <w:sz w:val="24"/>
                <w:szCs w:val="24"/>
                <w:color w:val="auto"/>
              </w:rPr>
            </w:pPr>
          </w:p>
        </w:tc>
        <w:tc>
          <w:tcPr>
            <w:tcW w:w="1040" w:type="dxa"/>
            <w:vAlign w:val="bottom"/>
            <w:vMerge w:val="continue"/>
          </w:tcPr>
          <w:p>
            <w:pPr>
              <w:spacing w:after="0"/>
              <w:rPr>
                <w:sz w:val="24"/>
                <w:szCs w:val="24"/>
                <w:color w:val="auto"/>
              </w:rPr>
            </w:pPr>
          </w:p>
        </w:tc>
        <w:tc>
          <w:tcPr>
            <w:tcW w:w="420" w:type="dxa"/>
            <w:vAlign w:val="bottom"/>
          </w:tcPr>
          <w:p>
            <w:pPr>
              <w:ind w:left="220"/>
              <w:spacing w:after="0"/>
              <w:rPr>
                <w:sz w:val="20"/>
                <w:szCs w:val="20"/>
                <w:color w:val="auto"/>
              </w:rPr>
            </w:pPr>
            <w:r>
              <w:rPr>
                <w:rFonts w:ascii="Courier New" w:cs="Courier New" w:eastAsia="Courier New" w:hAnsi="Courier New"/>
                <w:sz w:val="18"/>
                <w:szCs w:val="18"/>
                <w:color w:val="auto"/>
              </w:rPr>
              <w:t>$</w:t>
            </w:r>
          </w:p>
        </w:tc>
        <w:tc>
          <w:tcPr>
            <w:tcW w:w="960" w:type="dxa"/>
            <w:vAlign w:val="bottom"/>
          </w:tcPr>
          <w:p>
            <w:pPr>
              <w:jc w:val="right"/>
              <w:spacing w:after="0"/>
              <w:rPr>
                <w:sz w:val="20"/>
                <w:szCs w:val="20"/>
                <w:color w:val="auto"/>
              </w:rPr>
            </w:pPr>
            <w:r>
              <w:rPr>
                <w:rFonts w:ascii="Courier New" w:cs="Courier New" w:eastAsia="Courier New" w:hAnsi="Courier New"/>
                <w:sz w:val="18"/>
                <w:szCs w:val="18"/>
                <w:color w:val="auto"/>
              </w:rPr>
              <w:t>(1,894)</w:t>
            </w:r>
          </w:p>
        </w:tc>
        <w:tc>
          <w:tcPr>
            <w:tcW w:w="0" w:type="dxa"/>
            <w:vAlign w:val="bottom"/>
          </w:tcPr>
          <w:p>
            <w:pPr>
              <w:spacing w:after="0"/>
              <w:rPr>
                <w:sz w:val="1"/>
                <w:szCs w:val="1"/>
                <w:color w:val="auto"/>
              </w:rPr>
            </w:pPr>
          </w:p>
        </w:tc>
      </w:tr>
      <w:tr>
        <w:trPr>
          <w:trHeight w:val="295"/>
        </w:trPr>
        <w:tc>
          <w:tcPr>
            <w:tcW w:w="6020" w:type="dxa"/>
            <w:vAlign w:val="bottom"/>
          </w:tcPr>
          <w:p>
            <w:pPr>
              <w:spacing w:after="0"/>
              <w:rPr>
                <w:sz w:val="20"/>
                <w:szCs w:val="20"/>
                <w:color w:val="auto"/>
              </w:rPr>
            </w:pPr>
            <w:r>
              <w:rPr>
                <w:rFonts w:ascii="Courier New" w:cs="Courier New" w:eastAsia="Courier New" w:hAnsi="Courier New"/>
                <w:sz w:val="18"/>
                <w:szCs w:val="18"/>
                <w:color w:val="auto"/>
              </w:rPr>
              <w:t>Retained earnings at beginning of period . . . . . . .</w:t>
            </w:r>
          </w:p>
        </w:tc>
        <w:tc>
          <w:tcPr>
            <w:tcW w:w="1040" w:type="dxa"/>
            <w:vAlign w:val="bottom"/>
          </w:tcPr>
          <w:p>
            <w:pPr>
              <w:jc w:val="right"/>
              <w:ind w:right="232"/>
              <w:spacing w:after="0"/>
              <w:rPr>
                <w:sz w:val="20"/>
                <w:szCs w:val="20"/>
                <w:color w:val="auto"/>
              </w:rPr>
            </w:pPr>
            <w:r>
              <w:rPr>
                <w:rFonts w:ascii="Courier New" w:cs="Courier New" w:eastAsia="Courier New" w:hAnsi="Courier New"/>
                <w:sz w:val="18"/>
                <w:szCs w:val="18"/>
                <w:color w:val="auto"/>
                <w:w w:val="92"/>
              </w:rPr>
              <w:t>109,688</w:t>
            </w:r>
          </w:p>
        </w:tc>
        <w:tc>
          <w:tcPr>
            <w:tcW w:w="420" w:type="dxa"/>
            <w:vAlign w:val="bottom"/>
          </w:tcPr>
          <w:p>
            <w:pPr>
              <w:spacing w:after="0"/>
              <w:rPr>
                <w:sz w:val="24"/>
                <w:szCs w:val="24"/>
                <w:color w:val="auto"/>
              </w:rPr>
            </w:pPr>
          </w:p>
        </w:tc>
        <w:tc>
          <w:tcPr>
            <w:tcW w:w="9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93,451</w:t>
            </w:r>
          </w:p>
        </w:tc>
        <w:tc>
          <w:tcPr>
            <w:tcW w:w="0" w:type="dxa"/>
            <w:vAlign w:val="bottom"/>
          </w:tcPr>
          <w:p>
            <w:pPr>
              <w:spacing w:after="0"/>
              <w:rPr>
                <w:sz w:val="1"/>
                <w:szCs w:val="1"/>
                <w:color w:val="auto"/>
              </w:rPr>
            </w:pPr>
          </w:p>
        </w:tc>
      </w:tr>
      <w:tr>
        <w:trPr>
          <w:trHeight w:val="203"/>
        </w:trPr>
        <w:tc>
          <w:tcPr>
            <w:tcW w:w="6020" w:type="dxa"/>
            <w:vAlign w:val="bottom"/>
          </w:tcPr>
          <w:p>
            <w:pPr>
              <w:spacing w:after="0" w:line="203" w:lineRule="exact"/>
              <w:rPr>
                <w:sz w:val="20"/>
                <w:szCs w:val="20"/>
                <w:color w:val="auto"/>
              </w:rPr>
            </w:pPr>
            <w:r>
              <w:rPr>
                <w:rFonts w:ascii="Courier New" w:cs="Courier New" w:eastAsia="Courier New" w:hAnsi="Courier New"/>
                <w:sz w:val="18"/>
                <w:szCs w:val="18"/>
                <w:color w:val="auto"/>
              </w:rPr>
              <w:t>Dividends on common stock of $0.12 per share . . . . .</w:t>
            </w:r>
          </w:p>
        </w:tc>
        <w:tc>
          <w:tcPr>
            <w:tcW w:w="10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(1,508)</w:t>
            </w:r>
          </w:p>
        </w:tc>
        <w:tc>
          <w:tcPr>
            <w:tcW w:w="420" w:type="dxa"/>
            <w:vAlign w:val="bottom"/>
          </w:tcPr>
          <w:p>
            <w:pPr>
              <w:spacing w:after="0"/>
              <w:rPr>
                <w:sz w:val="17"/>
                <w:szCs w:val="17"/>
                <w:color w:val="auto"/>
              </w:rPr>
            </w:pP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(1,479)</w:t>
            </w:r>
          </w:p>
        </w:tc>
        <w:tc>
          <w:tcPr>
            <w:tcW w:w="0" w:type="dxa"/>
            <w:vAlign w:val="bottom"/>
          </w:tcPr>
          <w:p>
            <w:pPr>
              <w:spacing w:after="0"/>
              <w:rPr>
                <w:sz w:val="1"/>
                <w:szCs w:val="1"/>
                <w:color w:val="auto"/>
              </w:rPr>
            </w:pPr>
          </w:p>
        </w:tc>
      </w:tr>
      <w:tr>
        <w:trPr>
          <w:trHeight w:val="203"/>
        </w:trPr>
        <w:tc>
          <w:tcPr>
            <w:tcW w:w="6020" w:type="dxa"/>
            <w:vAlign w:val="bottom"/>
            <w:vMerge w:val="restart"/>
          </w:tcPr>
          <w:p>
            <w:pPr>
              <w:spacing w:after="0"/>
              <w:rPr>
                <w:sz w:val="20"/>
                <w:szCs w:val="20"/>
                <w:color w:val="auto"/>
              </w:rPr>
            </w:pPr>
            <w:r>
              <w:rPr>
                <w:rFonts w:ascii="Courier New" w:cs="Courier New" w:eastAsia="Courier New" w:hAnsi="Courier New"/>
                <w:sz w:val="18"/>
                <w:szCs w:val="18"/>
                <w:color w:val="auto"/>
                <w:w w:val="81"/>
              </w:rPr>
              <w:t>Retained earnings at end of period . . . . . . . . . .$</w:t>
            </w:r>
            <w:r>
              <w:rPr>
                <w:rFonts w:ascii="Courier New" w:cs="Courier New" w:eastAsia="Courier New" w:hAnsi="Courier New"/>
                <w:sz w:val="35"/>
                <w:szCs w:val="35"/>
                <w:color w:val="auto"/>
                <w:w w:val="81"/>
                <w:vertAlign w:val="superscript"/>
              </w:rPr>
              <w:t>----------</w:t>
            </w:r>
          </w:p>
        </w:tc>
        <w:tc>
          <w:tcPr>
            <w:tcW w:w="1040" w:type="dxa"/>
            <w:vAlign w:val="bottom"/>
            <w:vMerge w:val="restart"/>
          </w:tcPr>
          <w:p>
            <w:pPr>
              <w:jc w:val="right"/>
              <w:ind w:right="232"/>
              <w:spacing w:after="0"/>
              <w:rPr>
                <w:sz w:val="20"/>
                <w:szCs w:val="20"/>
                <w:color w:val="auto"/>
              </w:rPr>
            </w:pPr>
            <w:r>
              <w:rPr>
                <w:rFonts w:ascii="Courier New" w:cs="Courier New" w:eastAsia="Courier New" w:hAnsi="Courier New"/>
                <w:sz w:val="18"/>
                <w:szCs w:val="18"/>
                <w:color w:val="auto"/>
                <w:w w:val="92"/>
              </w:rPr>
              <w:t>116,482</w:t>
            </w:r>
          </w:p>
        </w:tc>
        <w:tc>
          <w:tcPr>
            <w:tcW w:w="138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6020" w:type="dxa"/>
            <w:vAlign w:val="bottom"/>
            <w:vMerge w:val="continue"/>
          </w:tcPr>
          <w:p>
            <w:pPr>
              <w:spacing w:after="0"/>
              <w:rPr>
                <w:sz w:val="17"/>
                <w:szCs w:val="17"/>
                <w:color w:val="auto"/>
              </w:rPr>
            </w:pPr>
          </w:p>
        </w:tc>
        <w:tc>
          <w:tcPr>
            <w:tcW w:w="1040" w:type="dxa"/>
            <w:vAlign w:val="bottom"/>
            <w:vMerge w:val="continue"/>
          </w:tcPr>
          <w:p>
            <w:pPr>
              <w:spacing w:after="0"/>
              <w:rPr>
                <w:sz w:val="17"/>
                <w:szCs w:val="17"/>
                <w:color w:val="auto"/>
              </w:rPr>
            </w:pPr>
          </w:p>
        </w:tc>
        <w:tc>
          <w:tcPr>
            <w:tcW w:w="4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w:t>
            </w:r>
          </w:p>
        </w:tc>
        <w:tc>
          <w:tcPr>
            <w:tcW w:w="9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90,078</w:t>
            </w:r>
          </w:p>
        </w:tc>
        <w:tc>
          <w:tcPr>
            <w:tcW w:w="0" w:type="dxa"/>
            <w:vAlign w:val="bottom"/>
          </w:tcPr>
          <w:p>
            <w:pPr>
              <w:spacing w:after="0"/>
              <w:rPr>
                <w:sz w:val="1"/>
                <w:szCs w:val="1"/>
                <w:color w:val="auto"/>
              </w:rPr>
            </w:pPr>
          </w:p>
        </w:tc>
      </w:tr>
      <w:tr>
        <w:trPr>
          <w:trHeight w:val="203"/>
        </w:trPr>
        <w:tc>
          <w:tcPr>
            <w:tcW w:w="706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96"/>
        </w:trPr>
        <w:tc>
          <w:tcPr>
            <w:tcW w:w="7060" w:type="dxa"/>
            <w:vAlign w:val="bottom"/>
            <w:gridSpan w:val="2"/>
            <w:vMerge w:val="restart"/>
          </w:tcPr>
          <w:p>
            <w:pPr>
              <w:spacing w:after="0"/>
              <w:rPr>
                <w:sz w:val="20"/>
                <w:szCs w:val="20"/>
                <w:color w:val="auto"/>
              </w:rPr>
            </w:pPr>
            <w:r>
              <w:rPr>
                <w:rFonts w:ascii="Courier New" w:cs="Courier New" w:eastAsia="Courier New" w:hAnsi="Courier New"/>
                <w:sz w:val="18"/>
                <w:szCs w:val="18"/>
                <w:color w:val="auto"/>
                <w:w w:val="74"/>
              </w:rPr>
              <w:t>Net earnings (loss) per share of common stock and</w:t>
            </w:r>
            <w:r>
              <w:rPr>
                <w:rFonts w:ascii="Courier New" w:cs="Courier New" w:eastAsia="Courier New" w:hAnsi="Courier New"/>
                <w:sz w:val="35"/>
                <w:szCs w:val="35"/>
                <w:color w:val="auto"/>
                <w:w w:val="74"/>
                <w:vertAlign w:val="superscript"/>
              </w:rPr>
              <w:t>----------</w:t>
            </w:r>
          </w:p>
        </w:tc>
        <w:tc>
          <w:tcPr>
            <w:tcW w:w="1380" w:type="dxa"/>
            <w:vAlign w:val="bottom"/>
            <w:gridSpan w:val="2"/>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109"/>
        </w:trPr>
        <w:tc>
          <w:tcPr>
            <w:tcW w:w="6020" w:type="dxa"/>
            <w:vAlign w:val="bottom"/>
            <w:vMerge w:val="continue"/>
          </w:tcPr>
          <w:p>
            <w:pPr>
              <w:spacing w:after="0"/>
              <w:rPr>
                <w:sz w:val="9"/>
                <w:szCs w:val="9"/>
                <w:color w:val="auto"/>
              </w:rPr>
            </w:pPr>
          </w:p>
        </w:tc>
        <w:tc>
          <w:tcPr>
            <w:tcW w:w="1040" w:type="dxa"/>
            <w:vAlign w:val="bottom"/>
            <w:vMerge w:val="restart"/>
          </w:tcPr>
          <w:p>
            <w:pPr>
              <w:jc w:val="right"/>
              <w:ind w:right="232"/>
              <w:spacing w:after="0"/>
              <w:rPr>
                <w:sz w:val="20"/>
                <w:szCs w:val="20"/>
                <w:color w:val="auto"/>
              </w:rPr>
            </w:pPr>
            <w:r>
              <w:rPr>
                <w:rFonts w:ascii="Courier New" w:cs="Courier New" w:eastAsia="Courier New" w:hAnsi="Courier New"/>
                <w:sz w:val="18"/>
                <w:szCs w:val="18"/>
                <w:color w:val="auto"/>
              </w:rPr>
              <w:t>0.64</w:t>
            </w:r>
          </w:p>
        </w:tc>
        <w:tc>
          <w:tcPr>
            <w:tcW w:w="420" w:type="dxa"/>
            <w:vAlign w:val="bottom"/>
            <w:vMerge w:val="restart"/>
          </w:tcPr>
          <w:p>
            <w:pPr>
              <w:ind w:left="220"/>
              <w:spacing w:after="0"/>
              <w:rPr>
                <w:sz w:val="20"/>
                <w:szCs w:val="20"/>
                <w:color w:val="auto"/>
              </w:rPr>
            </w:pPr>
            <w:r>
              <w:rPr>
                <w:rFonts w:ascii="Courier New" w:cs="Courier New" w:eastAsia="Courier New" w:hAnsi="Courier New"/>
                <w:sz w:val="18"/>
                <w:szCs w:val="18"/>
                <w:color w:val="auto"/>
              </w:rPr>
              <w:t>$</w:t>
            </w:r>
          </w:p>
        </w:tc>
        <w:tc>
          <w:tcPr>
            <w:tcW w:w="96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(0.15)</w:t>
            </w:r>
          </w:p>
        </w:tc>
        <w:tc>
          <w:tcPr>
            <w:tcW w:w="0" w:type="dxa"/>
            <w:vAlign w:val="bottom"/>
          </w:tcPr>
          <w:p>
            <w:pPr>
              <w:spacing w:after="0"/>
              <w:rPr>
                <w:sz w:val="1"/>
                <w:szCs w:val="1"/>
                <w:color w:val="auto"/>
              </w:rPr>
            </w:pPr>
          </w:p>
        </w:tc>
      </w:tr>
      <w:tr>
        <w:trPr>
          <w:trHeight w:val="203"/>
        </w:trPr>
        <w:tc>
          <w:tcPr>
            <w:tcW w:w="60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common stock equivalent. . . . . . . . . . . . . .$</w:t>
            </w:r>
          </w:p>
        </w:tc>
        <w:tc>
          <w:tcPr>
            <w:tcW w:w="1040" w:type="dxa"/>
            <w:vAlign w:val="bottom"/>
            <w:vMerge w:val="continue"/>
          </w:tcPr>
          <w:p>
            <w:pPr>
              <w:spacing w:after="0"/>
              <w:rPr>
                <w:sz w:val="17"/>
                <w:szCs w:val="17"/>
                <w:color w:val="auto"/>
              </w:rPr>
            </w:pPr>
          </w:p>
        </w:tc>
        <w:tc>
          <w:tcPr>
            <w:tcW w:w="420" w:type="dxa"/>
            <w:vAlign w:val="bottom"/>
            <w:vMerge w:val="continue"/>
          </w:tcPr>
          <w:p>
            <w:pPr>
              <w:spacing w:after="0"/>
              <w:rPr>
                <w:sz w:val="17"/>
                <w:szCs w:val="17"/>
                <w:color w:val="auto"/>
              </w:rPr>
            </w:pPr>
          </w:p>
        </w:tc>
        <w:tc>
          <w:tcPr>
            <w:tcW w:w="9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6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96"/>
        </w:trPr>
        <w:tc>
          <w:tcPr>
            <w:tcW w:w="7060" w:type="dxa"/>
            <w:vAlign w:val="bottom"/>
            <w:gridSpan w:val="2"/>
          </w:tcPr>
          <w:p>
            <w:pPr>
              <w:jc w:val="right"/>
              <w:ind w:right="232"/>
              <w:spacing w:after="0"/>
              <w:rPr>
                <w:sz w:val="20"/>
                <w:szCs w:val="20"/>
                <w:color w:val="auto"/>
              </w:rPr>
            </w:pPr>
            <w:r>
              <w:rPr>
                <w:rFonts w:ascii="Courier New" w:cs="Courier New" w:eastAsia="Courier New" w:hAnsi="Courier New"/>
                <w:sz w:val="18"/>
                <w:szCs w:val="18"/>
                <w:color w:val="auto"/>
              </w:rPr>
              <w:t>----------</w:t>
            </w:r>
          </w:p>
        </w:tc>
        <w:tc>
          <w:tcPr>
            <w:tcW w:w="1380" w:type="dxa"/>
            <w:vAlign w:val="bottom"/>
            <w:gridSpan w:val="2"/>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accompanying notes to condensed consolidated financial statements.</w:t>
      </w:r>
    </w:p>
    <w:p>
      <w:pPr>
        <w:spacing w:after="0" w:line="200" w:lineRule="exact"/>
        <w:rPr>
          <w:sz w:val="20"/>
          <w:szCs w:val="20"/>
          <w:color w:val="auto"/>
        </w:rPr>
      </w:pP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10219"/>
          </w:cols>
          <w:pgMar w:left="240" w:top="691" w:right="1440" w:bottom="1440" w:gutter="0" w:footer="0" w:header="0"/>
        </w:sectPr>
      </w:pPr>
    </w:p>
    <w:bookmarkStart w:id="3" w:name="page4"/>
    <w:bookmarkEnd w:id="3"/>
    <w:p>
      <w:pPr>
        <w:jc w:val="center"/>
        <w:ind w:right="2100"/>
        <w:spacing w:after="0"/>
        <w:rPr>
          <w:sz w:val="20"/>
          <w:szCs w:val="20"/>
          <w:color w:val="auto"/>
        </w:rPr>
      </w:pPr>
      <w:r>
        <w:rPr>
          <w:rFonts w:ascii="Courier New" w:cs="Courier New" w:eastAsia="Courier New" w:hAnsi="Courier New"/>
          <w:sz w:val="18"/>
          <w:szCs w:val="18"/>
          <w:color w:val="auto"/>
        </w:rPr>
        <w:t>THE TORO COMPANY AND SUBSIDIARIES</w:t>
      </w:r>
    </w:p>
    <w:p>
      <w:pPr>
        <w:spacing w:after="0" w:line="29" w:lineRule="exact"/>
        <w:rPr>
          <w:sz w:val="20"/>
          <w:szCs w:val="20"/>
          <w:color w:val="auto"/>
        </w:rPr>
      </w:pPr>
    </w:p>
    <w:p>
      <w:pPr>
        <w:jc w:val="center"/>
        <w:ind w:right="2100"/>
        <w:spacing w:after="0"/>
        <w:rPr>
          <w:sz w:val="20"/>
          <w:szCs w:val="20"/>
          <w:color w:val="auto"/>
        </w:rPr>
      </w:pPr>
      <w:r>
        <w:rPr>
          <w:rFonts w:ascii="Courier New" w:cs="Courier New" w:eastAsia="Courier New" w:hAnsi="Courier New"/>
          <w:sz w:val="18"/>
          <w:szCs w:val="18"/>
          <w:color w:val="auto"/>
        </w:rPr>
        <w:t>CONDENSED CONSOLIDATED BALANCE SHEETS</w:t>
      </w:r>
    </w:p>
    <w:p>
      <w:pPr>
        <w:jc w:val="center"/>
        <w:ind w:right="2100"/>
        <w:spacing w:after="0"/>
        <w:rPr>
          <w:sz w:val="20"/>
          <w:szCs w:val="20"/>
          <w:color w:val="auto"/>
        </w:rPr>
      </w:pPr>
      <w:r>
        <w:rPr>
          <w:rFonts w:ascii="Courier New" w:cs="Courier New" w:eastAsia="Courier New" w:hAnsi="Courier New"/>
          <w:sz w:val="18"/>
          <w:szCs w:val="18"/>
          <w:color w:val="auto"/>
        </w:rPr>
        <w:t>(DOLLARS IN THOUSANDS, EXCEPT PER-SHARE DATA)</w:t>
      </w:r>
    </w:p>
    <w:p>
      <w:pPr>
        <w:spacing w:after="0" w:line="200" w:lineRule="exact"/>
        <w:rPr>
          <w:sz w:val="20"/>
          <w:szCs w:val="20"/>
          <w:color w:val="auto"/>
        </w:rPr>
      </w:pP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7640" w:type="dxa"/>
            <w:vAlign w:val="bottom"/>
            <w:gridSpan w:val="2"/>
          </w:tcPr>
          <w:p>
            <w:pPr>
              <w:jc w:val="right"/>
              <w:ind w:right="172"/>
              <w:spacing w:after="0"/>
              <w:rPr>
                <w:sz w:val="20"/>
                <w:szCs w:val="20"/>
                <w:color w:val="auto"/>
              </w:rPr>
            </w:pPr>
            <w:r>
              <w:rPr>
                <w:rFonts w:ascii="Courier New" w:cs="Courier New" w:eastAsia="Courier New" w:hAnsi="Courier New"/>
                <w:sz w:val="18"/>
                <w:szCs w:val="18"/>
                <w:color w:val="auto"/>
              </w:rPr>
              <w:t>(Unaudited)</w:t>
            </w:r>
          </w:p>
        </w:tc>
        <w:tc>
          <w:tcPr>
            <w:tcW w:w="1580" w:type="dxa"/>
            <w:vAlign w:val="bottom"/>
            <w:gridSpan w:val="2"/>
          </w:tcPr>
          <w:p>
            <w:pPr>
              <w:ind w:left="160"/>
              <w:spacing w:after="0"/>
              <w:rPr>
                <w:sz w:val="20"/>
                <w:szCs w:val="20"/>
                <w:color w:val="auto"/>
              </w:rPr>
            </w:pPr>
            <w:r>
              <w:rPr>
                <w:rFonts w:ascii="Courier New" w:cs="Courier New" w:eastAsia="Courier New" w:hAnsi="Courier New"/>
                <w:sz w:val="18"/>
                <w:szCs w:val="18"/>
                <w:color w:val="auto"/>
              </w:rPr>
              <w:t>(Unaudited)</w:t>
            </w: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4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320" w:type="dxa"/>
            <w:vAlign w:val="bottom"/>
          </w:tcPr>
          <w:p>
            <w:pPr>
              <w:spacing w:after="0"/>
              <w:rPr>
                <w:sz w:val="17"/>
                <w:szCs w:val="17"/>
                <w:color w:val="auto"/>
              </w:rPr>
            </w:pPr>
          </w:p>
        </w:tc>
        <w:tc>
          <w:tcPr>
            <w:tcW w:w="1100" w:type="dxa"/>
            <w:vAlign w:val="bottom"/>
            <w:vMerge w:val="restart"/>
          </w:tcPr>
          <w:p>
            <w:pPr>
              <w:jc w:val="right"/>
              <w:ind w:right="112"/>
              <w:spacing w:after="0"/>
              <w:rPr>
                <w:sz w:val="20"/>
                <w:szCs w:val="20"/>
                <w:color w:val="auto"/>
              </w:rPr>
            </w:pPr>
            <w:r>
              <w:rPr>
                <w:rFonts w:ascii="Courier New" w:cs="Courier New" w:eastAsia="Courier New" w:hAnsi="Courier New"/>
                <w:sz w:val="18"/>
                <w:szCs w:val="18"/>
                <w:color w:val="auto"/>
              </w:rPr>
              <w:t>July 31,</w:t>
            </w:r>
          </w:p>
        </w:tc>
        <w:tc>
          <w:tcPr>
            <w:tcW w:w="0" w:type="dxa"/>
            <w:vAlign w:val="bottom"/>
          </w:tcPr>
          <w:p>
            <w:pPr>
              <w:spacing w:after="0"/>
              <w:rPr>
                <w:sz w:val="1"/>
                <w:szCs w:val="1"/>
                <w:color w:val="auto"/>
              </w:rPr>
            </w:pPr>
          </w:p>
        </w:tc>
      </w:tr>
      <w:tr>
        <w:trPr>
          <w:trHeight w:val="203"/>
        </w:trPr>
        <w:tc>
          <w:tcPr>
            <w:tcW w:w="764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October 28,</w:t>
            </w:r>
          </w:p>
        </w:tc>
        <w:tc>
          <w:tcPr>
            <w:tcW w:w="158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October 29,</w:t>
            </w:r>
          </w:p>
        </w:tc>
        <w:tc>
          <w:tcPr>
            <w:tcW w:w="320" w:type="dxa"/>
            <w:vAlign w:val="bottom"/>
          </w:tcPr>
          <w:p>
            <w:pPr>
              <w:spacing w:after="0"/>
              <w:rPr>
                <w:sz w:val="17"/>
                <w:szCs w:val="17"/>
                <w:color w:val="auto"/>
              </w:rPr>
            </w:pPr>
          </w:p>
        </w:tc>
        <w:tc>
          <w:tcPr>
            <w:tcW w:w="11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440" w:type="dxa"/>
            <w:vAlign w:val="bottom"/>
          </w:tcPr>
          <w:p>
            <w:pPr>
              <w:spacing w:after="0"/>
              <w:rPr>
                <w:sz w:val="17"/>
                <w:szCs w:val="17"/>
                <w:color w:val="auto"/>
              </w:rPr>
            </w:pPr>
          </w:p>
        </w:tc>
        <w:tc>
          <w:tcPr>
            <w:tcW w:w="120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1994</w:t>
            </w:r>
          </w:p>
        </w:tc>
        <w:tc>
          <w:tcPr>
            <w:tcW w:w="380" w:type="dxa"/>
            <w:vAlign w:val="bottom"/>
          </w:tcPr>
          <w:p>
            <w:pPr>
              <w:spacing w:after="0"/>
              <w:rPr>
                <w:sz w:val="17"/>
                <w:szCs w:val="17"/>
                <w:color w:val="auto"/>
              </w:rPr>
            </w:pPr>
          </w:p>
        </w:tc>
        <w:tc>
          <w:tcPr>
            <w:tcW w:w="120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1993</w:t>
            </w:r>
          </w:p>
        </w:tc>
        <w:tc>
          <w:tcPr>
            <w:tcW w:w="320" w:type="dxa"/>
            <w:vAlign w:val="bottom"/>
          </w:tcPr>
          <w:p>
            <w:pPr>
              <w:spacing w:after="0"/>
              <w:rPr>
                <w:sz w:val="17"/>
                <w:szCs w:val="17"/>
                <w:color w:val="auto"/>
              </w:rPr>
            </w:pPr>
          </w:p>
        </w:tc>
        <w:tc>
          <w:tcPr>
            <w:tcW w:w="11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1994</w:t>
            </w:r>
          </w:p>
        </w:tc>
        <w:tc>
          <w:tcPr>
            <w:tcW w:w="0" w:type="dxa"/>
            <w:vAlign w:val="bottom"/>
          </w:tcPr>
          <w:p>
            <w:pPr>
              <w:spacing w:after="0"/>
              <w:rPr>
                <w:sz w:val="1"/>
                <w:szCs w:val="1"/>
                <w:color w:val="auto"/>
              </w:rPr>
            </w:pPr>
          </w:p>
        </w:tc>
      </w:tr>
      <w:tr>
        <w:trPr>
          <w:trHeight w:val="296"/>
        </w:trPr>
        <w:tc>
          <w:tcPr>
            <w:tcW w:w="7640" w:type="dxa"/>
            <w:vAlign w:val="bottom"/>
            <w:gridSpan w:val="2"/>
          </w:tcPr>
          <w:p>
            <w:pPr>
              <w:jc w:val="right"/>
              <w:ind w:right="172"/>
              <w:spacing w:after="0"/>
              <w:rPr>
                <w:sz w:val="20"/>
                <w:szCs w:val="20"/>
                <w:color w:val="auto"/>
              </w:rPr>
            </w:pPr>
            <w:r>
              <w:rPr>
                <w:rFonts w:ascii="Courier New" w:cs="Courier New" w:eastAsia="Courier New" w:hAnsi="Courier New"/>
                <w:sz w:val="18"/>
                <w:szCs w:val="18"/>
                <w:color w:val="auto"/>
              </w:rPr>
              <w:t>-----------</w:t>
            </w:r>
          </w:p>
        </w:tc>
        <w:tc>
          <w:tcPr>
            <w:tcW w:w="1580" w:type="dxa"/>
            <w:vAlign w:val="bottom"/>
            <w:gridSpan w:val="2"/>
          </w:tcPr>
          <w:p>
            <w:pPr>
              <w:jc w:val="right"/>
              <w:ind w:right="172"/>
              <w:spacing w:after="0"/>
              <w:rPr>
                <w:sz w:val="20"/>
                <w:szCs w:val="20"/>
                <w:color w:val="auto"/>
              </w:rPr>
            </w:pPr>
            <w:r>
              <w:rPr>
                <w:rFonts w:ascii="Courier New" w:cs="Courier New" w:eastAsia="Courier New" w:hAnsi="Courier New"/>
                <w:sz w:val="18"/>
                <w:szCs w:val="18"/>
                <w:color w:val="auto"/>
              </w:rPr>
              <w:t>-----------</w:t>
            </w:r>
          </w:p>
        </w:tc>
        <w:tc>
          <w:tcPr>
            <w:tcW w:w="1420" w:type="dxa"/>
            <w:vAlign w:val="bottom"/>
            <w:gridSpan w:val="2"/>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311"/>
        </w:trPr>
        <w:tc>
          <w:tcPr>
            <w:tcW w:w="6440" w:type="dxa"/>
            <w:vAlign w:val="bottom"/>
          </w:tcPr>
          <w:p>
            <w:pPr>
              <w:spacing w:after="0"/>
              <w:rPr>
                <w:sz w:val="20"/>
                <w:szCs w:val="20"/>
                <w:color w:val="auto"/>
              </w:rPr>
            </w:pPr>
            <w:r>
              <w:rPr>
                <w:rFonts w:ascii="Courier New" w:cs="Courier New" w:eastAsia="Courier New" w:hAnsi="Courier New"/>
                <w:sz w:val="18"/>
                <w:szCs w:val="18"/>
                <w:color w:val="auto"/>
              </w:rPr>
              <w:t>ASSETS</w:t>
            </w:r>
          </w:p>
        </w:tc>
        <w:tc>
          <w:tcPr>
            <w:tcW w:w="1200" w:type="dxa"/>
            <w:vAlign w:val="bottom"/>
            <w:vMerge w:val="restart"/>
          </w:tcPr>
          <w:p>
            <w:pPr>
              <w:jc w:val="right"/>
              <w:ind w:right="172"/>
              <w:spacing w:after="0"/>
              <w:rPr>
                <w:sz w:val="20"/>
                <w:szCs w:val="20"/>
                <w:color w:val="auto"/>
              </w:rPr>
            </w:pPr>
            <w:r>
              <w:rPr>
                <w:rFonts w:ascii="Courier New" w:cs="Courier New" w:eastAsia="Courier New" w:hAnsi="Courier New"/>
                <w:sz w:val="18"/>
                <w:szCs w:val="18"/>
                <w:color w:val="auto"/>
              </w:rPr>
              <w:t>12,402</w:t>
            </w:r>
          </w:p>
        </w:tc>
        <w:tc>
          <w:tcPr>
            <w:tcW w:w="380" w:type="dxa"/>
            <w:vAlign w:val="bottom"/>
            <w:vMerge w:val="restart"/>
          </w:tcPr>
          <w:p>
            <w:pPr>
              <w:ind w:left="160"/>
              <w:spacing w:after="0"/>
              <w:rPr>
                <w:sz w:val="20"/>
                <w:szCs w:val="20"/>
                <w:color w:val="auto"/>
              </w:rPr>
            </w:pPr>
            <w:r>
              <w:rPr>
                <w:rFonts w:ascii="Courier New" w:cs="Courier New" w:eastAsia="Courier New" w:hAnsi="Courier New"/>
                <w:sz w:val="18"/>
                <w:szCs w:val="18"/>
                <w:color w:val="auto"/>
              </w:rPr>
              <w:t>$</w:t>
            </w:r>
          </w:p>
        </w:tc>
        <w:tc>
          <w:tcPr>
            <w:tcW w:w="1200" w:type="dxa"/>
            <w:vAlign w:val="bottom"/>
            <w:vMerge w:val="restart"/>
          </w:tcPr>
          <w:p>
            <w:pPr>
              <w:jc w:val="right"/>
              <w:ind w:right="172"/>
              <w:spacing w:after="0"/>
              <w:rPr>
                <w:sz w:val="20"/>
                <w:szCs w:val="20"/>
                <w:color w:val="auto"/>
              </w:rPr>
            </w:pPr>
            <w:r>
              <w:rPr>
                <w:rFonts w:ascii="Courier New" w:cs="Courier New" w:eastAsia="Courier New" w:hAnsi="Courier New"/>
                <w:sz w:val="18"/>
                <w:szCs w:val="18"/>
                <w:color w:val="auto"/>
              </w:rPr>
              <w:t>28,199</w:t>
            </w:r>
          </w:p>
        </w:tc>
        <w:tc>
          <w:tcPr>
            <w:tcW w:w="32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w:t>
            </w:r>
          </w:p>
        </w:tc>
        <w:tc>
          <w:tcPr>
            <w:tcW w:w="110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rPr>
              <w:t>36,231</w:t>
            </w:r>
          </w:p>
        </w:tc>
        <w:tc>
          <w:tcPr>
            <w:tcW w:w="0" w:type="dxa"/>
            <w:vAlign w:val="bottom"/>
          </w:tcPr>
          <w:p>
            <w:pPr>
              <w:spacing w:after="0"/>
              <w:rPr>
                <w:sz w:val="1"/>
                <w:szCs w:val="1"/>
                <w:color w:val="auto"/>
              </w:rPr>
            </w:pPr>
          </w:p>
        </w:tc>
      </w:tr>
      <w:tr>
        <w:trPr>
          <w:trHeight w:val="203"/>
        </w:trPr>
        <w:tc>
          <w:tcPr>
            <w:tcW w:w="644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Cash and cash equivalents. . . . . . . . . . . . . . . . . $</w:t>
            </w:r>
          </w:p>
        </w:tc>
        <w:tc>
          <w:tcPr>
            <w:tcW w:w="1200" w:type="dxa"/>
            <w:vAlign w:val="bottom"/>
            <w:vMerge w:val="continue"/>
          </w:tcPr>
          <w:p>
            <w:pPr>
              <w:spacing w:after="0"/>
              <w:rPr>
                <w:sz w:val="17"/>
                <w:szCs w:val="17"/>
                <w:color w:val="auto"/>
              </w:rPr>
            </w:pPr>
          </w:p>
        </w:tc>
        <w:tc>
          <w:tcPr>
            <w:tcW w:w="380" w:type="dxa"/>
            <w:vAlign w:val="bottom"/>
            <w:vMerge w:val="continue"/>
          </w:tcPr>
          <w:p>
            <w:pPr>
              <w:spacing w:after="0"/>
              <w:rPr>
                <w:sz w:val="17"/>
                <w:szCs w:val="17"/>
                <w:color w:val="auto"/>
              </w:rPr>
            </w:pPr>
          </w:p>
        </w:tc>
        <w:tc>
          <w:tcPr>
            <w:tcW w:w="1200" w:type="dxa"/>
            <w:vAlign w:val="bottom"/>
            <w:vMerge w:val="continue"/>
          </w:tcPr>
          <w:p>
            <w:pPr>
              <w:spacing w:after="0"/>
              <w:rPr>
                <w:sz w:val="17"/>
                <w:szCs w:val="17"/>
                <w:color w:val="auto"/>
              </w:rPr>
            </w:pPr>
          </w:p>
        </w:tc>
        <w:tc>
          <w:tcPr>
            <w:tcW w:w="320" w:type="dxa"/>
            <w:vAlign w:val="bottom"/>
            <w:vMerge w:val="continue"/>
          </w:tcPr>
          <w:p>
            <w:pPr>
              <w:spacing w:after="0"/>
              <w:rPr>
                <w:sz w:val="17"/>
                <w:szCs w:val="17"/>
                <w:color w:val="auto"/>
              </w:rPr>
            </w:pPr>
          </w:p>
        </w:tc>
        <w:tc>
          <w:tcPr>
            <w:tcW w:w="11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440" w:type="dxa"/>
            <w:vAlign w:val="bottom"/>
          </w:tcPr>
          <w:p>
            <w:pPr>
              <w:spacing w:after="0" w:line="203" w:lineRule="exact"/>
              <w:rPr>
                <w:sz w:val="20"/>
                <w:szCs w:val="20"/>
                <w:color w:val="auto"/>
              </w:rPr>
            </w:pPr>
            <w:r>
              <w:rPr>
                <w:rFonts w:ascii="Courier New" w:cs="Courier New" w:eastAsia="Courier New" w:hAnsi="Courier New"/>
                <w:sz w:val="18"/>
                <w:szCs w:val="18"/>
                <w:color w:val="auto"/>
              </w:rPr>
              <w:t>Receivables (net). . . . . . . . . . . . . . . . . . . . .</w:t>
            </w:r>
          </w:p>
        </w:tc>
        <w:tc>
          <w:tcPr>
            <w:tcW w:w="12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199,910</w:t>
            </w:r>
          </w:p>
        </w:tc>
        <w:tc>
          <w:tcPr>
            <w:tcW w:w="380" w:type="dxa"/>
            <w:vAlign w:val="bottom"/>
          </w:tcPr>
          <w:p>
            <w:pPr>
              <w:spacing w:after="0"/>
              <w:rPr>
                <w:sz w:val="17"/>
                <w:szCs w:val="17"/>
                <w:color w:val="auto"/>
              </w:rPr>
            </w:pPr>
          </w:p>
        </w:tc>
        <w:tc>
          <w:tcPr>
            <w:tcW w:w="12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160,795</w:t>
            </w:r>
          </w:p>
        </w:tc>
        <w:tc>
          <w:tcPr>
            <w:tcW w:w="320" w:type="dxa"/>
            <w:vAlign w:val="bottom"/>
          </w:tcPr>
          <w:p>
            <w:pPr>
              <w:spacing w:after="0"/>
              <w:rPr>
                <w:sz w:val="17"/>
                <w:szCs w:val="17"/>
                <w:color w:val="auto"/>
              </w:rPr>
            </w:pP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183,683</w:t>
            </w:r>
          </w:p>
        </w:tc>
        <w:tc>
          <w:tcPr>
            <w:tcW w:w="0" w:type="dxa"/>
            <w:vAlign w:val="bottom"/>
          </w:tcPr>
          <w:p>
            <w:pPr>
              <w:spacing w:after="0"/>
              <w:rPr>
                <w:sz w:val="1"/>
                <w:szCs w:val="1"/>
                <w:color w:val="auto"/>
              </w:rPr>
            </w:pPr>
          </w:p>
        </w:tc>
      </w:tr>
      <w:tr>
        <w:trPr>
          <w:trHeight w:val="203"/>
        </w:trPr>
        <w:tc>
          <w:tcPr>
            <w:tcW w:w="6440" w:type="dxa"/>
            <w:vAlign w:val="bottom"/>
          </w:tcPr>
          <w:p>
            <w:pPr>
              <w:spacing w:after="0" w:line="203" w:lineRule="exact"/>
              <w:rPr>
                <w:sz w:val="20"/>
                <w:szCs w:val="20"/>
                <w:color w:val="auto"/>
              </w:rPr>
            </w:pPr>
            <w:r>
              <w:rPr>
                <w:rFonts w:ascii="Courier New" w:cs="Courier New" w:eastAsia="Courier New" w:hAnsi="Courier New"/>
                <w:sz w:val="18"/>
                <w:szCs w:val="18"/>
                <w:color w:val="auto"/>
              </w:rPr>
              <w:t>Inventories. . . . . . . . . . . . . . . . . . . . . . . .</w:t>
            </w:r>
          </w:p>
        </w:tc>
        <w:tc>
          <w:tcPr>
            <w:tcW w:w="12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132,854</w:t>
            </w:r>
          </w:p>
        </w:tc>
        <w:tc>
          <w:tcPr>
            <w:tcW w:w="380" w:type="dxa"/>
            <w:vAlign w:val="bottom"/>
          </w:tcPr>
          <w:p>
            <w:pPr>
              <w:spacing w:after="0"/>
              <w:rPr>
                <w:sz w:val="17"/>
                <w:szCs w:val="17"/>
                <w:color w:val="auto"/>
              </w:rPr>
            </w:pPr>
          </w:p>
        </w:tc>
        <w:tc>
          <w:tcPr>
            <w:tcW w:w="12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112,813</w:t>
            </w:r>
          </w:p>
        </w:tc>
        <w:tc>
          <w:tcPr>
            <w:tcW w:w="320" w:type="dxa"/>
            <w:vAlign w:val="bottom"/>
          </w:tcPr>
          <w:p>
            <w:pPr>
              <w:spacing w:after="0"/>
              <w:rPr>
                <w:sz w:val="17"/>
                <w:szCs w:val="17"/>
                <w:color w:val="auto"/>
              </w:rPr>
            </w:pP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118,764</w:t>
            </w:r>
          </w:p>
        </w:tc>
        <w:tc>
          <w:tcPr>
            <w:tcW w:w="0" w:type="dxa"/>
            <w:vAlign w:val="bottom"/>
          </w:tcPr>
          <w:p>
            <w:pPr>
              <w:spacing w:after="0"/>
              <w:rPr>
                <w:sz w:val="1"/>
                <w:szCs w:val="1"/>
                <w:color w:val="auto"/>
              </w:rPr>
            </w:pPr>
          </w:p>
        </w:tc>
      </w:tr>
      <w:tr>
        <w:trPr>
          <w:trHeight w:val="203"/>
        </w:trPr>
        <w:tc>
          <w:tcPr>
            <w:tcW w:w="6440" w:type="dxa"/>
            <w:vAlign w:val="bottom"/>
          </w:tcPr>
          <w:p>
            <w:pPr>
              <w:spacing w:after="0" w:line="203" w:lineRule="exact"/>
              <w:rPr>
                <w:sz w:val="20"/>
                <w:szCs w:val="20"/>
                <w:color w:val="auto"/>
              </w:rPr>
            </w:pPr>
            <w:r>
              <w:rPr>
                <w:rFonts w:ascii="Courier New" w:cs="Courier New" w:eastAsia="Courier New" w:hAnsi="Courier New"/>
                <w:sz w:val="18"/>
                <w:szCs w:val="18"/>
                <w:color w:val="auto"/>
              </w:rPr>
              <w:t>Prepaid expenses . . . . . . . . . . . . . . . . . . . . .</w:t>
            </w:r>
          </w:p>
        </w:tc>
        <w:tc>
          <w:tcPr>
            <w:tcW w:w="12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28,219</w:t>
            </w:r>
          </w:p>
        </w:tc>
        <w:tc>
          <w:tcPr>
            <w:tcW w:w="380" w:type="dxa"/>
            <w:vAlign w:val="bottom"/>
          </w:tcPr>
          <w:p>
            <w:pPr>
              <w:spacing w:after="0"/>
              <w:rPr>
                <w:sz w:val="17"/>
                <w:szCs w:val="17"/>
                <w:color w:val="auto"/>
              </w:rPr>
            </w:pPr>
          </w:p>
        </w:tc>
        <w:tc>
          <w:tcPr>
            <w:tcW w:w="12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24,301</w:t>
            </w:r>
          </w:p>
        </w:tc>
        <w:tc>
          <w:tcPr>
            <w:tcW w:w="320" w:type="dxa"/>
            <w:vAlign w:val="bottom"/>
          </w:tcPr>
          <w:p>
            <w:pPr>
              <w:spacing w:after="0"/>
              <w:rPr>
                <w:sz w:val="17"/>
                <w:szCs w:val="17"/>
                <w:color w:val="auto"/>
              </w:rPr>
            </w:pP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25,817</w:t>
            </w:r>
          </w:p>
        </w:tc>
        <w:tc>
          <w:tcPr>
            <w:tcW w:w="0" w:type="dxa"/>
            <w:vAlign w:val="bottom"/>
          </w:tcPr>
          <w:p>
            <w:pPr>
              <w:spacing w:after="0"/>
              <w:rPr>
                <w:sz w:val="1"/>
                <w:szCs w:val="1"/>
                <w:color w:val="auto"/>
              </w:rPr>
            </w:pPr>
          </w:p>
        </w:tc>
      </w:tr>
      <w:tr>
        <w:trPr>
          <w:trHeight w:val="203"/>
        </w:trPr>
        <w:tc>
          <w:tcPr>
            <w:tcW w:w="764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644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Total current assets . . . . . . . . . . . . . . . .</w:t>
            </w:r>
          </w:p>
        </w:tc>
        <w:tc>
          <w:tcPr>
            <w:tcW w:w="12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373,385</w:t>
            </w:r>
          </w:p>
        </w:tc>
        <w:tc>
          <w:tcPr>
            <w:tcW w:w="380" w:type="dxa"/>
            <w:vAlign w:val="bottom"/>
          </w:tcPr>
          <w:p>
            <w:pPr>
              <w:spacing w:after="0"/>
              <w:rPr>
                <w:sz w:val="17"/>
                <w:szCs w:val="17"/>
                <w:color w:val="auto"/>
              </w:rPr>
            </w:pPr>
          </w:p>
        </w:tc>
        <w:tc>
          <w:tcPr>
            <w:tcW w:w="12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326,108</w:t>
            </w:r>
          </w:p>
        </w:tc>
        <w:tc>
          <w:tcPr>
            <w:tcW w:w="320" w:type="dxa"/>
            <w:vAlign w:val="bottom"/>
          </w:tcPr>
          <w:p>
            <w:pPr>
              <w:spacing w:after="0"/>
              <w:rPr>
                <w:sz w:val="17"/>
                <w:szCs w:val="17"/>
                <w:color w:val="auto"/>
              </w:rPr>
            </w:pP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364,495</w:t>
            </w:r>
          </w:p>
        </w:tc>
        <w:tc>
          <w:tcPr>
            <w:tcW w:w="0" w:type="dxa"/>
            <w:vAlign w:val="bottom"/>
          </w:tcPr>
          <w:p>
            <w:pPr>
              <w:spacing w:after="0"/>
              <w:rPr>
                <w:sz w:val="1"/>
                <w:szCs w:val="1"/>
                <w:color w:val="auto"/>
              </w:rPr>
            </w:pPr>
          </w:p>
        </w:tc>
      </w:tr>
      <w:tr>
        <w:trPr>
          <w:trHeight w:val="296"/>
        </w:trPr>
        <w:tc>
          <w:tcPr>
            <w:tcW w:w="7640" w:type="dxa"/>
            <w:vAlign w:val="bottom"/>
            <w:gridSpan w:val="2"/>
          </w:tcPr>
          <w:p>
            <w:pPr>
              <w:jc w:val="right"/>
              <w:ind w:right="172"/>
              <w:spacing w:after="0"/>
              <w:rPr>
                <w:sz w:val="20"/>
                <w:szCs w:val="20"/>
                <w:color w:val="auto"/>
              </w:rPr>
            </w:pPr>
            <w:r>
              <w:rPr>
                <w:rFonts w:ascii="Courier New" w:cs="Courier New" w:eastAsia="Courier New" w:hAnsi="Courier New"/>
                <w:sz w:val="18"/>
                <w:szCs w:val="18"/>
                <w:color w:val="auto"/>
              </w:rPr>
              <w:t>-----------</w:t>
            </w:r>
          </w:p>
        </w:tc>
        <w:tc>
          <w:tcPr>
            <w:tcW w:w="1580" w:type="dxa"/>
            <w:vAlign w:val="bottom"/>
            <w:gridSpan w:val="2"/>
          </w:tcPr>
          <w:p>
            <w:pPr>
              <w:jc w:val="right"/>
              <w:ind w:right="172"/>
              <w:spacing w:after="0"/>
              <w:rPr>
                <w:sz w:val="20"/>
                <w:szCs w:val="20"/>
                <w:color w:val="auto"/>
              </w:rPr>
            </w:pPr>
            <w:r>
              <w:rPr>
                <w:rFonts w:ascii="Courier New" w:cs="Courier New" w:eastAsia="Courier New" w:hAnsi="Courier New"/>
                <w:sz w:val="18"/>
                <w:szCs w:val="18"/>
                <w:color w:val="auto"/>
              </w:rPr>
              <w:t>-----------</w:t>
            </w:r>
          </w:p>
        </w:tc>
        <w:tc>
          <w:tcPr>
            <w:tcW w:w="1420" w:type="dxa"/>
            <w:vAlign w:val="bottom"/>
            <w:gridSpan w:val="2"/>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311"/>
        </w:trPr>
        <w:tc>
          <w:tcPr>
            <w:tcW w:w="6440" w:type="dxa"/>
            <w:vAlign w:val="bottom"/>
          </w:tcPr>
          <w:p>
            <w:pPr>
              <w:spacing w:after="0"/>
              <w:rPr>
                <w:sz w:val="20"/>
                <w:szCs w:val="20"/>
                <w:color w:val="auto"/>
              </w:rPr>
            </w:pPr>
            <w:r>
              <w:rPr>
                <w:rFonts w:ascii="Courier New" w:cs="Courier New" w:eastAsia="Courier New" w:hAnsi="Courier New"/>
                <w:sz w:val="18"/>
                <w:szCs w:val="18"/>
                <w:color w:val="auto"/>
              </w:rPr>
              <w:t>Property, plant and equipment. . . . . . . . . . . . . . .</w:t>
            </w:r>
          </w:p>
        </w:tc>
        <w:tc>
          <w:tcPr>
            <w:tcW w:w="120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189,672</w:t>
            </w:r>
          </w:p>
        </w:tc>
        <w:tc>
          <w:tcPr>
            <w:tcW w:w="380" w:type="dxa"/>
            <w:vAlign w:val="bottom"/>
          </w:tcPr>
          <w:p>
            <w:pPr>
              <w:spacing w:after="0"/>
              <w:rPr>
                <w:sz w:val="24"/>
                <w:szCs w:val="24"/>
                <w:color w:val="auto"/>
              </w:rPr>
            </w:pPr>
          </w:p>
        </w:tc>
        <w:tc>
          <w:tcPr>
            <w:tcW w:w="120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175,255</w:t>
            </w:r>
          </w:p>
        </w:tc>
        <w:tc>
          <w:tcPr>
            <w:tcW w:w="320" w:type="dxa"/>
            <w:vAlign w:val="bottom"/>
          </w:tcPr>
          <w:p>
            <w:pPr>
              <w:spacing w:after="0"/>
              <w:rPr>
                <w:sz w:val="24"/>
                <w:szCs w:val="24"/>
                <w:color w:val="auto"/>
              </w:rPr>
            </w:pPr>
          </w:p>
        </w:tc>
        <w:tc>
          <w:tcPr>
            <w:tcW w:w="1100" w:type="dxa"/>
            <w:vAlign w:val="bottom"/>
          </w:tcPr>
          <w:p>
            <w:pPr>
              <w:jc w:val="right"/>
              <w:ind w:right="12"/>
              <w:spacing w:after="0"/>
              <w:rPr>
                <w:sz w:val="20"/>
                <w:szCs w:val="20"/>
                <w:color w:val="auto"/>
              </w:rPr>
            </w:pPr>
            <w:r>
              <w:rPr>
                <w:rFonts w:ascii="Courier New" w:cs="Courier New" w:eastAsia="Courier New" w:hAnsi="Courier New"/>
                <w:sz w:val="18"/>
                <w:szCs w:val="18"/>
                <w:color w:val="auto"/>
              </w:rPr>
              <w:t>185,478</w:t>
            </w:r>
          </w:p>
        </w:tc>
        <w:tc>
          <w:tcPr>
            <w:tcW w:w="0" w:type="dxa"/>
            <w:vAlign w:val="bottom"/>
          </w:tcPr>
          <w:p>
            <w:pPr>
              <w:spacing w:after="0"/>
              <w:rPr>
                <w:sz w:val="1"/>
                <w:szCs w:val="1"/>
                <w:color w:val="auto"/>
              </w:rPr>
            </w:pPr>
          </w:p>
        </w:tc>
      </w:tr>
      <w:tr>
        <w:trPr>
          <w:trHeight w:val="203"/>
        </w:trPr>
        <w:tc>
          <w:tcPr>
            <w:tcW w:w="644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Less accumulated depreciation and amortization . . .</w:t>
            </w:r>
          </w:p>
        </w:tc>
        <w:tc>
          <w:tcPr>
            <w:tcW w:w="12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129,735</w:t>
            </w:r>
          </w:p>
        </w:tc>
        <w:tc>
          <w:tcPr>
            <w:tcW w:w="380" w:type="dxa"/>
            <w:vAlign w:val="bottom"/>
          </w:tcPr>
          <w:p>
            <w:pPr>
              <w:spacing w:after="0"/>
              <w:rPr>
                <w:sz w:val="17"/>
                <w:szCs w:val="17"/>
                <w:color w:val="auto"/>
              </w:rPr>
            </w:pPr>
          </w:p>
        </w:tc>
        <w:tc>
          <w:tcPr>
            <w:tcW w:w="12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117,335</w:t>
            </w:r>
          </w:p>
        </w:tc>
        <w:tc>
          <w:tcPr>
            <w:tcW w:w="320" w:type="dxa"/>
            <w:vAlign w:val="bottom"/>
          </w:tcPr>
          <w:p>
            <w:pPr>
              <w:spacing w:after="0"/>
              <w:rPr>
                <w:sz w:val="17"/>
                <w:szCs w:val="17"/>
                <w:color w:val="auto"/>
              </w:rPr>
            </w:pP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126,635</w:t>
            </w:r>
          </w:p>
        </w:tc>
        <w:tc>
          <w:tcPr>
            <w:tcW w:w="0" w:type="dxa"/>
            <w:vAlign w:val="bottom"/>
          </w:tcPr>
          <w:p>
            <w:pPr>
              <w:spacing w:after="0"/>
              <w:rPr>
                <w:sz w:val="1"/>
                <w:szCs w:val="1"/>
                <w:color w:val="auto"/>
              </w:rPr>
            </w:pPr>
          </w:p>
        </w:tc>
      </w:tr>
      <w:tr>
        <w:trPr>
          <w:trHeight w:val="203"/>
        </w:trPr>
        <w:tc>
          <w:tcPr>
            <w:tcW w:w="764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6440" w:type="dxa"/>
            <w:vAlign w:val="bottom"/>
            <w:vMerge w:val="restart"/>
          </w:tcPr>
          <w:p>
            <w:pPr>
              <w:spacing w:after="0"/>
              <w:rPr>
                <w:sz w:val="20"/>
                <w:szCs w:val="20"/>
                <w:color w:val="auto"/>
              </w:rPr>
            </w:pPr>
            <w:r>
              <w:rPr>
                <w:rFonts w:ascii="Courier New" w:cs="Courier New" w:eastAsia="Courier New" w:hAnsi="Courier New"/>
                <w:sz w:val="18"/>
                <w:szCs w:val="18"/>
                <w:color w:val="auto"/>
              </w:rPr>
              <w:t>Other assets . . . . . . . . . . . . . . . . . . . . . . .</w:t>
            </w:r>
          </w:p>
        </w:tc>
        <w:tc>
          <w:tcPr>
            <w:tcW w:w="12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59,937</w:t>
            </w:r>
          </w:p>
        </w:tc>
        <w:tc>
          <w:tcPr>
            <w:tcW w:w="380" w:type="dxa"/>
            <w:vAlign w:val="bottom"/>
          </w:tcPr>
          <w:p>
            <w:pPr>
              <w:spacing w:after="0"/>
              <w:rPr>
                <w:sz w:val="17"/>
                <w:szCs w:val="17"/>
                <w:color w:val="auto"/>
              </w:rPr>
            </w:pPr>
          </w:p>
        </w:tc>
        <w:tc>
          <w:tcPr>
            <w:tcW w:w="12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57,920</w:t>
            </w:r>
          </w:p>
        </w:tc>
        <w:tc>
          <w:tcPr>
            <w:tcW w:w="320" w:type="dxa"/>
            <w:vAlign w:val="bottom"/>
          </w:tcPr>
          <w:p>
            <w:pPr>
              <w:spacing w:after="0"/>
              <w:rPr>
                <w:sz w:val="17"/>
                <w:szCs w:val="17"/>
                <w:color w:val="auto"/>
              </w:rPr>
            </w:pP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58,843</w:t>
            </w:r>
          </w:p>
        </w:tc>
        <w:tc>
          <w:tcPr>
            <w:tcW w:w="0" w:type="dxa"/>
            <w:vAlign w:val="bottom"/>
          </w:tcPr>
          <w:p>
            <w:pPr>
              <w:spacing w:after="0"/>
              <w:rPr>
                <w:sz w:val="1"/>
                <w:szCs w:val="1"/>
                <w:color w:val="auto"/>
              </w:rPr>
            </w:pPr>
          </w:p>
        </w:tc>
      </w:tr>
      <w:tr>
        <w:trPr>
          <w:trHeight w:val="203"/>
        </w:trPr>
        <w:tc>
          <w:tcPr>
            <w:tcW w:w="6440" w:type="dxa"/>
            <w:vAlign w:val="bottom"/>
            <w:vMerge w:val="continue"/>
          </w:tcPr>
          <w:p>
            <w:pPr>
              <w:spacing w:after="0"/>
              <w:rPr>
                <w:sz w:val="17"/>
                <w:szCs w:val="17"/>
                <w:color w:val="auto"/>
              </w:rPr>
            </w:pPr>
          </w:p>
        </w:tc>
        <w:tc>
          <w:tcPr>
            <w:tcW w:w="12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18,243</w:t>
            </w:r>
          </w:p>
        </w:tc>
        <w:tc>
          <w:tcPr>
            <w:tcW w:w="380" w:type="dxa"/>
            <w:vAlign w:val="bottom"/>
          </w:tcPr>
          <w:p>
            <w:pPr>
              <w:spacing w:after="0"/>
              <w:rPr>
                <w:sz w:val="17"/>
                <w:szCs w:val="17"/>
                <w:color w:val="auto"/>
              </w:rPr>
            </w:pPr>
          </w:p>
        </w:tc>
        <w:tc>
          <w:tcPr>
            <w:tcW w:w="12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15,796</w:t>
            </w:r>
          </w:p>
        </w:tc>
        <w:tc>
          <w:tcPr>
            <w:tcW w:w="320" w:type="dxa"/>
            <w:vAlign w:val="bottom"/>
          </w:tcPr>
          <w:p>
            <w:pPr>
              <w:spacing w:after="0"/>
              <w:rPr>
                <w:sz w:val="17"/>
                <w:szCs w:val="17"/>
                <w:color w:val="auto"/>
              </w:rPr>
            </w:pP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20,301</w:t>
            </w:r>
          </w:p>
        </w:tc>
        <w:tc>
          <w:tcPr>
            <w:tcW w:w="0" w:type="dxa"/>
            <w:vAlign w:val="bottom"/>
          </w:tcPr>
          <w:p>
            <w:pPr>
              <w:spacing w:after="0"/>
              <w:rPr>
                <w:sz w:val="1"/>
                <w:szCs w:val="1"/>
                <w:color w:val="auto"/>
              </w:rPr>
            </w:pPr>
          </w:p>
        </w:tc>
      </w:tr>
      <w:tr>
        <w:trPr>
          <w:trHeight w:val="203"/>
        </w:trPr>
        <w:tc>
          <w:tcPr>
            <w:tcW w:w="764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644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w w:val="99"/>
              </w:rPr>
              <w:t>Total assets . . . . . . . . . . . . . . . . . . . . $</w:t>
            </w:r>
          </w:p>
        </w:tc>
        <w:tc>
          <w:tcPr>
            <w:tcW w:w="12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451,565</w:t>
            </w:r>
          </w:p>
        </w:tc>
        <w:tc>
          <w:tcPr>
            <w:tcW w:w="3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w:t>
            </w:r>
          </w:p>
        </w:tc>
        <w:tc>
          <w:tcPr>
            <w:tcW w:w="12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399,824</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443,639</w:t>
            </w:r>
          </w:p>
        </w:tc>
        <w:tc>
          <w:tcPr>
            <w:tcW w:w="0" w:type="dxa"/>
            <w:vAlign w:val="bottom"/>
          </w:tcPr>
          <w:p>
            <w:pPr>
              <w:spacing w:after="0"/>
              <w:rPr>
                <w:sz w:val="1"/>
                <w:szCs w:val="1"/>
                <w:color w:val="auto"/>
              </w:rPr>
            </w:pPr>
          </w:p>
        </w:tc>
      </w:tr>
      <w:tr>
        <w:trPr>
          <w:trHeight w:val="203"/>
        </w:trPr>
        <w:tc>
          <w:tcPr>
            <w:tcW w:w="764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764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6440" w:type="dxa"/>
            <w:vAlign w:val="bottom"/>
          </w:tcPr>
          <w:p>
            <w:pPr>
              <w:spacing w:after="0" w:line="203" w:lineRule="exact"/>
              <w:rPr>
                <w:sz w:val="20"/>
                <w:szCs w:val="20"/>
                <w:color w:val="auto"/>
              </w:rPr>
            </w:pPr>
            <w:r>
              <w:rPr>
                <w:rFonts w:ascii="Courier New" w:cs="Courier New" w:eastAsia="Courier New" w:hAnsi="Courier New"/>
                <w:sz w:val="18"/>
                <w:szCs w:val="18"/>
                <w:color w:val="auto"/>
              </w:rPr>
              <w:t>LIABILITIES AND STOCKHOLDERS' EQUITY</w:t>
            </w:r>
          </w:p>
        </w:tc>
        <w:tc>
          <w:tcPr>
            <w:tcW w:w="1200" w:type="dxa"/>
            <w:vAlign w:val="bottom"/>
            <w:vMerge w:val="restart"/>
          </w:tcPr>
          <w:p>
            <w:pPr>
              <w:jc w:val="right"/>
              <w:ind w:right="172"/>
              <w:spacing w:after="0"/>
              <w:rPr>
                <w:sz w:val="20"/>
                <w:szCs w:val="20"/>
                <w:color w:val="auto"/>
              </w:rPr>
            </w:pPr>
            <w:r>
              <w:rPr>
                <w:rFonts w:ascii="Courier New" w:cs="Courier New" w:eastAsia="Courier New" w:hAnsi="Courier New"/>
                <w:sz w:val="18"/>
                <w:szCs w:val="18"/>
                <w:color w:val="auto"/>
              </w:rPr>
              <w:t>21,055</w:t>
            </w:r>
          </w:p>
        </w:tc>
        <w:tc>
          <w:tcPr>
            <w:tcW w:w="380" w:type="dxa"/>
            <w:vAlign w:val="bottom"/>
            <w:vMerge w:val="restart"/>
          </w:tcPr>
          <w:p>
            <w:pPr>
              <w:ind w:left="160"/>
              <w:spacing w:after="0"/>
              <w:rPr>
                <w:sz w:val="20"/>
                <w:szCs w:val="20"/>
                <w:color w:val="auto"/>
              </w:rPr>
            </w:pPr>
            <w:r>
              <w:rPr>
                <w:rFonts w:ascii="Courier New" w:cs="Courier New" w:eastAsia="Courier New" w:hAnsi="Courier New"/>
                <w:sz w:val="18"/>
                <w:szCs w:val="18"/>
                <w:color w:val="auto"/>
              </w:rPr>
              <w:t>$</w:t>
            </w:r>
          </w:p>
        </w:tc>
        <w:tc>
          <w:tcPr>
            <w:tcW w:w="1200" w:type="dxa"/>
            <w:vAlign w:val="bottom"/>
            <w:vMerge w:val="restart"/>
          </w:tcPr>
          <w:p>
            <w:pPr>
              <w:jc w:val="right"/>
              <w:ind w:right="172"/>
              <w:spacing w:after="0"/>
              <w:rPr>
                <w:sz w:val="20"/>
                <w:szCs w:val="20"/>
                <w:color w:val="auto"/>
              </w:rPr>
            </w:pPr>
            <w:r>
              <w:rPr>
                <w:rFonts w:ascii="Courier New" w:cs="Courier New" w:eastAsia="Courier New" w:hAnsi="Courier New"/>
                <w:sz w:val="18"/>
                <w:szCs w:val="18"/>
                <w:color w:val="auto"/>
              </w:rPr>
              <w:t>36,206</w:t>
            </w:r>
          </w:p>
        </w:tc>
        <w:tc>
          <w:tcPr>
            <w:tcW w:w="32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w:t>
            </w:r>
          </w:p>
        </w:tc>
        <w:tc>
          <w:tcPr>
            <w:tcW w:w="110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rPr>
              <w:t>20,300</w:t>
            </w:r>
          </w:p>
        </w:tc>
        <w:tc>
          <w:tcPr>
            <w:tcW w:w="0" w:type="dxa"/>
            <w:vAlign w:val="bottom"/>
          </w:tcPr>
          <w:p>
            <w:pPr>
              <w:spacing w:after="0"/>
              <w:rPr>
                <w:sz w:val="1"/>
                <w:szCs w:val="1"/>
                <w:color w:val="auto"/>
              </w:rPr>
            </w:pPr>
          </w:p>
        </w:tc>
      </w:tr>
      <w:tr>
        <w:trPr>
          <w:trHeight w:val="203"/>
        </w:trPr>
        <w:tc>
          <w:tcPr>
            <w:tcW w:w="644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Current portion of long-term debt. . . . . . . . . . . . . $</w:t>
            </w:r>
          </w:p>
        </w:tc>
        <w:tc>
          <w:tcPr>
            <w:tcW w:w="1200" w:type="dxa"/>
            <w:vAlign w:val="bottom"/>
            <w:vMerge w:val="continue"/>
          </w:tcPr>
          <w:p>
            <w:pPr>
              <w:spacing w:after="0"/>
              <w:rPr>
                <w:sz w:val="17"/>
                <w:szCs w:val="17"/>
                <w:color w:val="auto"/>
              </w:rPr>
            </w:pPr>
          </w:p>
        </w:tc>
        <w:tc>
          <w:tcPr>
            <w:tcW w:w="380" w:type="dxa"/>
            <w:vAlign w:val="bottom"/>
            <w:vMerge w:val="continue"/>
          </w:tcPr>
          <w:p>
            <w:pPr>
              <w:spacing w:after="0"/>
              <w:rPr>
                <w:sz w:val="17"/>
                <w:szCs w:val="17"/>
                <w:color w:val="auto"/>
              </w:rPr>
            </w:pPr>
          </w:p>
        </w:tc>
        <w:tc>
          <w:tcPr>
            <w:tcW w:w="1200" w:type="dxa"/>
            <w:vAlign w:val="bottom"/>
            <w:vMerge w:val="continue"/>
          </w:tcPr>
          <w:p>
            <w:pPr>
              <w:spacing w:after="0"/>
              <w:rPr>
                <w:sz w:val="17"/>
                <w:szCs w:val="17"/>
                <w:color w:val="auto"/>
              </w:rPr>
            </w:pPr>
          </w:p>
        </w:tc>
        <w:tc>
          <w:tcPr>
            <w:tcW w:w="320" w:type="dxa"/>
            <w:vAlign w:val="bottom"/>
            <w:vMerge w:val="continue"/>
          </w:tcPr>
          <w:p>
            <w:pPr>
              <w:spacing w:after="0"/>
              <w:rPr>
                <w:sz w:val="17"/>
                <w:szCs w:val="17"/>
                <w:color w:val="auto"/>
              </w:rPr>
            </w:pPr>
          </w:p>
        </w:tc>
        <w:tc>
          <w:tcPr>
            <w:tcW w:w="11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440" w:type="dxa"/>
            <w:vAlign w:val="bottom"/>
          </w:tcPr>
          <w:p>
            <w:pPr>
              <w:spacing w:after="0" w:line="203" w:lineRule="exact"/>
              <w:rPr>
                <w:sz w:val="20"/>
                <w:szCs w:val="20"/>
                <w:color w:val="auto"/>
              </w:rPr>
            </w:pPr>
            <w:r>
              <w:rPr>
                <w:rFonts w:ascii="Courier New" w:cs="Courier New" w:eastAsia="Courier New" w:hAnsi="Courier New"/>
                <w:sz w:val="18"/>
                <w:szCs w:val="18"/>
                <w:color w:val="auto"/>
              </w:rPr>
              <w:t>Accounts payable . . . . . . . . . . . . . . . . . . . . .</w:t>
            </w:r>
          </w:p>
        </w:tc>
        <w:tc>
          <w:tcPr>
            <w:tcW w:w="12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37,473</w:t>
            </w:r>
          </w:p>
        </w:tc>
        <w:tc>
          <w:tcPr>
            <w:tcW w:w="380" w:type="dxa"/>
            <w:vAlign w:val="bottom"/>
          </w:tcPr>
          <w:p>
            <w:pPr>
              <w:spacing w:after="0"/>
              <w:rPr>
                <w:sz w:val="17"/>
                <w:szCs w:val="17"/>
                <w:color w:val="auto"/>
              </w:rPr>
            </w:pPr>
          </w:p>
        </w:tc>
        <w:tc>
          <w:tcPr>
            <w:tcW w:w="12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32,746</w:t>
            </w:r>
          </w:p>
        </w:tc>
        <w:tc>
          <w:tcPr>
            <w:tcW w:w="320" w:type="dxa"/>
            <w:vAlign w:val="bottom"/>
          </w:tcPr>
          <w:p>
            <w:pPr>
              <w:spacing w:after="0"/>
              <w:rPr>
                <w:sz w:val="17"/>
                <w:szCs w:val="17"/>
                <w:color w:val="auto"/>
              </w:rPr>
            </w:pP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37,035</w:t>
            </w:r>
          </w:p>
        </w:tc>
        <w:tc>
          <w:tcPr>
            <w:tcW w:w="0" w:type="dxa"/>
            <w:vAlign w:val="bottom"/>
          </w:tcPr>
          <w:p>
            <w:pPr>
              <w:spacing w:after="0"/>
              <w:rPr>
                <w:sz w:val="1"/>
                <w:szCs w:val="1"/>
                <w:color w:val="auto"/>
              </w:rPr>
            </w:pPr>
          </w:p>
        </w:tc>
      </w:tr>
      <w:tr>
        <w:trPr>
          <w:trHeight w:val="203"/>
        </w:trPr>
        <w:tc>
          <w:tcPr>
            <w:tcW w:w="6440" w:type="dxa"/>
            <w:vAlign w:val="bottom"/>
          </w:tcPr>
          <w:p>
            <w:pPr>
              <w:spacing w:after="0" w:line="203" w:lineRule="exact"/>
              <w:rPr>
                <w:sz w:val="20"/>
                <w:szCs w:val="20"/>
                <w:color w:val="auto"/>
              </w:rPr>
            </w:pPr>
            <w:r>
              <w:rPr>
                <w:rFonts w:ascii="Courier New" w:cs="Courier New" w:eastAsia="Courier New" w:hAnsi="Courier New"/>
                <w:sz w:val="18"/>
                <w:szCs w:val="18"/>
                <w:color w:val="auto"/>
              </w:rPr>
              <w:t>Other accrued liabilities. . . . . . . . . . . . . . . . .</w:t>
            </w:r>
          </w:p>
        </w:tc>
        <w:tc>
          <w:tcPr>
            <w:tcW w:w="12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138,659</w:t>
            </w:r>
          </w:p>
        </w:tc>
        <w:tc>
          <w:tcPr>
            <w:tcW w:w="380" w:type="dxa"/>
            <w:vAlign w:val="bottom"/>
          </w:tcPr>
          <w:p>
            <w:pPr>
              <w:spacing w:after="0"/>
              <w:rPr>
                <w:sz w:val="17"/>
                <w:szCs w:val="17"/>
                <w:color w:val="auto"/>
              </w:rPr>
            </w:pPr>
          </w:p>
        </w:tc>
        <w:tc>
          <w:tcPr>
            <w:tcW w:w="12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100,269</w:t>
            </w:r>
          </w:p>
        </w:tc>
        <w:tc>
          <w:tcPr>
            <w:tcW w:w="320" w:type="dxa"/>
            <w:vAlign w:val="bottom"/>
          </w:tcPr>
          <w:p>
            <w:pPr>
              <w:spacing w:after="0"/>
              <w:rPr>
                <w:sz w:val="17"/>
                <w:szCs w:val="17"/>
                <w:color w:val="auto"/>
              </w:rPr>
            </w:pP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131,377</w:t>
            </w:r>
          </w:p>
        </w:tc>
        <w:tc>
          <w:tcPr>
            <w:tcW w:w="0" w:type="dxa"/>
            <w:vAlign w:val="bottom"/>
          </w:tcPr>
          <w:p>
            <w:pPr>
              <w:spacing w:after="0"/>
              <w:rPr>
                <w:sz w:val="1"/>
                <w:szCs w:val="1"/>
                <w:color w:val="auto"/>
              </w:rPr>
            </w:pPr>
          </w:p>
        </w:tc>
      </w:tr>
      <w:tr>
        <w:trPr>
          <w:trHeight w:val="203"/>
        </w:trPr>
        <w:tc>
          <w:tcPr>
            <w:tcW w:w="764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644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Total current liabilities. . . . . . . . . . . . . .</w:t>
            </w:r>
          </w:p>
        </w:tc>
        <w:tc>
          <w:tcPr>
            <w:tcW w:w="12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197,187</w:t>
            </w:r>
          </w:p>
        </w:tc>
        <w:tc>
          <w:tcPr>
            <w:tcW w:w="380" w:type="dxa"/>
            <w:vAlign w:val="bottom"/>
          </w:tcPr>
          <w:p>
            <w:pPr>
              <w:spacing w:after="0"/>
              <w:rPr>
                <w:sz w:val="17"/>
                <w:szCs w:val="17"/>
                <w:color w:val="auto"/>
              </w:rPr>
            </w:pPr>
          </w:p>
        </w:tc>
        <w:tc>
          <w:tcPr>
            <w:tcW w:w="12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169,221</w:t>
            </w:r>
          </w:p>
        </w:tc>
        <w:tc>
          <w:tcPr>
            <w:tcW w:w="320" w:type="dxa"/>
            <w:vAlign w:val="bottom"/>
          </w:tcPr>
          <w:p>
            <w:pPr>
              <w:spacing w:after="0"/>
              <w:rPr>
                <w:sz w:val="17"/>
                <w:szCs w:val="17"/>
                <w:color w:val="auto"/>
              </w:rPr>
            </w:pP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188,712</w:t>
            </w:r>
          </w:p>
        </w:tc>
        <w:tc>
          <w:tcPr>
            <w:tcW w:w="0" w:type="dxa"/>
            <w:vAlign w:val="bottom"/>
          </w:tcPr>
          <w:p>
            <w:pPr>
              <w:spacing w:after="0"/>
              <w:rPr>
                <w:sz w:val="1"/>
                <w:szCs w:val="1"/>
                <w:color w:val="auto"/>
              </w:rPr>
            </w:pPr>
          </w:p>
        </w:tc>
      </w:tr>
      <w:tr>
        <w:trPr>
          <w:trHeight w:val="203"/>
        </w:trPr>
        <w:tc>
          <w:tcPr>
            <w:tcW w:w="764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6440" w:type="dxa"/>
            <w:vAlign w:val="bottom"/>
          </w:tcPr>
          <w:p>
            <w:pPr>
              <w:spacing w:after="0" w:line="203" w:lineRule="exact"/>
              <w:rPr>
                <w:sz w:val="20"/>
                <w:szCs w:val="20"/>
                <w:color w:val="auto"/>
              </w:rPr>
            </w:pPr>
            <w:r>
              <w:rPr>
                <w:rFonts w:ascii="Courier New" w:cs="Courier New" w:eastAsia="Courier New" w:hAnsi="Courier New"/>
                <w:sz w:val="18"/>
                <w:szCs w:val="18"/>
                <w:color w:val="auto"/>
              </w:rPr>
              <w:t>Deferred income taxes. . . . . . . . . . . . . . . . . . .</w:t>
            </w:r>
          </w:p>
        </w:tc>
        <w:tc>
          <w:tcPr>
            <w:tcW w:w="12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380" w:type="dxa"/>
            <w:vAlign w:val="bottom"/>
          </w:tcPr>
          <w:p>
            <w:pPr>
              <w:spacing w:after="0"/>
              <w:rPr>
                <w:sz w:val="17"/>
                <w:szCs w:val="17"/>
                <w:color w:val="auto"/>
              </w:rPr>
            </w:pPr>
          </w:p>
        </w:tc>
        <w:tc>
          <w:tcPr>
            <w:tcW w:w="12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1,372</w:t>
            </w:r>
          </w:p>
        </w:tc>
        <w:tc>
          <w:tcPr>
            <w:tcW w:w="320" w:type="dxa"/>
            <w:vAlign w:val="bottom"/>
          </w:tcPr>
          <w:p>
            <w:pPr>
              <w:spacing w:after="0"/>
              <w:rPr>
                <w:sz w:val="17"/>
                <w:szCs w:val="17"/>
                <w:color w:val="auto"/>
              </w:rPr>
            </w:pP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6440" w:type="dxa"/>
            <w:vAlign w:val="bottom"/>
          </w:tcPr>
          <w:p>
            <w:pPr>
              <w:spacing w:after="0" w:line="203" w:lineRule="exact"/>
              <w:rPr>
                <w:sz w:val="20"/>
                <w:szCs w:val="20"/>
                <w:color w:val="auto"/>
              </w:rPr>
            </w:pPr>
            <w:r>
              <w:rPr>
                <w:rFonts w:ascii="Courier New" w:cs="Courier New" w:eastAsia="Courier New" w:hAnsi="Courier New"/>
                <w:sz w:val="18"/>
                <w:szCs w:val="18"/>
                <w:color w:val="auto"/>
              </w:rPr>
              <w:t>Long-term debt, less current portion . . . . . . . . . . .</w:t>
            </w:r>
          </w:p>
        </w:tc>
        <w:tc>
          <w:tcPr>
            <w:tcW w:w="12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70,399</w:t>
            </w:r>
          </w:p>
        </w:tc>
        <w:tc>
          <w:tcPr>
            <w:tcW w:w="380" w:type="dxa"/>
            <w:vAlign w:val="bottom"/>
          </w:tcPr>
          <w:p>
            <w:pPr>
              <w:spacing w:after="0"/>
              <w:rPr>
                <w:sz w:val="17"/>
                <w:szCs w:val="17"/>
                <w:color w:val="auto"/>
              </w:rPr>
            </w:pPr>
          </w:p>
        </w:tc>
        <w:tc>
          <w:tcPr>
            <w:tcW w:w="12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87,325</w:t>
            </w:r>
          </w:p>
        </w:tc>
        <w:tc>
          <w:tcPr>
            <w:tcW w:w="320" w:type="dxa"/>
            <w:vAlign w:val="bottom"/>
          </w:tcPr>
          <w:p>
            <w:pPr>
              <w:spacing w:after="0"/>
              <w:rPr>
                <w:sz w:val="17"/>
                <w:szCs w:val="17"/>
                <w:color w:val="auto"/>
              </w:rPr>
            </w:pP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81,025</w:t>
            </w:r>
          </w:p>
        </w:tc>
        <w:tc>
          <w:tcPr>
            <w:tcW w:w="0" w:type="dxa"/>
            <w:vAlign w:val="bottom"/>
          </w:tcPr>
          <w:p>
            <w:pPr>
              <w:spacing w:after="0"/>
              <w:rPr>
                <w:sz w:val="1"/>
                <w:szCs w:val="1"/>
                <w:color w:val="auto"/>
              </w:rPr>
            </w:pPr>
          </w:p>
        </w:tc>
      </w:tr>
      <w:tr>
        <w:trPr>
          <w:trHeight w:val="296"/>
        </w:trPr>
        <w:tc>
          <w:tcPr>
            <w:tcW w:w="6440" w:type="dxa"/>
            <w:vAlign w:val="bottom"/>
          </w:tcPr>
          <w:p>
            <w:pPr>
              <w:spacing w:after="0"/>
              <w:rPr>
                <w:sz w:val="20"/>
                <w:szCs w:val="20"/>
                <w:color w:val="auto"/>
              </w:rPr>
            </w:pPr>
            <w:r>
              <w:rPr>
                <w:rFonts w:ascii="Courier New" w:cs="Courier New" w:eastAsia="Courier New" w:hAnsi="Courier New"/>
                <w:sz w:val="18"/>
                <w:szCs w:val="18"/>
                <w:color w:val="auto"/>
              </w:rPr>
              <w:t>Deferred income. . . . . . . . . . . . . . . . . . . . . .</w:t>
            </w:r>
          </w:p>
        </w:tc>
        <w:tc>
          <w:tcPr>
            <w:tcW w:w="120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5,250</w:t>
            </w:r>
          </w:p>
        </w:tc>
        <w:tc>
          <w:tcPr>
            <w:tcW w:w="380" w:type="dxa"/>
            <w:vAlign w:val="bottom"/>
          </w:tcPr>
          <w:p>
            <w:pPr>
              <w:spacing w:after="0"/>
              <w:rPr>
                <w:sz w:val="24"/>
                <w:szCs w:val="24"/>
                <w:color w:val="auto"/>
              </w:rPr>
            </w:pPr>
          </w:p>
        </w:tc>
        <w:tc>
          <w:tcPr>
            <w:tcW w:w="120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w:t>
            </w:r>
          </w:p>
        </w:tc>
        <w:tc>
          <w:tcPr>
            <w:tcW w:w="320" w:type="dxa"/>
            <w:vAlign w:val="bottom"/>
          </w:tcPr>
          <w:p>
            <w:pPr>
              <w:spacing w:after="0"/>
              <w:rPr>
                <w:sz w:val="24"/>
                <w:szCs w:val="24"/>
                <w:color w:val="auto"/>
              </w:rPr>
            </w:pPr>
          </w:p>
        </w:tc>
        <w:tc>
          <w:tcPr>
            <w:tcW w:w="1100" w:type="dxa"/>
            <w:vAlign w:val="bottom"/>
          </w:tcPr>
          <w:p>
            <w:pPr>
              <w:jc w:val="right"/>
              <w:ind w:right="12"/>
              <w:spacing w:after="0"/>
              <w:rPr>
                <w:sz w:val="20"/>
                <w:szCs w:val="20"/>
                <w:color w:val="auto"/>
              </w:rPr>
            </w:pPr>
            <w:r>
              <w:rPr>
                <w:rFonts w:ascii="Courier New" w:cs="Courier New" w:eastAsia="Courier New" w:hAnsi="Courier New"/>
                <w:sz w:val="18"/>
                <w:szCs w:val="18"/>
                <w:color w:val="auto"/>
              </w:rPr>
              <w:t>5,250</w:t>
            </w:r>
          </w:p>
        </w:tc>
        <w:tc>
          <w:tcPr>
            <w:tcW w:w="0" w:type="dxa"/>
            <w:vAlign w:val="bottom"/>
          </w:tcPr>
          <w:p>
            <w:pPr>
              <w:spacing w:after="0"/>
              <w:rPr>
                <w:sz w:val="1"/>
                <w:szCs w:val="1"/>
                <w:color w:val="auto"/>
              </w:rPr>
            </w:pPr>
          </w:p>
        </w:tc>
      </w:tr>
      <w:tr>
        <w:trPr>
          <w:trHeight w:val="311"/>
        </w:trPr>
        <w:tc>
          <w:tcPr>
            <w:tcW w:w="6440" w:type="dxa"/>
            <w:vAlign w:val="bottom"/>
          </w:tcPr>
          <w:p>
            <w:pPr>
              <w:spacing w:after="0"/>
              <w:rPr>
                <w:sz w:val="20"/>
                <w:szCs w:val="20"/>
                <w:color w:val="auto"/>
              </w:rPr>
            </w:pPr>
            <w:r>
              <w:rPr>
                <w:rFonts w:ascii="Courier New" w:cs="Courier New" w:eastAsia="Courier New" w:hAnsi="Courier New"/>
                <w:sz w:val="18"/>
                <w:szCs w:val="18"/>
                <w:color w:val="auto"/>
              </w:rPr>
              <w:t>Common stockholders' equity:</w:t>
            </w:r>
          </w:p>
        </w:tc>
        <w:tc>
          <w:tcPr>
            <w:tcW w:w="1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64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Common stock par value $1.00,</w:t>
            </w:r>
          </w:p>
        </w:tc>
        <w:tc>
          <w:tcPr>
            <w:tcW w:w="1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44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authorized 35,000,000 shares; issued and</w:t>
            </w:r>
          </w:p>
        </w:tc>
        <w:tc>
          <w:tcPr>
            <w:tcW w:w="1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44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outstanding 12,720,343 shares at October</w:t>
            </w:r>
          </w:p>
        </w:tc>
        <w:tc>
          <w:tcPr>
            <w:tcW w:w="1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44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28, 1994 (net of 2,975 treasury shares),</w:t>
            </w:r>
          </w:p>
        </w:tc>
        <w:tc>
          <w:tcPr>
            <w:tcW w:w="1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44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12,370,452 shares at October 29,</w:t>
            </w:r>
          </w:p>
        </w:tc>
        <w:tc>
          <w:tcPr>
            <w:tcW w:w="1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44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1993 (net of 207,421 treasury shares),</w:t>
            </w:r>
          </w:p>
        </w:tc>
        <w:tc>
          <w:tcPr>
            <w:tcW w:w="1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44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and 12,561,204 shares at July 31, 1994</w:t>
            </w:r>
          </w:p>
        </w:tc>
        <w:tc>
          <w:tcPr>
            <w:tcW w:w="1200" w:type="dxa"/>
            <w:vAlign w:val="bottom"/>
            <w:vMerge w:val="restart"/>
          </w:tcPr>
          <w:p>
            <w:pPr>
              <w:jc w:val="right"/>
              <w:ind w:right="172"/>
              <w:spacing w:after="0"/>
              <w:rPr>
                <w:sz w:val="20"/>
                <w:szCs w:val="20"/>
                <w:color w:val="auto"/>
              </w:rPr>
            </w:pPr>
            <w:r>
              <w:rPr>
                <w:rFonts w:ascii="Courier New" w:cs="Courier New" w:eastAsia="Courier New" w:hAnsi="Courier New"/>
                <w:sz w:val="18"/>
                <w:szCs w:val="18"/>
                <w:color w:val="auto"/>
              </w:rPr>
              <w:t>12,720</w:t>
            </w:r>
          </w:p>
        </w:tc>
        <w:tc>
          <w:tcPr>
            <w:tcW w:w="380" w:type="dxa"/>
            <w:vAlign w:val="bottom"/>
          </w:tcPr>
          <w:p>
            <w:pPr>
              <w:spacing w:after="0"/>
              <w:rPr>
                <w:sz w:val="17"/>
                <w:szCs w:val="17"/>
                <w:color w:val="auto"/>
              </w:rPr>
            </w:pPr>
          </w:p>
        </w:tc>
        <w:tc>
          <w:tcPr>
            <w:tcW w:w="1200" w:type="dxa"/>
            <w:vAlign w:val="bottom"/>
            <w:vMerge w:val="restart"/>
          </w:tcPr>
          <w:p>
            <w:pPr>
              <w:jc w:val="right"/>
              <w:ind w:right="172"/>
              <w:spacing w:after="0"/>
              <w:rPr>
                <w:sz w:val="20"/>
                <w:szCs w:val="20"/>
                <w:color w:val="auto"/>
              </w:rPr>
            </w:pPr>
            <w:r>
              <w:rPr>
                <w:rFonts w:ascii="Courier New" w:cs="Courier New" w:eastAsia="Courier New" w:hAnsi="Courier New"/>
                <w:sz w:val="18"/>
                <w:szCs w:val="18"/>
                <w:color w:val="auto"/>
              </w:rPr>
              <w:t>12,371</w:t>
            </w:r>
          </w:p>
        </w:tc>
        <w:tc>
          <w:tcPr>
            <w:tcW w:w="320" w:type="dxa"/>
            <w:vAlign w:val="bottom"/>
          </w:tcPr>
          <w:p>
            <w:pPr>
              <w:spacing w:after="0"/>
              <w:rPr>
                <w:sz w:val="17"/>
                <w:szCs w:val="17"/>
                <w:color w:val="auto"/>
              </w:rPr>
            </w:pPr>
          </w:p>
        </w:tc>
        <w:tc>
          <w:tcPr>
            <w:tcW w:w="110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rPr>
              <w:t>12,561</w:t>
            </w:r>
          </w:p>
        </w:tc>
        <w:tc>
          <w:tcPr>
            <w:tcW w:w="0" w:type="dxa"/>
            <w:vAlign w:val="bottom"/>
          </w:tcPr>
          <w:p>
            <w:pPr>
              <w:spacing w:after="0"/>
              <w:rPr>
                <w:sz w:val="1"/>
                <w:szCs w:val="1"/>
                <w:color w:val="auto"/>
              </w:rPr>
            </w:pPr>
          </w:p>
        </w:tc>
      </w:tr>
      <w:tr>
        <w:trPr>
          <w:trHeight w:val="203"/>
        </w:trPr>
        <w:tc>
          <w:tcPr>
            <w:tcW w:w="644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(net of 76,153 treasury shares). . . . . . . . . . .</w:t>
            </w:r>
          </w:p>
        </w:tc>
        <w:tc>
          <w:tcPr>
            <w:tcW w:w="1200" w:type="dxa"/>
            <w:vAlign w:val="bottom"/>
            <w:vMerge w:val="continue"/>
          </w:tcPr>
          <w:p>
            <w:pPr>
              <w:spacing w:after="0"/>
              <w:rPr>
                <w:sz w:val="17"/>
                <w:szCs w:val="17"/>
                <w:color w:val="auto"/>
              </w:rPr>
            </w:pPr>
          </w:p>
        </w:tc>
        <w:tc>
          <w:tcPr>
            <w:tcW w:w="380" w:type="dxa"/>
            <w:vAlign w:val="bottom"/>
          </w:tcPr>
          <w:p>
            <w:pPr>
              <w:spacing w:after="0"/>
              <w:rPr>
                <w:sz w:val="17"/>
                <w:szCs w:val="17"/>
                <w:color w:val="auto"/>
              </w:rPr>
            </w:pPr>
          </w:p>
        </w:tc>
        <w:tc>
          <w:tcPr>
            <w:tcW w:w="120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4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Additional paid-in capital. . . . . . . . . . . . . . .</w:t>
            </w:r>
          </w:p>
        </w:tc>
        <w:tc>
          <w:tcPr>
            <w:tcW w:w="12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52,374</w:t>
            </w:r>
          </w:p>
        </w:tc>
        <w:tc>
          <w:tcPr>
            <w:tcW w:w="380" w:type="dxa"/>
            <w:vAlign w:val="bottom"/>
          </w:tcPr>
          <w:p>
            <w:pPr>
              <w:spacing w:after="0"/>
              <w:rPr>
                <w:sz w:val="17"/>
                <w:szCs w:val="17"/>
                <w:color w:val="auto"/>
              </w:rPr>
            </w:pPr>
          </w:p>
        </w:tc>
        <w:tc>
          <w:tcPr>
            <w:tcW w:w="12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46,066</w:t>
            </w:r>
          </w:p>
        </w:tc>
        <w:tc>
          <w:tcPr>
            <w:tcW w:w="320" w:type="dxa"/>
            <w:vAlign w:val="bottom"/>
          </w:tcPr>
          <w:p>
            <w:pPr>
              <w:spacing w:after="0"/>
              <w:rPr>
                <w:sz w:val="17"/>
                <w:szCs w:val="17"/>
                <w:color w:val="auto"/>
              </w:rPr>
            </w:pP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49,420</w:t>
            </w:r>
          </w:p>
        </w:tc>
        <w:tc>
          <w:tcPr>
            <w:tcW w:w="0" w:type="dxa"/>
            <w:vAlign w:val="bottom"/>
          </w:tcPr>
          <w:p>
            <w:pPr>
              <w:spacing w:after="0"/>
              <w:rPr>
                <w:sz w:val="1"/>
                <w:szCs w:val="1"/>
                <w:color w:val="auto"/>
              </w:rPr>
            </w:pPr>
          </w:p>
        </w:tc>
      </w:tr>
      <w:tr>
        <w:trPr>
          <w:trHeight w:val="203"/>
        </w:trPr>
        <w:tc>
          <w:tcPr>
            <w:tcW w:w="64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Retained earnings . . . . . . . . . . . . . . . . . . .</w:t>
            </w:r>
          </w:p>
        </w:tc>
        <w:tc>
          <w:tcPr>
            <w:tcW w:w="12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116,482</w:t>
            </w:r>
          </w:p>
        </w:tc>
        <w:tc>
          <w:tcPr>
            <w:tcW w:w="380" w:type="dxa"/>
            <w:vAlign w:val="bottom"/>
          </w:tcPr>
          <w:p>
            <w:pPr>
              <w:spacing w:after="0"/>
              <w:rPr>
                <w:sz w:val="17"/>
                <w:szCs w:val="17"/>
                <w:color w:val="auto"/>
              </w:rPr>
            </w:pPr>
          </w:p>
        </w:tc>
        <w:tc>
          <w:tcPr>
            <w:tcW w:w="12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90,078</w:t>
            </w:r>
          </w:p>
        </w:tc>
        <w:tc>
          <w:tcPr>
            <w:tcW w:w="320" w:type="dxa"/>
            <w:vAlign w:val="bottom"/>
          </w:tcPr>
          <w:p>
            <w:pPr>
              <w:spacing w:after="0"/>
              <w:rPr>
                <w:sz w:val="17"/>
                <w:szCs w:val="17"/>
                <w:color w:val="auto"/>
              </w:rPr>
            </w:pP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109,688</w:t>
            </w:r>
          </w:p>
        </w:tc>
        <w:tc>
          <w:tcPr>
            <w:tcW w:w="0" w:type="dxa"/>
            <w:vAlign w:val="bottom"/>
          </w:tcPr>
          <w:p>
            <w:pPr>
              <w:spacing w:after="0"/>
              <w:rPr>
                <w:sz w:val="1"/>
                <w:szCs w:val="1"/>
                <w:color w:val="auto"/>
              </w:rPr>
            </w:pPr>
          </w:p>
        </w:tc>
      </w:tr>
      <w:tr>
        <w:trPr>
          <w:trHeight w:val="203"/>
        </w:trPr>
        <w:tc>
          <w:tcPr>
            <w:tcW w:w="64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Foreign currency translation adjustment . . . . . . . .</w:t>
            </w:r>
          </w:p>
        </w:tc>
        <w:tc>
          <w:tcPr>
            <w:tcW w:w="12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(235)</w:t>
            </w:r>
          </w:p>
        </w:tc>
        <w:tc>
          <w:tcPr>
            <w:tcW w:w="380" w:type="dxa"/>
            <w:vAlign w:val="bottom"/>
          </w:tcPr>
          <w:p>
            <w:pPr>
              <w:spacing w:after="0"/>
              <w:rPr>
                <w:sz w:val="17"/>
                <w:szCs w:val="17"/>
                <w:color w:val="auto"/>
              </w:rPr>
            </w:pPr>
          </w:p>
        </w:tc>
        <w:tc>
          <w:tcPr>
            <w:tcW w:w="12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(1,386)</w:t>
            </w:r>
          </w:p>
        </w:tc>
        <w:tc>
          <w:tcPr>
            <w:tcW w:w="320" w:type="dxa"/>
            <w:vAlign w:val="bottom"/>
          </w:tcPr>
          <w:p>
            <w:pPr>
              <w:spacing w:after="0"/>
              <w:rPr>
                <w:sz w:val="17"/>
                <w:szCs w:val="17"/>
                <w:color w:val="auto"/>
              </w:rPr>
            </w:pP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(405)</w:t>
            </w:r>
          </w:p>
        </w:tc>
        <w:tc>
          <w:tcPr>
            <w:tcW w:w="0" w:type="dxa"/>
            <w:vAlign w:val="bottom"/>
          </w:tcPr>
          <w:p>
            <w:pPr>
              <w:spacing w:after="0"/>
              <w:rPr>
                <w:sz w:val="1"/>
                <w:szCs w:val="1"/>
                <w:color w:val="auto"/>
              </w:rPr>
            </w:pPr>
          </w:p>
        </w:tc>
      </w:tr>
      <w:tr>
        <w:trPr>
          <w:trHeight w:val="203"/>
        </w:trPr>
        <w:tc>
          <w:tcPr>
            <w:tcW w:w="764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6440" w:type="dxa"/>
            <w:vAlign w:val="bottom"/>
            <w:vMerge w:val="restart"/>
          </w:tcPr>
          <w:p>
            <w:pPr>
              <w:ind w:left="320"/>
              <w:spacing w:after="0"/>
              <w:rPr>
                <w:sz w:val="20"/>
                <w:szCs w:val="20"/>
                <w:color w:val="auto"/>
              </w:rPr>
            </w:pPr>
            <w:r>
              <w:rPr>
                <w:rFonts w:ascii="Courier New" w:cs="Courier New" w:eastAsia="Courier New" w:hAnsi="Courier New"/>
                <w:sz w:val="18"/>
                <w:szCs w:val="18"/>
                <w:color w:val="auto"/>
              </w:rPr>
              <w:t>Receivable from ESOP. . . . . . . . . . . . . . . . . .</w:t>
            </w:r>
          </w:p>
        </w:tc>
        <w:tc>
          <w:tcPr>
            <w:tcW w:w="12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181,341</w:t>
            </w:r>
          </w:p>
        </w:tc>
        <w:tc>
          <w:tcPr>
            <w:tcW w:w="380" w:type="dxa"/>
            <w:vAlign w:val="bottom"/>
          </w:tcPr>
          <w:p>
            <w:pPr>
              <w:spacing w:after="0"/>
              <w:rPr>
                <w:sz w:val="17"/>
                <w:szCs w:val="17"/>
                <w:color w:val="auto"/>
              </w:rPr>
            </w:pPr>
          </w:p>
        </w:tc>
        <w:tc>
          <w:tcPr>
            <w:tcW w:w="12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147,129</w:t>
            </w:r>
          </w:p>
        </w:tc>
        <w:tc>
          <w:tcPr>
            <w:tcW w:w="320" w:type="dxa"/>
            <w:vAlign w:val="bottom"/>
          </w:tcPr>
          <w:p>
            <w:pPr>
              <w:spacing w:after="0"/>
              <w:rPr>
                <w:sz w:val="17"/>
                <w:szCs w:val="17"/>
                <w:color w:val="auto"/>
              </w:rPr>
            </w:pP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171,264</w:t>
            </w:r>
          </w:p>
        </w:tc>
        <w:tc>
          <w:tcPr>
            <w:tcW w:w="0" w:type="dxa"/>
            <w:vAlign w:val="bottom"/>
          </w:tcPr>
          <w:p>
            <w:pPr>
              <w:spacing w:after="0"/>
              <w:rPr>
                <w:sz w:val="1"/>
                <w:szCs w:val="1"/>
                <w:color w:val="auto"/>
              </w:rPr>
            </w:pPr>
          </w:p>
        </w:tc>
      </w:tr>
      <w:tr>
        <w:trPr>
          <w:trHeight w:val="203"/>
        </w:trPr>
        <w:tc>
          <w:tcPr>
            <w:tcW w:w="6440" w:type="dxa"/>
            <w:vAlign w:val="bottom"/>
            <w:vMerge w:val="continue"/>
          </w:tcPr>
          <w:p>
            <w:pPr>
              <w:spacing w:after="0"/>
              <w:rPr>
                <w:sz w:val="17"/>
                <w:szCs w:val="17"/>
                <w:color w:val="auto"/>
              </w:rPr>
            </w:pPr>
          </w:p>
        </w:tc>
        <w:tc>
          <w:tcPr>
            <w:tcW w:w="12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(2,612)</w:t>
            </w:r>
          </w:p>
        </w:tc>
        <w:tc>
          <w:tcPr>
            <w:tcW w:w="380" w:type="dxa"/>
            <w:vAlign w:val="bottom"/>
          </w:tcPr>
          <w:p>
            <w:pPr>
              <w:spacing w:after="0"/>
              <w:rPr>
                <w:sz w:val="17"/>
                <w:szCs w:val="17"/>
                <w:color w:val="auto"/>
              </w:rPr>
            </w:pPr>
          </w:p>
        </w:tc>
        <w:tc>
          <w:tcPr>
            <w:tcW w:w="12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(5,223)</w:t>
            </w:r>
          </w:p>
        </w:tc>
        <w:tc>
          <w:tcPr>
            <w:tcW w:w="320" w:type="dxa"/>
            <w:vAlign w:val="bottom"/>
          </w:tcPr>
          <w:p>
            <w:pPr>
              <w:spacing w:after="0"/>
              <w:rPr>
                <w:sz w:val="17"/>
                <w:szCs w:val="17"/>
                <w:color w:val="auto"/>
              </w:rPr>
            </w:pP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(2,612)</w:t>
            </w:r>
          </w:p>
        </w:tc>
        <w:tc>
          <w:tcPr>
            <w:tcW w:w="0" w:type="dxa"/>
            <w:vAlign w:val="bottom"/>
          </w:tcPr>
          <w:p>
            <w:pPr>
              <w:spacing w:after="0"/>
              <w:rPr>
                <w:sz w:val="1"/>
                <w:szCs w:val="1"/>
                <w:color w:val="auto"/>
              </w:rPr>
            </w:pPr>
          </w:p>
        </w:tc>
      </w:tr>
      <w:tr>
        <w:trPr>
          <w:trHeight w:val="203"/>
        </w:trPr>
        <w:tc>
          <w:tcPr>
            <w:tcW w:w="764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64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Total common stockholders' equity . . . . . . . . . . .</w:t>
            </w:r>
          </w:p>
        </w:tc>
        <w:tc>
          <w:tcPr>
            <w:tcW w:w="12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178,729</w:t>
            </w:r>
          </w:p>
        </w:tc>
        <w:tc>
          <w:tcPr>
            <w:tcW w:w="380" w:type="dxa"/>
            <w:vAlign w:val="bottom"/>
          </w:tcPr>
          <w:p>
            <w:pPr>
              <w:spacing w:after="0"/>
              <w:rPr>
                <w:sz w:val="17"/>
                <w:szCs w:val="17"/>
                <w:color w:val="auto"/>
              </w:rPr>
            </w:pPr>
          </w:p>
        </w:tc>
        <w:tc>
          <w:tcPr>
            <w:tcW w:w="12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141,906</w:t>
            </w:r>
          </w:p>
        </w:tc>
        <w:tc>
          <w:tcPr>
            <w:tcW w:w="320" w:type="dxa"/>
            <w:vAlign w:val="bottom"/>
          </w:tcPr>
          <w:p>
            <w:pPr>
              <w:spacing w:after="0"/>
              <w:rPr>
                <w:sz w:val="17"/>
                <w:szCs w:val="17"/>
                <w:color w:val="auto"/>
              </w:rPr>
            </w:pP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168,652</w:t>
            </w:r>
          </w:p>
        </w:tc>
        <w:tc>
          <w:tcPr>
            <w:tcW w:w="0" w:type="dxa"/>
            <w:vAlign w:val="bottom"/>
          </w:tcPr>
          <w:p>
            <w:pPr>
              <w:spacing w:after="0"/>
              <w:rPr>
                <w:sz w:val="1"/>
                <w:szCs w:val="1"/>
                <w:color w:val="auto"/>
              </w:rPr>
            </w:pPr>
          </w:p>
        </w:tc>
      </w:tr>
      <w:tr>
        <w:trPr>
          <w:trHeight w:val="203"/>
        </w:trPr>
        <w:tc>
          <w:tcPr>
            <w:tcW w:w="764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644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w w:val="99"/>
              </w:rPr>
              <w:t>Total liabilities and common stockholders' equity. . $</w:t>
            </w:r>
          </w:p>
        </w:tc>
        <w:tc>
          <w:tcPr>
            <w:tcW w:w="12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451,565</w:t>
            </w:r>
          </w:p>
        </w:tc>
        <w:tc>
          <w:tcPr>
            <w:tcW w:w="3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w:t>
            </w:r>
          </w:p>
        </w:tc>
        <w:tc>
          <w:tcPr>
            <w:tcW w:w="12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399,824</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443,639</w:t>
            </w:r>
          </w:p>
        </w:tc>
        <w:tc>
          <w:tcPr>
            <w:tcW w:w="0" w:type="dxa"/>
            <w:vAlign w:val="bottom"/>
          </w:tcPr>
          <w:p>
            <w:pPr>
              <w:spacing w:after="0"/>
              <w:rPr>
                <w:sz w:val="1"/>
                <w:szCs w:val="1"/>
                <w:color w:val="auto"/>
              </w:rPr>
            </w:pPr>
          </w:p>
        </w:tc>
      </w:tr>
      <w:tr>
        <w:trPr>
          <w:trHeight w:val="203"/>
        </w:trPr>
        <w:tc>
          <w:tcPr>
            <w:tcW w:w="764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96"/>
        </w:trPr>
        <w:tc>
          <w:tcPr>
            <w:tcW w:w="7640" w:type="dxa"/>
            <w:vAlign w:val="bottom"/>
            <w:gridSpan w:val="2"/>
          </w:tcPr>
          <w:p>
            <w:pPr>
              <w:jc w:val="right"/>
              <w:ind w:right="172"/>
              <w:spacing w:after="0"/>
              <w:rPr>
                <w:sz w:val="20"/>
                <w:szCs w:val="20"/>
                <w:color w:val="auto"/>
              </w:rPr>
            </w:pPr>
            <w:r>
              <w:rPr>
                <w:rFonts w:ascii="Courier New" w:cs="Courier New" w:eastAsia="Courier New" w:hAnsi="Courier New"/>
                <w:sz w:val="18"/>
                <w:szCs w:val="18"/>
                <w:color w:val="auto"/>
              </w:rPr>
              <w:t>-----------</w:t>
            </w:r>
          </w:p>
        </w:tc>
        <w:tc>
          <w:tcPr>
            <w:tcW w:w="1580" w:type="dxa"/>
            <w:vAlign w:val="bottom"/>
            <w:gridSpan w:val="2"/>
          </w:tcPr>
          <w:p>
            <w:pPr>
              <w:jc w:val="right"/>
              <w:ind w:right="172"/>
              <w:spacing w:after="0"/>
              <w:rPr>
                <w:sz w:val="20"/>
                <w:szCs w:val="20"/>
                <w:color w:val="auto"/>
              </w:rPr>
            </w:pPr>
            <w:r>
              <w:rPr>
                <w:rFonts w:ascii="Courier New" w:cs="Courier New" w:eastAsia="Courier New" w:hAnsi="Courier New"/>
                <w:sz w:val="18"/>
                <w:szCs w:val="18"/>
                <w:color w:val="auto"/>
              </w:rPr>
              <w:t>-----------</w:t>
            </w:r>
          </w:p>
        </w:tc>
        <w:tc>
          <w:tcPr>
            <w:tcW w:w="1420" w:type="dxa"/>
            <w:vAlign w:val="bottom"/>
            <w:gridSpan w:val="2"/>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accompanying notes to condensed consolidated financial statements.</w:t>
      </w:r>
    </w:p>
    <w:p>
      <w:pPr>
        <w:spacing w:after="0" w:line="200" w:lineRule="exact"/>
        <w:rPr>
          <w:sz w:val="20"/>
          <w:szCs w:val="20"/>
          <w:color w:val="auto"/>
        </w:rPr>
      </w:pP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-4-</w:t>
      </w:r>
    </w:p>
    <w:p>
      <w:pPr>
        <w:sectPr>
          <w:pgSz w:w="11900" w:h="16838" w:orient="portrait"/>
          <w:cols w:equalWidth="0" w:num="1">
            <w:col w:w="10640"/>
          </w:cols>
          <w:pgMar w:left="240" w:top="691" w:right="1019" w:bottom="1440" w:gutter="0" w:footer="0" w:header="0"/>
        </w:sectPr>
      </w:pPr>
    </w:p>
    <w:bookmarkStart w:id="4" w:name="page5"/>
    <w:bookmarkEnd w:id="4"/>
    <w:p>
      <w:pPr>
        <w:jc w:val="center"/>
        <w:ind w:right="1659"/>
        <w:spacing w:after="0" w:line="292" w:lineRule="auto"/>
        <w:rPr>
          <w:sz w:val="20"/>
          <w:szCs w:val="20"/>
          <w:color w:val="auto"/>
        </w:rPr>
      </w:pPr>
      <w:r>
        <w:rPr>
          <w:rFonts w:ascii="Courier New" w:cs="Courier New" w:eastAsia="Courier New" w:hAnsi="Courier New"/>
          <w:sz w:val="18"/>
          <w:szCs w:val="18"/>
          <w:color w:val="auto"/>
        </w:rPr>
        <w:t>THE TORO COMPANY AND SUBSIDIARIES CONSOLIDATED STATEMENTS OF CASH FLOWS (UNAUDITED) (DOLLARS IN THOUSANDS)</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left="5880"/>
        <w:spacing w:after="0"/>
        <w:rPr>
          <w:sz w:val="20"/>
          <w:szCs w:val="20"/>
          <w:color w:val="auto"/>
        </w:rPr>
      </w:pPr>
      <w:r>
        <w:rPr>
          <w:rFonts w:ascii="Courier New" w:cs="Courier New" w:eastAsia="Courier New" w:hAnsi="Courier New"/>
          <w:sz w:val="18"/>
          <w:szCs w:val="18"/>
          <w:color w:val="auto"/>
        </w:rPr>
        <w:t>Three Months Ended</w:t>
      </w:r>
    </w:p>
    <w:p>
      <w:pPr>
        <w:spacing w:after="0" w:line="31" w:lineRule="exact"/>
        <w:rPr>
          <w:sz w:val="20"/>
          <w:szCs w:val="20"/>
          <w:color w:val="auto"/>
        </w:rPr>
      </w:pPr>
    </w:p>
    <w:p>
      <w:pPr>
        <w:ind w:left="7280"/>
        <w:spacing w:after="0"/>
        <w:rPr>
          <w:sz w:val="20"/>
          <w:szCs w:val="20"/>
          <w:color w:val="auto"/>
        </w:rPr>
      </w:pPr>
      <w:r>
        <w:rPr>
          <w:rFonts w:ascii="Courier New" w:cs="Courier New" w:eastAsia="Courier New" w:hAnsi="Courier New"/>
          <w:sz w:val="16"/>
          <w:szCs w:val="16"/>
          <w:color w:val="auto"/>
        </w:rPr>
        <w:t>--------------------------</w:t>
      </w:r>
    </w:p>
    <w:tbl>
      <w:tblPr>
        <w:tblLayout w:type="fixed"/>
        <w:tblInd w:w="0" w:type="dxa"/>
        <w:tblCellMar>
          <w:top w:w="0" w:type="dxa"/>
          <w:left w:w="0" w:type="dxa"/>
          <w:bottom w:w="0" w:type="dxa"/>
          <w:right w:w="0" w:type="dxa"/>
        </w:tblCellMar>
      </w:tblPr>
      <w:tr>
        <w:trPr>
          <w:trHeight w:val="192"/>
        </w:trPr>
        <w:tc>
          <w:tcPr>
            <w:tcW w:w="8640" w:type="dxa"/>
            <w:vAlign w:val="bottom"/>
            <w:gridSpan w:val="2"/>
          </w:tcPr>
          <w:p>
            <w:pPr>
              <w:jc w:val="right"/>
              <w:ind w:right="112"/>
              <w:spacing w:after="0" w:line="192" w:lineRule="exact"/>
              <w:rPr>
                <w:sz w:val="20"/>
                <w:szCs w:val="20"/>
                <w:color w:val="auto"/>
              </w:rPr>
            </w:pPr>
            <w:r>
              <w:rPr>
                <w:rFonts w:ascii="Courier New" w:cs="Courier New" w:eastAsia="Courier New" w:hAnsi="Courier New"/>
                <w:sz w:val="18"/>
                <w:szCs w:val="18"/>
                <w:color w:val="auto"/>
              </w:rPr>
              <w:t>October 28,</w:t>
            </w:r>
          </w:p>
        </w:tc>
        <w:tc>
          <w:tcPr>
            <w:tcW w:w="1380" w:type="dxa"/>
            <w:vAlign w:val="bottom"/>
            <w:gridSpan w:val="2"/>
          </w:tcPr>
          <w:p>
            <w:pPr>
              <w:jc w:val="right"/>
              <w:spacing w:after="0" w:line="192" w:lineRule="exact"/>
              <w:rPr>
                <w:sz w:val="20"/>
                <w:szCs w:val="20"/>
                <w:color w:val="auto"/>
              </w:rPr>
            </w:pPr>
            <w:r>
              <w:rPr>
                <w:rFonts w:ascii="Courier New" w:cs="Courier New" w:eastAsia="Courier New" w:hAnsi="Courier New"/>
                <w:sz w:val="18"/>
                <w:szCs w:val="18"/>
                <w:color w:val="auto"/>
              </w:rPr>
              <w:t>October 29,</w:t>
            </w:r>
          </w:p>
        </w:tc>
        <w:tc>
          <w:tcPr>
            <w:tcW w:w="0" w:type="dxa"/>
            <w:vAlign w:val="bottom"/>
          </w:tcPr>
          <w:p>
            <w:pPr>
              <w:spacing w:after="0"/>
              <w:rPr>
                <w:sz w:val="1"/>
                <w:szCs w:val="1"/>
                <w:color w:val="auto"/>
              </w:rPr>
            </w:pPr>
          </w:p>
        </w:tc>
      </w:tr>
      <w:tr>
        <w:trPr>
          <w:trHeight w:val="203"/>
        </w:trPr>
        <w:tc>
          <w:tcPr>
            <w:tcW w:w="7480" w:type="dxa"/>
            <w:vAlign w:val="bottom"/>
          </w:tcPr>
          <w:p>
            <w:pPr>
              <w:spacing w:after="0"/>
              <w:rPr>
                <w:sz w:val="17"/>
                <w:szCs w:val="17"/>
                <w:color w:val="auto"/>
              </w:rPr>
            </w:pPr>
          </w:p>
        </w:tc>
        <w:tc>
          <w:tcPr>
            <w:tcW w:w="116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1994</w:t>
            </w:r>
          </w:p>
        </w:tc>
        <w:tc>
          <w:tcPr>
            <w:tcW w:w="420" w:type="dxa"/>
            <w:vAlign w:val="bottom"/>
          </w:tcPr>
          <w:p>
            <w:pPr>
              <w:spacing w:after="0"/>
              <w:rPr>
                <w:sz w:val="17"/>
                <w:szCs w:val="17"/>
                <w:color w:val="auto"/>
              </w:rPr>
            </w:pPr>
          </w:p>
        </w:tc>
        <w:tc>
          <w:tcPr>
            <w:tcW w:w="9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1993</w:t>
            </w:r>
          </w:p>
        </w:tc>
        <w:tc>
          <w:tcPr>
            <w:tcW w:w="0" w:type="dxa"/>
            <w:vAlign w:val="bottom"/>
          </w:tcPr>
          <w:p>
            <w:pPr>
              <w:spacing w:after="0"/>
              <w:rPr>
                <w:sz w:val="1"/>
                <w:szCs w:val="1"/>
                <w:color w:val="auto"/>
              </w:rPr>
            </w:pPr>
          </w:p>
        </w:tc>
      </w:tr>
      <w:tr>
        <w:trPr>
          <w:trHeight w:val="296"/>
        </w:trPr>
        <w:tc>
          <w:tcPr>
            <w:tcW w:w="8640" w:type="dxa"/>
            <w:vAlign w:val="bottom"/>
            <w:gridSpan w:val="2"/>
          </w:tcPr>
          <w:p>
            <w:pPr>
              <w:jc w:val="right"/>
              <w:ind w:right="112"/>
              <w:spacing w:after="0"/>
              <w:rPr>
                <w:sz w:val="20"/>
                <w:szCs w:val="20"/>
                <w:color w:val="auto"/>
              </w:rPr>
            </w:pPr>
            <w:r>
              <w:rPr>
                <w:rFonts w:ascii="Courier New" w:cs="Courier New" w:eastAsia="Courier New" w:hAnsi="Courier New"/>
                <w:sz w:val="18"/>
                <w:szCs w:val="18"/>
                <w:color w:val="auto"/>
              </w:rPr>
              <w:t>-----------</w:t>
            </w:r>
          </w:p>
        </w:tc>
        <w:tc>
          <w:tcPr>
            <w:tcW w:w="1380" w:type="dxa"/>
            <w:vAlign w:val="bottom"/>
            <w:gridSpan w:val="2"/>
          </w:tcPr>
          <w:p>
            <w:pPr>
              <w:ind w:left="220"/>
              <w:spacing w:after="0"/>
              <w:rPr>
                <w:sz w:val="20"/>
                <w:szCs w:val="20"/>
                <w:color w:val="auto"/>
              </w:rPr>
            </w:pPr>
            <w:r>
              <w:rPr>
                <w:rFonts w:ascii="Courier New" w:cs="Courier New" w:eastAsia="Courier New" w:hAnsi="Courier New"/>
                <w:sz w:val="18"/>
                <w:szCs w:val="18"/>
                <w:color w:val="auto"/>
                <w:w w:val="95"/>
              </w:rPr>
              <w:t>-----------</w:t>
            </w:r>
          </w:p>
        </w:tc>
        <w:tc>
          <w:tcPr>
            <w:tcW w:w="0" w:type="dxa"/>
            <w:vAlign w:val="bottom"/>
          </w:tcPr>
          <w:p>
            <w:pPr>
              <w:spacing w:after="0"/>
              <w:rPr>
                <w:sz w:val="1"/>
                <w:szCs w:val="1"/>
                <w:color w:val="auto"/>
              </w:rPr>
            </w:pPr>
          </w:p>
        </w:tc>
      </w:tr>
      <w:tr>
        <w:trPr>
          <w:trHeight w:val="311"/>
        </w:trPr>
        <w:tc>
          <w:tcPr>
            <w:tcW w:w="7480" w:type="dxa"/>
            <w:vAlign w:val="bottom"/>
          </w:tcPr>
          <w:p>
            <w:pPr>
              <w:spacing w:after="0"/>
              <w:rPr>
                <w:sz w:val="20"/>
                <w:szCs w:val="20"/>
                <w:color w:val="auto"/>
              </w:rPr>
            </w:pPr>
            <w:r>
              <w:rPr>
                <w:rFonts w:ascii="Courier New" w:cs="Courier New" w:eastAsia="Courier New" w:hAnsi="Courier New"/>
                <w:sz w:val="18"/>
                <w:szCs w:val="18"/>
                <w:color w:val="auto"/>
              </w:rPr>
              <w:t>Cash flows from operating activities:</w:t>
            </w:r>
          </w:p>
        </w:tc>
        <w:tc>
          <w:tcPr>
            <w:tcW w:w="1160" w:type="dxa"/>
            <w:vAlign w:val="bottom"/>
            <w:vMerge w:val="restart"/>
          </w:tcPr>
          <w:p>
            <w:pPr>
              <w:jc w:val="right"/>
              <w:ind w:right="212"/>
              <w:spacing w:after="0"/>
              <w:rPr>
                <w:sz w:val="20"/>
                <w:szCs w:val="20"/>
                <w:color w:val="auto"/>
              </w:rPr>
            </w:pPr>
            <w:r>
              <w:rPr>
                <w:rFonts w:ascii="Courier New" w:cs="Courier New" w:eastAsia="Courier New" w:hAnsi="Courier New"/>
                <w:sz w:val="18"/>
                <w:szCs w:val="18"/>
                <w:color w:val="auto"/>
              </w:rPr>
              <w:t>8,302</w:t>
            </w:r>
          </w:p>
        </w:tc>
        <w:tc>
          <w:tcPr>
            <w:tcW w:w="420" w:type="dxa"/>
            <w:vAlign w:val="bottom"/>
            <w:vMerge w:val="restart"/>
          </w:tcPr>
          <w:p>
            <w:pPr>
              <w:ind w:left="220"/>
              <w:spacing w:after="0"/>
              <w:rPr>
                <w:sz w:val="20"/>
                <w:szCs w:val="20"/>
                <w:color w:val="auto"/>
              </w:rPr>
            </w:pPr>
            <w:r>
              <w:rPr>
                <w:rFonts w:ascii="Courier New" w:cs="Courier New" w:eastAsia="Courier New" w:hAnsi="Courier New"/>
                <w:sz w:val="18"/>
                <w:szCs w:val="18"/>
                <w:color w:val="auto"/>
              </w:rPr>
              <w:t>$</w:t>
            </w:r>
          </w:p>
        </w:tc>
        <w:tc>
          <w:tcPr>
            <w:tcW w:w="96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(1,894)</w:t>
            </w:r>
          </w:p>
        </w:tc>
        <w:tc>
          <w:tcPr>
            <w:tcW w:w="0" w:type="dxa"/>
            <w:vAlign w:val="bottom"/>
          </w:tcPr>
          <w:p>
            <w:pPr>
              <w:spacing w:after="0"/>
              <w:rPr>
                <w:sz w:val="1"/>
                <w:szCs w:val="1"/>
                <w:color w:val="auto"/>
              </w:rPr>
            </w:pPr>
          </w:p>
        </w:tc>
      </w:tr>
      <w:tr>
        <w:trPr>
          <w:trHeight w:val="203"/>
        </w:trPr>
        <w:tc>
          <w:tcPr>
            <w:tcW w:w="748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Net earnings (loss). . . . . . . . . . . . . . . . . . . . . . . . . $</w:t>
            </w:r>
          </w:p>
        </w:tc>
        <w:tc>
          <w:tcPr>
            <w:tcW w:w="1160" w:type="dxa"/>
            <w:vAlign w:val="bottom"/>
            <w:vMerge w:val="continue"/>
          </w:tcPr>
          <w:p>
            <w:pPr>
              <w:spacing w:after="0"/>
              <w:rPr>
                <w:sz w:val="17"/>
                <w:szCs w:val="17"/>
                <w:color w:val="auto"/>
              </w:rPr>
            </w:pPr>
          </w:p>
        </w:tc>
        <w:tc>
          <w:tcPr>
            <w:tcW w:w="420" w:type="dxa"/>
            <w:vAlign w:val="bottom"/>
            <w:vMerge w:val="continue"/>
          </w:tcPr>
          <w:p>
            <w:pPr>
              <w:spacing w:after="0"/>
              <w:rPr>
                <w:sz w:val="17"/>
                <w:szCs w:val="17"/>
                <w:color w:val="auto"/>
              </w:rPr>
            </w:pPr>
          </w:p>
        </w:tc>
        <w:tc>
          <w:tcPr>
            <w:tcW w:w="9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4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Adjustments to reconcile net earnings (loss) to net cash</w:t>
            </w:r>
          </w:p>
        </w:tc>
        <w:tc>
          <w:tcPr>
            <w:tcW w:w="1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480" w:type="dxa"/>
            <w:vAlign w:val="bottom"/>
          </w:tcPr>
          <w:p>
            <w:pPr>
              <w:jc w:val="right"/>
              <w:ind w:right="3592"/>
              <w:spacing w:after="0" w:line="203" w:lineRule="exact"/>
              <w:rPr>
                <w:sz w:val="20"/>
                <w:szCs w:val="20"/>
                <w:color w:val="auto"/>
              </w:rPr>
            </w:pPr>
            <w:r>
              <w:rPr>
                <w:rFonts w:ascii="Courier New" w:cs="Courier New" w:eastAsia="Courier New" w:hAnsi="Courier New"/>
                <w:sz w:val="18"/>
                <w:szCs w:val="18"/>
                <w:color w:val="auto"/>
              </w:rPr>
              <w:t>used in operating activities:</w:t>
            </w:r>
          </w:p>
        </w:tc>
        <w:tc>
          <w:tcPr>
            <w:tcW w:w="1160" w:type="dxa"/>
            <w:vAlign w:val="bottom"/>
            <w:vMerge w:val="restart"/>
          </w:tcPr>
          <w:p>
            <w:pPr>
              <w:jc w:val="right"/>
              <w:ind w:right="212"/>
              <w:spacing w:after="0"/>
              <w:rPr>
                <w:sz w:val="20"/>
                <w:szCs w:val="20"/>
                <w:color w:val="auto"/>
              </w:rPr>
            </w:pPr>
            <w:r>
              <w:rPr>
                <w:rFonts w:ascii="Courier New" w:cs="Courier New" w:eastAsia="Courier New" w:hAnsi="Courier New"/>
                <w:sz w:val="18"/>
                <w:szCs w:val="18"/>
                <w:color w:val="auto"/>
              </w:rPr>
              <w:t>3,959</w:t>
            </w:r>
          </w:p>
        </w:tc>
        <w:tc>
          <w:tcPr>
            <w:tcW w:w="420" w:type="dxa"/>
            <w:vAlign w:val="bottom"/>
          </w:tcPr>
          <w:p>
            <w:pPr>
              <w:spacing w:after="0"/>
              <w:rPr>
                <w:sz w:val="17"/>
                <w:szCs w:val="17"/>
                <w:color w:val="auto"/>
              </w:rPr>
            </w:pPr>
          </w:p>
        </w:tc>
        <w:tc>
          <w:tcPr>
            <w:tcW w:w="96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rPr>
              <w:t>4,152</w:t>
            </w:r>
          </w:p>
        </w:tc>
        <w:tc>
          <w:tcPr>
            <w:tcW w:w="0" w:type="dxa"/>
            <w:vAlign w:val="bottom"/>
          </w:tcPr>
          <w:p>
            <w:pPr>
              <w:spacing w:after="0"/>
              <w:rPr>
                <w:sz w:val="1"/>
                <w:szCs w:val="1"/>
                <w:color w:val="auto"/>
              </w:rPr>
            </w:pPr>
          </w:p>
        </w:tc>
      </w:tr>
      <w:tr>
        <w:trPr>
          <w:trHeight w:val="203"/>
        </w:trPr>
        <w:tc>
          <w:tcPr>
            <w:tcW w:w="748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Provision for depreciation and amortization . . . . . . . . . . .</w:t>
            </w:r>
          </w:p>
        </w:tc>
        <w:tc>
          <w:tcPr>
            <w:tcW w:w="1160" w:type="dxa"/>
            <w:vAlign w:val="bottom"/>
            <w:vMerge w:val="continue"/>
          </w:tcPr>
          <w:p>
            <w:pPr>
              <w:spacing w:after="0"/>
              <w:rPr>
                <w:sz w:val="17"/>
                <w:szCs w:val="17"/>
                <w:color w:val="auto"/>
              </w:rPr>
            </w:pPr>
          </w:p>
        </w:tc>
        <w:tc>
          <w:tcPr>
            <w:tcW w:w="420" w:type="dxa"/>
            <w:vAlign w:val="bottom"/>
          </w:tcPr>
          <w:p>
            <w:pPr>
              <w:spacing w:after="0"/>
              <w:rPr>
                <w:sz w:val="17"/>
                <w:szCs w:val="17"/>
                <w:color w:val="auto"/>
              </w:rPr>
            </w:pPr>
          </w:p>
        </w:tc>
        <w:tc>
          <w:tcPr>
            <w:tcW w:w="9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48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Loss on disposal of property, plant and equipment . . . . . . . .</w:t>
            </w:r>
          </w:p>
        </w:tc>
        <w:tc>
          <w:tcPr>
            <w:tcW w:w="1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(21)</w:t>
            </w:r>
          </w:p>
        </w:tc>
        <w:tc>
          <w:tcPr>
            <w:tcW w:w="420" w:type="dxa"/>
            <w:vAlign w:val="bottom"/>
          </w:tcPr>
          <w:p>
            <w:pPr>
              <w:spacing w:after="0"/>
              <w:rPr>
                <w:sz w:val="17"/>
                <w:szCs w:val="17"/>
                <w:color w:val="auto"/>
              </w:rPr>
            </w:pPr>
          </w:p>
        </w:tc>
        <w:tc>
          <w:tcPr>
            <w:tcW w:w="9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74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Changes in operating assets and liabilities:</w:t>
            </w:r>
          </w:p>
        </w:tc>
        <w:tc>
          <w:tcPr>
            <w:tcW w:w="1160" w:type="dxa"/>
            <w:vAlign w:val="bottom"/>
            <w:vMerge w:val="restart"/>
          </w:tcPr>
          <w:p>
            <w:pPr>
              <w:jc w:val="right"/>
              <w:ind w:right="112"/>
              <w:spacing w:after="0"/>
              <w:rPr>
                <w:sz w:val="20"/>
                <w:szCs w:val="20"/>
                <w:color w:val="auto"/>
              </w:rPr>
            </w:pPr>
            <w:r>
              <w:rPr>
                <w:rFonts w:ascii="Courier New" w:cs="Courier New" w:eastAsia="Courier New" w:hAnsi="Courier New"/>
                <w:sz w:val="18"/>
                <w:szCs w:val="18"/>
                <w:color w:val="auto"/>
              </w:rPr>
              <w:t>(16,227)</w:t>
            </w:r>
          </w:p>
        </w:tc>
        <w:tc>
          <w:tcPr>
            <w:tcW w:w="420" w:type="dxa"/>
            <w:vAlign w:val="bottom"/>
          </w:tcPr>
          <w:p>
            <w:pPr>
              <w:spacing w:after="0"/>
              <w:rPr>
                <w:sz w:val="17"/>
                <w:szCs w:val="17"/>
                <w:color w:val="auto"/>
              </w:rPr>
            </w:pPr>
          </w:p>
        </w:tc>
        <w:tc>
          <w:tcPr>
            <w:tcW w:w="96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rPr>
              <w:t>19,568</w:t>
            </w:r>
          </w:p>
        </w:tc>
        <w:tc>
          <w:tcPr>
            <w:tcW w:w="0" w:type="dxa"/>
            <w:vAlign w:val="bottom"/>
          </w:tcPr>
          <w:p>
            <w:pPr>
              <w:spacing w:after="0"/>
              <w:rPr>
                <w:sz w:val="1"/>
                <w:szCs w:val="1"/>
                <w:color w:val="auto"/>
              </w:rPr>
            </w:pPr>
          </w:p>
        </w:tc>
      </w:tr>
      <w:tr>
        <w:trPr>
          <w:trHeight w:val="203"/>
        </w:trPr>
        <w:tc>
          <w:tcPr>
            <w:tcW w:w="748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Receivables (net) . . . . . . . . . . . . . . . . . . . . .</w:t>
            </w:r>
          </w:p>
        </w:tc>
        <w:tc>
          <w:tcPr>
            <w:tcW w:w="1160" w:type="dxa"/>
            <w:vAlign w:val="bottom"/>
            <w:vMerge w:val="continue"/>
          </w:tcPr>
          <w:p>
            <w:pPr>
              <w:spacing w:after="0"/>
              <w:rPr>
                <w:sz w:val="17"/>
                <w:szCs w:val="17"/>
                <w:color w:val="auto"/>
              </w:rPr>
            </w:pPr>
          </w:p>
        </w:tc>
        <w:tc>
          <w:tcPr>
            <w:tcW w:w="420" w:type="dxa"/>
            <w:vAlign w:val="bottom"/>
          </w:tcPr>
          <w:p>
            <w:pPr>
              <w:spacing w:after="0"/>
              <w:rPr>
                <w:sz w:val="17"/>
                <w:szCs w:val="17"/>
                <w:color w:val="auto"/>
              </w:rPr>
            </w:pPr>
          </w:p>
        </w:tc>
        <w:tc>
          <w:tcPr>
            <w:tcW w:w="9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48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Inventories . . . . . . . . . . . . . . . . . . . . . . . .</w:t>
            </w:r>
          </w:p>
        </w:tc>
        <w:tc>
          <w:tcPr>
            <w:tcW w:w="1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(14,090)</w:t>
            </w:r>
          </w:p>
        </w:tc>
        <w:tc>
          <w:tcPr>
            <w:tcW w:w="420" w:type="dxa"/>
            <w:vAlign w:val="bottom"/>
          </w:tcPr>
          <w:p>
            <w:pPr>
              <w:spacing w:after="0"/>
              <w:rPr>
                <w:sz w:val="17"/>
                <w:szCs w:val="17"/>
                <w:color w:val="auto"/>
              </w:rPr>
            </w:pP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(34,105)</w:t>
            </w:r>
          </w:p>
        </w:tc>
        <w:tc>
          <w:tcPr>
            <w:tcW w:w="0" w:type="dxa"/>
            <w:vAlign w:val="bottom"/>
          </w:tcPr>
          <w:p>
            <w:pPr>
              <w:spacing w:after="0"/>
              <w:rPr>
                <w:sz w:val="1"/>
                <w:szCs w:val="1"/>
                <w:color w:val="auto"/>
              </w:rPr>
            </w:pPr>
          </w:p>
        </w:tc>
      </w:tr>
      <w:tr>
        <w:trPr>
          <w:trHeight w:val="203"/>
        </w:trPr>
        <w:tc>
          <w:tcPr>
            <w:tcW w:w="748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Prepaid expenses and deferred income tax benefits . . . . .</w:t>
            </w:r>
          </w:p>
        </w:tc>
        <w:tc>
          <w:tcPr>
            <w:tcW w:w="1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(2,402)</w:t>
            </w:r>
          </w:p>
        </w:tc>
        <w:tc>
          <w:tcPr>
            <w:tcW w:w="420" w:type="dxa"/>
            <w:vAlign w:val="bottom"/>
          </w:tcPr>
          <w:p>
            <w:pPr>
              <w:spacing w:after="0"/>
              <w:rPr>
                <w:sz w:val="17"/>
                <w:szCs w:val="17"/>
                <w:color w:val="auto"/>
              </w:rPr>
            </w:pP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(1,035)</w:t>
            </w:r>
          </w:p>
        </w:tc>
        <w:tc>
          <w:tcPr>
            <w:tcW w:w="0" w:type="dxa"/>
            <w:vAlign w:val="bottom"/>
          </w:tcPr>
          <w:p>
            <w:pPr>
              <w:spacing w:after="0"/>
              <w:rPr>
                <w:sz w:val="1"/>
                <w:szCs w:val="1"/>
                <w:color w:val="auto"/>
              </w:rPr>
            </w:pPr>
          </w:p>
        </w:tc>
      </w:tr>
      <w:tr>
        <w:trPr>
          <w:trHeight w:val="203"/>
        </w:trPr>
        <w:tc>
          <w:tcPr>
            <w:tcW w:w="748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Accounts payable and accrued expenses . . . . . . . . . . .</w:t>
            </w:r>
          </w:p>
        </w:tc>
        <w:tc>
          <w:tcPr>
            <w:tcW w:w="116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8,008</w:t>
            </w:r>
          </w:p>
        </w:tc>
        <w:tc>
          <w:tcPr>
            <w:tcW w:w="420" w:type="dxa"/>
            <w:vAlign w:val="bottom"/>
          </w:tcPr>
          <w:p>
            <w:pPr>
              <w:spacing w:after="0"/>
              <w:rPr>
                <w:sz w:val="17"/>
                <w:szCs w:val="17"/>
                <w:color w:val="auto"/>
              </w:rPr>
            </w:pPr>
          </w:p>
        </w:tc>
        <w:tc>
          <w:tcPr>
            <w:tcW w:w="9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1,628</w:t>
            </w:r>
          </w:p>
        </w:tc>
        <w:tc>
          <w:tcPr>
            <w:tcW w:w="0" w:type="dxa"/>
            <w:vAlign w:val="bottom"/>
          </w:tcPr>
          <w:p>
            <w:pPr>
              <w:spacing w:after="0"/>
              <w:rPr>
                <w:sz w:val="1"/>
                <w:szCs w:val="1"/>
                <w:color w:val="auto"/>
              </w:rPr>
            </w:pPr>
          </w:p>
        </w:tc>
      </w:tr>
      <w:tr>
        <w:trPr>
          <w:trHeight w:val="203"/>
        </w:trPr>
        <w:tc>
          <w:tcPr>
            <w:tcW w:w="748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Accrued income taxes. . . . . . . . . . . . . . . . . . . .</w:t>
            </w:r>
          </w:p>
        </w:tc>
        <w:tc>
          <w:tcPr>
            <w:tcW w:w="1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(288)</w:t>
            </w:r>
          </w:p>
        </w:tc>
        <w:tc>
          <w:tcPr>
            <w:tcW w:w="420" w:type="dxa"/>
            <w:vAlign w:val="bottom"/>
          </w:tcPr>
          <w:p>
            <w:pPr>
              <w:spacing w:after="0"/>
              <w:rPr>
                <w:sz w:val="17"/>
                <w:szCs w:val="17"/>
                <w:color w:val="auto"/>
              </w:rPr>
            </w:pP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(3,873)</w:t>
            </w:r>
          </w:p>
        </w:tc>
        <w:tc>
          <w:tcPr>
            <w:tcW w:w="0" w:type="dxa"/>
            <w:vAlign w:val="bottom"/>
          </w:tcPr>
          <w:p>
            <w:pPr>
              <w:spacing w:after="0"/>
              <w:rPr>
                <w:sz w:val="1"/>
                <w:szCs w:val="1"/>
                <w:color w:val="auto"/>
              </w:rPr>
            </w:pPr>
          </w:p>
        </w:tc>
      </w:tr>
      <w:tr>
        <w:trPr>
          <w:trHeight w:val="203"/>
        </w:trPr>
        <w:tc>
          <w:tcPr>
            <w:tcW w:w="8640" w:type="dxa"/>
            <w:vAlign w:val="bottom"/>
            <w:gridSpan w:val="2"/>
          </w:tcPr>
          <w:p>
            <w:pPr>
              <w:jc w:val="right"/>
              <w:ind w:right="212"/>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748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Net cash used in operating activities. . . . . . . . . .</w:t>
            </w:r>
          </w:p>
        </w:tc>
        <w:tc>
          <w:tcPr>
            <w:tcW w:w="1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(12,759)</w:t>
            </w:r>
          </w:p>
        </w:tc>
        <w:tc>
          <w:tcPr>
            <w:tcW w:w="420" w:type="dxa"/>
            <w:vAlign w:val="bottom"/>
          </w:tcPr>
          <w:p>
            <w:pPr>
              <w:spacing w:after="0"/>
              <w:rPr>
                <w:sz w:val="17"/>
                <w:szCs w:val="17"/>
                <w:color w:val="auto"/>
              </w:rPr>
            </w:pP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(15,559)</w:t>
            </w:r>
          </w:p>
        </w:tc>
        <w:tc>
          <w:tcPr>
            <w:tcW w:w="0" w:type="dxa"/>
            <w:vAlign w:val="bottom"/>
          </w:tcPr>
          <w:p>
            <w:pPr>
              <w:spacing w:after="0"/>
              <w:rPr>
                <w:sz w:val="1"/>
                <w:szCs w:val="1"/>
                <w:color w:val="auto"/>
              </w:rPr>
            </w:pPr>
          </w:p>
        </w:tc>
      </w:tr>
      <w:tr>
        <w:trPr>
          <w:trHeight w:val="296"/>
        </w:trPr>
        <w:tc>
          <w:tcPr>
            <w:tcW w:w="8640" w:type="dxa"/>
            <w:vAlign w:val="bottom"/>
            <w:gridSpan w:val="2"/>
          </w:tcPr>
          <w:p>
            <w:pPr>
              <w:jc w:val="right"/>
              <w:ind w:right="212"/>
              <w:spacing w:after="0"/>
              <w:rPr>
                <w:sz w:val="20"/>
                <w:szCs w:val="20"/>
                <w:color w:val="auto"/>
              </w:rPr>
            </w:pPr>
            <w:r>
              <w:rPr>
                <w:rFonts w:ascii="Courier New" w:cs="Courier New" w:eastAsia="Courier New" w:hAnsi="Courier New"/>
                <w:sz w:val="18"/>
                <w:szCs w:val="18"/>
                <w:color w:val="auto"/>
              </w:rPr>
              <w:t>----------</w:t>
            </w:r>
          </w:p>
        </w:tc>
        <w:tc>
          <w:tcPr>
            <w:tcW w:w="1380" w:type="dxa"/>
            <w:vAlign w:val="bottom"/>
            <w:gridSpan w:val="2"/>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311"/>
        </w:trPr>
        <w:tc>
          <w:tcPr>
            <w:tcW w:w="7480" w:type="dxa"/>
            <w:vAlign w:val="bottom"/>
          </w:tcPr>
          <w:p>
            <w:pPr>
              <w:spacing w:after="0"/>
              <w:rPr>
                <w:sz w:val="20"/>
                <w:szCs w:val="20"/>
                <w:color w:val="auto"/>
              </w:rPr>
            </w:pPr>
            <w:r>
              <w:rPr>
                <w:rFonts w:ascii="Courier New" w:cs="Courier New" w:eastAsia="Courier New" w:hAnsi="Courier New"/>
                <w:sz w:val="18"/>
                <w:szCs w:val="18"/>
                <w:color w:val="auto"/>
              </w:rPr>
              <w:t>Cash flows from investing activities:</w:t>
            </w:r>
          </w:p>
        </w:tc>
        <w:tc>
          <w:tcPr>
            <w:tcW w:w="1160" w:type="dxa"/>
            <w:vAlign w:val="bottom"/>
            <w:vMerge w:val="restart"/>
          </w:tcPr>
          <w:p>
            <w:pPr>
              <w:jc w:val="right"/>
              <w:ind w:right="112"/>
              <w:spacing w:after="0"/>
              <w:rPr>
                <w:sz w:val="20"/>
                <w:szCs w:val="20"/>
                <w:color w:val="auto"/>
              </w:rPr>
            </w:pPr>
            <w:r>
              <w:rPr>
                <w:rFonts w:ascii="Courier New" w:cs="Courier New" w:eastAsia="Courier New" w:hAnsi="Courier New"/>
                <w:sz w:val="18"/>
                <w:szCs w:val="18"/>
                <w:color w:val="auto"/>
              </w:rPr>
              <w:t>(4,721)</w:t>
            </w:r>
          </w:p>
        </w:tc>
        <w:tc>
          <w:tcPr>
            <w:tcW w:w="420" w:type="dxa"/>
            <w:vAlign w:val="bottom"/>
          </w:tcPr>
          <w:p>
            <w:pPr>
              <w:spacing w:after="0"/>
              <w:rPr>
                <w:sz w:val="24"/>
                <w:szCs w:val="24"/>
                <w:color w:val="auto"/>
              </w:rPr>
            </w:pPr>
          </w:p>
        </w:tc>
        <w:tc>
          <w:tcPr>
            <w:tcW w:w="96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(1,858)</w:t>
            </w:r>
          </w:p>
        </w:tc>
        <w:tc>
          <w:tcPr>
            <w:tcW w:w="0" w:type="dxa"/>
            <w:vAlign w:val="bottom"/>
          </w:tcPr>
          <w:p>
            <w:pPr>
              <w:spacing w:after="0"/>
              <w:rPr>
                <w:sz w:val="1"/>
                <w:szCs w:val="1"/>
                <w:color w:val="auto"/>
              </w:rPr>
            </w:pPr>
          </w:p>
        </w:tc>
      </w:tr>
      <w:tr>
        <w:trPr>
          <w:trHeight w:val="203"/>
        </w:trPr>
        <w:tc>
          <w:tcPr>
            <w:tcW w:w="748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Purchases of property, plant and equipment. . . . . . . . . . . .</w:t>
            </w:r>
          </w:p>
        </w:tc>
        <w:tc>
          <w:tcPr>
            <w:tcW w:w="1160" w:type="dxa"/>
            <w:vAlign w:val="bottom"/>
            <w:vMerge w:val="continue"/>
          </w:tcPr>
          <w:p>
            <w:pPr>
              <w:spacing w:after="0"/>
              <w:rPr>
                <w:sz w:val="17"/>
                <w:szCs w:val="17"/>
                <w:color w:val="auto"/>
              </w:rPr>
            </w:pPr>
          </w:p>
        </w:tc>
        <w:tc>
          <w:tcPr>
            <w:tcW w:w="420" w:type="dxa"/>
            <w:vAlign w:val="bottom"/>
          </w:tcPr>
          <w:p>
            <w:pPr>
              <w:spacing w:after="0"/>
              <w:rPr>
                <w:sz w:val="17"/>
                <w:szCs w:val="17"/>
                <w:color w:val="auto"/>
              </w:rPr>
            </w:pPr>
          </w:p>
        </w:tc>
        <w:tc>
          <w:tcPr>
            <w:tcW w:w="9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48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Proceeds from asset disposals . . . . . . . . . . . . . . . . . .</w:t>
            </w:r>
          </w:p>
        </w:tc>
        <w:tc>
          <w:tcPr>
            <w:tcW w:w="116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36</w:t>
            </w:r>
          </w:p>
        </w:tc>
        <w:tc>
          <w:tcPr>
            <w:tcW w:w="420" w:type="dxa"/>
            <w:vAlign w:val="bottom"/>
          </w:tcPr>
          <w:p>
            <w:pPr>
              <w:spacing w:after="0"/>
              <w:rPr>
                <w:sz w:val="17"/>
                <w:szCs w:val="17"/>
                <w:color w:val="auto"/>
              </w:rPr>
            </w:pPr>
          </w:p>
        </w:tc>
        <w:tc>
          <w:tcPr>
            <w:tcW w:w="9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748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(Increase) decrease in other assets . . . . . . . . . . . . . . .</w:t>
            </w:r>
          </w:p>
        </w:tc>
        <w:tc>
          <w:tcPr>
            <w:tcW w:w="116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1,710</w:t>
            </w:r>
          </w:p>
        </w:tc>
        <w:tc>
          <w:tcPr>
            <w:tcW w:w="420" w:type="dxa"/>
            <w:vAlign w:val="bottom"/>
          </w:tcPr>
          <w:p>
            <w:pPr>
              <w:spacing w:after="0"/>
              <w:rPr>
                <w:sz w:val="17"/>
                <w:szCs w:val="17"/>
                <w:color w:val="auto"/>
              </w:rPr>
            </w:pP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(937)</w:t>
            </w:r>
          </w:p>
        </w:tc>
        <w:tc>
          <w:tcPr>
            <w:tcW w:w="0" w:type="dxa"/>
            <w:vAlign w:val="bottom"/>
          </w:tcPr>
          <w:p>
            <w:pPr>
              <w:spacing w:after="0"/>
              <w:rPr>
                <w:sz w:val="1"/>
                <w:szCs w:val="1"/>
                <w:color w:val="auto"/>
              </w:rPr>
            </w:pPr>
          </w:p>
        </w:tc>
      </w:tr>
      <w:tr>
        <w:trPr>
          <w:trHeight w:val="203"/>
        </w:trPr>
        <w:tc>
          <w:tcPr>
            <w:tcW w:w="8640" w:type="dxa"/>
            <w:vAlign w:val="bottom"/>
            <w:gridSpan w:val="2"/>
          </w:tcPr>
          <w:p>
            <w:pPr>
              <w:jc w:val="right"/>
              <w:ind w:right="212"/>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748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Net cash used in investing activities. . . . . . . . . .</w:t>
            </w:r>
          </w:p>
        </w:tc>
        <w:tc>
          <w:tcPr>
            <w:tcW w:w="1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(2,975)</w:t>
            </w:r>
          </w:p>
        </w:tc>
        <w:tc>
          <w:tcPr>
            <w:tcW w:w="420" w:type="dxa"/>
            <w:vAlign w:val="bottom"/>
          </w:tcPr>
          <w:p>
            <w:pPr>
              <w:spacing w:after="0"/>
              <w:rPr>
                <w:sz w:val="17"/>
                <w:szCs w:val="17"/>
                <w:color w:val="auto"/>
              </w:rPr>
            </w:pP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(2,795)</w:t>
            </w:r>
          </w:p>
        </w:tc>
        <w:tc>
          <w:tcPr>
            <w:tcW w:w="0" w:type="dxa"/>
            <w:vAlign w:val="bottom"/>
          </w:tcPr>
          <w:p>
            <w:pPr>
              <w:spacing w:after="0"/>
              <w:rPr>
                <w:sz w:val="1"/>
                <w:szCs w:val="1"/>
                <w:color w:val="auto"/>
              </w:rPr>
            </w:pPr>
          </w:p>
        </w:tc>
      </w:tr>
      <w:tr>
        <w:trPr>
          <w:trHeight w:val="296"/>
        </w:trPr>
        <w:tc>
          <w:tcPr>
            <w:tcW w:w="8640" w:type="dxa"/>
            <w:vAlign w:val="bottom"/>
            <w:gridSpan w:val="2"/>
          </w:tcPr>
          <w:p>
            <w:pPr>
              <w:jc w:val="right"/>
              <w:ind w:right="212"/>
              <w:spacing w:after="0"/>
              <w:rPr>
                <w:sz w:val="20"/>
                <w:szCs w:val="20"/>
                <w:color w:val="auto"/>
              </w:rPr>
            </w:pPr>
            <w:r>
              <w:rPr>
                <w:rFonts w:ascii="Courier New" w:cs="Courier New" w:eastAsia="Courier New" w:hAnsi="Courier New"/>
                <w:sz w:val="18"/>
                <w:szCs w:val="18"/>
                <w:color w:val="auto"/>
              </w:rPr>
              <w:t>----------</w:t>
            </w:r>
          </w:p>
        </w:tc>
        <w:tc>
          <w:tcPr>
            <w:tcW w:w="1380" w:type="dxa"/>
            <w:vAlign w:val="bottom"/>
            <w:gridSpan w:val="2"/>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311"/>
        </w:trPr>
        <w:tc>
          <w:tcPr>
            <w:tcW w:w="7480" w:type="dxa"/>
            <w:vAlign w:val="bottom"/>
          </w:tcPr>
          <w:p>
            <w:pPr>
              <w:spacing w:after="0"/>
              <w:rPr>
                <w:sz w:val="20"/>
                <w:szCs w:val="20"/>
                <w:color w:val="auto"/>
              </w:rPr>
            </w:pPr>
            <w:r>
              <w:rPr>
                <w:rFonts w:ascii="Courier New" w:cs="Courier New" w:eastAsia="Courier New" w:hAnsi="Courier New"/>
                <w:sz w:val="18"/>
                <w:szCs w:val="18"/>
                <w:color w:val="auto"/>
              </w:rPr>
              <w:t>Cash flows from financing activities:</w:t>
            </w:r>
          </w:p>
        </w:tc>
        <w:tc>
          <w:tcPr>
            <w:tcW w:w="1160" w:type="dxa"/>
            <w:vAlign w:val="bottom"/>
            <w:vMerge w:val="restart"/>
          </w:tcPr>
          <w:p>
            <w:pPr>
              <w:jc w:val="right"/>
              <w:ind w:right="112"/>
              <w:spacing w:after="0"/>
              <w:rPr>
                <w:sz w:val="20"/>
                <w:szCs w:val="20"/>
                <w:color w:val="auto"/>
              </w:rPr>
            </w:pPr>
            <w:r>
              <w:rPr>
                <w:rFonts w:ascii="Courier New" w:cs="Courier New" w:eastAsia="Courier New" w:hAnsi="Courier New"/>
                <w:sz w:val="18"/>
                <w:szCs w:val="18"/>
                <w:color w:val="auto"/>
              </w:rPr>
              <w:t>(9,871)</w:t>
            </w:r>
          </w:p>
        </w:tc>
        <w:tc>
          <w:tcPr>
            <w:tcW w:w="420" w:type="dxa"/>
            <w:vAlign w:val="bottom"/>
          </w:tcPr>
          <w:p>
            <w:pPr>
              <w:spacing w:after="0"/>
              <w:rPr>
                <w:sz w:val="24"/>
                <w:szCs w:val="24"/>
                <w:color w:val="auto"/>
              </w:rPr>
            </w:pPr>
          </w:p>
        </w:tc>
        <w:tc>
          <w:tcPr>
            <w:tcW w:w="96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(14,439)</w:t>
            </w:r>
          </w:p>
        </w:tc>
        <w:tc>
          <w:tcPr>
            <w:tcW w:w="0" w:type="dxa"/>
            <w:vAlign w:val="bottom"/>
          </w:tcPr>
          <w:p>
            <w:pPr>
              <w:spacing w:after="0"/>
              <w:rPr>
                <w:sz w:val="1"/>
                <w:szCs w:val="1"/>
                <w:color w:val="auto"/>
              </w:rPr>
            </w:pPr>
          </w:p>
        </w:tc>
      </w:tr>
      <w:tr>
        <w:trPr>
          <w:trHeight w:val="203"/>
        </w:trPr>
        <w:tc>
          <w:tcPr>
            <w:tcW w:w="748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Repayments of long-term debt. . . . . . . . . . . . . . . . . . .</w:t>
            </w:r>
          </w:p>
        </w:tc>
        <w:tc>
          <w:tcPr>
            <w:tcW w:w="1160" w:type="dxa"/>
            <w:vAlign w:val="bottom"/>
            <w:vMerge w:val="continue"/>
          </w:tcPr>
          <w:p>
            <w:pPr>
              <w:spacing w:after="0"/>
              <w:rPr>
                <w:sz w:val="17"/>
                <w:szCs w:val="17"/>
                <w:color w:val="auto"/>
              </w:rPr>
            </w:pPr>
          </w:p>
        </w:tc>
        <w:tc>
          <w:tcPr>
            <w:tcW w:w="420" w:type="dxa"/>
            <w:vAlign w:val="bottom"/>
          </w:tcPr>
          <w:p>
            <w:pPr>
              <w:spacing w:after="0"/>
              <w:rPr>
                <w:sz w:val="17"/>
                <w:szCs w:val="17"/>
                <w:color w:val="auto"/>
              </w:rPr>
            </w:pPr>
          </w:p>
        </w:tc>
        <w:tc>
          <w:tcPr>
            <w:tcW w:w="9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48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Proceeds from sale of common stock. . . . . . . . . . . . . . . .</w:t>
            </w:r>
          </w:p>
        </w:tc>
        <w:tc>
          <w:tcPr>
            <w:tcW w:w="116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4,203</w:t>
            </w:r>
          </w:p>
        </w:tc>
        <w:tc>
          <w:tcPr>
            <w:tcW w:w="420" w:type="dxa"/>
            <w:vAlign w:val="bottom"/>
          </w:tcPr>
          <w:p>
            <w:pPr>
              <w:spacing w:after="0"/>
              <w:rPr>
                <w:sz w:val="17"/>
                <w:szCs w:val="17"/>
                <w:color w:val="auto"/>
              </w:rPr>
            </w:pPr>
          </w:p>
        </w:tc>
        <w:tc>
          <w:tcPr>
            <w:tcW w:w="9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1,829</w:t>
            </w:r>
          </w:p>
        </w:tc>
        <w:tc>
          <w:tcPr>
            <w:tcW w:w="0" w:type="dxa"/>
            <w:vAlign w:val="bottom"/>
          </w:tcPr>
          <w:p>
            <w:pPr>
              <w:spacing w:after="0"/>
              <w:rPr>
                <w:sz w:val="1"/>
                <w:szCs w:val="1"/>
                <w:color w:val="auto"/>
              </w:rPr>
            </w:pPr>
          </w:p>
        </w:tc>
      </w:tr>
      <w:tr>
        <w:trPr>
          <w:trHeight w:val="203"/>
        </w:trPr>
        <w:tc>
          <w:tcPr>
            <w:tcW w:w="748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Purchases of common stock . . . . . . . . . . . . . . . . . . . .</w:t>
            </w:r>
          </w:p>
        </w:tc>
        <w:tc>
          <w:tcPr>
            <w:tcW w:w="1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(1,090)</w:t>
            </w:r>
          </w:p>
        </w:tc>
        <w:tc>
          <w:tcPr>
            <w:tcW w:w="420" w:type="dxa"/>
            <w:vAlign w:val="bottom"/>
          </w:tcPr>
          <w:p>
            <w:pPr>
              <w:spacing w:after="0"/>
              <w:rPr>
                <w:sz w:val="17"/>
                <w:szCs w:val="17"/>
                <w:color w:val="auto"/>
              </w:rPr>
            </w:pP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(560)</w:t>
            </w:r>
          </w:p>
        </w:tc>
        <w:tc>
          <w:tcPr>
            <w:tcW w:w="0" w:type="dxa"/>
            <w:vAlign w:val="bottom"/>
          </w:tcPr>
          <w:p>
            <w:pPr>
              <w:spacing w:after="0"/>
              <w:rPr>
                <w:sz w:val="1"/>
                <w:szCs w:val="1"/>
                <w:color w:val="auto"/>
              </w:rPr>
            </w:pPr>
          </w:p>
        </w:tc>
      </w:tr>
      <w:tr>
        <w:trPr>
          <w:trHeight w:val="203"/>
        </w:trPr>
        <w:tc>
          <w:tcPr>
            <w:tcW w:w="748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Dividends on common stock . . . . . . . . . . . . . . . . . . . .</w:t>
            </w:r>
          </w:p>
        </w:tc>
        <w:tc>
          <w:tcPr>
            <w:tcW w:w="1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(1,508)</w:t>
            </w:r>
          </w:p>
        </w:tc>
        <w:tc>
          <w:tcPr>
            <w:tcW w:w="420" w:type="dxa"/>
            <w:vAlign w:val="bottom"/>
          </w:tcPr>
          <w:p>
            <w:pPr>
              <w:spacing w:after="0"/>
              <w:rPr>
                <w:sz w:val="17"/>
                <w:szCs w:val="17"/>
                <w:color w:val="auto"/>
              </w:rPr>
            </w:pP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(1,479)</w:t>
            </w:r>
          </w:p>
        </w:tc>
        <w:tc>
          <w:tcPr>
            <w:tcW w:w="0" w:type="dxa"/>
            <w:vAlign w:val="bottom"/>
          </w:tcPr>
          <w:p>
            <w:pPr>
              <w:spacing w:after="0"/>
              <w:rPr>
                <w:sz w:val="1"/>
                <w:szCs w:val="1"/>
                <w:color w:val="auto"/>
              </w:rPr>
            </w:pPr>
          </w:p>
        </w:tc>
      </w:tr>
      <w:tr>
        <w:trPr>
          <w:trHeight w:val="203"/>
        </w:trPr>
        <w:tc>
          <w:tcPr>
            <w:tcW w:w="8640" w:type="dxa"/>
            <w:vAlign w:val="bottom"/>
            <w:gridSpan w:val="2"/>
          </w:tcPr>
          <w:p>
            <w:pPr>
              <w:jc w:val="right"/>
              <w:ind w:right="212"/>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748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Net cash used in financing activities . . . . . . . . . .</w:t>
            </w:r>
          </w:p>
        </w:tc>
        <w:tc>
          <w:tcPr>
            <w:tcW w:w="1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(8,266)</w:t>
            </w:r>
          </w:p>
        </w:tc>
        <w:tc>
          <w:tcPr>
            <w:tcW w:w="420" w:type="dxa"/>
            <w:vAlign w:val="bottom"/>
          </w:tcPr>
          <w:p>
            <w:pPr>
              <w:spacing w:after="0"/>
              <w:rPr>
                <w:sz w:val="17"/>
                <w:szCs w:val="17"/>
                <w:color w:val="auto"/>
              </w:rPr>
            </w:pP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(14,649)</w:t>
            </w:r>
          </w:p>
        </w:tc>
        <w:tc>
          <w:tcPr>
            <w:tcW w:w="0" w:type="dxa"/>
            <w:vAlign w:val="bottom"/>
          </w:tcPr>
          <w:p>
            <w:pPr>
              <w:spacing w:after="0"/>
              <w:rPr>
                <w:sz w:val="1"/>
                <w:szCs w:val="1"/>
                <w:color w:val="auto"/>
              </w:rPr>
            </w:pPr>
          </w:p>
        </w:tc>
      </w:tr>
      <w:tr>
        <w:trPr>
          <w:trHeight w:val="296"/>
        </w:trPr>
        <w:tc>
          <w:tcPr>
            <w:tcW w:w="8640" w:type="dxa"/>
            <w:vAlign w:val="bottom"/>
            <w:gridSpan w:val="2"/>
          </w:tcPr>
          <w:p>
            <w:pPr>
              <w:jc w:val="right"/>
              <w:ind w:right="212"/>
              <w:spacing w:after="0"/>
              <w:rPr>
                <w:sz w:val="20"/>
                <w:szCs w:val="20"/>
                <w:color w:val="auto"/>
              </w:rPr>
            </w:pPr>
            <w:r>
              <w:rPr>
                <w:rFonts w:ascii="Courier New" w:cs="Courier New" w:eastAsia="Courier New" w:hAnsi="Courier New"/>
                <w:sz w:val="18"/>
                <w:szCs w:val="18"/>
                <w:color w:val="auto"/>
              </w:rPr>
              <w:t>----------</w:t>
            </w:r>
          </w:p>
        </w:tc>
        <w:tc>
          <w:tcPr>
            <w:tcW w:w="1380" w:type="dxa"/>
            <w:vAlign w:val="bottom"/>
            <w:gridSpan w:val="2"/>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311"/>
        </w:trPr>
        <w:tc>
          <w:tcPr>
            <w:tcW w:w="7480" w:type="dxa"/>
            <w:vAlign w:val="bottom"/>
          </w:tcPr>
          <w:p>
            <w:pPr>
              <w:jc w:val="right"/>
              <w:ind w:right="212"/>
              <w:spacing w:after="0"/>
              <w:rPr>
                <w:sz w:val="20"/>
                <w:szCs w:val="20"/>
                <w:color w:val="auto"/>
              </w:rPr>
            </w:pPr>
            <w:r>
              <w:rPr>
                <w:rFonts w:ascii="Courier New" w:cs="Courier New" w:eastAsia="Courier New" w:hAnsi="Courier New"/>
                <w:sz w:val="18"/>
                <w:szCs w:val="18"/>
                <w:color w:val="auto"/>
                <w:w w:val="97"/>
              </w:rPr>
              <w:t>Foreign currency translation adjustment. . . . . . . . . . . . . . .</w:t>
            </w:r>
          </w:p>
        </w:tc>
        <w:tc>
          <w:tcPr>
            <w:tcW w:w="1160" w:type="dxa"/>
            <w:vAlign w:val="bottom"/>
          </w:tcPr>
          <w:p>
            <w:pPr>
              <w:jc w:val="right"/>
              <w:ind w:right="212"/>
              <w:spacing w:after="0"/>
              <w:rPr>
                <w:sz w:val="20"/>
                <w:szCs w:val="20"/>
                <w:color w:val="auto"/>
              </w:rPr>
            </w:pPr>
            <w:r>
              <w:rPr>
                <w:rFonts w:ascii="Courier New" w:cs="Courier New" w:eastAsia="Courier New" w:hAnsi="Courier New"/>
                <w:sz w:val="18"/>
                <w:szCs w:val="18"/>
                <w:color w:val="auto"/>
              </w:rPr>
              <w:t>171</w:t>
            </w:r>
          </w:p>
        </w:tc>
        <w:tc>
          <w:tcPr>
            <w:tcW w:w="42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8"/>
                <w:szCs w:val="18"/>
                <w:color w:val="auto"/>
              </w:rPr>
              <w:t>(591)</w:t>
            </w:r>
          </w:p>
        </w:tc>
        <w:tc>
          <w:tcPr>
            <w:tcW w:w="0" w:type="dxa"/>
            <w:vAlign w:val="bottom"/>
          </w:tcPr>
          <w:p>
            <w:pPr>
              <w:spacing w:after="0"/>
              <w:rPr>
                <w:sz w:val="1"/>
                <w:szCs w:val="1"/>
                <w:color w:val="auto"/>
              </w:rPr>
            </w:pPr>
          </w:p>
        </w:tc>
      </w:tr>
      <w:tr>
        <w:trPr>
          <w:trHeight w:val="296"/>
        </w:trPr>
        <w:tc>
          <w:tcPr>
            <w:tcW w:w="8640" w:type="dxa"/>
            <w:vAlign w:val="bottom"/>
            <w:gridSpan w:val="2"/>
          </w:tcPr>
          <w:p>
            <w:pPr>
              <w:jc w:val="right"/>
              <w:ind w:right="212"/>
              <w:spacing w:after="0"/>
              <w:rPr>
                <w:sz w:val="20"/>
                <w:szCs w:val="20"/>
                <w:color w:val="auto"/>
              </w:rPr>
            </w:pPr>
            <w:r>
              <w:rPr>
                <w:rFonts w:ascii="Courier New" w:cs="Courier New" w:eastAsia="Courier New" w:hAnsi="Courier New"/>
                <w:sz w:val="18"/>
                <w:szCs w:val="18"/>
                <w:color w:val="auto"/>
              </w:rPr>
              <w:t>----------</w:t>
            </w:r>
          </w:p>
        </w:tc>
        <w:tc>
          <w:tcPr>
            <w:tcW w:w="1380" w:type="dxa"/>
            <w:vAlign w:val="bottom"/>
            <w:gridSpan w:val="2"/>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311"/>
        </w:trPr>
        <w:tc>
          <w:tcPr>
            <w:tcW w:w="7480" w:type="dxa"/>
            <w:vAlign w:val="bottom"/>
          </w:tcPr>
          <w:p>
            <w:pPr>
              <w:jc w:val="right"/>
              <w:ind w:right="212"/>
              <w:spacing w:after="0"/>
              <w:rPr>
                <w:sz w:val="20"/>
                <w:szCs w:val="20"/>
                <w:color w:val="auto"/>
              </w:rPr>
            </w:pPr>
            <w:r>
              <w:rPr>
                <w:rFonts w:ascii="Courier New" w:cs="Courier New" w:eastAsia="Courier New" w:hAnsi="Courier New"/>
                <w:sz w:val="18"/>
                <w:szCs w:val="18"/>
                <w:color w:val="auto"/>
                <w:w w:val="97"/>
              </w:rPr>
              <w:t>Net decrease in cash and cash equivalents. . . . . . . . . . . . . .</w:t>
            </w:r>
          </w:p>
        </w:tc>
        <w:tc>
          <w:tcPr>
            <w:tcW w:w="116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(23,829)</w:t>
            </w:r>
          </w:p>
        </w:tc>
        <w:tc>
          <w:tcPr>
            <w:tcW w:w="42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8"/>
                <w:szCs w:val="18"/>
                <w:color w:val="auto"/>
              </w:rPr>
              <w:t>(33,594)</w:t>
            </w:r>
          </w:p>
        </w:tc>
        <w:tc>
          <w:tcPr>
            <w:tcW w:w="0" w:type="dxa"/>
            <w:vAlign w:val="bottom"/>
          </w:tcPr>
          <w:p>
            <w:pPr>
              <w:spacing w:after="0"/>
              <w:rPr>
                <w:sz w:val="1"/>
                <w:szCs w:val="1"/>
                <w:color w:val="auto"/>
              </w:rPr>
            </w:pPr>
          </w:p>
        </w:tc>
      </w:tr>
      <w:tr>
        <w:trPr>
          <w:trHeight w:val="203"/>
        </w:trPr>
        <w:tc>
          <w:tcPr>
            <w:tcW w:w="748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w w:val="97"/>
              </w:rPr>
              <w:t>Cash and cash equivalents at beginning of period . . . . . . . . . .</w:t>
            </w:r>
          </w:p>
        </w:tc>
        <w:tc>
          <w:tcPr>
            <w:tcW w:w="116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36,231</w:t>
            </w:r>
          </w:p>
        </w:tc>
        <w:tc>
          <w:tcPr>
            <w:tcW w:w="420" w:type="dxa"/>
            <w:vAlign w:val="bottom"/>
          </w:tcPr>
          <w:p>
            <w:pPr>
              <w:spacing w:after="0"/>
              <w:rPr>
                <w:sz w:val="17"/>
                <w:szCs w:val="17"/>
                <w:color w:val="auto"/>
              </w:rPr>
            </w:pPr>
          </w:p>
        </w:tc>
        <w:tc>
          <w:tcPr>
            <w:tcW w:w="9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61,793</w:t>
            </w:r>
          </w:p>
        </w:tc>
        <w:tc>
          <w:tcPr>
            <w:tcW w:w="0" w:type="dxa"/>
            <w:vAlign w:val="bottom"/>
          </w:tcPr>
          <w:p>
            <w:pPr>
              <w:spacing w:after="0"/>
              <w:rPr>
                <w:sz w:val="1"/>
                <w:szCs w:val="1"/>
                <w:color w:val="auto"/>
              </w:rPr>
            </w:pPr>
          </w:p>
        </w:tc>
      </w:tr>
      <w:tr>
        <w:trPr>
          <w:trHeight w:val="296"/>
        </w:trPr>
        <w:tc>
          <w:tcPr>
            <w:tcW w:w="8640" w:type="dxa"/>
            <w:vAlign w:val="bottom"/>
            <w:gridSpan w:val="2"/>
          </w:tcPr>
          <w:p>
            <w:pPr>
              <w:jc w:val="right"/>
              <w:ind w:right="212"/>
              <w:spacing w:after="0"/>
              <w:rPr>
                <w:sz w:val="20"/>
                <w:szCs w:val="20"/>
                <w:color w:val="auto"/>
              </w:rPr>
            </w:pPr>
            <w:r>
              <w:rPr>
                <w:rFonts w:ascii="Courier New" w:cs="Courier New" w:eastAsia="Courier New" w:hAnsi="Courier New"/>
                <w:sz w:val="18"/>
                <w:szCs w:val="18"/>
                <w:color w:val="auto"/>
              </w:rPr>
              <w:t>----------</w:t>
            </w:r>
          </w:p>
        </w:tc>
        <w:tc>
          <w:tcPr>
            <w:tcW w:w="1380" w:type="dxa"/>
            <w:vAlign w:val="bottom"/>
            <w:gridSpan w:val="2"/>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311"/>
        </w:trPr>
        <w:tc>
          <w:tcPr>
            <w:tcW w:w="7480" w:type="dxa"/>
            <w:vAlign w:val="bottom"/>
          </w:tcPr>
          <w:p>
            <w:pPr>
              <w:spacing w:after="0"/>
              <w:rPr>
                <w:sz w:val="20"/>
                <w:szCs w:val="20"/>
                <w:color w:val="auto"/>
              </w:rPr>
            </w:pPr>
            <w:r>
              <w:rPr>
                <w:rFonts w:ascii="Courier New" w:cs="Courier New" w:eastAsia="Courier New" w:hAnsi="Courier New"/>
                <w:sz w:val="18"/>
                <w:szCs w:val="18"/>
                <w:color w:val="auto"/>
                <w:w w:val="98"/>
              </w:rPr>
              <w:t>Cash and cash equivalents at end of period . . . . . . . . . . . . . $</w:t>
            </w:r>
          </w:p>
        </w:tc>
        <w:tc>
          <w:tcPr>
            <w:tcW w:w="1160" w:type="dxa"/>
            <w:vAlign w:val="bottom"/>
          </w:tcPr>
          <w:p>
            <w:pPr>
              <w:jc w:val="right"/>
              <w:ind w:right="212"/>
              <w:spacing w:after="0"/>
              <w:rPr>
                <w:sz w:val="20"/>
                <w:szCs w:val="20"/>
                <w:color w:val="auto"/>
              </w:rPr>
            </w:pPr>
            <w:r>
              <w:rPr>
                <w:rFonts w:ascii="Courier New" w:cs="Courier New" w:eastAsia="Courier New" w:hAnsi="Courier New"/>
                <w:sz w:val="18"/>
                <w:szCs w:val="18"/>
                <w:color w:val="auto"/>
              </w:rPr>
              <w:t>12,402</w:t>
            </w:r>
          </w:p>
        </w:tc>
        <w:tc>
          <w:tcPr>
            <w:tcW w:w="420" w:type="dxa"/>
            <w:vAlign w:val="bottom"/>
          </w:tcPr>
          <w:p>
            <w:pPr>
              <w:ind w:left="220"/>
              <w:spacing w:after="0"/>
              <w:rPr>
                <w:sz w:val="20"/>
                <w:szCs w:val="20"/>
                <w:color w:val="auto"/>
              </w:rPr>
            </w:pPr>
            <w:r>
              <w:rPr>
                <w:rFonts w:ascii="Courier New" w:cs="Courier New" w:eastAsia="Courier New" w:hAnsi="Courier New"/>
                <w:sz w:val="18"/>
                <w:szCs w:val="18"/>
                <w:color w:val="auto"/>
              </w:rPr>
              <w:t>$</w:t>
            </w:r>
          </w:p>
        </w:tc>
        <w:tc>
          <w:tcPr>
            <w:tcW w:w="9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28,199</w:t>
            </w:r>
          </w:p>
        </w:tc>
        <w:tc>
          <w:tcPr>
            <w:tcW w:w="0" w:type="dxa"/>
            <w:vAlign w:val="bottom"/>
          </w:tcPr>
          <w:p>
            <w:pPr>
              <w:spacing w:after="0"/>
              <w:rPr>
                <w:sz w:val="1"/>
                <w:szCs w:val="1"/>
                <w:color w:val="auto"/>
              </w:rPr>
            </w:pPr>
          </w:p>
        </w:tc>
      </w:tr>
      <w:tr>
        <w:trPr>
          <w:trHeight w:val="203"/>
        </w:trPr>
        <w:tc>
          <w:tcPr>
            <w:tcW w:w="8640" w:type="dxa"/>
            <w:vAlign w:val="bottom"/>
            <w:gridSpan w:val="2"/>
          </w:tcPr>
          <w:p>
            <w:pPr>
              <w:jc w:val="right"/>
              <w:ind w:right="212"/>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96"/>
        </w:trPr>
        <w:tc>
          <w:tcPr>
            <w:tcW w:w="8640" w:type="dxa"/>
            <w:vAlign w:val="bottom"/>
            <w:gridSpan w:val="2"/>
          </w:tcPr>
          <w:p>
            <w:pPr>
              <w:jc w:val="right"/>
              <w:ind w:right="212"/>
              <w:spacing w:after="0"/>
              <w:rPr>
                <w:sz w:val="20"/>
                <w:szCs w:val="20"/>
                <w:color w:val="auto"/>
              </w:rPr>
            </w:pPr>
            <w:r>
              <w:rPr>
                <w:rFonts w:ascii="Courier New" w:cs="Courier New" w:eastAsia="Courier New" w:hAnsi="Courier New"/>
                <w:sz w:val="18"/>
                <w:szCs w:val="18"/>
                <w:color w:val="auto"/>
              </w:rPr>
              <w:t>----------</w:t>
            </w:r>
          </w:p>
        </w:tc>
        <w:tc>
          <w:tcPr>
            <w:tcW w:w="1380" w:type="dxa"/>
            <w:vAlign w:val="bottom"/>
            <w:gridSpan w:val="2"/>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accompanying notes to condensed consolidated financial statements.</w:t>
      </w:r>
    </w:p>
    <w:p>
      <w:pPr>
        <w:spacing w:after="0" w:line="200" w:lineRule="exact"/>
        <w:rPr>
          <w:sz w:val="20"/>
          <w:szCs w:val="20"/>
          <w:color w:val="auto"/>
        </w:rPr>
      </w:pP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-5-</w:t>
      </w:r>
    </w:p>
    <w:p>
      <w:pPr>
        <w:sectPr>
          <w:pgSz w:w="11900" w:h="16838" w:orient="portrait"/>
          <w:cols w:equalWidth="0" w:num="1">
            <w:col w:w="10219"/>
          </w:cols>
          <w:pgMar w:left="240" w:top="488" w:right="1440" w:bottom="1440" w:gutter="0" w:footer="0" w:header="0"/>
        </w:sectPr>
      </w:pPr>
    </w:p>
    <w:bookmarkStart w:id="5" w:name="page6"/>
    <w:bookmarkEnd w:id="5"/>
    <w:p>
      <w:pPr>
        <w:jc w:val="center"/>
        <w:ind w:left="260" w:right="840"/>
        <w:spacing w:after="0" w:line="310" w:lineRule="auto"/>
        <w:rPr>
          <w:sz w:val="20"/>
          <w:szCs w:val="20"/>
          <w:color w:val="auto"/>
        </w:rPr>
      </w:pPr>
      <w:r>
        <w:rPr>
          <w:rFonts w:ascii="Courier New" w:cs="Courier New" w:eastAsia="Courier New" w:hAnsi="Courier New"/>
          <w:sz w:val="18"/>
          <w:szCs w:val="18"/>
          <w:color w:val="auto"/>
        </w:rPr>
        <w:t>THE TORO COMPANY AND SUBSIDIARIES NOTES TO CONDENSED CONSOLIDATED FINANCIAL STATEMENTS (UNAUDITED) OCTOBER 28, 1994</w:t>
      </w:r>
    </w:p>
    <w:p>
      <w:pPr>
        <w:spacing w:after="0" w:line="284" w:lineRule="exact"/>
        <w:rPr>
          <w:sz w:val="20"/>
          <w:szCs w:val="20"/>
          <w:color w:val="auto"/>
        </w:rPr>
      </w:pPr>
    </w:p>
    <w:p>
      <w:pPr>
        <w:ind w:left="532" w:hanging="532"/>
        <w:spacing w:after="0"/>
        <w:tabs>
          <w:tab w:leader="none" w:pos="532"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BACKGROUND</w:t>
      </w:r>
    </w:p>
    <w:p>
      <w:pPr>
        <w:spacing w:after="0" w:line="30" w:lineRule="exact"/>
        <w:rPr>
          <w:rFonts w:ascii="Courier New" w:cs="Courier New" w:eastAsia="Courier New" w:hAnsi="Courier New"/>
          <w:sz w:val="18"/>
          <w:szCs w:val="18"/>
          <w:color w:val="auto"/>
        </w:rPr>
      </w:pPr>
    </w:p>
    <w:p>
      <w:pPr>
        <w:ind w:left="532" w:right="1779"/>
        <w:spacing w:after="0" w:line="25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The information furnished reflects all adjustments which, in the opinion of management, are necessary for a fair presentation of the interim periods. The Toro Company's business is seasonal. Operating results for the three months ended October 28, 1994 are not necessarily indicative of the results that may be expected for the year ending July 31, 1995.</w:t>
      </w:r>
    </w:p>
    <w:p>
      <w:pPr>
        <w:spacing w:after="0" w:line="95" w:lineRule="exact"/>
        <w:rPr>
          <w:rFonts w:ascii="Courier New" w:cs="Courier New" w:eastAsia="Courier New" w:hAnsi="Courier New"/>
          <w:sz w:val="18"/>
          <w:szCs w:val="18"/>
          <w:color w:val="auto"/>
        </w:rPr>
      </w:pPr>
    </w:p>
    <w:p>
      <w:pPr>
        <w:ind w:left="532" w:right="1999"/>
        <w:spacing w:after="0" w:line="274"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These statements should be read in conjunction with the financial statements and footnotes included in the company's Annual Report for the year ended July 31, 1994. The policies described in that report are used for preparing quarterly reports.</w:t>
      </w:r>
    </w:p>
    <w:p>
      <w:pPr>
        <w:spacing w:after="0" w:line="284" w:lineRule="exact"/>
        <w:rPr>
          <w:sz w:val="20"/>
          <w:szCs w:val="20"/>
          <w:color w:val="auto"/>
        </w:rPr>
      </w:pPr>
    </w:p>
    <w:p>
      <w:pPr>
        <w:ind w:left="4112"/>
        <w:spacing w:after="0"/>
        <w:rPr>
          <w:sz w:val="20"/>
          <w:szCs w:val="20"/>
          <w:color w:val="auto"/>
        </w:rPr>
      </w:pPr>
      <w:r>
        <w:rPr>
          <w:rFonts w:ascii="Courier New" w:cs="Courier New" w:eastAsia="Courier New" w:hAnsi="Courier New"/>
          <w:sz w:val="18"/>
          <w:szCs w:val="18"/>
          <w:color w:val="auto"/>
        </w:rPr>
        <w:t>-6-</w:t>
      </w:r>
    </w:p>
    <w:p>
      <w:pPr>
        <w:sectPr>
          <w:pgSz w:w="11900" w:h="16838" w:orient="portrait"/>
          <w:cols w:equalWidth="0" w:num="1">
            <w:col w:w="10211"/>
          </w:cols>
          <w:pgMar w:left="248" w:top="691" w:right="1440" w:bottom="1440" w:gutter="0" w:footer="0" w:header="0"/>
        </w:sectPr>
      </w:pPr>
    </w:p>
    <w:bookmarkStart w:id="6" w:name="page7"/>
    <w:bookmarkEnd w:id="6"/>
    <w:p>
      <w:pPr>
        <w:jc w:val="center"/>
        <w:ind w:right="1679"/>
        <w:spacing w:after="0"/>
        <w:rPr>
          <w:sz w:val="20"/>
          <w:szCs w:val="20"/>
          <w:color w:val="auto"/>
        </w:rPr>
      </w:pPr>
      <w:r>
        <w:rPr>
          <w:rFonts w:ascii="Courier New" w:cs="Courier New" w:eastAsia="Courier New" w:hAnsi="Courier New"/>
          <w:sz w:val="18"/>
          <w:szCs w:val="18"/>
          <w:color w:val="auto"/>
        </w:rPr>
        <w:t>MANAGEMENT'S DISCUSSION AND ANALYSIS OF FINANCIAL CONDITION</w:t>
      </w:r>
    </w:p>
    <w:p>
      <w:pPr>
        <w:spacing w:after="0" w:line="31" w:lineRule="exact"/>
        <w:rPr>
          <w:sz w:val="20"/>
          <w:szCs w:val="20"/>
          <w:color w:val="auto"/>
        </w:rPr>
      </w:pPr>
    </w:p>
    <w:p>
      <w:pPr>
        <w:jc w:val="center"/>
        <w:ind w:right="1679"/>
        <w:spacing w:after="0"/>
        <w:rPr>
          <w:sz w:val="20"/>
          <w:szCs w:val="20"/>
          <w:color w:val="auto"/>
        </w:rPr>
      </w:pPr>
      <w:r>
        <w:rPr>
          <w:rFonts w:ascii="Courier New" w:cs="Courier New" w:eastAsia="Courier New" w:hAnsi="Courier New"/>
          <w:sz w:val="18"/>
          <w:szCs w:val="18"/>
          <w:color w:val="auto"/>
        </w:rPr>
        <w:t>AND RESULTS OF OPERATIONS</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LIQUIDITY AND CAPITAL RESOURCES</w:t>
      </w:r>
    </w:p>
    <w:p>
      <w:pPr>
        <w:spacing w:after="0" w:line="201" w:lineRule="exact"/>
        <w:rPr>
          <w:sz w:val="20"/>
          <w:szCs w:val="20"/>
          <w:color w:val="auto"/>
        </w:rPr>
      </w:pPr>
    </w:p>
    <w:p>
      <w:pPr>
        <w:ind w:right="1779"/>
        <w:spacing w:after="0" w:line="249" w:lineRule="auto"/>
        <w:rPr>
          <w:sz w:val="20"/>
          <w:szCs w:val="20"/>
          <w:color w:val="auto"/>
        </w:rPr>
      </w:pPr>
      <w:r>
        <w:rPr>
          <w:rFonts w:ascii="Courier New" w:cs="Courier New" w:eastAsia="Courier New" w:hAnsi="Courier New"/>
          <w:sz w:val="18"/>
          <w:szCs w:val="18"/>
          <w:color w:val="auto"/>
        </w:rPr>
        <w:t>Total assets for the company as of October 28, 1994, were $451.6 million, an increase of $51.8 million, or 13.0%, from the $399.8 million reported at the end of the first quarter last year. The increase in assets consisted primarily of higher trade receivables and inventory which were offset partially by a decrease in cash and cash equivalents. The increase in trade receivables reflected an increase in dealer receivables financed by the company ($24.5 million) as well as an overall increase in sales. The increase in inventory resulted primarily from increased walk power mower production carried over from the prior year, as well as the addition of the recycling equipment product line in 1995. Cash and cash equivalents have decreased primarily because of continued reduction of long-term debt.</w:t>
      </w:r>
    </w:p>
    <w:p>
      <w:pPr>
        <w:spacing w:after="0" w:line="104" w:lineRule="exact"/>
        <w:rPr>
          <w:sz w:val="20"/>
          <w:szCs w:val="20"/>
          <w:color w:val="auto"/>
        </w:rPr>
      </w:pPr>
    </w:p>
    <w:p>
      <w:pPr>
        <w:ind w:right="1779"/>
        <w:spacing w:after="0" w:line="260" w:lineRule="auto"/>
        <w:rPr>
          <w:sz w:val="20"/>
          <w:szCs w:val="20"/>
          <w:color w:val="auto"/>
        </w:rPr>
      </w:pPr>
      <w:r>
        <w:rPr>
          <w:rFonts w:ascii="Courier New" w:cs="Courier New" w:eastAsia="Courier New" w:hAnsi="Courier New"/>
          <w:sz w:val="18"/>
          <w:szCs w:val="18"/>
          <w:color w:val="auto"/>
        </w:rPr>
        <w:t>Total debt as of October 28, 1994 was $91.5 million, or $32.0 million less than the $123.5 million reported at the end of the first quarter last year. The ratio of total debt to total debt plus equity decreased to 33.8% from the 46.5% reported as of October 29, 1993. The lower debt ratio resulted from the reduced debt levels in combination with an increased equity position primarily because of earnings in the past two years.</w:t>
      </w:r>
    </w:p>
    <w:p>
      <w:pPr>
        <w:spacing w:after="0" w:line="93" w:lineRule="exact"/>
        <w:rPr>
          <w:sz w:val="20"/>
          <w:szCs w:val="20"/>
          <w:color w:val="auto"/>
        </w:rPr>
      </w:pPr>
    </w:p>
    <w:p>
      <w:pPr>
        <w:ind w:right="1779"/>
        <w:spacing w:after="0" w:line="289" w:lineRule="auto"/>
        <w:rPr>
          <w:sz w:val="20"/>
          <w:szCs w:val="20"/>
          <w:color w:val="auto"/>
        </w:rPr>
      </w:pPr>
      <w:r>
        <w:rPr>
          <w:rFonts w:ascii="Courier New" w:cs="Courier New" w:eastAsia="Courier New" w:hAnsi="Courier New"/>
          <w:sz w:val="16"/>
          <w:szCs w:val="16"/>
          <w:color w:val="auto"/>
        </w:rPr>
        <w:t>The company's business is seasonal. Historically, accounts receivable balances increase throughout the winter months as a result of extended payment terms made available to the company's customers and decrease in late spring when payments become due. The company's peak borrowing usually occurs in its third quarter. The seasonal working capital requirements of the business are financed primarily with short-term debt. Management believes that the combination of funds available through its existing financing options, coupled with forecasted cash flows, will provide the capital resources for its anticipated needs.</w:t>
      </w:r>
    </w:p>
    <w:p>
      <w:pPr>
        <w:spacing w:after="0" w:line="7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RESULTS OF OPERATIONS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following table sets forth sales by product line.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20" w:type="dxa"/>
            <w:vAlign w:val="bottom"/>
            <w:gridSpan w:val="3"/>
          </w:tcPr>
          <w:p>
            <w:pPr>
              <w:jc w:val="right"/>
              <w:ind w:right="392"/>
              <w:spacing w:after="0"/>
              <w:rPr>
                <w:sz w:val="20"/>
                <w:szCs w:val="20"/>
                <w:color w:val="auto"/>
              </w:rPr>
            </w:pPr>
            <w:r>
              <w:rPr>
                <w:rFonts w:ascii="Courier New" w:cs="Courier New" w:eastAsia="Courier New" w:hAnsi="Courier New"/>
                <w:sz w:val="18"/>
                <w:szCs w:val="18"/>
                <w:color w:val="auto"/>
                <w:w w:val="98"/>
              </w:rPr>
              <w:t>Three Months Ended</w:t>
            </w: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860" w:type="dxa"/>
            <w:vAlign w:val="bottom"/>
            <w:gridSpan w:val="7"/>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51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OCTOBER 28,</w:t>
            </w:r>
          </w:p>
        </w:tc>
        <w:tc>
          <w:tcPr>
            <w:tcW w:w="138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October 29,</w:t>
            </w:r>
          </w:p>
        </w:tc>
        <w:tc>
          <w:tcPr>
            <w:tcW w:w="200" w:type="dxa"/>
            <w:vAlign w:val="bottom"/>
          </w:tcPr>
          <w:p>
            <w:pPr>
              <w:spacing w:after="0"/>
              <w:rPr>
                <w:sz w:val="17"/>
                <w:szCs w:val="17"/>
                <w:color w:val="auto"/>
              </w:rPr>
            </w:pPr>
          </w:p>
        </w:tc>
        <w:tc>
          <w:tcPr>
            <w:tcW w:w="1120" w:type="dxa"/>
            <w:vAlign w:val="bottom"/>
            <w:vMerge w:val="restart"/>
          </w:tcPr>
          <w:p>
            <w:pPr>
              <w:jc w:val="right"/>
              <w:ind w:right="172"/>
              <w:spacing w:after="0"/>
              <w:rPr>
                <w:sz w:val="20"/>
                <w:szCs w:val="20"/>
                <w:color w:val="auto"/>
              </w:rPr>
            </w:pPr>
            <w:r>
              <w:rPr>
                <w:rFonts w:ascii="Courier New" w:cs="Courier New" w:eastAsia="Courier New" w:hAnsi="Courier New"/>
                <w:sz w:val="18"/>
                <w:szCs w:val="18"/>
                <w:color w:val="auto"/>
                <w:w w:val="97"/>
              </w:rPr>
              <w:t>$ Change</w:t>
            </w:r>
          </w:p>
        </w:tc>
        <w:tc>
          <w:tcPr>
            <w:tcW w:w="100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 Change</w:t>
            </w:r>
          </w:p>
        </w:tc>
        <w:tc>
          <w:tcPr>
            <w:tcW w:w="0" w:type="dxa"/>
            <w:vAlign w:val="bottom"/>
          </w:tcPr>
          <w:p>
            <w:pPr>
              <w:spacing w:after="0"/>
              <w:rPr>
                <w:sz w:val="1"/>
                <w:szCs w:val="1"/>
                <w:color w:val="auto"/>
              </w:rPr>
            </w:pPr>
          </w:p>
        </w:tc>
      </w:tr>
      <w:tr>
        <w:trPr>
          <w:trHeight w:val="203"/>
        </w:trPr>
        <w:tc>
          <w:tcPr>
            <w:tcW w:w="4120" w:type="dxa"/>
            <w:vAlign w:val="bottom"/>
          </w:tcPr>
          <w:p>
            <w:pPr>
              <w:spacing w:after="0"/>
              <w:rPr>
                <w:sz w:val="17"/>
                <w:szCs w:val="17"/>
                <w:color w:val="auto"/>
              </w:rPr>
            </w:pPr>
          </w:p>
        </w:tc>
        <w:tc>
          <w:tcPr>
            <w:tcW w:w="10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1994</w:t>
            </w:r>
          </w:p>
        </w:tc>
        <w:tc>
          <w:tcPr>
            <w:tcW w:w="280" w:type="dxa"/>
            <w:vAlign w:val="bottom"/>
          </w:tcPr>
          <w:p>
            <w:pPr>
              <w:spacing w:after="0"/>
              <w:rPr>
                <w:sz w:val="17"/>
                <w:szCs w:val="17"/>
                <w:color w:val="auto"/>
              </w:rPr>
            </w:pPr>
          </w:p>
        </w:tc>
        <w:tc>
          <w:tcPr>
            <w:tcW w:w="110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1993</w:t>
            </w:r>
          </w:p>
        </w:tc>
        <w:tc>
          <w:tcPr>
            <w:tcW w:w="200" w:type="dxa"/>
            <w:vAlign w:val="bottom"/>
          </w:tcPr>
          <w:p>
            <w:pPr>
              <w:spacing w:after="0"/>
              <w:rPr>
                <w:sz w:val="17"/>
                <w:szCs w:val="17"/>
                <w:color w:val="auto"/>
              </w:rPr>
            </w:pPr>
          </w:p>
        </w:tc>
        <w:tc>
          <w:tcPr>
            <w:tcW w:w="1120" w:type="dxa"/>
            <w:vAlign w:val="bottom"/>
            <w:vMerge w:val="continue"/>
          </w:tcPr>
          <w:p>
            <w:pPr>
              <w:spacing w:after="0"/>
              <w:rPr>
                <w:sz w:val="17"/>
                <w:szCs w:val="17"/>
                <w:color w:val="auto"/>
              </w:rPr>
            </w:pPr>
          </w:p>
        </w:tc>
        <w:tc>
          <w:tcPr>
            <w:tcW w:w="10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5160" w:type="dxa"/>
            <w:vAlign w:val="bottom"/>
            <w:gridSpan w:val="2"/>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1380" w:type="dxa"/>
            <w:vAlign w:val="bottom"/>
            <w:gridSpan w:val="2"/>
          </w:tcPr>
          <w:p>
            <w:pPr>
              <w:ind w:left="120"/>
              <w:spacing w:after="0"/>
              <w:rPr>
                <w:sz w:val="20"/>
                <w:szCs w:val="20"/>
                <w:color w:val="auto"/>
              </w:rPr>
            </w:pPr>
            <w:r>
              <w:rPr>
                <w:rFonts w:ascii="Courier New" w:cs="Courier New" w:eastAsia="Courier New" w:hAnsi="Courier New"/>
                <w:sz w:val="18"/>
                <w:szCs w:val="18"/>
                <w:color w:val="auto"/>
              </w:rPr>
              <w:t>-----------</w:t>
            </w:r>
          </w:p>
        </w:tc>
        <w:tc>
          <w:tcPr>
            <w:tcW w:w="1320" w:type="dxa"/>
            <w:vAlign w:val="bottom"/>
            <w:gridSpan w:val="2"/>
          </w:tcPr>
          <w:p>
            <w:pPr>
              <w:jc w:val="right"/>
              <w:ind w:right="72"/>
              <w:spacing w:after="0"/>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311"/>
        </w:trPr>
        <w:tc>
          <w:tcPr>
            <w:tcW w:w="4120" w:type="dxa"/>
            <w:vAlign w:val="bottom"/>
          </w:tcPr>
          <w:p>
            <w:pPr>
              <w:spacing w:after="0"/>
              <w:rPr>
                <w:sz w:val="20"/>
                <w:szCs w:val="20"/>
                <w:color w:val="auto"/>
              </w:rPr>
            </w:pPr>
            <w:r>
              <w:rPr>
                <w:rFonts w:ascii="Courier New" w:cs="Courier New" w:eastAsia="Courier New" w:hAnsi="Courier New"/>
                <w:sz w:val="18"/>
                <w:szCs w:val="18"/>
                <w:color w:val="auto"/>
                <w:w w:val="99"/>
              </w:rPr>
              <w:t>Consumer products. . . . . . . . . . $</w:t>
            </w:r>
          </w:p>
        </w:tc>
        <w:tc>
          <w:tcPr>
            <w:tcW w:w="104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126,756</w:t>
            </w:r>
          </w:p>
        </w:tc>
        <w:tc>
          <w:tcPr>
            <w:tcW w:w="280" w:type="dxa"/>
            <w:vAlign w:val="bottom"/>
          </w:tcPr>
          <w:p>
            <w:pPr>
              <w:ind w:left="120"/>
              <w:spacing w:after="0"/>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75,040</w:t>
            </w:r>
          </w:p>
        </w:tc>
        <w:tc>
          <w:tcPr>
            <w:tcW w:w="20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120" w:type="dxa"/>
            <w:vAlign w:val="bottom"/>
          </w:tcPr>
          <w:p>
            <w:pPr>
              <w:jc w:val="right"/>
              <w:ind w:right="72"/>
              <w:spacing w:after="0"/>
              <w:rPr>
                <w:sz w:val="20"/>
                <w:szCs w:val="20"/>
                <w:color w:val="auto"/>
              </w:rPr>
            </w:pPr>
            <w:r>
              <w:rPr>
                <w:rFonts w:ascii="Courier New" w:cs="Courier New" w:eastAsia="Courier New" w:hAnsi="Courier New"/>
                <w:sz w:val="18"/>
                <w:szCs w:val="18"/>
                <w:color w:val="auto"/>
              </w:rPr>
              <w:t>51,716</w:t>
            </w:r>
          </w:p>
        </w:tc>
        <w:tc>
          <w:tcPr>
            <w:tcW w:w="1000" w:type="dxa"/>
            <w:vAlign w:val="bottom"/>
          </w:tcPr>
          <w:p>
            <w:pPr>
              <w:jc w:val="right"/>
              <w:ind w:right="12"/>
              <w:spacing w:after="0"/>
              <w:rPr>
                <w:sz w:val="20"/>
                <w:szCs w:val="20"/>
                <w:color w:val="auto"/>
              </w:rPr>
            </w:pPr>
            <w:r>
              <w:rPr>
                <w:rFonts w:ascii="Courier New" w:cs="Courier New" w:eastAsia="Courier New" w:hAnsi="Courier New"/>
                <w:sz w:val="18"/>
                <w:szCs w:val="18"/>
                <w:color w:val="auto"/>
              </w:rPr>
              <w:t>68.9%</w:t>
            </w:r>
          </w:p>
        </w:tc>
        <w:tc>
          <w:tcPr>
            <w:tcW w:w="0" w:type="dxa"/>
            <w:vAlign w:val="bottom"/>
          </w:tcPr>
          <w:p>
            <w:pPr>
              <w:spacing w:after="0"/>
              <w:rPr>
                <w:sz w:val="1"/>
                <w:szCs w:val="1"/>
                <w:color w:val="auto"/>
              </w:rPr>
            </w:pPr>
          </w:p>
        </w:tc>
      </w:tr>
      <w:tr>
        <w:trPr>
          <w:trHeight w:val="203"/>
        </w:trPr>
        <w:tc>
          <w:tcPr>
            <w:tcW w:w="4120" w:type="dxa"/>
            <w:vAlign w:val="bottom"/>
          </w:tcPr>
          <w:p>
            <w:pPr>
              <w:spacing w:after="0" w:line="203" w:lineRule="exact"/>
              <w:rPr>
                <w:sz w:val="20"/>
                <w:szCs w:val="20"/>
                <w:color w:val="auto"/>
              </w:rPr>
            </w:pPr>
            <w:r>
              <w:rPr>
                <w:rFonts w:ascii="Courier New" w:cs="Courier New" w:eastAsia="Courier New" w:hAnsi="Courier New"/>
                <w:sz w:val="18"/>
                <w:szCs w:val="18"/>
                <w:color w:val="auto"/>
              </w:rPr>
              <w:t>Commercial products. . . . . . . . .</w:t>
            </w:r>
          </w:p>
        </w:tc>
        <w:tc>
          <w:tcPr>
            <w:tcW w:w="10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48,656</w:t>
            </w:r>
          </w:p>
        </w:tc>
        <w:tc>
          <w:tcPr>
            <w:tcW w:w="280" w:type="dxa"/>
            <w:vAlign w:val="bottom"/>
          </w:tcPr>
          <w:p>
            <w:pPr>
              <w:spacing w:after="0"/>
              <w:rPr>
                <w:sz w:val="17"/>
                <w:szCs w:val="17"/>
                <w:color w:val="auto"/>
              </w:rPr>
            </w:pPr>
          </w:p>
        </w:tc>
        <w:tc>
          <w:tcPr>
            <w:tcW w:w="11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40,903</w:t>
            </w:r>
          </w:p>
        </w:tc>
        <w:tc>
          <w:tcPr>
            <w:tcW w:w="200" w:type="dxa"/>
            <w:vAlign w:val="bottom"/>
          </w:tcPr>
          <w:p>
            <w:pPr>
              <w:spacing w:after="0"/>
              <w:rPr>
                <w:sz w:val="17"/>
                <w:szCs w:val="17"/>
                <w:color w:val="auto"/>
              </w:rPr>
            </w:pPr>
          </w:p>
        </w:tc>
        <w:tc>
          <w:tcPr>
            <w:tcW w:w="11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7,753</w:t>
            </w: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19.0</w:t>
            </w:r>
          </w:p>
        </w:tc>
        <w:tc>
          <w:tcPr>
            <w:tcW w:w="0" w:type="dxa"/>
            <w:vAlign w:val="bottom"/>
          </w:tcPr>
          <w:p>
            <w:pPr>
              <w:spacing w:after="0"/>
              <w:rPr>
                <w:sz w:val="1"/>
                <w:szCs w:val="1"/>
                <w:color w:val="auto"/>
              </w:rPr>
            </w:pPr>
          </w:p>
        </w:tc>
      </w:tr>
      <w:tr>
        <w:trPr>
          <w:trHeight w:val="203"/>
        </w:trPr>
        <w:tc>
          <w:tcPr>
            <w:tcW w:w="4120" w:type="dxa"/>
            <w:vAlign w:val="bottom"/>
          </w:tcPr>
          <w:p>
            <w:pPr>
              <w:spacing w:after="0" w:line="203" w:lineRule="exact"/>
              <w:rPr>
                <w:sz w:val="20"/>
                <w:szCs w:val="20"/>
                <w:color w:val="auto"/>
              </w:rPr>
            </w:pPr>
            <w:r>
              <w:rPr>
                <w:rFonts w:ascii="Courier New" w:cs="Courier New" w:eastAsia="Courier New" w:hAnsi="Courier New"/>
                <w:sz w:val="18"/>
                <w:szCs w:val="18"/>
                <w:color w:val="auto"/>
              </w:rPr>
              <w:t>Irrigation products. . . . . . . . .</w:t>
            </w:r>
          </w:p>
        </w:tc>
        <w:tc>
          <w:tcPr>
            <w:tcW w:w="10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30,292</w:t>
            </w:r>
          </w:p>
        </w:tc>
        <w:tc>
          <w:tcPr>
            <w:tcW w:w="280" w:type="dxa"/>
            <w:vAlign w:val="bottom"/>
          </w:tcPr>
          <w:p>
            <w:pPr>
              <w:spacing w:after="0"/>
              <w:rPr>
                <w:sz w:val="17"/>
                <w:szCs w:val="17"/>
                <w:color w:val="auto"/>
              </w:rPr>
            </w:pPr>
          </w:p>
        </w:tc>
        <w:tc>
          <w:tcPr>
            <w:tcW w:w="11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19,818</w:t>
            </w:r>
          </w:p>
        </w:tc>
        <w:tc>
          <w:tcPr>
            <w:tcW w:w="200" w:type="dxa"/>
            <w:vAlign w:val="bottom"/>
          </w:tcPr>
          <w:p>
            <w:pPr>
              <w:spacing w:after="0"/>
              <w:rPr>
                <w:sz w:val="17"/>
                <w:szCs w:val="17"/>
                <w:color w:val="auto"/>
              </w:rPr>
            </w:pPr>
          </w:p>
        </w:tc>
        <w:tc>
          <w:tcPr>
            <w:tcW w:w="11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10,474</w:t>
            </w: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52.9</w:t>
            </w:r>
          </w:p>
        </w:tc>
        <w:tc>
          <w:tcPr>
            <w:tcW w:w="0" w:type="dxa"/>
            <w:vAlign w:val="bottom"/>
          </w:tcPr>
          <w:p>
            <w:pPr>
              <w:spacing w:after="0"/>
              <w:rPr>
                <w:sz w:val="1"/>
                <w:szCs w:val="1"/>
                <w:color w:val="auto"/>
              </w:rPr>
            </w:pPr>
          </w:p>
        </w:tc>
      </w:tr>
      <w:tr>
        <w:trPr>
          <w:trHeight w:val="203"/>
        </w:trPr>
        <w:tc>
          <w:tcPr>
            <w:tcW w:w="4120" w:type="dxa"/>
            <w:vAlign w:val="bottom"/>
            <w:vMerge w:val="restart"/>
          </w:tcPr>
          <w:p>
            <w:pPr>
              <w:ind w:left="220"/>
              <w:spacing w:after="0"/>
              <w:rPr>
                <w:sz w:val="20"/>
                <w:szCs w:val="20"/>
                <w:color w:val="auto"/>
              </w:rPr>
            </w:pPr>
            <w:r>
              <w:rPr>
                <w:rFonts w:ascii="Courier New" w:cs="Courier New" w:eastAsia="Courier New" w:hAnsi="Courier New"/>
                <w:sz w:val="18"/>
                <w:szCs w:val="18"/>
                <w:color w:val="auto"/>
                <w:w w:val="73"/>
              </w:rPr>
              <w:t>Total *. . . . . . . . . . . . . . $</w:t>
            </w:r>
            <w:r>
              <w:rPr>
                <w:rFonts w:ascii="Courier New" w:cs="Courier New" w:eastAsia="Courier New" w:hAnsi="Courier New"/>
                <w:sz w:val="35"/>
                <w:szCs w:val="35"/>
                <w:color w:val="auto"/>
                <w:w w:val="73"/>
                <w:vertAlign w:val="superscript"/>
              </w:rPr>
              <w:t>----------</w:t>
            </w:r>
          </w:p>
        </w:tc>
        <w:tc>
          <w:tcPr>
            <w:tcW w:w="1040" w:type="dxa"/>
            <w:vAlign w:val="bottom"/>
            <w:vMerge w:val="restart"/>
          </w:tcPr>
          <w:p>
            <w:pPr>
              <w:jc w:val="right"/>
              <w:ind w:right="112"/>
              <w:spacing w:after="0"/>
              <w:rPr>
                <w:sz w:val="20"/>
                <w:szCs w:val="20"/>
                <w:color w:val="auto"/>
              </w:rPr>
            </w:pPr>
            <w:r>
              <w:rPr>
                <w:rFonts w:ascii="Courier New" w:cs="Courier New" w:eastAsia="Courier New" w:hAnsi="Courier New"/>
                <w:sz w:val="18"/>
                <w:szCs w:val="18"/>
                <w:color w:val="auto"/>
              </w:rPr>
              <w:t>205,704</w:t>
            </w:r>
          </w:p>
        </w:tc>
        <w:tc>
          <w:tcPr>
            <w:tcW w:w="138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rPr>
              <w:t>51.5</w:t>
            </w:r>
          </w:p>
        </w:tc>
        <w:tc>
          <w:tcPr>
            <w:tcW w:w="0" w:type="dxa"/>
            <w:vAlign w:val="bottom"/>
          </w:tcPr>
          <w:p>
            <w:pPr>
              <w:spacing w:after="0"/>
              <w:rPr>
                <w:sz w:val="1"/>
                <w:szCs w:val="1"/>
                <w:color w:val="auto"/>
              </w:rPr>
            </w:pPr>
          </w:p>
        </w:tc>
      </w:tr>
      <w:tr>
        <w:trPr>
          <w:trHeight w:val="203"/>
        </w:trPr>
        <w:tc>
          <w:tcPr>
            <w:tcW w:w="4120" w:type="dxa"/>
            <w:vAlign w:val="bottom"/>
            <w:vMerge w:val="continue"/>
          </w:tcPr>
          <w:p>
            <w:pPr>
              <w:spacing w:after="0"/>
              <w:rPr>
                <w:sz w:val="17"/>
                <w:szCs w:val="17"/>
                <w:color w:val="auto"/>
              </w:rPr>
            </w:pPr>
          </w:p>
        </w:tc>
        <w:tc>
          <w:tcPr>
            <w:tcW w:w="1040" w:type="dxa"/>
            <w:vAlign w:val="bottom"/>
            <w:vMerge w:val="continue"/>
          </w:tcPr>
          <w:p>
            <w:pPr>
              <w:spacing w:after="0"/>
              <w:rPr>
                <w:sz w:val="17"/>
                <w:szCs w:val="17"/>
                <w:color w:val="auto"/>
              </w:rPr>
            </w:pPr>
          </w:p>
        </w:tc>
        <w:tc>
          <w:tcPr>
            <w:tcW w:w="2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135,761</w:t>
            </w:r>
          </w:p>
        </w:tc>
        <w:tc>
          <w:tcPr>
            <w:tcW w:w="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1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69,943</w:t>
            </w:r>
          </w:p>
        </w:tc>
        <w:tc>
          <w:tcPr>
            <w:tcW w:w="10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6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5160" w:type="dxa"/>
            <w:vAlign w:val="bottom"/>
            <w:gridSpan w:val="2"/>
          </w:tcPr>
          <w:p>
            <w:pPr>
              <w:jc w:val="right"/>
              <w:ind w:right="112"/>
              <w:spacing w:after="0"/>
              <w:rPr>
                <w:sz w:val="20"/>
                <w:szCs w:val="20"/>
                <w:color w:val="auto"/>
              </w:rPr>
            </w:pPr>
            <w:r>
              <w:rPr>
                <w:rFonts w:ascii="Courier New" w:cs="Courier New" w:eastAsia="Courier New" w:hAnsi="Courier New"/>
                <w:sz w:val="18"/>
                <w:szCs w:val="18"/>
                <w:color w:val="auto"/>
              </w:rPr>
              <w:t>----------</w:t>
            </w:r>
          </w:p>
        </w:tc>
        <w:tc>
          <w:tcPr>
            <w:tcW w:w="1380" w:type="dxa"/>
            <w:vAlign w:val="bottom"/>
            <w:gridSpan w:val="2"/>
          </w:tcPr>
          <w:p>
            <w:pPr>
              <w:jc w:val="right"/>
              <w:ind w:right="132"/>
              <w:spacing w:after="0"/>
              <w:rPr>
                <w:sz w:val="20"/>
                <w:szCs w:val="20"/>
                <w:color w:val="auto"/>
              </w:rPr>
            </w:pPr>
            <w:r>
              <w:rPr>
                <w:rFonts w:ascii="Courier New" w:cs="Courier New" w:eastAsia="Courier New" w:hAnsi="Courier New"/>
                <w:sz w:val="18"/>
                <w:szCs w:val="18"/>
                <w:color w:val="auto"/>
              </w:rPr>
              <w:t>----------</w:t>
            </w:r>
          </w:p>
        </w:tc>
        <w:tc>
          <w:tcPr>
            <w:tcW w:w="1320" w:type="dxa"/>
            <w:vAlign w:val="bottom"/>
            <w:gridSpan w:val="2"/>
          </w:tcPr>
          <w:p>
            <w:pPr>
              <w:jc w:val="right"/>
              <w:ind w:right="72"/>
              <w:spacing w:after="0"/>
              <w:rPr>
                <w:sz w:val="20"/>
                <w:szCs w:val="20"/>
                <w:color w:val="auto"/>
              </w:rPr>
            </w:pPr>
            <w:r>
              <w:rPr>
                <w:rFonts w:ascii="Courier New" w:cs="Courier New" w:eastAsia="Courier New" w:hAnsi="Courier New"/>
                <w:sz w:val="18"/>
                <w:szCs w:val="18"/>
                <w:color w:val="auto"/>
              </w:rPr>
              <w:t>----------</w:t>
            </w: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4120" w:type="dxa"/>
            <w:vAlign w:val="bottom"/>
          </w:tcPr>
          <w:p>
            <w:pPr>
              <w:spacing w:after="0"/>
              <w:rPr>
                <w:sz w:val="20"/>
                <w:szCs w:val="20"/>
                <w:color w:val="auto"/>
              </w:rPr>
            </w:pPr>
            <w:r>
              <w:rPr>
                <w:rFonts w:ascii="Courier New" w:cs="Courier New" w:eastAsia="Courier New" w:hAnsi="Courier New"/>
                <w:sz w:val="18"/>
                <w:szCs w:val="18"/>
                <w:color w:val="auto"/>
                <w:w w:val="99"/>
              </w:rPr>
              <w:t>* Includes international sales of. . $</w:t>
            </w:r>
          </w:p>
        </w:tc>
        <w:tc>
          <w:tcPr>
            <w:tcW w:w="104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23,740</w:t>
            </w:r>
          </w:p>
        </w:tc>
        <w:tc>
          <w:tcPr>
            <w:tcW w:w="280" w:type="dxa"/>
            <w:vAlign w:val="bottom"/>
          </w:tcPr>
          <w:p>
            <w:pPr>
              <w:ind w:left="120"/>
              <w:spacing w:after="0"/>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13,098</w:t>
            </w:r>
          </w:p>
        </w:tc>
        <w:tc>
          <w:tcPr>
            <w:tcW w:w="20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120" w:type="dxa"/>
            <w:vAlign w:val="bottom"/>
          </w:tcPr>
          <w:p>
            <w:pPr>
              <w:jc w:val="right"/>
              <w:ind w:right="72"/>
              <w:spacing w:after="0"/>
              <w:rPr>
                <w:sz w:val="20"/>
                <w:szCs w:val="20"/>
                <w:color w:val="auto"/>
              </w:rPr>
            </w:pPr>
            <w:r>
              <w:rPr>
                <w:rFonts w:ascii="Courier New" w:cs="Courier New" w:eastAsia="Courier New" w:hAnsi="Courier New"/>
                <w:sz w:val="18"/>
                <w:szCs w:val="18"/>
                <w:color w:val="auto"/>
              </w:rPr>
              <w:t>10,642</w:t>
            </w:r>
          </w:p>
        </w:tc>
        <w:tc>
          <w:tcPr>
            <w:tcW w:w="1000" w:type="dxa"/>
            <w:vAlign w:val="bottom"/>
          </w:tcPr>
          <w:p>
            <w:pPr>
              <w:jc w:val="right"/>
              <w:ind w:right="12"/>
              <w:spacing w:after="0"/>
              <w:rPr>
                <w:sz w:val="20"/>
                <w:szCs w:val="20"/>
                <w:color w:val="auto"/>
              </w:rPr>
            </w:pPr>
            <w:r>
              <w:rPr>
                <w:rFonts w:ascii="Courier New" w:cs="Courier New" w:eastAsia="Courier New" w:hAnsi="Courier New"/>
                <w:sz w:val="18"/>
                <w:szCs w:val="18"/>
                <w:color w:val="auto"/>
              </w:rPr>
              <w:t>81.2%</w:t>
            </w:r>
          </w:p>
        </w:tc>
        <w:tc>
          <w:tcPr>
            <w:tcW w:w="0" w:type="dxa"/>
            <w:vAlign w:val="bottom"/>
          </w:tcPr>
          <w:p>
            <w:pPr>
              <w:spacing w:after="0"/>
              <w:rPr>
                <w:sz w:val="1"/>
                <w:szCs w:val="1"/>
                <w:color w:val="auto"/>
              </w:rPr>
            </w:pPr>
          </w:p>
        </w:tc>
      </w:tr>
      <w:tr>
        <w:trPr>
          <w:trHeight w:val="810"/>
        </w:trPr>
        <w:tc>
          <w:tcPr>
            <w:tcW w:w="4120" w:type="dxa"/>
            <w:vAlign w:val="bottom"/>
          </w:tcPr>
          <w:p>
            <w:pPr>
              <w:spacing w:after="0"/>
              <w:rPr>
                <w:sz w:val="24"/>
                <w:szCs w:val="24"/>
                <w:color w:val="auto"/>
              </w:rPr>
            </w:pPr>
          </w:p>
        </w:tc>
        <w:tc>
          <w:tcPr>
            <w:tcW w:w="1040" w:type="dxa"/>
            <w:vAlign w:val="bottom"/>
          </w:tcPr>
          <w:p>
            <w:pPr>
              <w:jc w:val="right"/>
              <w:ind w:right="632"/>
              <w:spacing w:after="0"/>
              <w:rPr>
                <w:sz w:val="20"/>
                <w:szCs w:val="20"/>
                <w:color w:val="auto"/>
              </w:rPr>
            </w:pPr>
            <w:r>
              <w:rPr>
                <w:rFonts w:ascii="Courier New" w:cs="Courier New" w:eastAsia="Courier New" w:hAnsi="Courier New"/>
                <w:sz w:val="18"/>
                <w:szCs w:val="18"/>
                <w:color w:val="auto"/>
                <w:w w:val="92"/>
              </w:rPr>
              <w:t>-7-</w:t>
            </w:r>
          </w:p>
        </w:tc>
        <w:tc>
          <w:tcPr>
            <w:tcW w:w="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219"/>
          </w:cols>
          <w:pgMar w:left="240" w:top="691" w:right="1440" w:bottom="1440" w:gutter="0" w:footer="0" w:header="0"/>
        </w:sectPr>
      </w:pPr>
    </w:p>
    <w:bookmarkStart w:id="7" w:name="page8"/>
    <w:bookmarkEnd w:id="7"/>
    <w:p>
      <w:pPr>
        <w:ind w:right="1779"/>
        <w:spacing w:after="0" w:line="249" w:lineRule="auto"/>
        <w:rPr>
          <w:sz w:val="20"/>
          <w:szCs w:val="20"/>
          <w:color w:val="auto"/>
        </w:rPr>
      </w:pPr>
      <w:r>
        <w:rPr>
          <w:rFonts w:ascii="Courier New" w:cs="Courier New" w:eastAsia="Courier New" w:hAnsi="Courier New"/>
          <w:sz w:val="18"/>
          <w:szCs w:val="18"/>
          <w:color w:val="auto"/>
        </w:rPr>
        <w:t>Changes in net sales for the first quarter were attributed to the following factors. Consumer product sales rose reflecting increased sales of snow removal equipment, electric blowers and the new lower priced lawn tractor introduced in 1994. The commercial product sales increase was attributable to a continued strong domestic golf market, increased demand in tax-supported markets and the introduction of recycling equipment products. The irrigation product sales increase resulted partially from the domestic distribution reorganization made in 1994 and favorable weather conditions. The increase in international sales was primarily the result of strong irrigation product sales, increased sales of snow removal equipment and rebounding economies in various international markets.</w:t>
      </w:r>
    </w:p>
    <w:p>
      <w:pPr>
        <w:spacing w:after="0" w:line="104" w:lineRule="exact"/>
        <w:rPr>
          <w:sz w:val="20"/>
          <w:szCs w:val="20"/>
          <w:color w:val="auto"/>
        </w:rPr>
      </w:pPr>
    </w:p>
    <w:p>
      <w:pPr>
        <w:ind w:right="2099"/>
        <w:spacing w:after="0" w:line="298" w:lineRule="auto"/>
        <w:rPr>
          <w:sz w:val="20"/>
          <w:szCs w:val="20"/>
          <w:color w:val="auto"/>
        </w:rPr>
      </w:pPr>
      <w:r>
        <w:rPr>
          <w:rFonts w:ascii="Courier New" w:cs="Courier New" w:eastAsia="Courier New" w:hAnsi="Courier New"/>
          <w:sz w:val="16"/>
          <w:szCs w:val="16"/>
          <w:color w:val="auto"/>
        </w:rPr>
        <w:t>Gross profit of $76.1 million was $27.1 million (55.3%) higher than the $49.0 million reported for the first quarter of 1994. As a percent of sales, gross profit increased to 37.0% for the first quarter of 1995 compared to 36.1% for the first quarter last year. The increases in gross profit and gross profit percentage were attributed to increased sales and greater manufacturing efficiencies which were offset partially by a lower-margin product mix.</w:t>
      </w:r>
    </w:p>
    <w:p>
      <w:pPr>
        <w:spacing w:after="0" w:line="68" w:lineRule="exact"/>
        <w:rPr>
          <w:sz w:val="20"/>
          <w:szCs w:val="20"/>
          <w:color w:val="auto"/>
        </w:rPr>
      </w:pPr>
    </w:p>
    <w:p>
      <w:pPr>
        <w:ind w:right="1879"/>
        <w:spacing w:after="0" w:line="250" w:lineRule="auto"/>
        <w:rPr>
          <w:sz w:val="20"/>
          <w:szCs w:val="20"/>
          <w:color w:val="auto"/>
        </w:rPr>
      </w:pPr>
      <w:r>
        <w:rPr>
          <w:rFonts w:ascii="Courier New" w:cs="Courier New" w:eastAsia="Courier New" w:hAnsi="Courier New"/>
          <w:sz w:val="18"/>
          <w:szCs w:val="18"/>
          <w:color w:val="auto"/>
        </w:rPr>
        <w:t>Selling, general and administrative expenses increased $10.7 million, or 20.6%, to $62.7 million from the $52.0 million for the first quarter last year which primarily reflected an increase in marketing expenditures and an increase in administrative expense for various employee incentive programs, shared costs of currency protection contracts with foreign distributors, distribution enhancement costs and product development charges. As a percent of sales, selling, general and administrative expenses were 30.5% of net sales for the first quarter of 1995 compared to 38.3% for the first quarter last year primarily because of benefits from effective cost control measures implemented in the past few years.</w:t>
      </w:r>
    </w:p>
    <w:p>
      <w:pPr>
        <w:spacing w:after="0" w:line="104" w:lineRule="exact"/>
        <w:rPr>
          <w:sz w:val="20"/>
          <w:szCs w:val="20"/>
          <w:color w:val="auto"/>
        </w:rPr>
      </w:pPr>
    </w:p>
    <w:p>
      <w:pPr>
        <w:ind w:right="1779"/>
        <w:spacing w:after="0" w:line="292" w:lineRule="auto"/>
        <w:rPr>
          <w:sz w:val="20"/>
          <w:szCs w:val="20"/>
          <w:color w:val="auto"/>
        </w:rPr>
      </w:pPr>
      <w:r>
        <w:rPr>
          <w:rFonts w:ascii="Courier New" w:cs="Courier New" w:eastAsia="Courier New" w:hAnsi="Courier New"/>
          <w:sz w:val="18"/>
          <w:szCs w:val="18"/>
          <w:color w:val="auto"/>
        </w:rPr>
        <w:t>Interest expense of $2.5 million for the quarter was $0.8 million, or 24.2% less than the $3.3 million for the same period last year principally because of the reduction in long-term debt.</w:t>
      </w:r>
    </w:p>
    <w:p>
      <w:pPr>
        <w:spacing w:after="0" w:line="66" w:lineRule="exact"/>
        <w:rPr>
          <w:sz w:val="20"/>
          <w:szCs w:val="20"/>
          <w:color w:val="auto"/>
        </w:rPr>
      </w:pPr>
    </w:p>
    <w:p>
      <w:pPr>
        <w:ind w:right="1779"/>
        <w:spacing w:after="0" w:line="256" w:lineRule="auto"/>
        <w:rPr>
          <w:sz w:val="20"/>
          <w:szCs w:val="20"/>
          <w:color w:val="auto"/>
        </w:rPr>
      </w:pPr>
      <w:r>
        <w:rPr>
          <w:rFonts w:ascii="Courier New" w:cs="Courier New" w:eastAsia="Courier New" w:hAnsi="Courier New"/>
          <w:sz w:val="18"/>
          <w:szCs w:val="18"/>
          <w:color w:val="auto"/>
        </w:rPr>
        <w:t>Other income, net of $2.9 million decreased $0.2 million from the $3.1 million for the first quarter last year. 1994 other income, net included a one-time lawsuit settlement of $1.85 million related to the purchase of Lawn-Boy. Excluding the effect of the $1.85 million lawsuit settlement, 1995 other income, net would have increased $1.7 million because of increased finance revenue, foreign currency exchange gains and gains incurred on the company's joint ventures.</w:t>
      </w:r>
    </w:p>
    <w:p>
      <w:pPr>
        <w:spacing w:after="0" w:line="30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-8-</w:t>
      </w:r>
    </w:p>
    <w:p>
      <w:pPr>
        <w:sectPr>
          <w:pgSz w:w="11900" w:h="16838" w:orient="portrait"/>
          <w:cols w:equalWidth="0" w:num="1">
            <w:col w:w="10219"/>
          </w:cols>
          <w:pgMar w:left="240" w:top="691" w:right="1440" w:bottom="1440" w:gutter="0" w:footer="0" w:header="0"/>
        </w:sectPr>
      </w:pPr>
    </w:p>
    <w:bookmarkStart w:id="8" w:name="page9"/>
    <w:bookmarkEnd w:id="8"/>
    <w:p>
      <w:pPr>
        <w:ind w:left="2860"/>
        <w:spacing w:after="0"/>
        <w:tabs>
          <w:tab w:leader="none" w:pos="3880" w:val="left"/>
        </w:tabs>
        <w:rPr>
          <w:sz w:val="20"/>
          <w:szCs w:val="20"/>
          <w:color w:val="auto"/>
        </w:rPr>
      </w:pPr>
      <w:r>
        <w:rPr>
          <w:rFonts w:ascii="Courier New" w:cs="Courier New" w:eastAsia="Courier New" w:hAnsi="Courier New"/>
          <w:sz w:val="18"/>
          <w:szCs w:val="18"/>
          <w:color w:val="auto"/>
        </w:rPr>
        <w:t>PART II.</w:t>
      </w:r>
      <w:r>
        <w:rPr>
          <w:sz w:val="20"/>
          <w:szCs w:val="20"/>
          <w:color w:val="auto"/>
        </w:rPr>
        <w:tab/>
      </w:r>
      <w:r>
        <w:rPr>
          <w:rFonts w:ascii="Courier New" w:cs="Courier New" w:eastAsia="Courier New" w:hAnsi="Courier New"/>
          <w:sz w:val="16"/>
          <w:szCs w:val="16"/>
          <w:color w:val="auto"/>
        </w:rPr>
        <w:t>OTHER INFORMATION</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Exhibits and Reports on Form 8-K</w:t>
      </w:r>
    </w:p>
    <w:p>
      <w:pPr>
        <w:spacing w:after="0" w:line="201" w:lineRule="exact"/>
        <w:rPr>
          <w:sz w:val="20"/>
          <w:szCs w:val="20"/>
          <w:color w:val="auto"/>
        </w:rPr>
      </w:pPr>
    </w:p>
    <w:p>
      <w:pPr>
        <w:ind w:left="1060" w:hanging="525"/>
        <w:spacing w:after="0"/>
        <w:tabs>
          <w:tab w:leader="none" w:pos="106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Exhibit 11  Computation of Earnings (Loss) per Common Share</w:t>
      </w:r>
    </w:p>
    <w:p>
      <w:pPr>
        <w:spacing w:after="0" w:line="201" w:lineRule="exact"/>
        <w:rPr>
          <w:rFonts w:ascii="Courier New" w:cs="Courier New" w:eastAsia="Courier New" w:hAnsi="Courier New"/>
          <w:sz w:val="18"/>
          <w:szCs w:val="18"/>
          <w:color w:val="auto"/>
        </w:rPr>
      </w:pPr>
    </w:p>
    <w:p>
      <w:pPr>
        <w:ind w:left="1060" w:hanging="525"/>
        <w:spacing w:after="0"/>
        <w:tabs>
          <w:tab w:leader="none" w:pos="106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Exhibit 27  Financial Data Schedule</w:t>
      </w:r>
    </w:p>
    <w:p>
      <w:pPr>
        <w:spacing w:after="0" w:line="201" w:lineRule="exact"/>
        <w:rPr>
          <w:rFonts w:ascii="Courier New" w:cs="Courier New" w:eastAsia="Courier New" w:hAnsi="Courier New"/>
          <w:sz w:val="18"/>
          <w:szCs w:val="18"/>
          <w:color w:val="auto"/>
        </w:rPr>
      </w:pPr>
    </w:p>
    <w:p>
      <w:pPr>
        <w:ind w:left="10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Summarized financial data; electronic filing only.</w:t>
      </w:r>
    </w:p>
    <w:p>
      <w:pPr>
        <w:spacing w:after="0" w:line="201" w:lineRule="exact"/>
        <w:rPr>
          <w:rFonts w:ascii="Courier New" w:cs="Courier New" w:eastAsia="Courier New" w:hAnsi="Courier New"/>
          <w:sz w:val="18"/>
          <w:szCs w:val="18"/>
          <w:color w:val="auto"/>
        </w:rPr>
      </w:pPr>
    </w:p>
    <w:p>
      <w:pPr>
        <w:ind w:left="1060" w:hanging="525"/>
        <w:spacing w:after="0"/>
        <w:tabs>
          <w:tab w:leader="none" w:pos="106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Reports on Form 8-K</w:t>
      </w:r>
    </w:p>
    <w:p>
      <w:pPr>
        <w:spacing w:after="0" w:line="201" w:lineRule="exact"/>
        <w:rPr>
          <w:rFonts w:ascii="Courier New" w:cs="Courier New" w:eastAsia="Courier New" w:hAnsi="Courier New"/>
          <w:sz w:val="18"/>
          <w:szCs w:val="18"/>
          <w:color w:val="auto"/>
        </w:rPr>
      </w:pPr>
    </w:p>
    <w:p>
      <w:pPr>
        <w:ind w:left="1060" w:right="1779"/>
        <w:spacing w:after="0" w:line="34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did not file any Form 8-K reports during the first quarter of 1995.</w:t>
      </w:r>
    </w:p>
    <w:p>
      <w:pPr>
        <w:spacing w:after="0" w:line="22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SIGNATURES</w:t>
      </w:r>
    </w:p>
    <w:p>
      <w:pPr>
        <w:spacing w:after="0" w:line="201" w:lineRule="exact"/>
        <w:rPr>
          <w:sz w:val="20"/>
          <w:szCs w:val="20"/>
          <w:color w:val="auto"/>
        </w:rPr>
      </w:pPr>
    </w:p>
    <w:p>
      <w:pPr>
        <w:jc w:val="both"/>
        <w:ind w:left="540" w:right="2419"/>
        <w:spacing w:after="0" w:line="292" w:lineRule="auto"/>
        <w:rPr>
          <w:sz w:val="20"/>
          <w:szCs w:val="20"/>
          <w:color w:val="auto"/>
        </w:rPr>
      </w:pPr>
      <w:r>
        <w:rPr>
          <w:rFonts w:ascii="Courier New" w:cs="Courier New" w:eastAsia="Courier New" w:hAnsi="Courier New"/>
          <w:sz w:val="18"/>
          <w:szCs w:val="18"/>
          <w:color w:val="auto"/>
        </w:rPr>
        <w:t>Pursuant to the requirements of the Securities Exchange Act of 1934, the Registrant has duly caused this report to be signed on its behalf by the undersigned thereunto duly authorized.</w:t>
      </w:r>
    </w:p>
    <w:p>
      <w:pPr>
        <w:spacing w:after="0" w:line="66" w:lineRule="exact"/>
        <w:rPr>
          <w:sz w:val="20"/>
          <w:szCs w:val="20"/>
          <w:color w:val="auto"/>
        </w:rPr>
      </w:pPr>
    </w:p>
    <w:p>
      <w:pPr>
        <w:jc w:val="center"/>
        <w:ind w:right="79"/>
        <w:spacing w:after="0"/>
        <w:rPr>
          <w:sz w:val="20"/>
          <w:szCs w:val="20"/>
          <w:color w:val="auto"/>
        </w:rPr>
      </w:pPr>
      <w:r>
        <w:rPr>
          <w:rFonts w:ascii="Courier New" w:cs="Courier New" w:eastAsia="Courier New" w:hAnsi="Courier New"/>
          <w:sz w:val="18"/>
          <w:szCs w:val="18"/>
          <w:color w:val="auto"/>
        </w:rPr>
        <w:t>THE TORO COMPANY</w:t>
      </w:r>
    </w:p>
    <w:p>
      <w:pPr>
        <w:spacing w:after="0" w:line="31" w:lineRule="exact"/>
        <w:rPr>
          <w:sz w:val="20"/>
          <w:szCs w:val="20"/>
          <w:color w:val="auto"/>
        </w:rPr>
      </w:pPr>
    </w:p>
    <w:p>
      <w:pPr>
        <w:jc w:val="center"/>
        <w:ind w:right="79"/>
        <w:spacing w:after="0"/>
        <w:rPr>
          <w:sz w:val="20"/>
          <w:szCs w:val="20"/>
          <w:color w:val="auto"/>
        </w:rPr>
      </w:pPr>
      <w:r>
        <w:rPr>
          <w:rFonts w:ascii="Courier New" w:cs="Courier New" w:eastAsia="Courier New" w:hAnsi="Courier New"/>
          <w:sz w:val="18"/>
          <w:szCs w:val="18"/>
          <w:color w:val="auto"/>
        </w:rPr>
        <w:t>(Registrant)</w:t>
      </w:r>
    </w:p>
    <w:p>
      <w:pPr>
        <w:spacing w:after="0" w:line="372"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By /s/ Gerald T. Knight</w:t>
      </w:r>
    </w:p>
    <w:p>
      <w:pPr>
        <w:spacing w:after="0" w:line="29"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w:t>
      </w:r>
    </w:p>
    <w:p>
      <w:pPr>
        <w:ind w:left="4020"/>
        <w:spacing w:after="0" w:line="238" w:lineRule="auto"/>
        <w:rPr>
          <w:sz w:val="20"/>
          <w:szCs w:val="20"/>
          <w:color w:val="auto"/>
        </w:rPr>
      </w:pPr>
      <w:r>
        <w:rPr>
          <w:rFonts w:ascii="Courier New" w:cs="Courier New" w:eastAsia="Courier New" w:hAnsi="Courier New"/>
          <w:sz w:val="18"/>
          <w:szCs w:val="18"/>
          <w:color w:val="auto"/>
        </w:rPr>
        <w:t>Gerald T. Knight</w:t>
      </w:r>
    </w:p>
    <w:p>
      <w:pPr>
        <w:ind w:left="4020"/>
        <w:spacing w:after="0"/>
        <w:rPr>
          <w:sz w:val="20"/>
          <w:szCs w:val="20"/>
          <w:color w:val="auto"/>
        </w:rPr>
      </w:pPr>
      <w:r>
        <w:rPr>
          <w:rFonts w:ascii="Courier New" w:cs="Courier New" w:eastAsia="Courier New" w:hAnsi="Courier New"/>
          <w:sz w:val="18"/>
          <w:szCs w:val="18"/>
          <w:color w:val="auto"/>
        </w:rPr>
        <w:t>Vice President, Finance</w:t>
      </w:r>
    </w:p>
    <w:p>
      <w:pPr>
        <w:ind w:left="4020"/>
        <w:spacing w:after="0" w:line="238" w:lineRule="auto"/>
        <w:rPr>
          <w:sz w:val="20"/>
          <w:szCs w:val="20"/>
          <w:color w:val="auto"/>
        </w:rPr>
      </w:pPr>
      <w:r>
        <w:rPr>
          <w:rFonts w:ascii="Courier New" w:cs="Courier New" w:eastAsia="Courier New" w:hAnsi="Courier New"/>
          <w:sz w:val="18"/>
          <w:szCs w:val="18"/>
          <w:color w:val="auto"/>
        </w:rPr>
        <w:t>Chief Financial Officer</w:t>
      </w:r>
    </w:p>
    <w:p>
      <w:pPr>
        <w:ind w:left="4020"/>
        <w:spacing w:after="0"/>
        <w:rPr>
          <w:sz w:val="20"/>
          <w:szCs w:val="20"/>
          <w:color w:val="auto"/>
        </w:rPr>
      </w:pPr>
      <w:r>
        <w:rPr>
          <w:rFonts w:ascii="Courier New" w:cs="Courier New" w:eastAsia="Courier New" w:hAnsi="Courier New"/>
          <w:sz w:val="18"/>
          <w:szCs w:val="18"/>
          <w:color w:val="auto"/>
        </w:rPr>
        <w:t>(principal financial officer)</w:t>
      </w:r>
    </w:p>
    <w:p>
      <w:pPr>
        <w:spacing w:after="0" w:line="372"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December 9, 1994</w:t>
      </w:r>
    </w:p>
    <w:p>
      <w:pPr>
        <w:spacing w:after="0" w:line="200" w:lineRule="exact"/>
        <w:rPr>
          <w:sz w:val="20"/>
          <w:szCs w:val="20"/>
          <w:color w:val="auto"/>
        </w:rPr>
      </w:pP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-9-</w:t>
      </w:r>
    </w:p>
    <w:p>
      <w:pPr>
        <w:sectPr>
          <w:pgSz w:w="11900" w:h="16838" w:orient="portrait"/>
          <w:cols w:equalWidth="0" w:num="1">
            <w:col w:w="10219"/>
          </w:cols>
          <w:pgMar w:left="240" w:top="488" w:right="1440" w:bottom="1440" w:gutter="0" w:footer="0" w:header="0"/>
        </w:sectPr>
      </w:pPr>
    </w:p>
    <w:bookmarkStart w:id="9" w:name="page10"/>
    <w:bookmarkEnd w:id="9"/>
    <w:p>
      <w:pPr>
        <w:jc w:val="right"/>
        <w:ind w:right="1779"/>
        <w:spacing w:after="0"/>
        <w:rPr>
          <w:sz w:val="20"/>
          <w:szCs w:val="20"/>
          <w:color w:val="auto"/>
        </w:rPr>
      </w:pPr>
      <w:r>
        <w:rPr>
          <w:rFonts w:ascii="Courier New" w:cs="Courier New" w:eastAsia="Courier New" w:hAnsi="Courier New"/>
          <w:sz w:val="18"/>
          <w:szCs w:val="18"/>
          <w:color w:val="auto"/>
        </w:rPr>
        <w:t>Exhibit 11</w:t>
      </w:r>
    </w:p>
    <w:p>
      <w:pPr>
        <w:spacing w:after="0" w:line="200" w:lineRule="exact"/>
        <w:rPr>
          <w:sz w:val="20"/>
          <w:szCs w:val="20"/>
          <w:color w:val="auto"/>
        </w:rPr>
      </w:pPr>
    </w:p>
    <w:p>
      <w:pPr>
        <w:spacing w:after="0" w:line="204" w:lineRule="exact"/>
        <w:rPr>
          <w:sz w:val="20"/>
          <w:szCs w:val="20"/>
          <w:color w:val="auto"/>
        </w:rPr>
      </w:pPr>
    </w:p>
    <w:p>
      <w:pPr>
        <w:jc w:val="center"/>
        <w:ind w:right="1679"/>
        <w:spacing w:after="0"/>
        <w:rPr>
          <w:sz w:val="20"/>
          <w:szCs w:val="20"/>
          <w:color w:val="auto"/>
        </w:rPr>
      </w:pPr>
      <w:r>
        <w:rPr>
          <w:rFonts w:ascii="Courier New" w:cs="Courier New" w:eastAsia="Courier New" w:hAnsi="Courier New"/>
          <w:sz w:val="18"/>
          <w:szCs w:val="18"/>
          <w:color w:val="auto"/>
        </w:rPr>
        <w:t>THE TORO COMPANY AND SUBSIDIARIES</w:t>
      </w:r>
    </w:p>
    <w:p>
      <w:pPr>
        <w:spacing w:after="0" w:line="29" w:lineRule="exact"/>
        <w:rPr>
          <w:sz w:val="20"/>
          <w:szCs w:val="20"/>
          <w:color w:val="auto"/>
        </w:rPr>
      </w:pPr>
    </w:p>
    <w:p>
      <w:pPr>
        <w:jc w:val="center"/>
        <w:ind w:right="1679"/>
        <w:spacing w:after="0"/>
        <w:rPr>
          <w:sz w:val="20"/>
          <w:szCs w:val="20"/>
          <w:color w:val="auto"/>
        </w:rPr>
      </w:pPr>
      <w:r>
        <w:rPr>
          <w:rFonts w:ascii="Courier New" w:cs="Courier New" w:eastAsia="Courier New" w:hAnsi="Courier New"/>
          <w:sz w:val="18"/>
          <w:szCs w:val="18"/>
          <w:color w:val="auto"/>
        </w:rPr>
        <w:t>COMPUTATION OF EARNINGS (LOSS) PER COMMON SHARE</w:t>
      </w:r>
    </w:p>
    <w:p>
      <w:pPr>
        <w:jc w:val="center"/>
        <w:ind w:right="1679"/>
        <w:spacing w:after="0"/>
        <w:rPr>
          <w:sz w:val="20"/>
          <w:szCs w:val="20"/>
          <w:color w:val="auto"/>
        </w:rPr>
      </w:pPr>
      <w:r>
        <w:rPr>
          <w:rFonts w:ascii="Courier New" w:cs="Courier New" w:eastAsia="Courier New" w:hAnsi="Courier New"/>
          <w:sz w:val="18"/>
          <w:szCs w:val="18"/>
          <w:color w:val="auto"/>
        </w:rPr>
        <w:t>(DOLLARS IN THOUSANDS, EXCEPT PER-SHARE DATA)</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left="2920"/>
        <w:spacing w:after="0"/>
        <w:rPr>
          <w:sz w:val="20"/>
          <w:szCs w:val="20"/>
          <w:color w:val="auto"/>
        </w:rPr>
      </w:pPr>
      <w:r>
        <w:rPr>
          <w:rFonts w:ascii="Courier New" w:cs="Courier New" w:eastAsia="Courier New" w:hAnsi="Courier New"/>
          <w:sz w:val="18"/>
          <w:szCs w:val="18"/>
          <w:color w:val="auto"/>
        </w:rPr>
        <w:t>Three Months Ended</w:t>
      </w:r>
    </w:p>
    <w:p>
      <w:pPr>
        <w:spacing w:after="0" w:line="31" w:lineRule="exact"/>
        <w:rPr>
          <w:sz w:val="20"/>
          <w:szCs w:val="20"/>
          <w:color w:val="auto"/>
        </w:rPr>
      </w:pPr>
    </w:p>
    <w:p>
      <w:pPr>
        <w:ind w:left="5900"/>
        <w:spacing w:after="0"/>
        <w:rPr>
          <w:sz w:val="20"/>
          <w:szCs w:val="20"/>
          <w:color w:val="auto"/>
        </w:rPr>
      </w:pPr>
      <w:r>
        <w:rPr>
          <w:rFonts w:ascii="Courier New" w:cs="Courier New" w:eastAsia="Courier New" w:hAnsi="Courier New"/>
          <w:sz w:val="16"/>
          <w:szCs w:val="16"/>
          <w:color w:val="auto"/>
        </w:rPr>
        <w:t>------------------------</w:t>
      </w:r>
    </w:p>
    <w:tbl>
      <w:tblPr>
        <w:tblLayout w:type="fixed"/>
        <w:tblInd w:w="0" w:type="dxa"/>
        <w:tblCellMar>
          <w:top w:w="0" w:type="dxa"/>
          <w:left w:w="0" w:type="dxa"/>
          <w:bottom w:w="0" w:type="dxa"/>
          <w:right w:w="0" w:type="dxa"/>
        </w:tblCellMar>
      </w:tblPr>
      <w:tr>
        <w:trPr>
          <w:trHeight w:val="192"/>
        </w:trPr>
        <w:tc>
          <w:tcPr>
            <w:tcW w:w="7180" w:type="dxa"/>
            <w:vAlign w:val="bottom"/>
            <w:gridSpan w:val="2"/>
          </w:tcPr>
          <w:p>
            <w:pPr>
              <w:jc w:val="right"/>
              <w:ind w:right="32"/>
              <w:spacing w:after="0" w:line="192" w:lineRule="exact"/>
              <w:rPr>
                <w:sz w:val="20"/>
                <w:szCs w:val="20"/>
                <w:color w:val="auto"/>
              </w:rPr>
            </w:pPr>
            <w:r>
              <w:rPr>
                <w:rFonts w:ascii="Courier New" w:cs="Courier New" w:eastAsia="Courier New" w:hAnsi="Courier New"/>
                <w:sz w:val="18"/>
                <w:szCs w:val="18"/>
                <w:color w:val="auto"/>
              </w:rPr>
              <w:t>October 28,</w:t>
            </w:r>
          </w:p>
        </w:tc>
        <w:tc>
          <w:tcPr>
            <w:tcW w:w="1260" w:type="dxa"/>
            <w:vAlign w:val="bottom"/>
            <w:gridSpan w:val="2"/>
          </w:tcPr>
          <w:p>
            <w:pPr>
              <w:jc w:val="right"/>
              <w:spacing w:after="0" w:line="192" w:lineRule="exact"/>
              <w:rPr>
                <w:sz w:val="20"/>
                <w:szCs w:val="20"/>
                <w:color w:val="auto"/>
              </w:rPr>
            </w:pPr>
            <w:r>
              <w:rPr>
                <w:rFonts w:ascii="Courier New" w:cs="Courier New" w:eastAsia="Courier New" w:hAnsi="Courier New"/>
                <w:sz w:val="18"/>
                <w:szCs w:val="18"/>
                <w:color w:val="auto"/>
              </w:rPr>
              <w:t>October 29,</w:t>
            </w:r>
          </w:p>
        </w:tc>
        <w:tc>
          <w:tcPr>
            <w:tcW w:w="0" w:type="dxa"/>
            <w:vAlign w:val="bottom"/>
          </w:tcPr>
          <w:p>
            <w:pPr>
              <w:spacing w:after="0"/>
              <w:rPr>
                <w:sz w:val="1"/>
                <w:szCs w:val="1"/>
                <w:color w:val="auto"/>
              </w:rPr>
            </w:pPr>
          </w:p>
        </w:tc>
      </w:tr>
      <w:tr>
        <w:trPr>
          <w:trHeight w:val="203"/>
        </w:trPr>
        <w:tc>
          <w:tcPr>
            <w:tcW w:w="6220" w:type="dxa"/>
            <w:vAlign w:val="bottom"/>
          </w:tcPr>
          <w:p>
            <w:pPr>
              <w:spacing w:after="0"/>
              <w:rPr>
                <w:sz w:val="17"/>
                <w:szCs w:val="17"/>
                <w:color w:val="auto"/>
              </w:rPr>
            </w:pPr>
          </w:p>
        </w:tc>
        <w:tc>
          <w:tcPr>
            <w:tcW w:w="96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w w:val="92"/>
              </w:rPr>
              <w:t>1994</w:t>
            </w:r>
          </w:p>
        </w:tc>
        <w:tc>
          <w:tcPr>
            <w:tcW w:w="300" w:type="dxa"/>
            <w:vAlign w:val="bottom"/>
          </w:tcPr>
          <w:p>
            <w:pPr>
              <w:spacing w:after="0"/>
              <w:rPr>
                <w:sz w:val="17"/>
                <w:szCs w:val="17"/>
                <w:color w:val="auto"/>
              </w:rPr>
            </w:pPr>
          </w:p>
        </w:tc>
        <w:tc>
          <w:tcPr>
            <w:tcW w:w="9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1993</w:t>
            </w:r>
          </w:p>
        </w:tc>
        <w:tc>
          <w:tcPr>
            <w:tcW w:w="0" w:type="dxa"/>
            <w:vAlign w:val="bottom"/>
          </w:tcPr>
          <w:p>
            <w:pPr>
              <w:spacing w:after="0"/>
              <w:rPr>
                <w:sz w:val="1"/>
                <w:szCs w:val="1"/>
                <w:color w:val="auto"/>
              </w:rPr>
            </w:pPr>
          </w:p>
        </w:tc>
      </w:tr>
      <w:tr>
        <w:trPr>
          <w:trHeight w:val="296"/>
        </w:trPr>
        <w:tc>
          <w:tcPr>
            <w:tcW w:w="7180" w:type="dxa"/>
            <w:vAlign w:val="bottom"/>
            <w:gridSpan w:val="2"/>
          </w:tcPr>
          <w:p>
            <w:pPr>
              <w:jc w:val="right"/>
              <w:ind w:right="32"/>
              <w:spacing w:after="0"/>
              <w:rPr>
                <w:sz w:val="20"/>
                <w:szCs w:val="20"/>
                <w:color w:val="auto"/>
              </w:rPr>
            </w:pPr>
            <w:r>
              <w:rPr>
                <w:rFonts w:ascii="Courier New" w:cs="Courier New" w:eastAsia="Courier New" w:hAnsi="Courier New"/>
                <w:sz w:val="18"/>
                <w:szCs w:val="18"/>
                <w:color w:val="auto"/>
              </w:rPr>
              <w:t>-----------</w:t>
            </w:r>
          </w:p>
        </w:tc>
        <w:tc>
          <w:tcPr>
            <w:tcW w:w="1260" w:type="dxa"/>
            <w:vAlign w:val="bottom"/>
            <w:gridSpan w:val="2"/>
          </w:tcPr>
          <w:p>
            <w:pPr>
              <w:ind w:left="100"/>
              <w:spacing w:after="0"/>
              <w:rPr>
                <w:sz w:val="20"/>
                <w:szCs w:val="20"/>
                <w:color w:val="auto"/>
              </w:rPr>
            </w:pPr>
            <w:r>
              <w:rPr>
                <w:rFonts w:ascii="Courier New" w:cs="Courier New" w:eastAsia="Courier New" w:hAnsi="Courier New"/>
                <w:sz w:val="18"/>
                <w:szCs w:val="18"/>
                <w:color w:val="auto"/>
                <w:w w:val="95"/>
              </w:rPr>
              <w:t>-----------</w:t>
            </w:r>
          </w:p>
        </w:tc>
        <w:tc>
          <w:tcPr>
            <w:tcW w:w="0" w:type="dxa"/>
            <w:vAlign w:val="bottom"/>
          </w:tcPr>
          <w:p>
            <w:pPr>
              <w:spacing w:after="0"/>
              <w:rPr>
                <w:sz w:val="1"/>
                <w:szCs w:val="1"/>
                <w:color w:val="auto"/>
              </w:rPr>
            </w:pPr>
          </w:p>
        </w:tc>
      </w:tr>
      <w:tr>
        <w:trPr>
          <w:trHeight w:val="311"/>
        </w:trPr>
        <w:tc>
          <w:tcPr>
            <w:tcW w:w="6220" w:type="dxa"/>
            <w:vAlign w:val="bottom"/>
          </w:tcPr>
          <w:p>
            <w:pPr>
              <w:spacing w:after="0"/>
              <w:rPr>
                <w:sz w:val="20"/>
                <w:szCs w:val="20"/>
                <w:color w:val="auto"/>
              </w:rPr>
            </w:pPr>
            <w:r>
              <w:rPr>
                <w:rFonts w:ascii="Courier New" w:cs="Courier New" w:eastAsia="Courier New" w:hAnsi="Courier New"/>
                <w:sz w:val="18"/>
                <w:szCs w:val="18"/>
                <w:color w:val="auto"/>
              </w:rPr>
              <w:t>Net earnings (loss). . . . . . . . . . . . . . . . . . .$</w:t>
            </w:r>
          </w:p>
        </w:tc>
        <w:tc>
          <w:tcPr>
            <w:tcW w:w="96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8,302</w:t>
            </w:r>
          </w:p>
        </w:tc>
        <w:tc>
          <w:tcPr>
            <w:tcW w:w="300" w:type="dxa"/>
            <w:vAlign w:val="bottom"/>
          </w:tcPr>
          <w:p>
            <w:pPr>
              <w:ind w:left="100"/>
              <w:spacing w:after="0"/>
              <w:rPr>
                <w:sz w:val="20"/>
                <w:szCs w:val="20"/>
                <w:color w:val="auto"/>
              </w:rPr>
            </w:pPr>
            <w:r>
              <w:rPr>
                <w:rFonts w:ascii="Courier New" w:cs="Courier New" w:eastAsia="Courier New" w:hAnsi="Courier New"/>
                <w:sz w:val="18"/>
                <w:szCs w:val="18"/>
                <w:color w:val="auto"/>
              </w:rPr>
              <w:t>$</w:t>
            </w:r>
          </w:p>
        </w:tc>
        <w:tc>
          <w:tcPr>
            <w:tcW w:w="9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(1,894)</w:t>
            </w:r>
          </w:p>
        </w:tc>
        <w:tc>
          <w:tcPr>
            <w:tcW w:w="0" w:type="dxa"/>
            <w:vAlign w:val="bottom"/>
          </w:tcPr>
          <w:p>
            <w:pPr>
              <w:spacing w:after="0"/>
              <w:rPr>
                <w:sz w:val="1"/>
                <w:szCs w:val="1"/>
                <w:color w:val="auto"/>
              </w:rPr>
            </w:pPr>
          </w:p>
        </w:tc>
      </w:tr>
      <w:tr>
        <w:trPr>
          <w:trHeight w:val="203"/>
        </w:trPr>
        <w:tc>
          <w:tcPr>
            <w:tcW w:w="718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96"/>
        </w:trPr>
        <w:tc>
          <w:tcPr>
            <w:tcW w:w="7180" w:type="dxa"/>
            <w:vAlign w:val="bottom"/>
            <w:gridSpan w:val="2"/>
            <w:vMerge w:val="restart"/>
          </w:tcPr>
          <w:p>
            <w:pPr>
              <w:jc w:val="right"/>
              <w:ind w:right="132"/>
              <w:spacing w:after="0"/>
              <w:rPr>
                <w:sz w:val="20"/>
                <w:szCs w:val="20"/>
                <w:color w:val="auto"/>
              </w:rPr>
            </w:pPr>
            <w:r>
              <w:rPr>
                <w:rFonts w:ascii="Courier New" w:cs="Courier New" w:eastAsia="Courier New" w:hAnsi="Courier New"/>
                <w:sz w:val="35"/>
                <w:szCs w:val="35"/>
                <w:color w:val="auto"/>
                <w:w w:val="98"/>
                <w:vertAlign w:val="subscript"/>
              </w:rPr>
              <w:t>Primary:</w:t>
            </w:r>
            <w:r>
              <w:rPr>
                <w:rFonts w:ascii="Courier New" w:cs="Courier New" w:eastAsia="Courier New" w:hAnsi="Courier New"/>
                <w:sz w:val="18"/>
                <w:szCs w:val="18"/>
                <w:color w:val="auto"/>
                <w:w w:val="98"/>
              </w:rPr>
              <w:t>----------</w:t>
            </w:r>
          </w:p>
        </w:tc>
        <w:tc>
          <w:tcPr>
            <w:tcW w:w="1260" w:type="dxa"/>
            <w:vAlign w:val="bottom"/>
            <w:gridSpan w:val="2"/>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109"/>
        </w:trPr>
        <w:tc>
          <w:tcPr>
            <w:tcW w:w="6220" w:type="dxa"/>
            <w:vAlign w:val="bottom"/>
            <w:vMerge w:val="continue"/>
          </w:tcPr>
          <w:p>
            <w:pPr>
              <w:spacing w:after="0"/>
              <w:rPr>
                <w:sz w:val="9"/>
                <w:szCs w:val="9"/>
                <w:color w:val="auto"/>
              </w:rPr>
            </w:pPr>
          </w:p>
        </w:tc>
        <w:tc>
          <w:tcPr>
            <w:tcW w:w="960" w:type="dxa"/>
            <w:vAlign w:val="bottom"/>
          </w:tcPr>
          <w:p>
            <w:pPr>
              <w:spacing w:after="0"/>
              <w:rPr>
                <w:sz w:val="9"/>
                <w:szCs w:val="9"/>
                <w:color w:val="auto"/>
              </w:rPr>
            </w:pPr>
          </w:p>
        </w:tc>
        <w:tc>
          <w:tcPr>
            <w:tcW w:w="300" w:type="dxa"/>
            <w:vAlign w:val="bottom"/>
          </w:tcPr>
          <w:p>
            <w:pPr>
              <w:spacing w:after="0"/>
              <w:rPr>
                <w:sz w:val="9"/>
                <w:szCs w:val="9"/>
                <w:color w:val="auto"/>
              </w:rPr>
            </w:pPr>
          </w:p>
        </w:tc>
        <w:tc>
          <w:tcPr>
            <w:tcW w:w="9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3"/>
        </w:trPr>
        <w:tc>
          <w:tcPr>
            <w:tcW w:w="62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Shares of common stock and common</w:t>
            </w:r>
          </w:p>
        </w:tc>
        <w:tc>
          <w:tcPr>
            <w:tcW w:w="9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2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stock equivalents:</w:t>
            </w:r>
          </w:p>
        </w:tc>
        <w:tc>
          <w:tcPr>
            <w:tcW w:w="9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220" w:type="dxa"/>
            <w:vAlign w:val="bottom"/>
          </w:tcPr>
          <w:p>
            <w:pPr>
              <w:ind w:left="960"/>
              <w:spacing w:after="0" w:line="203" w:lineRule="exact"/>
              <w:rPr>
                <w:sz w:val="20"/>
                <w:szCs w:val="20"/>
                <w:color w:val="auto"/>
              </w:rPr>
            </w:pPr>
            <w:r>
              <w:rPr>
                <w:rFonts w:ascii="Courier New" w:cs="Courier New" w:eastAsia="Courier New" w:hAnsi="Courier New"/>
                <w:sz w:val="18"/>
                <w:szCs w:val="18"/>
                <w:color w:val="auto"/>
              </w:rPr>
              <w:t>Weighted average number of common shares</w:t>
            </w:r>
          </w:p>
        </w:tc>
        <w:tc>
          <w:tcPr>
            <w:tcW w:w="960" w:type="dxa"/>
            <w:vAlign w:val="bottom"/>
          </w:tcPr>
          <w:p>
            <w:pPr>
              <w:spacing w:after="0"/>
              <w:rPr>
                <w:sz w:val="17"/>
                <w:szCs w:val="17"/>
                <w:color w:val="auto"/>
              </w:rPr>
            </w:pPr>
          </w:p>
        </w:tc>
        <w:tc>
          <w:tcPr>
            <w:tcW w:w="1260" w:type="dxa"/>
            <w:vAlign w:val="bottom"/>
            <w:gridSpan w:val="2"/>
            <w:vMerge w:val="restart"/>
          </w:tcPr>
          <w:p>
            <w:pPr>
              <w:jc w:val="right"/>
              <w:ind w:right="12"/>
              <w:spacing w:after="0"/>
              <w:rPr>
                <w:sz w:val="20"/>
                <w:szCs w:val="20"/>
                <w:color w:val="auto"/>
              </w:rPr>
            </w:pPr>
            <w:r>
              <w:rPr>
                <w:rFonts w:ascii="Courier New" w:cs="Courier New" w:eastAsia="Courier New" w:hAnsi="Courier New"/>
                <w:sz w:val="18"/>
                <w:szCs w:val="18"/>
                <w:color w:val="auto"/>
              </w:rPr>
              <w:t>12,299,190</w:t>
            </w:r>
          </w:p>
        </w:tc>
        <w:tc>
          <w:tcPr>
            <w:tcW w:w="0" w:type="dxa"/>
            <w:vAlign w:val="bottom"/>
          </w:tcPr>
          <w:p>
            <w:pPr>
              <w:spacing w:after="0"/>
              <w:rPr>
                <w:sz w:val="1"/>
                <w:szCs w:val="1"/>
                <w:color w:val="auto"/>
              </w:rPr>
            </w:pPr>
          </w:p>
        </w:tc>
      </w:tr>
      <w:tr>
        <w:trPr>
          <w:trHeight w:val="203"/>
        </w:trPr>
        <w:tc>
          <w:tcPr>
            <w:tcW w:w="718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outstanding . . . . . . . . . . . . . . . .12,585,681</w:t>
            </w:r>
          </w:p>
        </w:tc>
        <w:tc>
          <w:tcPr>
            <w:tcW w:w="126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220" w:type="dxa"/>
            <w:vAlign w:val="bottom"/>
          </w:tcPr>
          <w:p>
            <w:pPr>
              <w:ind w:left="960"/>
              <w:spacing w:after="0" w:line="203" w:lineRule="exact"/>
              <w:rPr>
                <w:sz w:val="20"/>
                <w:szCs w:val="20"/>
                <w:color w:val="auto"/>
              </w:rPr>
            </w:pPr>
            <w:r>
              <w:rPr>
                <w:rFonts w:ascii="Courier New" w:cs="Courier New" w:eastAsia="Courier New" w:hAnsi="Courier New"/>
                <w:sz w:val="18"/>
                <w:szCs w:val="18"/>
                <w:color w:val="auto"/>
              </w:rPr>
              <w:t>Dilutive effect of outstanding</w:t>
            </w:r>
          </w:p>
        </w:tc>
        <w:tc>
          <w:tcPr>
            <w:tcW w:w="960" w:type="dxa"/>
            <w:vAlign w:val="bottom"/>
            <w:vMerge w:val="restart"/>
          </w:tcPr>
          <w:p>
            <w:pPr>
              <w:jc w:val="right"/>
              <w:ind w:right="132"/>
              <w:spacing w:after="0"/>
              <w:rPr>
                <w:sz w:val="20"/>
                <w:szCs w:val="20"/>
                <w:color w:val="auto"/>
              </w:rPr>
            </w:pPr>
            <w:r>
              <w:rPr>
                <w:rFonts w:ascii="Courier New" w:cs="Courier New" w:eastAsia="Courier New" w:hAnsi="Courier New"/>
                <w:sz w:val="18"/>
                <w:szCs w:val="18"/>
                <w:color w:val="auto"/>
                <w:w w:val="95"/>
              </w:rPr>
              <w:t>453,494</w:t>
            </w:r>
          </w:p>
        </w:tc>
        <w:tc>
          <w:tcPr>
            <w:tcW w:w="300" w:type="dxa"/>
            <w:vAlign w:val="bottom"/>
          </w:tcPr>
          <w:p>
            <w:pPr>
              <w:spacing w:after="0"/>
              <w:rPr>
                <w:sz w:val="17"/>
                <w:szCs w:val="17"/>
                <w:color w:val="auto"/>
              </w:rPr>
            </w:pPr>
          </w:p>
        </w:tc>
        <w:tc>
          <w:tcPr>
            <w:tcW w:w="96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6220" w:type="dxa"/>
            <w:vAlign w:val="bottom"/>
          </w:tcPr>
          <w:p>
            <w:pPr>
              <w:ind w:left="1380"/>
              <w:spacing w:after="0" w:line="203" w:lineRule="exact"/>
              <w:rPr>
                <w:sz w:val="20"/>
                <w:szCs w:val="20"/>
                <w:color w:val="auto"/>
              </w:rPr>
            </w:pPr>
            <w:r>
              <w:rPr>
                <w:rFonts w:ascii="Courier New" w:cs="Courier New" w:eastAsia="Courier New" w:hAnsi="Courier New"/>
                <w:sz w:val="18"/>
                <w:szCs w:val="18"/>
                <w:color w:val="auto"/>
              </w:rPr>
              <w:t>stock options (1), (3). . . . . . . . . . .</w:t>
            </w:r>
          </w:p>
        </w:tc>
        <w:tc>
          <w:tcPr>
            <w:tcW w:w="960" w:type="dxa"/>
            <w:vAlign w:val="bottom"/>
            <w:vMerge w:val="continue"/>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180" w:type="dxa"/>
            <w:vAlign w:val="bottom"/>
            <w:gridSpan w:val="2"/>
            <w:vMerge w:val="restart"/>
          </w:tcPr>
          <w:p>
            <w:pPr>
              <w:jc w:val="right"/>
              <w:ind w:right="132"/>
              <w:spacing w:after="0"/>
              <w:rPr>
                <w:sz w:val="20"/>
                <w:szCs w:val="20"/>
                <w:color w:val="auto"/>
              </w:rPr>
            </w:pPr>
            <w:r>
              <w:rPr>
                <w:rFonts w:ascii="Courier New" w:cs="Courier New" w:eastAsia="Courier New" w:hAnsi="Courier New"/>
                <w:sz w:val="18"/>
                <w:szCs w:val="18"/>
                <w:color w:val="auto"/>
              </w:rPr>
              <w:t>13,039,175</w:t>
            </w:r>
            <w:r>
              <w:rPr>
                <w:rFonts w:ascii="Courier New" w:cs="Courier New" w:eastAsia="Courier New" w:hAnsi="Courier New"/>
                <w:sz w:val="35"/>
                <w:szCs w:val="35"/>
                <w:color w:val="auto"/>
                <w:vertAlign w:val="superscript"/>
              </w:rPr>
              <w:t>----------</w:t>
            </w:r>
          </w:p>
        </w:tc>
        <w:tc>
          <w:tcPr>
            <w:tcW w:w="12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7180" w:type="dxa"/>
            <w:vAlign w:val="bottom"/>
            <w:gridSpan w:val="2"/>
            <w:vMerge w:val="continue"/>
          </w:tcPr>
          <w:p>
            <w:pPr>
              <w:spacing w:after="0"/>
              <w:rPr>
                <w:sz w:val="17"/>
                <w:szCs w:val="17"/>
                <w:color w:val="auto"/>
              </w:rPr>
            </w:pPr>
          </w:p>
        </w:tc>
        <w:tc>
          <w:tcPr>
            <w:tcW w:w="12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12,299,190</w:t>
            </w:r>
          </w:p>
        </w:tc>
        <w:tc>
          <w:tcPr>
            <w:tcW w:w="0" w:type="dxa"/>
            <w:vAlign w:val="bottom"/>
          </w:tcPr>
          <w:p>
            <w:pPr>
              <w:spacing w:after="0"/>
              <w:rPr>
                <w:sz w:val="1"/>
                <w:szCs w:val="1"/>
                <w:color w:val="auto"/>
              </w:rPr>
            </w:pPr>
          </w:p>
        </w:tc>
      </w:tr>
      <w:tr>
        <w:trPr>
          <w:trHeight w:val="296"/>
        </w:trPr>
        <w:tc>
          <w:tcPr>
            <w:tcW w:w="7180" w:type="dxa"/>
            <w:vAlign w:val="bottom"/>
            <w:gridSpan w:val="2"/>
            <w:vMerge w:val="restart"/>
          </w:tcPr>
          <w:p>
            <w:pPr>
              <w:ind w:left="420"/>
              <w:spacing w:after="0"/>
              <w:rPr>
                <w:sz w:val="20"/>
                <w:szCs w:val="20"/>
                <w:color w:val="auto"/>
              </w:rPr>
            </w:pPr>
            <w:r>
              <w:rPr>
                <w:rFonts w:ascii="Courier New" w:cs="Courier New" w:eastAsia="Courier New" w:hAnsi="Courier New"/>
                <w:sz w:val="18"/>
                <w:szCs w:val="18"/>
                <w:color w:val="auto"/>
                <w:w w:val="75"/>
              </w:rPr>
              <w:t>Net earnings (loss) per share of common stock</w:t>
            </w:r>
            <w:r>
              <w:rPr>
                <w:rFonts w:ascii="Courier New" w:cs="Courier New" w:eastAsia="Courier New" w:hAnsi="Courier New"/>
                <w:sz w:val="35"/>
                <w:szCs w:val="35"/>
                <w:color w:val="auto"/>
                <w:w w:val="75"/>
                <w:vertAlign w:val="superscript"/>
              </w:rPr>
              <w:t>----------</w:t>
            </w:r>
          </w:p>
        </w:tc>
        <w:tc>
          <w:tcPr>
            <w:tcW w:w="1260" w:type="dxa"/>
            <w:vAlign w:val="bottom"/>
            <w:gridSpan w:val="2"/>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109"/>
        </w:trPr>
        <w:tc>
          <w:tcPr>
            <w:tcW w:w="6220" w:type="dxa"/>
            <w:vAlign w:val="bottom"/>
            <w:vMerge w:val="continue"/>
          </w:tcPr>
          <w:p>
            <w:pPr>
              <w:spacing w:after="0"/>
              <w:rPr>
                <w:sz w:val="9"/>
                <w:szCs w:val="9"/>
                <w:color w:val="auto"/>
              </w:rPr>
            </w:pPr>
          </w:p>
        </w:tc>
        <w:tc>
          <w:tcPr>
            <w:tcW w:w="960" w:type="dxa"/>
            <w:vAlign w:val="bottom"/>
            <w:vMerge w:val="restart"/>
          </w:tcPr>
          <w:p>
            <w:pPr>
              <w:jc w:val="right"/>
              <w:ind w:right="132"/>
              <w:spacing w:after="0"/>
              <w:rPr>
                <w:sz w:val="20"/>
                <w:szCs w:val="20"/>
                <w:color w:val="auto"/>
              </w:rPr>
            </w:pPr>
            <w:r>
              <w:rPr>
                <w:rFonts w:ascii="Courier New" w:cs="Courier New" w:eastAsia="Courier New" w:hAnsi="Courier New"/>
                <w:sz w:val="18"/>
                <w:szCs w:val="18"/>
                <w:color w:val="auto"/>
              </w:rPr>
              <w:t>0.64</w:t>
            </w:r>
          </w:p>
        </w:tc>
        <w:tc>
          <w:tcPr>
            <w:tcW w:w="300" w:type="dxa"/>
            <w:vAlign w:val="bottom"/>
            <w:vMerge w:val="restart"/>
          </w:tcPr>
          <w:p>
            <w:pPr>
              <w:ind w:left="100"/>
              <w:spacing w:after="0"/>
              <w:rPr>
                <w:sz w:val="20"/>
                <w:szCs w:val="20"/>
                <w:color w:val="auto"/>
              </w:rPr>
            </w:pPr>
            <w:r>
              <w:rPr>
                <w:rFonts w:ascii="Courier New" w:cs="Courier New" w:eastAsia="Courier New" w:hAnsi="Courier New"/>
                <w:sz w:val="18"/>
                <w:szCs w:val="18"/>
                <w:color w:val="auto"/>
              </w:rPr>
              <w:t>$</w:t>
            </w:r>
          </w:p>
        </w:tc>
        <w:tc>
          <w:tcPr>
            <w:tcW w:w="96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(0.15)</w:t>
            </w:r>
          </w:p>
        </w:tc>
        <w:tc>
          <w:tcPr>
            <w:tcW w:w="0" w:type="dxa"/>
            <w:vAlign w:val="bottom"/>
          </w:tcPr>
          <w:p>
            <w:pPr>
              <w:spacing w:after="0"/>
              <w:rPr>
                <w:sz w:val="1"/>
                <w:szCs w:val="1"/>
                <w:color w:val="auto"/>
              </w:rPr>
            </w:pPr>
          </w:p>
        </w:tc>
      </w:tr>
      <w:tr>
        <w:trPr>
          <w:trHeight w:val="203"/>
        </w:trPr>
        <w:tc>
          <w:tcPr>
            <w:tcW w:w="6220" w:type="dxa"/>
            <w:vAlign w:val="bottom"/>
          </w:tcPr>
          <w:p>
            <w:pPr>
              <w:ind w:left="960"/>
              <w:spacing w:after="0" w:line="203" w:lineRule="exact"/>
              <w:rPr>
                <w:sz w:val="20"/>
                <w:szCs w:val="20"/>
                <w:color w:val="auto"/>
              </w:rPr>
            </w:pPr>
            <w:r>
              <w:rPr>
                <w:rFonts w:ascii="Courier New" w:cs="Courier New" w:eastAsia="Courier New" w:hAnsi="Courier New"/>
                <w:sz w:val="18"/>
                <w:szCs w:val="18"/>
                <w:color w:val="auto"/>
              </w:rPr>
              <w:t>and common stock equivalent . . . . . . . . . .$</w:t>
            </w:r>
          </w:p>
        </w:tc>
        <w:tc>
          <w:tcPr>
            <w:tcW w:w="960" w:type="dxa"/>
            <w:vAlign w:val="bottom"/>
            <w:vMerge w:val="continue"/>
          </w:tcPr>
          <w:p>
            <w:pPr>
              <w:spacing w:after="0"/>
              <w:rPr>
                <w:sz w:val="17"/>
                <w:szCs w:val="17"/>
                <w:color w:val="auto"/>
              </w:rPr>
            </w:pPr>
          </w:p>
        </w:tc>
        <w:tc>
          <w:tcPr>
            <w:tcW w:w="300" w:type="dxa"/>
            <w:vAlign w:val="bottom"/>
            <w:vMerge w:val="continue"/>
          </w:tcPr>
          <w:p>
            <w:pPr>
              <w:spacing w:after="0"/>
              <w:rPr>
                <w:sz w:val="17"/>
                <w:szCs w:val="17"/>
                <w:color w:val="auto"/>
              </w:rPr>
            </w:pPr>
          </w:p>
        </w:tc>
        <w:tc>
          <w:tcPr>
            <w:tcW w:w="9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18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96"/>
        </w:trPr>
        <w:tc>
          <w:tcPr>
            <w:tcW w:w="7180" w:type="dxa"/>
            <w:vAlign w:val="bottom"/>
            <w:gridSpan w:val="2"/>
            <w:vMerge w:val="restart"/>
          </w:tcPr>
          <w:p>
            <w:pPr>
              <w:jc w:val="right"/>
              <w:ind w:right="132"/>
              <w:spacing w:after="0"/>
              <w:rPr>
                <w:sz w:val="20"/>
                <w:szCs w:val="20"/>
                <w:color w:val="auto"/>
              </w:rPr>
            </w:pPr>
            <w:r>
              <w:rPr>
                <w:rFonts w:ascii="Courier New" w:cs="Courier New" w:eastAsia="Courier New" w:hAnsi="Courier New"/>
                <w:sz w:val="18"/>
                <w:szCs w:val="18"/>
                <w:color w:val="auto"/>
                <w:w w:val="75"/>
              </w:rPr>
              <w:t>Fully Diluted:</w:t>
            </w:r>
            <w:r>
              <w:rPr>
                <w:rFonts w:ascii="Courier New" w:cs="Courier New" w:eastAsia="Courier New" w:hAnsi="Courier New"/>
                <w:sz w:val="35"/>
                <w:szCs w:val="35"/>
                <w:color w:val="auto"/>
                <w:w w:val="75"/>
                <w:vertAlign w:val="superscript"/>
              </w:rPr>
              <w:t>----------</w:t>
            </w:r>
          </w:p>
        </w:tc>
        <w:tc>
          <w:tcPr>
            <w:tcW w:w="1260" w:type="dxa"/>
            <w:vAlign w:val="bottom"/>
            <w:gridSpan w:val="2"/>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109"/>
        </w:trPr>
        <w:tc>
          <w:tcPr>
            <w:tcW w:w="6220" w:type="dxa"/>
            <w:vAlign w:val="bottom"/>
            <w:vMerge w:val="continue"/>
          </w:tcPr>
          <w:p>
            <w:pPr>
              <w:spacing w:after="0"/>
              <w:rPr>
                <w:sz w:val="9"/>
                <w:szCs w:val="9"/>
                <w:color w:val="auto"/>
              </w:rPr>
            </w:pPr>
          </w:p>
        </w:tc>
        <w:tc>
          <w:tcPr>
            <w:tcW w:w="960" w:type="dxa"/>
            <w:vAlign w:val="bottom"/>
          </w:tcPr>
          <w:p>
            <w:pPr>
              <w:spacing w:after="0"/>
              <w:rPr>
                <w:sz w:val="9"/>
                <w:szCs w:val="9"/>
                <w:color w:val="auto"/>
              </w:rPr>
            </w:pPr>
          </w:p>
        </w:tc>
        <w:tc>
          <w:tcPr>
            <w:tcW w:w="300" w:type="dxa"/>
            <w:vAlign w:val="bottom"/>
          </w:tcPr>
          <w:p>
            <w:pPr>
              <w:spacing w:after="0"/>
              <w:rPr>
                <w:sz w:val="9"/>
                <w:szCs w:val="9"/>
                <w:color w:val="auto"/>
              </w:rPr>
            </w:pPr>
          </w:p>
        </w:tc>
        <w:tc>
          <w:tcPr>
            <w:tcW w:w="9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3"/>
        </w:trPr>
        <w:tc>
          <w:tcPr>
            <w:tcW w:w="62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Shares of common stock and common</w:t>
            </w:r>
          </w:p>
        </w:tc>
        <w:tc>
          <w:tcPr>
            <w:tcW w:w="9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2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stock equivalents:</w:t>
            </w:r>
          </w:p>
        </w:tc>
        <w:tc>
          <w:tcPr>
            <w:tcW w:w="9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220" w:type="dxa"/>
            <w:vAlign w:val="bottom"/>
          </w:tcPr>
          <w:p>
            <w:pPr>
              <w:ind w:left="960"/>
              <w:spacing w:after="0" w:line="203" w:lineRule="exact"/>
              <w:rPr>
                <w:sz w:val="20"/>
                <w:szCs w:val="20"/>
                <w:color w:val="auto"/>
              </w:rPr>
            </w:pPr>
            <w:r>
              <w:rPr>
                <w:rFonts w:ascii="Courier New" w:cs="Courier New" w:eastAsia="Courier New" w:hAnsi="Courier New"/>
                <w:sz w:val="18"/>
                <w:szCs w:val="18"/>
                <w:color w:val="auto"/>
              </w:rPr>
              <w:t>Weighted average number of common shares</w:t>
            </w:r>
          </w:p>
        </w:tc>
        <w:tc>
          <w:tcPr>
            <w:tcW w:w="960" w:type="dxa"/>
            <w:vAlign w:val="bottom"/>
          </w:tcPr>
          <w:p>
            <w:pPr>
              <w:spacing w:after="0"/>
              <w:rPr>
                <w:sz w:val="17"/>
                <w:szCs w:val="17"/>
                <w:color w:val="auto"/>
              </w:rPr>
            </w:pPr>
          </w:p>
        </w:tc>
        <w:tc>
          <w:tcPr>
            <w:tcW w:w="1260" w:type="dxa"/>
            <w:vAlign w:val="bottom"/>
            <w:gridSpan w:val="2"/>
            <w:vMerge w:val="restart"/>
          </w:tcPr>
          <w:p>
            <w:pPr>
              <w:jc w:val="right"/>
              <w:ind w:right="12"/>
              <w:spacing w:after="0"/>
              <w:rPr>
                <w:sz w:val="20"/>
                <w:szCs w:val="20"/>
                <w:color w:val="auto"/>
              </w:rPr>
            </w:pPr>
            <w:r>
              <w:rPr>
                <w:rFonts w:ascii="Courier New" w:cs="Courier New" w:eastAsia="Courier New" w:hAnsi="Courier New"/>
                <w:sz w:val="18"/>
                <w:szCs w:val="18"/>
                <w:color w:val="auto"/>
              </w:rPr>
              <w:t>12,299,190</w:t>
            </w:r>
          </w:p>
        </w:tc>
        <w:tc>
          <w:tcPr>
            <w:tcW w:w="0" w:type="dxa"/>
            <w:vAlign w:val="bottom"/>
          </w:tcPr>
          <w:p>
            <w:pPr>
              <w:spacing w:after="0"/>
              <w:rPr>
                <w:sz w:val="1"/>
                <w:szCs w:val="1"/>
                <w:color w:val="auto"/>
              </w:rPr>
            </w:pPr>
          </w:p>
        </w:tc>
      </w:tr>
      <w:tr>
        <w:trPr>
          <w:trHeight w:val="203"/>
        </w:trPr>
        <w:tc>
          <w:tcPr>
            <w:tcW w:w="718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outstanding . . . . . . . . . . . . . . . .12,585,681</w:t>
            </w:r>
          </w:p>
        </w:tc>
        <w:tc>
          <w:tcPr>
            <w:tcW w:w="126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220" w:type="dxa"/>
            <w:vAlign w:val="bottom"/>
          </w:tcPr>
          <w:p>
            <w:pPr>
              <w:ind w:left="960"/>
              <w:spacing w:after="0" w:line="203" w:lineRule="exact"/>
              <w:rPr>
                <w:sz w:val="20"/>
                <w:szCs w:val="20"/>
                <w:color w:val="auto"/>
              </w:rPr>
            </w:pPr>
            <w:r>
              <w:rPr>
                <w:rFonts w:ascii="Courier New" w:cs="Courier New" w:eastAsia="Courier New" w:hAnsi="Courier New"/>
                <w:sz w:val="18"/>
                <w:szCs w:val="18"/>
                <w:color w:val="auto"/>
              </w:rPr>
              <w:t>Dilutive effect of outstanding</w:t>
            </w:r>
          </w:p>
        </w:tc>
        <w:tc>
          <w:tcPr>
            <w:tcW w:w="960" w:type="dxa"/>
            <w:vAlign w:val="bottom"/>
            <w:vMerge w:val="restart"/>
          </w:tcPr>
          <w:p>
            <w:pPr>
              <w:jc w:val="right"/>
              <w:ind w:right="132"/>
              <w:spacing w:after="0"/>
              <w:rPr>
                <w:sz w:val="20"/>
                <w:szCs w:val="20"/>
                <w:color w:val="auto"/>
              </w:rPr>
            </w:pPr>
            <w:r>
              <w:rPr>
                <w:rFonts w:ascii="Courier New" w:cs="Courier New" w:eastAsia="Courier New" w:hAnsi="Courier New"/>
                <w:sz w:val="18"/>
                <w:szCs w:val="18"/>
                <w:color w:val="auto"/>
                <w:w w:val="95"/>
              </w:rPr>
              <w:t>556,272</w:t>
            </w:r>
          </w:p>
        </w:tc>
        <w:tc>
          <w:tcPr>
            <w:tcW w:w="300" w:type="dxa"/>
            <w:vAlign w:val="bottom"/>
          </w:tcPr>
          <w:p>
            <w:pPr>
              <w:spacing w:after="0"/>
              <w:rPr>
                <w:sz w:val="17"/>
                <w:szCs w:val="17"/>
                <w:color w:val="auto"/>
              </w:rPr>
            </w:pPr>
          </w:p>
        </w:tc>
        <w:tc>
          <w:tcPr>
            <w:tcW w:w="96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6220" w:type="dxa"/>
            <w:vAlign w:val="bottom"/>
          </w:tcPr>
          <w:p>
            <w:pPr>
              <w:ind w:left="1380"/>
              <w:spacing w:after="0" w:line="203" w:lineRule="exact"/>
              <w:rPr>
                <w:sz w:val="20"/>
                <w:szCs w:val="20"/>
                <w:color w:val="auto"/>
              </w:rPr>
            </w:pPr>
            <w:r>
              <w:rPr>
                <w:rFonts w:ascii="Courier New" w:cs="Courier New" w:eastAsia="Courier New" w:hAnsi="Courier New"/>
                <w:sz w:val="18"/>
                <w:szCs w:val="18"/>
                <w:color w:val="auto"/>
              </w:rPr>
              <w:t>stock options (2), (3). . . . . . . . . . .</w:t>
            </w:r>
          </w:p>
        </w:tc>
        <w:tc>
          <w:tcPr>
            <w:tcW w:w="960" w:type="dxa"/>
            <w:vAlign w:val="bottom"/>
            <w:vMerge w:val="continue"/>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180" w:type="dxa"/>
            <w:vAlign w:val="bottom"/>
            <w:gridSpan w:val="2"/>
            <w:vMerge w:val="restart"/>
          </w:tcPr>
          <w:p>
            <w:pPr>
              <w:jc w:val="right"/>
              <w:ind w:right="132"/>
              <w:spacing w:after="0"/>
              <w:rPr>
                <w:sz w:val="20"/>
                <w:szCs w:val="20"/>
                <w:color w:val="auto"/>
              </w:rPr>
            </w:pPr>
            <w:r>
              <w:rPr>
                <w:rFonts w:ascii="Courier New" w:cs="Courier New" w:eastAsia="Courier New" w:hAnsi="Courier New"/>
                <w:sz w:val="18"/>
                <w:szCs w:val="18"/>
                <w:color w:val="auto"/>
              </w:rPr>
              <w:t>13,141,953</w:t>
            </w:r>
            <w:r>
              <w:rPr>
                <w:rFonts w:ascii="Courier New" w:cs="Courier New" w:eastAsia="Courier New" w:hAnsi="Courier New"/>
                <w:sz w:val="35"/>
                <w:szCs w:val="35"/>
                <w:color w:val="auto"/>
                <w:vertAlign w:val="superscript"/>
              </w:rPr>
              <w:t>----------</w:t>
            </w:r>
          </w:p>
        </w:tc>
        <w:tc>
          <w:tcPr>
            <w:tcW w:w="12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7180" w:type="dxa"/>
            <w:vAlign w:val="bottom"/>
            <w:gridSpan w:val="2"/>
            <w:vMerge w:val="continue"/>
          </w:tcPr>
          <w:p>
            <w:pPr>
              <w:spacing w:after="0"/>
              <w:rPr>
                <w:sz w:val="17"/>
                <w:szCs w:val="17"/>
                <w:color w:val="auto"/>
              </w:rPr>
            </w:pPr>
          </w:p>
        </w:tc>
        <w:tc>
          <w:tcPr>
            <w:tcW w:w="12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12,299,190</w:t>
            </w:r>
          </w:p>
        </w:tc>
        <w:tc>
          <w:tcPr>
            <w:tcW w:w="0" w:type="dxa"/>
            <w:vAlign w:val="bottom"/>
          </w:tcPr>
          <w:p>
            <w:pPr>
              <w:spacing w:after="0"/>
              <w:rPr>
                <w:sz w:val="1"/>
                <w:szCs w:val="1"/>
                <w:color w:val="auto"/>
              </w:rPr>
            </w:pPr>
          </w:p>
        </w:tc>
      </w:tr>
      <w:tr>
        <w:trPr>
          <w:trHeight w:val="296"/>
        </w:trPr>
        <w:tc>
          <w:tcPr>
            <w:tcW w:w="7180" w:type="dxa"/>
            <w:vAlign w:val="bottom"/>
            <w:gridSpan w:val="2"/>
          </w:tcPr>
          <w:p>
            <w:pPr>
              <w:jc w:val="right"/>
              <w:ind w:right="132"/>
              <w:spacing w:after="0"/>
              <w:rPr>
                <w:sz w:val="20"/>
                <w:szCs w:val="20"/>
                <w:color w:val="auto"/>
              </w:rPr>
            </w:pPr>
            <w:r>
              <w:rPr>
                <w:rFonts w:ascii="Courier New" w:cs="Courier New" w:eastAsia="Courier New" w:hAnsi="Courier New"/>
                <w:sz w:val="18"/>
                <w:szCs w:val="18"/>
                <w:color w:val="auto"/>
              </w:rPr>
              <w:t>----------</w:t>
            </w:r>
          </w:p>
        </w:tc>
        <w:tc>
          <w:tcPr>
            <w:tcW w:w="1260" w:type="dxa"/>
            <w:vAlign w:val="bottom"/>
            <w:gridSpan w:val="2"/>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311"/>
        </w:trPr>
        <w:tc>
          <w:tcPr>
            <w:tcW w:w="6220" w:type="dxa"/>
            <w:vAlign w:val="bottom"/>
          </w:tcPr>
          <w:p>
            <w:pPr>
              <w:ind w:left="420"/>
              <w:spacing w:after="0"/>
              <w:rPr>
                <w:sz w:val="20"/>
                <w:szCs w:val="20"/>
                <w:color w:val="auto"/>
              </w:rPr>
            </w:pPr>
            <w:r>
              <w:rPr>
                <w:rFonts w:ascii="Courier New" w:cs="Courier New" w:eastAsia="Courier New" w:hAnsi="Courier New"/>
                <w:sz w:val="18"/>
                <w:szCs w:val="18"/>
                <w:color w:val="auto"/>
              </w:rPr>
              <w:t>Net earnings (loss) per share of common stock</w:t>
            </w:r>
          </w:p>
        </w:tc>
        <w:tc>
          <w:tcPr>
            <w:tcW w:w="960" w:type="dxa"/>
            <w:vAlign w:val="bottom"/>
            <w:vMerge w:val="restart"/>
          </w:tcPr>
          <w:p>
            <w:pPr>
              <w:jc w:val="right"/>
              <w:ind w:right="132"/>
              <w:spacing w:after="0"/>
              <w:rPr>
                <w:sz w:val="20"/>
                <w:szCs w:val="20"/>
                <w:color w:val="auto"/>
              </w:rPr>
            </w:pPr>
            <w:r>
              <w:rPr>
                <w:rFonts w:ascii="Courier New" w:cs="Courier New" w:eastAsia="Courier New" w:hAnsi="Courier New"/>
                <w:sz w:val="18"/>
                <w:szCs w:val="18"/>
                <w:color w:val="auto"/>
              </w:rPr>
              <w:t>0.63</w:t>
            </w:r>
          </w:p>
        </w:tc>
        <w:tc>
          <w:tcPr>
            <w:tcW w:w="300" w:type="dxa"/>
            <w:vAlign w:val="bottom"/>
            <w:vMerge w:val="restart"/>
          </w:tcPr>
          <w:p>
            <w:pPr>
              <w:ind w:left="100"/>
              <w:spacing w:after="0"/>
              <w:rPr>
                <w:sz w:val="20"/>
                <w:szCs w:val="20"/>
                <w:color w:val="auto"/>
              </w:rPr>
            </w:pPr>
            <w:r>
              <w:rPr>
                <w:rFonts w:ascii="Courier New" w:cs="Courier New" w:eastAsia="Courier New" w:hAnsi="Courier New"/>
                <w:sz w:val="18"/>
                <w:szCs w:val="18"/>
                <w:color w:val="auto"/>
              </w:rPr>
              <w:t>$</w:t>
            </w:r>
          </w:p>
        </w:tc>
        <w:tc>
          <w:tcPr>
            <w:tcW w:w="96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(0.15)</w:t>
            </w:r>
          </w:p>
        </w:tc>
        <w:tc>
          <w:tcPr>
            <w:tcW w:w="0" w:type="dxa"/>
            <w:vAlign w:val="bottom"/>
          </w:tcPr>
          <w:p>
            <w:pPr>
              <w:spacing w:after="0"/>
              <w:rPr>
                <w:sz w:val="1"/>
                <w:szCs w:val="1"/>
                <w:color w:val="auto"/>
              </w:rPr>
            </w:pPr>
          </w:p>
        </w:tc>
      </w:tr>
      <w:tr>
        <w:trPr>
          <w:trHeight w:val="203"/>
        </w:trPr>
        <w:tc>
          <w:tcPr>
            <w:tcW w:w="6220" w:type="dxa"/>
            <w:vAlign w:val="bottom"/>
          </w:tcPr>
          <w:p>
            <w:pPr>
              <w:ind w:left="960"/>
              <w:spacing w:after="0" w:line="203" w:lineRule="exact"/>
              <w:rPr>
                <w:sz w:val="20"/>
                <w:szCs w:val="20"/>
                <w:color w:val="auto"/>
              </w:rPr>
            </w:pPr>
            <w:r>
              <w:rPr>
                <w:rFonts w:ascii="Courier New" w:cs="Courier New" w:eastAsia="Courier New" w:hAnsi="Courier New"/>
                <w:sz w:val="18"/>
                <w:szCs w:val="18"/>
                <w:color w:val="auto"/>
              </w:rPr>
              <w:t>and common stock equivalent . . . . . . . . . .$</w:t>
            </w:r>
          </w:p>
        </w:tc>
        <w:tc>
          <w:tcPr>
            <w:tcW w:w="960" w:type="dxa"/>
            <w:vAlign w:val="bottom"/>
            <w:vMerge w:val="continue"/>
          </w:tcPr>
          <w:p>
            <w:pPr>
              <w:spacing w:after="0"/>
              <w:rPr>
                <w:sz w:val="17"/>
                <w:szCs w:val="17"/>
                <w:color w:val="auto"/>
              </w:rPr>
            </w:pPr>
          </w:p>
        </w:tc>
        <w:tc>
          <w:tcPr>
            <w:tcW w:w="300" w:type="dxa"/>
            <w:vAlign w:val="bottom"/>
            <w:vMerge w:val="continue"/>
          </w:tcPr>
          <w:p>
            <w:pPr>
              <w:spacing w:after="0"/>
              <w:rPr>
                <w:sz w:val="17"/>
                <w:szCs w:val="17"/>
                <w:color w:val="auto"/>
              </w:rPr>
            </w:pPr>
          </w:p>
        </w:tc>
        <w:tc>
          <w:tcPr>
            <w:tcW w:w="9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18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96"/>
        </w:trPr>
        <w:tc>
          <w:tcPr>
            <w:tcW w:w="7180" w:type="dxa"/>
            <w:vAlign w:val="bottom"/>
            <w:gridSpan w:val="2"/>
          </w:tcPr>
          <w:p>
            <w:pPr>
              <w:jc w:val="right"/>
              <w:ind w:right="132"/>
              <w:spacing w:after="0"/>
              <w:rPr>
                <w:sz w:val="20"/>
                <w:szCs w:val="20"/>
                <w:color w:val="auto"/>
              </w:rPr>
            </w:pPr>
            <w:r>
              <w:rPr>
                <w:rFonts w:ascii="Courier New" w:cs="Courier New" w:eastAsia="Courier New" w:hAnsi="Courier New"/>
                <w:sz w:val="18"/>
                <w:szCs w:val="18"/>
                <w:color w:val="auto"/>
              </w:rPr>
              <w:t>----------</w:t>
            </w:r>
          </w:p>
        </w:tc>
        <w:tc>
          <w:tcPr>
            <w:tcW w:w="1260" w:type="dxa"/>
            <w:vAlign w:val="bottom"/>
            <w:gridSpan w:val="2"/>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14" w:lineRule="exact"/>
        <w:rPr>
          <w:sz w:val="20"/>
          <w:szCs w:val="20"/>
          <w:color w:val="auto"/>
        </w:rPr>
      </w:pPr>
    </w:p>
    <w:p>
      <w:pPr>
        <w:ind w:left="540" w:right="1999" w:hanging="532"/>
        <w:spacing w:after="0" w:line="344" w:lineRule="auto"/>
        <w:tabs>
          <w:tab w:leader="none" w:pos="54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Outstanding stock options and options exercised in the current period are converted to common stock equivalents by the treasury stock method using the average market price of the Company's stock during each period.</w:t>
      </w:r>
    </w:p>
    <w:p>
      <w:pPr>
        <w:spacing w:after="0" w:line="30" w:lineRule="exact"/>
        <w:rPr>
          <w:rFonts w:ascii="Courier New" w:cs="Courier New" w:eastAsia="Courier New" w:hAnsi="Courier New"/>
          <w:sz w:val="16"/>
          <w:szCs w:val="16"/>
          <w:color w:val="auto"/>
        </w:rPr>
      </w:pPr>
    </w:p>
    <w:p>
      <w:pPr>
        <w:ind w:left="540" w:right="1999" w:hanging="532"/>
        <w:spacing w:after="0" w:line="274" w:lineRule="auto"/>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Outstanding stock options and options exercised in the current period are converted to common stock equivalents by the treasury stock method using the greater of the average market price or the period-end market price of the Company's stock during each period.</w:t>
      </w:r>
    </w:p>
    <w:p>
      <w:pPr>
        <w:spacing w:after="0" w:line="81" w:lineRule="exact"/>
        <w:rPr>
          <w:rFonts w:ascii="Courier New" w:cs="Courier New" w:eastAsia="Courier New" w:hAnsi="Courier New"/>
          <w:sz w:val="18"/>
          <w:szCs w:val="18"/>
          <w:color w:val="auto"/>
        </w:rPr>
      </w:pPr>
    </w:p>
    <w:p>
      <w:pPr>
        <w:ind w:left="540" w:right="1999" w:hanging="532"/>
        <w:spacing w:after="0" w:line="292" w:lineRule="auto"/>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Loss per share calculations are based on weighted average common shares outstanding excluding common stock equivalents due to their anti-dilutive affect.</w:t>
      </w:r>
    </w:p>
    <w:p>
      <w:pPr>
        <w:spacing w:after="0" w:line="200" w:lineRule="exact"/>
        <w:rPr>
          <w:sz w:val="20"/>
          <w:szCs w:val="20"/>
          <w:color w:val="auto"/>
        </w:rPr>
      </w:pPr>
    </w:p>
    <w:p>
      <w:pPr>
        <w:spacing w:after="0" w:line="271"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-10-</w:t>
      </w:r>
    </w:p>
    <w:p>
      <w:pPr>
        <w:sectPr>
          <w:pgSz w:w="11900" w:h="16838" w:orient="portrait"/>
          <w:cols w:equalWidth="0" w:num="1">
            <w:col w:w="10219"/>
          </w:cols>
          <w:pgMar w:left="240" w:top="515" w:right="1440" w:bottom="1440" w:gutter="0" w:footer="0" w:header="0"/>
        </w:sectPr>
      </w:pPr>
    </w:p>
    <w:bookmarkStart w:id="10" w:name="page11"/>
    <w:bookmarkEnd w:id="10"/>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11" w:name="page12"/>
    <w:bookmarkEnd w:id="11"/>
    <w:p>
      <w:pPr>
        <w:ind w:left="120"/>
        <w:spacing w:after="0"/>
        <w:rPr>
          <w:sz w:val="20"/>
          <w:szCs w:val="20"/>
          <w:color w:val="auto"/>
        </w:rPr>
      </w:pPr>
      <w:r>
        <w:rPr>
          <w:rFonts w:ascii="Courier New" w:cs="Courier New" w:eastAsia="Courier New" w:hAnsi="Courier New"/>
          <w:sz w:val="18"/>
          <w:szCs w:val="18"/>
          <w:color w:val="auto"/>
        </w:rPr>
        <w:t>5</w:t>
      </w:r>
    </w:p>
    <w:p>
      <w:pPr>
        <w:spacing w:after="0" w:line="201" w:lineRule="exact"/>
        <w:rPr>
          <w:sz w:val="20"/>
          <w:szCs w:val="20"/>
          <w:color w:val="auto"/>
        </w:rPr>
      </w:pPr>
    </w:p>
    <w:p>
      <w:pPr>
        <w:ind w:left="40" w:right="2079"/>
        <w:spacing w:after="0" w:line="292" w:lineRule="auto"/>
        <w:rPr>
          <w:sz w:val="20"/>
          <w:szCs w:val="20"/>
          <w:color w:val="auto"/>
        </w:rPr>
      </w:pPr>
      <w:r>
        <w:rPr>
          <w:rFonts w:ascii="Courier New" w:cs="Courier New" w:eastAsia="Courier New" w:hAnsi="Courier New"/>
          <w:sz w:val="18"/>
          <w:szCs w:val="18"/>
          <w:color w:val="auto"/>
        </w:rPr>
        <w:t>This schedule contains information extracted from the 10-Q, first quarter filing, Condensed Consolidated Statement of Operations and Retained Earnings, Condensed Consolidated Balance Sheet and Exhibit 11.</w:t>
      </w:r>
    </w:p>
    <w:p>
      <w:pPr>
        <w:spacing w:after="0" w:line="66"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0000737758</w:t>
      </w:r>
    </w:p>
    <w:p>
      <w:pPr>
        <w:spacing w:after="0" w:line="29"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THE TORO COMPANY</w:t>
      </w:r>
    </w:p>
    <w:p>
      <w:pPr>
        <w:ind w:left="120"/>
        <w:spacing w:after="0"/>
        <w:rPr>
          <w:sz w:val="20"/>
          <w:szCs w:val="20"/>
          <w:color w:val="auto"/>
        </w:rPr>
      </w:pPr>
      <w:r>
        <w:rPr>
          <w:rFonts w:ascii="Courier New" w:cs="Courier New" w:eastAsia="Courier New" w:hAnsi="Courier New"/>
          <w:sz w:val="18"/>
          <w:szCs w:val="18"/>
          <w:color w:val="auto"/>
        </w:rPr>
        <w:t>1,000</w:t>
      </w:r>
    </w:p>
    <w:p>
      <w:pPr>
        <w:spacing w:after="0" w:line="372" w:lineRule="exact"/>
        <w:rPr>
          <w:sz w:val="20"/>
          <w:szCs w:val="20"/>
          <w:color w:val="auto"/>
        </w:rPr>
      </w:pPr>
    </w:p>
    <w:p>
      <w:pPr>
        <w:ind w:left="2000"/>
        <w:spacing w:after="0"/>
        <w:rPr>
          <w:sz w:val="20"/>
          <w:szCs w:val="20"/>
          <w:color w:val="auto"/>
        </w:rPr>
      </w:pPr>
      <w:r>
        <w:rPr>
          <w:rFonts w:ascii="Courier New" w:cs="Courier New" w:eastAsia="Courier New" w:hAnsi="Courier New"/>
          <w:sz w:val="18"/>
          <w:szCs w:val="18"/>
          <w:color w:val="auto"/>
        </w:rPr>
        <w:t>3-MOS</w:t>
      </w:r>
    </w:p>
    <w:p>
      <w:pPr>
        <w:spacing w:after="0" w:line="29" w:lineRule="exact"/>
        <w:rPr>
          <w:sz w:val="20"/>
          <w:szCs w:val="20"/>
          <w:color w:val="auto"/>
        </w:rPr>
      </w:pPr>
    </w:p>
    <w:p>
      <w:pPr>
        <w:ind w:left="2740"/>
        <w:spacing w:after="0"/>
        <w:rPr>
          <w:sz w:val="20"/>
          <w:szCs w:val="20"/>
          <w:color w:val="auto"/>
        </w:rPr>
      </w:pPr>
      <w:r>
        <w:rPr>
          <w:rFonts w:ascii="Courier New" w:cs="Courier New" w:eastAsia="Courier New" w:hAnsi="Courier New"/>
          <w:sz w:val="18"/>
          <w:szCs w:val="18"/>
          <w:color w:val="auto"/>
        </w:rPr>
        <w:t>JUL-31-1995</w:t>
      </w:r>
    </w:p>
    <w:p>
      <w:pPr>
        <w:ind w:left="3060"/>
        <w:spacing w:after="0" w:line="238" w:lineRule="auto"/>
        <w:rPr>
          <w:sz w:val="20"/>
          <w:szCs w:val="20"/>
          <w:color w:val="auto"/>
        </w:rPr>
      </w:pPr>
      <w:r>
        <w:rPr>
          <w:rFonts w:ascii="Courier New" w:cs="Courier New" w:eastAsia="Courier New" w:hAnsi="Courier New"/>
          <w:sz w:val="18"/>
          <w:szCs w:val="18"/>
          <w:color w:val="auto"/>
        </w:rPr>
        <w:t>AUG-01-1994</w:t>
      </w:r>
    </w:p>
    <w:p>
      <w:pPr>
        <w:ind w:left="3280"/>
        <w:spacing w:after="0"/>
        <w:rPr>
          <w:sz w:val="20"/>
          <w:szCs w:val="20"/>
          <w:color w:val="auto"/>
        </w:rPr>
      </w:pPr>
      <w:r>
        <w:rPr>
          <w:rFonts w:ascii="Courier New" w:cs="Courier New" w:eastAsia="Courier New" w:hAnsi="Courier New"/>
          <w:sz w:val="18"/>
          <w:szCs w:val="18"/>
          <w:color w:val="auto"/>
        </w:rPr>
        <w:t>OCT-28-1994</w:t>
      </w:r>
    </w:p>
    <w:p>
      <w:pPr>
        <w:ind w:left="4440"/>
        <w:spacing w:after="0" w:line="238" w:lineRule="auto"/>
        <w:rPr>
          <w:sz w:val="20"/>
          <w:szCs w:val="20"/>
          <w:color w:val="auto"/>
        </w:rPr>
      </w:pPr>
      <w:r>
        <w:rPr>
          <w:rFonts w:ascii="Courier New" w:cs="Courier New" w:eastAsia="Courier New" w:hAnsi="Courier New"/>
          <w:sz w:val="18"/>
          <w:szCs w:val="18"/>
          <w:color w:val="auto"/>
        </w:rPr>
        <w:t>12,402</w:t>
      </w:r>
    </w:p>
    <w:p>
      <w:pPr>
        <w:ind w:left="4320"/>
        <w:spacing w:after="0"/>
        <w:rPr>
          <w:sz w:val="20"/>
          <w:szCs w:val="20"/>
          <w:color w:val="auto"/>
        </w:rPr>
      </w:pPr>
      <w:r>
        <w:rPr>
          <w:rFonts w:ascii="Courier New" w:cs="Courier New" w:eastAsia="Courier New" w:hAnsi="Courier New"/>
          <w:sz w:val="18"/>
          <w:szCs w:val="18"/>
          <w:color w:val="auto"/>
        </w:rPr>
        <w:t>0</w:t>
      </w:r>
    </w:p>
    <w:p>
      <w:pPr>
        <w:ind w:left="3580"/>
        <w:spacing w:after="0" w:line="238" w:lineRule="auto"/>
        <w:rPr>
          <w:sz w:val="20"/>
          <w:szCs w:val="20"/>
          <w:color w:val="auto"/>
        </w:rPr>
      </w:pPr>
      <w:r>
        <w:rPr>
          <w:rFonts w:ascii="Courier New" w:cs="Courier New" w:eastAsia="Courier New" w:hAnsi="Courier New"/>
          <w:sz w:val="18"/>
          <w:szCs w:val="18"/>
          <w:color w:val="auto"/>
        </w:rPr>
        <w:t>199,910</w:t>
      </w:r>
    </w:p>
    <w:p>
      <w:pPr>
        <w:ind w:left="4320"/>
        <w:spacing w:after="0"/>
        <w:rPr>
          <w:sz w:val="20"/>
          <w:szCs w:val="20"/>
          <w:color w:val="auto"/>
        </w:rPr>
      </w:pPr>
      <w:r>
        <w:rPr>
          <w:rFonts w:ascii="Courier New" w:cs="Courier New" w:eastAsia="Courier New" w:hAnsi="Courier New"/>
          <w:sz w:val="18"/>
          <w:szCs w:val="18"/>
          <w:color w:val="auto"/>
        </w:rPr>
        <w:t>0</w:t>
      </w:r>
    </w:p>
    <w:p>
      <w:pPr>
        <w:ind w:left="3800"/>
        <w:spacing w:after="0" w:line="238" w:lineRule="auto"/>
        <w:rPr>
          <w:sz w:val="20"/>
          <w:szCs w:val="20"/>
          <w:color w:val="auto"/>
        </w:rPr>
      </w:pPr>
      <w:r>
        <w:rPr>
          <w:rFonts w:ascii="Courier New" w:cs="Courier New" w:eastAsia="Courier New" w:hAnsi="Courier New"/>
          <w:sz w:val="18"/>
          <w:szCs w:val="18"/>
          <w:color w:val="auto"/>
        </w:rPr>
        <w:t>132,854</w:t>
      </w:r>
    </w:p>
    <w:p>
      <w:pPr>
        <w:ind w:left="3280"/>
        <w:spacing w:after="0"/>
        <w:rPr>
          <w:sz w:val="20"/>
          <w:szCs w:val="20"/>
          <w:color w:val="auto"/>
        </w:rPr>
      </w:pPr>
      <w:r>
        <w:rPr>
          <w:rFonts w:ascii="Courier New" w:cs="Courier New" w:eastAsia="Courier New" w:hAnsi="Courier New"/>
          <w:sz w:val="18"/>
          <w:szCs w:val="18"/>
          <w:color w:val="auto"/>
        </w:rPr>
        <w:t>373,385</w:t>
      </w:r>
    </w:p>
    <w:p>
      <w:pPr>
        <w:ind w:left="4320"/>
        <w:spacing w:after="0" w:line="238" w:lineRule="auto"/>
        <w:rPr>
          <w:sz w:val="20"/>
          <w:szCs w:val="20"/>
          <w:color w:val="auto"/>
        </w:rPr>
      </w:pPr>
      <w:r>
        <w:rPr>
          <w:rFonts w:ascii="Courier New" w:cs="Courier New" w:eastAsia="Courier New" w:hAnsi="Courier New"/>
          <w:sz w:val="18"/>
          <w:szCs w:val="18"/>
          <w:color w:val="auto"/>
        </w:rPr>
        <w:t>189,672</w:t>
      </w:r>
    </w:p>
    <w:p>
      <w:pPr>
        <w:ind w:left="3480"/>
        <w:spacing w:after="0"/>
        <w:rPr>
          <w:sz w:val="20"/>
          <w:szCs w:val="20"/>
          <w:color w:val="auto"/>
        </w:rPr>
      </w:pPr>
      <w:r>
        <w:rPr>
          <w:rFonts w:ascii="Courier New" w:cs="Courier New" w:eastAsia="Courier New" w:hAnsi="Courier New"/>
          <w:sz w:val="18"/>
          <w:szCs w:val="18"/>
          <w:color w:val="auto"/>
        </w:rPr>
        <w:t>129,735</w:t>
      </w:r>
    </w:p>
    <w:p>
      <w:pPr>
        <w:ind w:left="3480"/>
        <w:spacing w:after="0" w:line="238" w:lineRule="auto"/>
        <w:rPr>
          <w:sz w:val="20"/>
          <w:szCs w:val="20"/>
          <w:color w:val="auto"/>
        </w:rPr>
      </w:pPr>
      <w:r>
        <w:rPr>
          <w:rFonts w:ascii="Courier New" w:cs="Courier New" w:eastAsia="Courier New" w:hAnsi="Courier New"/>
          <w:sz w:val="18"/>
          <w:szCs w:val="18"/>
          <w:color w:val="auto"/>
        </w:rPr>
        <w:t>451,565</w:t>
      </w:r>
    </w:p>
    <w:p>
      <w:pPr>
        <w:ind w:left="2740"/>
        <w:spacing w:after="0"/>
        <w:rPr>
          <w:sz w:val="20"/>
          <w:szCs w:val="20"/>
          <w:color w:val="auto"/>
        </w:rPr>
      </w:pPr>
      <w:r>
        <w:rPr>
          <w:rFonts w:ascii="Courier New" w:cs="Courier New" w:eastAsia="Courier New" w:hAnsi="Courier New"/>
          <w:sz w:val="18"/>
          <w:szCs w:val="18"/>
          <w:color w:val="auto"/>
        </w:rPr>
        <w:t>197,187</w:t>
      </w:r>
    </w:p>
    <w:p>
      <w:pPr>
        <w:ind w:left="4320"/>
        <w:spacing w:after="0" w:line="238" w:lineRule="auto"/>
        <w:rPr>
          <w:sz w:val="20"/>
          <w:szCs w:val="20"/>
          <w:color w:val="auto"/>
        </w:rPr>
      </w:pPr>
      <w:r>
        <w:rPr>
          <w:rFonts w:ascii="Courier New" w:cs="Courier New" w:eastAsia="Courier New" w:hAnsi="Courier New"/>
          <w:sz w:val="18"/>
          <w:szCs w:val="18"/>
          <w:color w:val="auto"/>
        </w:rPr>
        <w:t>91,454</w:t>
      </w:r>
    </w:p>
    <w:p>
      <w:pPr>
        <w:ind w:left="4220"/>
        <w:spacing w:after="0"/>
        <w:rPr>
          <w:sz w:val="20"/>
          <w:szCs w:val="20"/>
          <w:color w:val="auto"/>
        </w:rPr>
      </w:pPr>
      <w:r>
        <w:rPr>
          <w:rFonts w:ascii="Courier New" w:cs="Courier New" w:eastAsia="Courier New" w:hAnsi="Courier New"/>
          <w:sz w:val="18"/>
          <w:szCs w:val="18"/>
          <w:color w:val="auto"/>
        </w:rPr>
        <w:t>12,720</w:t>
      </w:r>
    </w:p>
    <w:p>
      <w:pPr>
        <w:ind w:left="3380"/>
        <w:spacing w:after="0" w:line="238" w:lineRule="auto"/>
        <w:rPr>
          <w:sz w:val="20"/>
          <w:szCs w:val="20"/>
          <w:color w:val="auto"/>
        </w:rPr>
      </w:pPr>
      <w:r>
        <w:rPr>
          <w:rFonts w:ascii="Courier New" w:cs="Courier New" w:eastAsia="Courier New" w:hAnsi="Courier New"/>
          <w:sz w:val="18"/>
          <w:szCs w:val="18"/>
          <w:color w:val="auto"/>
        </w:rPr>
        <w:t>0</w:t>
      </w:r>
    </w:p>
    <w:p>
      <w:pPr>
        <w:ind w:left="4440"/>
        <w:spacing w:after="0"/>
        <w:rPr>
          <w:sz w:val="20"/>
          <w:szCs w:val="20"/>
          <w:color w:val="auto"/>
        </w:rPr>
      </w:pPr>
      <w:r>
        <w:rPr>
          <w:rFonts w:ascii="Courier New" w:cs="Courier New" w:eastAsia="Courier New" w:hAnsi="Courier New"/>
          <w:sz w:val="18"/>
          <w:szCs w:val="18"/>
          <w:color w:val="auto"/>
        </w:rPr>
        <w:t>0</w:t>
      </w:r>
    </w:p>
    <w:p>
      <w:pPr>
        <w:ind w:left="3900"/>
        <w:spacing w:after="0" w:line="238" w:lineRule="auto"/>
        <w:rPr>
          <w:sz w:val="20"/>
          <w:szCs w:val="20"/>
          <w:color w:val="auto"/>
        </w:rPr>
      </w:pPr>
      <w:r>
        <w:rPr>
          <w:rFonts w:ascii="Courier New" w:cs="Courier New" w:eastAsia="Courier New" w:hAnsi="Courier New"/>
          <w:sz w:val="18"/>
          <w:szCs w:val="18"/>
          <w:color w:val="auto"/>
        </w:rPr>
        <w:t>166,009</w:t>
      </w:r>
    </w:p>
    <w:p>
      <w:pPr>
        <w:ind w:left="2000"/>
        <w:spacing w:after="0"/>
        <w:rPr>
          <w:sz w:val="20"/>
          <w:szCs w:val="20"/>
          <w:color w:val="auto"/>
        </w:rPr>
      </w:pPr>
      <w:r>
        <w:rPr>
          <w:rFonts w:ascii="Courier New" w:cs="Courier New" w:eastAsia="Courier New" w:hAnsi="Courier New"/>
          <w:sz w:val="18"/>
          <w:szCs w:val="18"/>
          <w:color w:val="auto"/>
        </w:rPr>
        <w:t>451,565</w:t>
      </w:r>
    </w:p>
    <w:p>
      <w:pPr>
        <w:ind w:left="4220"/>
        <w:spacing w:after="0" w:line="238" w:lineRule="auto"/>
        <w:rPr>
          <w:sz w:val="20"/>
          <w:szCs w:val="20"/>
          <w:color w:val="auto"/>
        </w:rPr>
      </w:pPr>
      <w:r>
        <w:rPr>
          <w:rFonts w:ascii="Courier New" w:cs="Courier New" w:eastAsia="Courier New" w:hAnsi="Courier New"/>
          <w:sz w:val="18"/>
          <w:szCs w:val="18"/>
          <w:color w:val="auto"/>
        </w:rPr>
        <w:t>205,704</w:t>
      </w:r>
    </w:p>
    <w:p>
      <w:pPr>
        <w:ind w:left="3280"/>
        <w:spacing w:after="0"/>
        <w:rPr>
          <w:sz w:val="20"/>
          <w:szCs w:val="20"/>
          <w:color w:val="auto"/>
        </w:rPr>
      </w:pPr>
      <w:r>
        <w:rPr>
          <w:rFonts w:ascii="Courier New" w:cs="Courier New" w:eastAsia="Courier New" w:hAnsi="Courier New"/>
          <w:sz w:val="18"/>
          <w:szCs w:val="18"/>
          <w:color w:val="auto"/>
        </w:rPr>
        <w:t>205,704</w:t>
      </w:r>
    </w:p>
    <w:p>
      <w:pPr>
        <w:ind w:left="4440"/>
        <w:spacing w:after="0" w:line="238" w:lineRule="auto"/>
        <w:rPr>
          <w:sz w:val="20"/>
          <w:szCs w:val="20"/>
          <w:color w:val="auto"/>
        </w:rPr>
      </w:pPr>
      <w:r>
        <w:rPr>
          <w:rFonts w:ascii="Courier New" w:cs="Courier New" w:eastAsia="Courier New" w:hAnsi="Courier New"/>
          <w:sz w:val="18"/>
          <w:szCs w:val="18"/>
          <w:color w:val="auto"/>
        </w:rPr>
        <w:t>129,639</w:t>
      </w:r>
    </w:p>
    <w:p>
      <w:pPr>
        <w:ind w:left="3700"/>
        <w:spacing w:after="0"/>
        <w:rPr>
          <w:sz w:val="20"/>
          <w:szCs w:val="20"/>
          <w:color w:val="auto"/>
        </w:rPr>
      </w:pPr>
      <w:r>
        <w:rPr>
          <w:rFonts w:ascii="Courier New" w:cs="Courier New" w:eastAsia="Courier New" w:hAnsi="Courier New"/>
          <w:sz w:val="18"/>
          <w:szCs w:val="18"/>
          <w:color w:val="auto"/>
        </w:rPr>
        <w:t>62,677</w:t>
      </w:r>
    </w:p>
    <w:p>
      <w:pPr>
        <w:ind w:left="3280"/>
        <w:spacing w:after="0" w:line="238" w:lineRule="auto"/>
        <w:rPr>
          <w:sz w:val="20"/>
          <w:szCs w:val="20"/>
          <w:color w:val="auto"/>
        </w:rPr>
      </w:pPr>
      <w:r>
        <w:rPr>
          <w:rFonts w:ascii="Courier New" w:cs="Courier New" w:eastAsia="Courier New" w:hAnsi="Courier New"/>
          <w:sz w:val="18"/>
          <w:szCs w:val="18"/>
          <w:color w:val="auto"/>
        </w:rPr>
        <w:t>(2,929)</w:t>
      </w:r>
    </w:p>
    <w:p>
      <w:pPr>
        <w:ind w:left="3900"/>
        <w:spacing w:after="0"/>
        <w:rPr>
          <w:sz w:val="20"/>
          <w:szCs w:val="20"/>
          <w:color w:val="auto"/>
        </w:rPr>
      </w:pPr>
      <w:r>
        <w:rPr>
          <w:rFonts w:ascii="Courier New" w:cs="Courier New" w:eastAsia="Courier New" w:hAnsi="Courier New"/>
          <w:sz w:val="18"/>
          <w:szCs w:val="18"/>
          <w:color w:val="auto"/>
        </w:rPr>
        <w:t>0</w:t>
      </w:r>
    </w:p>
    <w:p>
      <w:pPr>
        <w:ind w:left="3280"/>
        <w:spacing w:after="0" w:line="238" w:lineRule="auto"/>
        <w:rPr>
          <w:sz w:val="20"/>
          <w:szCs w:val="20"/>
          <w:color w:val="auto"/>
        </w:rPr>
      </w:pPr>
      <w:r>
        <w:rPr>
          <w:rFonts w:ascii="Courier New" w:cs="Courier New" w:eastAsia="Courier New" w:hAnsi="Courier New"/>
          <w:sz w:val="18"/>
          <w:szCs w:val="18"/>
          <w:color w:val="auto"/>
        </w:rPr>
        <w:t>2,480</w:t>
      </w:r>
    </w:p>
    <w:p>
      <w:pPr>
        <w:ind w:left="3480"/>
        <w:spacing w:after="0"/>
        <w:rPr>
          <w:sz w:val="20"/>
          <w:szCs w:val="20"/>
          <w:color w:val="auto"/>
        </w:rPr>
      </w:pPr>
      <w:r>
        <w:rPr>
          <w:rFonts w:ascii="Courier New" w:cs="Courier New" w:eastAsia="Courier New" w:hAnsi="Courier New"/>
          <w:sz w:val="18"/>
          <w:szCs w:val="18"/>
          <w:color w:val="auto"/>
        </w:rPr>
        <w:t>13,837</w:t>
      </w:r>
    </w:p>
    <w:p>
      <w:pPr>
        <w:ind w:left="3900"/>
        <w:spacing w:after="0" w:line="238" w:lineRule="auto"/>
        <w:rPr>
          <w:sz w:val="20"/>
          <w:szCs w:val="20"/>
          <w:color w:val="auto"/>
        </w:rPr>
      </w:pPr>
      <w:r>
        <w:rPr>
          <w:rFonts w:ascii="Courier New" w:cs="Courier New" w:eastAsia="Courier New" w:hAnsi="Courier New"/>
          <w:sz w:val="18"/>
          <w:szCs w:val="18"/>
          <w:color w:val="auto"/>
        </w:rPr>
        <w:t>5,535</w:t>
      </w:r>
    </w:p>
    <w:p>
      <w:pPr>
        <w:ind w:left="3160"/>
        <w:spacing w:after="0"/>
        <w:rPr>
          <w:sz w:val="20"/>
          <w:szCs w:val="20"/>
          <w:color w:val="auto"/>
        </w:rPr>
      </w:pPr>
      <w:r>
        <w:rPr>
          <w:rFonts w:ascii="Courier New" w:cs="Courier New" w:eastAsia="Courier New" w:hAnsi="Courier New"/>
          <w:sz w:val="18"/>
          <w:szCs w:val="18"/>
          <w:color w:val="auto"/>
        </w:rPr>
        <w:t>8,302</w:t>
      </w:r>
    </w:p>
    <w:p>
      <w:pPr>
        <w:ind w:left="4120"/>
        <w:spacing w:after="0" w:line="238" w:lineRule="auto"/>
        <w:rPr>
          <w:sz w:val="20"/>
          <w:szCs w:val="20"/>
          <w:color w:val="auto"/>
        </w:rPr>
      </w:pPr>
      <w:r>
        <w:rPr>
          <w:rFonts w:ascii="Courier New" w:cs="Courier New" w:eastAsia="Courier New" w:hAnsi="Courier New"/>
          <w:sz w:val="18"/>
          <w:szCs w:val="18"/>
          <w:color w:val="auto"/>
        </w:rPr>
        <w:t>0</w:t>
      </w:r>
    </w:p>
    <w:p>
      <w:pPr>
        <w:ind w:left="4020"/>
        <w:spacing w:after="0"/>
        <w:rPr>
          <w:sz w:val="20"/>
          <w:szCs w:val="20"/>
          <w:color w:val="auto"/>
        </w:rPr>
      </w:pPr>
      <w:r>
        <w:rPr>
          <w:rFonts w:ascii="Courier New" w:cs="Courier New" w:eastAsia="Courier New" w:hAnsi="Courier New"/>
          <w:sz w:val="18"/>
          <w:szCs w:val="18"/>
          <w:color w:val="auto"/>
        </w:rPr>
        <w:t>0</w:t>
      </w:r>
    </w:p>
    <w:p>
      <w:pPr>
        <w:ind w:left="4640"/>
        <w:spacing w:after="0" w:line="238" w:lineRule="auto"/>
        <w:rPr>
          <w:sz w:val="20"/>
          <w:szCs w:val="20"/>
          <w:color w:val="auto"/>
        </w:rPr>
      </w:pPr>
      <w:r>
        <w:rPr>
          <w:rFonts w:ascii="Courier New" w:cs="Courier New" w:eastAsia="Courier New" w:hAnsi="Courier New"/>
          <w:sz w:val="18"/>
          <w:szCs w:val="18"/>
          <w:color w:val="auto"/>
        </w:rPr>
        <w:t>0</w:t>
      </w:r>
    </w:p>
    <w:p>
      <w:pPr>
        <w:ind w:left="3900"/>
        <w:spacing w:after="0"/>
        <w:rPr>
          <w:sz w:val="20"/>
          <w:szCs w:val="20"/>
          <w:color w:val="auto"/>
        </w:rPr>
      </w:pPr>
      <w:r>
        <w:rPr>
          <w:rFonts w:ascii="Courier New" w:cs="Courier New" w:eastAsia="Courier New" w:hAnsi="Courier New"/>
          <w:sz w:val="18"/>
          <w:szCs w:val="18"/>
          <w:color w:val="auto"/>
        </w:rPr>
        <w:t>8,302</w:t>
      </w:r>
    </w:p>
    <w:p>
      <w:pPr>
        <w:ind w:left="3900"/>
        <w:spacing w:after="0" w:line="238" w:lineRule="auto"/>
        <w:rPr>
          <w:sz w:val="20"/>
          <w:szCs w:val="20"/>
          <w:color w:val="auto"/>
        </w:rPr>
      </w:pPr>
      <w:r>
        <w:rPr>
          <w:rFonts w:ascii="Courier New" w:cs="Courier New" w:eastAsia="Courier New" w:hAnsi="Courier New"/>
          <w:sz w:val="18"/>
          <w:szCs w:val="18"/>
          <w:color w:val="auto"/>
        </w:rPr>
        <w:t>0.64</w:t>
      </w:r>
    </w:p>
    <w:p>
      <w:pPr>
        <w:ind w:left="3900"/>
        <w:spacing w:after="0"/>
        <w:rPr>
          <w:sz w:val="20"/>
          <w:szCs w:val="20"/>
          <w:color w:val="auto"/>
        </w:rPr>
      </w:pPr>
      <w:r>
        <w:rPr>
          <w:rFonts w:ascii="Courier New" w:cs="Courier New" w:eastAsia="Courier New" w:hAnsi="Courier New"/>
          <w:sz w:val="18"/>
          <w:szCs w:val="18"/>
          <w:color w:val="auto"/>
        </w:rPr>
        <w:t>0.63</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Total net receivables</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included in quarterly financial information</w:t>
      </w:r>
    </w:p>
    <w:p>
      <w:pPr>
        <w:spacing w:after="0" w:line="238" w:lineRule="auto"/>
        <w:rPr>
          <w:sz w:val="20"/>
          <w:szCs w:val="20"/>
          <w:color w:val="auto"/>
        </w:rPr>
      </w:pPr>
      <w:r>
        <w:rPr>
          <w:rFonts w:ascii="Courier New" w:cs="Courier New" w:eastAsia="Courier New" w:hAnsi="Courier New"/>
          <w:sz w:val="18"/>
          <w:szCs w:val="18"/>
          <w:color w:val="auto"/>
        </w:rPr>
        <w:t>Total debt</w:t>
      </w:r>
    </w:p>
    <w:p>
      <w:pPr>
        <w:spacing w:after="0"/>
        <w:rPr>
          <w:sz w:val="20"/>
          <w:szCs w:val="20"/>
          <w:color w:val="auto"/>
        </w:rPr>
      </w:pPr>
      <w:r>
        <w:rPr>
          <w:rFonts w:ascii="Courier New" w:cs="Courier New" w:eastAsia="Courier New" w:hAnsi="Courier New"/>
          <w:sz w:val="18"/>
          <w:szCs w:val="18"/>
          <w:color w:val="auto"/>
        </w:rPr>
        <w:t>does not include additional paid in capital</w:t>
      </w:r>
    </w:p>
    <w:p>
      <w:pPr>
        <w:spacing w:after="0"/>
        <w:rPr>
          <w:sz w:val="20"/>
          <w:szCs w:val="20"/>
          <w:color w:val="auto"/>
        </w:rPr>
      </w:pPr>
      <w:r>
        <w:rPr>
          <w:rFonts w:ascii="Courier New" w:cs="Courier New" w:eastAsia="Courier New" w:hAnsi="Courier New"/>
          <w:sz w:val="18"/>
          <w:szCs w:val="18"/>
          <w:color w:val="auto"/>
        </w:rPr>
        <w:t>other income, net</w:t>
      </w:r>
    </w:p>
    <w:sectPr>
      <w:pgSz w:w="11900" w:h="16838" w:orient="portrait"/>
      <w:cols w:equalWidth="0" w:num="1">
        <w:col w:w="10219"/>
      </w:cols>
      <w:pgMar w:left="24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1."/>
      <w:numFmt w:val="decimal"/>
      <w:start w:val="1"/>
    </w:lvl>
  </w:abstractNum>
  <w:abstractNum w:abstractNumId="3">
    <w:nsid w:val="238E1F29"/>
    <w:multiLevelType w:val="hybridMultilevel"/>
    <w:lvl w:ilvl="0">
      <w:lvlJc w:val="left"/>
      <w:lvlText w:val="(%1)"/>
      <w:numFmt w:val="lowerLetter"/>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2019-12-12T06:17:51Z</dcterms:created>
  <dcterms:modified xsi:type="dcterms:W3CDTF">2019-12-12T06:17:51Z</dcterms:modified>
</cp:coreProperties>
</file>