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2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4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1"/>
          <w:szCs w:val="21"/>
          <w:b w:val="1"/>
          <w:bCs w:val="1"/>
          <w:color w:val="auto"/>
        </w:rPr>
        <w:t>Washington, D.C. 20549</w:t>
      </w:r>
    </w:p>
    <w:p>
      <w:pPr>
        <w:spacing w:after="0" w:line="1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14A INFORMATION</w:t>
      </w:r>
    </w:p>
    <w:p>
      <w:pPr>
        <w:spacing w:after="0" w:line="37"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(Rule 14a-101)</w:t>
      </w:r>
    </w:p>
    <w:p>
      <w:pPr>
        <w:spacing w:after="0" w:line="135"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6"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Securities Exchange Act of 1934</w:t>
      </w:r>
    </w:p>
    <w:p>
      <w:pPr>
        <w:sectPr>
          <w:pgSz w:w="11900" w:h="16838" w:orient="portrait"/>
          <w:cols w:equalWidth="0" w:num="1">
            <w:col w:w="11080"/>
          </w:cols>
          <w:pgMar w:left="320" w:top="246" w:right="499" w:bottom="1440" w:gutter="0" w:footer="0" w:header="0"/>
        </w:sectPr>
      </w:pPr>
    </w:p>
    <w:p>
      <w:pPr>
        <w:spacing w:after="0" w:line="120"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1" w:lineRule="exact"/>
        <w:rPr>
          <w:sz w:val="24"/>
          <w:szCs w:val="24"/>
          <w:color w:val="auto"/>
        </w:rPr>
      </w:pPr>
    </w:p>
    <w:p>
      <w:pPr>
        <w:sectPr>
          <w:pgSz w:w="11900" w:h="16838" w:orient="portrait"/>
          <w:cols w:equalWidth="0" w:num="3">
            <w:col w:w="2740" w:space="720"/>
            <w:col w:w="3240" w:space="100"/>
            <w:col w:w="4280"/>
          </w:cols>
          <w:pgMar w:left="320" w:top="246" w:right="49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Check the appropriate box:</w:t>
      </w:r>
    </w:p>
    <w:p>
      <w:pPr>
        <w:sectPr>
          <w:pgSz w:w="11900" w:h="16838" w:orient="portrait"/>
          <w:cols w:equalWidth="0" w:num="1">
            <w:col w:w="11080"/>
          </w:cols>
          <w:pgMar w:left="320" w:top="246" w:right="499" w:bottom="1440" w:gutter="0" w:footer="0" w:header="0"/>
          <w:type w:val="continuous"/>
        </w:sectPr>
      </w:pPr>
    </w:p>
    <w:p>
      <w:pPr>
        <w:spacing w:after="0" w:line="193" w:lineRule="exact"/>
        <w:rPr>
          <w:sz w:val="24"/>
          <w:szCs w:val="24"/>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5" w:lineRule="exact"/>
        <w:rPr>
          <w:rFonts w:ascii="MS PGothic" w:cs="MS PGothic" w:eastAsia="MS PGothic" w:hAnsi="MS PGothic"/>
          <w:sz w:val="18"/>
          <w:szCs w:val="18"/>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34" w:lineRule="exact"/>
        <w:rPr>
          <w:rFonts w:ascii="MS PGothic" w:cs="MS PGothic" w:eastAsia="MS PGothic" w:hAnsi="MS PGothic"/>
          <w:sz w:val="18"/>
          <w:szCs w:val="18"/>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87" w:lineRule="exact"/>
        <w:rPr>
          <w:rFonts w:ascii="MS PGothic" w:cs="MS PGothic" w:eastAsia="MS PGothic" w:hAnsi="MS PGothic"/>
          <w:sz w:val="18"/>
          <w:szCs w:val="18"/>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30"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2" w:lineRule="exact"/>
        <w:rPr>
          <w:sz w:val="24"/>
          <w:szCs w:val="24"/>
          <w:color w:val="auto"/>
        </w:rPr>
      </w:pPr>
    </w:p>
    <w:p>
      <w:pPr>
        <w:ind w:left="440" w:hanging="433"/>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1" w:lineRule="exact"/>
        <w:rPr>
          <w:sz w:val="24"/>
          <w:szCs w:val="24"/>
          <w:color w:val="auto"/>
        </w:rPr>
      </w:pPr>
    </w:p>
    <w:p>
      <w:pPr>
        <w:ind w:left="440" w:hanging="433"/>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1" w:lineRule="exact"/>
        <w:rPr>
          <w:rFonts w:ascii="MS PGothic" w:cs="MS PGothic" w:eastAsia="MS PGothic" w:hAnsi="MS PGothic"/>
          <w:sz w:val="18"/>
          <w:szCs w:val="18"/>
          <w:color w:val="auto"/>
        </w:rPr>
      </w:pPr>
    </w:p>
    <w:p>
      <w:pPr>
        <w:ind w:left="900" w:hanging="450"/>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4" w:lineRule="exact"/>
        <w:rPr>
          <w:rFonts w:ascii="Arial" w:cs="Arial" w:eastAsia="Arial" w:hAnsi="Arial"/>
          <w:sz w:val="18"/>
          <w:szCs w:val="18"/>
          <w:color w:val="auto"/>
        </w:rPr>
      </w:pPr>
    </w:p>
    <w:p>
      <w:pPr>
        <w:ind w:left="900" w:hanging="450"/>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47" w:lineRule="exact"/>
        <w:rPr>
          <w:rFonts w:ascii="Arial" w:cs="Arial" w:eastAsia="Arial" w:hAnsi="Arial"/>
          <w:sz w:val="18"/>
          <w:szCs w:val="18"/>
          <w:color w:val="auto"/>
        </w:rPr>
      </w:pPr>
    </w:p>
    <w:p>
      <w:pPr>
        <w:ind w:left="900" w:hanging="450"/>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41" w:lineRule="exact"/>
        <w:rPr>
          <w:rFonts w:ascii="Arial" w:cs="Arial" w:eastAsia="Arial" w:hAnsi="Arial"/>
          <w:sz w:val="18"/>
          <w:szCs w:val="18"/>
          <w:color w:val="auto"/>
        </w:rPr>
      </w:pPr>
    </w:p>
    <w:p>
      <w:pPr>
        <w:ind w:left="900" w:hanging="450"/>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47" w:lineRule="exact"/>
        <w:rPr>
          <w:rFonts w:ascii="Arial" w:cs="Arial" w:eastAsia="Arial" w:hAnsi="Arial"/>
          <w:sz w:val="18"/>
          <w:szCs w:val="18"/>
          <w:color w:val="auto"/>
        </w:rPr>
      </w:pPr>
    </w:p>
    <w:p>
      <w:pPr>
        <w:ind w:left="900" w:hanging="450"/>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8" w:lineRule="exact"/>
        <w:rPr>
          <w:rFonts w:ascii="Arial" w:cs="Arial" w:eastAsia="Arial" w:hAnsi="Arial"/>
          <w:sz w:val="18"/>
          <w:szCs w:val="18"/>
          <w:color w:val="auto"/>
        </w:rPr>
      </w:pPr>
    </w:p>
    <w:p>
      <w:pPr>
        <w:ind w:left="440" w:hanging="433"/>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68" w:lineRule="exact"/>
        <w:rPr>
          <w:rFonts w:ascii="MS PGothic" w:cs="MS PGothic" w:eastAsia="MS PGothic" w:hAnsi="MS PGothic"/>
          <w:sz w:val="18"/>
          <w:szCs w:val="18"/>
          <w:color w:val="auto"/>
        </w:rPr>
      </w:pPr>
    </w:p>
    <w:p>
      <w:pPr>
        <w:ind w:left="440" w:right="60" w:hanging="433"/>
        <w:spacing w:after="0" w:line="269" w:lineRule="auto"/>
        <w:tabs>
          <w:tab w:leader="none" w:pos="4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4" w:lineRule="exact"/>
        <w:rPr>
          <w:rFonts w:ascii="MS PGothic" w:cs="MS PGothic" w:eastAsia="MS PGothic" w:hAnsi="MS PGothic"/>
          <w:sz w:val="17"/>
          <w:szCs w:val="17"/>
          <w:color w:val="auto"/>
        </w:rPr>
      </w:pPr>
    </w:p>
    <w:p>
      <w:pPr>
        <w:ind w:left="900" w:hanging="450"/>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1" w:lineRule="exact"/>
        <w:rPr>
          <w:rFonts w:ascii="Arial" w:cs="Arial" w:eastAsia="Arial" w:hAnsi="Arial"/>
          <w:sz w:val="18"/>
          <w:szCs w:val="18"/>
          <w:color w:val="auto"/>
        </w:rPr>
      </w:pPr>
    </w:p>
    <w:p>
      <w:pPr>
        <w:ind w:left="900" w:hanging="450"/>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4" w:lineRule="exact"/>
        <w:rPr>
          <w:rFonts w:ascii="Arial" w:cs="Arial" w:eastAsia="Arial" w:hAnsi="Arial"/>
          <w:sz w:val="18"/>
          <w:szCs w:val="18"/>
          <w:color w:val="auto"/>
        </w:rPr>
      </w:pPr>
    </w:p>
    <w:p>
      <w:pPr>
        <w:ind w:left="900" w:hanging="450"/>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1" w:lineRule="exact"/>
        <w:rPr>
          <w:rFonts w:ascii="Arial" w:cs="Arial" w:eastAsia="Arial" w:hAnsi="Arial"/>
          <w:sz w:val="18"/>
          <w:szCs w:val="18"/>
          <w:color w:val="auto"/>
        </w:rPr>
      </w:pPr>
    </w:p>
    <w:p>
      <w:pPr>
        <w:ind w:left="900" w:hanging="450"/>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wp:posOffset>
            </wp:positionH>
            <wp:positionV relativeFrom="paragraph">
              <wp:posOffset>-2130425</wp:posOffset>
            </wp:positionV>
            <wp:extent cx="6869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-1969135</wp:posOffset>
            </wp:positionV>
            <wp:extent cx="6869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-1679575</wp:posOffset>
            </wp:positionV>
            <wp:extent cx="6869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-1517650</wp:posOffset>
            </wp:positionV>
            <wp:extent cx="6869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943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-1355725</wp:posOffset>
            </wp:positionV>
            <wp:extent cx="6869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6943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-496570</wp:posOffset>
            </wp:positionV>
            <wp:extent cx="6869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943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-325755</wp:posOffset>
            </wp:positionV>
            <wp:extent cx="6869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6943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-147320</wp:posOffset>
            </wp:positionV>
            <wp:extent cx="686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9430" cy="8255"/>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56515</wp:posOffset>
            </wp:positionV>
            <wp:extent cx="6877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405130</wp:posOffset>
            </wp:positionV>
            <wp:extent cx="71501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080"/>
          </w:cols>
          <w:pgMar w:left="320" w:top="246" w:right="4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70"/>
          <w:szCs w:val="70"/>
          <w:b w:val="1"/>
          <w:bCs w:val="1"/>
          <w:color w:val="FF0000"/>
        </w:rPr>
        <w:t>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899"/>
        <w:spacing w:after="0" w:line="252" w:lineRule="auto"/>
        <w:rPr>
          <w:sz w:val="20"/>
          <w:szCs w:val="20"/>
          <w:color w:val="auto"/>
        </w:rPr>
      </w:pPr>
      <w:r>
        <w:rPr>
          <w:rFonts w:ascii="Arial" w:cs="Arial" w:eastAsia="Arial" w:hAnsi="Arial"/>
          <w:sz w:val="46"/>
          <w:szCs w:val="46"/>
          <w:color w:val="auto"/>
        </w:rPr>
        <w:t>NOTICE OF 2021 ANNUAL MEETING AND</w:t>
      </w:r>
    </w:p>
    <w:p>
      <w:pPr>
        <w:spacing w:after="0" w:line="54" w:lineRule="exact"/>
        <w:rPr>
          <w:sz w:val="20"/>
          <w:szCs w:val="20"/>
          <w:color w:val="auto"/>
        </w:rPr>
      </w:pPr>
    </w:p>
    <w:p>
      <w:pPr>
        <w:spacing w:after="0"/>
        <w:rPr>
          <w:sz w:val="20"/>
          <w:szCs w:val="20"/>
          <w:color w:val="auto"/>
        </w:rPr>
      </w:pPr>
      <w:r>
        <w:rPr>
          <w:rFonts w:ascii="Arial" w:cs="Arial" w:eastAsia="Arial" w:hAnsi="Arial"/>
          <w:sz w:val="64"/>
          <w:szCs w:val="64"/>
          <w:color w:val="auto"/>
        </w:rPr>
        <w:t>PROXY STATEMENT</w:t>
      </w:r>
    </w:p>
    <w:p>
      <w:pPr>
        <w:spacing w:after="0" w:line="316" w:lineRule="exact"/>
        <w:rPr>
          <w:sz w:val="20"/>
          <w:szCs w:val="20"/>
          <w:color w:val="auto"/>
        </w:rPr>
      </w:pPr>
    </w:p>
    <w:p>
      <w:pPr>
        <w:spacing w:after="0"/>
        <w:rPr>
          <w:sz w:val="20"/>
          <w:szCs w:val="20"/>
          <w:color w:val="auto"/>
        </w:rPr>
      </w:pPr>
      <w:r>
        <w:rPr>
          <w:rFonts w:ascii="Arial" w:cs="Arial" w:eastAsia="Arial" w:hAnsi="Arial"/>
          <w:sz w:val="43"/>
          <w:szCs w:val="43"/>
          <w:color w:val="auto"/>
        </w:rPr>
        <w:t>FOR MARCH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2776855</wp:posOffset>
            </wp:positionV>
            <wp:extent cx="71501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100" cy="17145"/>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1627505</wp:posOffset>
            </wp:positionV>
            <wp:extent cx="5711825" cy="808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1825" cy="80835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5851525</wp:posOffset>
            </wp:positionV>
            <wp:extent cx="715010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336550</wp:posOffset>
            </wp:positionV>
            <wp:extent cx="1209040" cy="808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9040" cy="808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Worldwide Headquarters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Bloomington, MN 55420-1196</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952-888-8801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February 3, 2021</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Shareholders:</w:t>
      </w:r>
    </w:p>
    <w:p>
      <w:pPr>
        <w:spacing w:after="0" w:line="218" w:lineRule="exact"/>
        <w:rPr>
          <w:sz w:val="20"/>
          <w:szCs w:val="20"/>
          <w:color w:val="auto"/>
        </w:rPr>
      </w:pPr>
    </w:p>
    <w:p>
      <w:pPr>
        <w:ind w:firstLine="401"/>
        <w:spacing w:after="0" w:line="246" w:lineRule="auto"/>
        <w:rPr>
          <w:sz w:val="20"/>
          <w:szCs w:val="20"/>
          <w:color w:val="auto"/>
        </w:rPr>
      </w:pPr>
      <w:r>
        <w:rPr>
          <w:rFonts w:ascii="Arial" w:cs="Arial" w:eastAsia="Arial" w:hAnsi="Arial"/>
          <w:sz w:val="16"/>
          <w:szCs w:val="16"/>
          <w:color w:val="auto"/>
        </w:rPr>
        <w:t xml:space="preserve">Fiscal 2020 was a successful year for The Toro Company (“TTC”), despite challenges as a result of the global COVID-19 pandemic. We achieved growth in our professional segment, primarily from incremental contributions from the Charles Machine Works and Venture Products acquisitions, and record performance from our residential segment. In addition, we saw the successful introduction of our new battery-powered products for residential and professional applications, the expansion of our mass retail channel, increased investment in research and development in key technology areas, strong free cash flow, the continued return of value to shareholders via dividends, and the launch of our first sustainability platform, </w:t>
      </w:r>
      <w:r>
        <w:rPr>
          <w:rFonts w:ascii="Arial" w:cs="Arial" w:eastAsia="Arial" w:hAnsi="Arial"/>
          <w:sz w:val="16"/>
          <w:szCs w:val="16"/>
          <w:i w:val="1"/>
          <w:iCs w:val="1"/>
          <w:color w:val="auto"/>
        </w:rPr>
        <w:t>Sustainability Endures</w:t>
      </w:r>
      <w:r>
        <w:rPr>
          <w:rFonts w:ascii="Arial" w:cs="Arial" w:eastAsia="Arial" w:hAnsi="Arial"/>
          <w:sz w:val="16"/>
          <w:szCs w:val="16"/>
          <w:color w:val="auto"/>
        </w:rPr>
        <w:t>. We owe our successful performance to our team and channel partners, who demonstrated resilience, perseverance and ingenuity in this challenging year. I am beyond proud of what we have accomplished and will remember this year as one that highlighted the way we lived in accordance with the long-standing values of The Toro Company, while caring for one another, working safely, and serving our customers with determination. While the year ahead may hold more uncertainty than in the past, we’ll continue to execute and adapt to changing environments as we maintain a balance of focusing on the short term while never losing sight of our long-term strategic priorities, and we look forward to capitalizing on many exciting growth opportunities in fiscal 2021 and beyond.</w:t>
      </w:r>
    </w:p>
    <w:p>
      <w:pPr>
        <w:spacing w:after="0" w:line="205" w:lineRule="exact"/>
        <w:rPr>
          <w:sz w:val="20"/>
          <w:szCs w:val="20"/>
          <w:color w:val="auto"/>
        </w:rPr>
      </w:pPr>
    </w:p>
    <w:p>
      <w:pPr>
        <w:ind w:firstLine="401"/>
        <w:spacing w:after="0" w:line="247" w:lineRule="auto"/>
        <w:rPr>
          <w:sz w:val="20"/>
          <w:szCs w:val="20"/>
          <w:color w:val="auto"/>
        </w:rPr>
      </w:pPr>
      <w:r>
        <w:rPr>
          <w:rFonts w:ascii="Arial" w:cs="Arial" w:eastAsia="Arial" w:hAnsi="Arial"/>
          <w:sz w:val="16"/>
          <w:szCs w:val="16"/>
          <w:color w:val="auto"/>
        </w:rPr>
        <w:t>It is my pleasure to invite you to join us for The Toro Company 2021 Annual Meeting of Shareholders to be held virtually on Tuesday, March 16, 2021, at 1:30 p.m., Central Daylight Time. Details about the annual meeting, nominees for election to the Board of Directors and other matters to be acted on at the annual meeting are presented in the notice and proxy statement that follow. The annual meeting will be held virtually; information regarding attending the virtual annual meeting can be found on page 1 of the proxy statement. It is important that your shares be represented at the annual meeting, regardless of the number of shares you hold. Accordingly, please exercise your right to vote by following the instructions for voting contained in the Notice Regarding the Availability of Proxy Materials, or the paper or electronic copy of our proxy materials you received for the meeting.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behalf of your TTC Board of Directors and Management, thank you for your continued support for our company.</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34925</wp:posOffset>
            </wp:positionV>
            <wp:extent cx="1447165" cy="493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7165" cy="49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6"/>
          <w:szCs w:val="16"/>
          <w:color w:val="FF0000"/>
        </w:rPr>
        <w:t>Richard M. Olson</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Chairman of the Board, President and CEO</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360" w:right="1960"/>
        <w:spacing w:after="0" w:line="241" w:lineRule="auto"/>
        <w:rPr>
          <w:sz w:val="20"/>
          <w:szCs w:val="20"/>
          <w:color w:val="auto"/>
        </w:rPr>
      </w:pPr>
      <w:r>
        <w:rPr>
          <w:rFonts w:ascii="Arial" w:cs="Arial" w:eastAsia="Arial" w:hAnsi="Arial"/>
          <w:sz w:val="18"/>
          <w:szCs w:val="18"/>
          <w:b w:val="1"/>
          <w:bCs w:val="1"/>
          <w:color w:val="FF0000"/>
        </w:rPr>
        <w:t>You can help us make a difference by eliminating paper proxy mailings. With your consent, we will provide all future proxy materials electronically. Instructions for consenting to electronic delivery can be found on your proxy card or at www.proxyvote.com. Your consent to receive shareholder materials electronically will remain in effect until canceled.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684530</wp:posOffset>
            </wp:positionV>
            <wp:extent cx="715010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200660</wp:posOffset>
            </wp:positionV>
            <wp:extent cx="1209040" cy="808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9040" cy="808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NOTICE OF 2021 ANNUAL MEETING OF SHAREHOLDERS</w:t>
      </w:r>
    </w:p>
    <w:p>
      <w:pPr>
        <w:sectPr>
          <w:pgSz w:w="11900" w:h="16838" w:orient="portrait"/>
          <w:cols w:equalWidth="0" w:num="1">
            <w:col w:w="11160"/>
          </w:cols>
          <w:pgMar w:left="320" w:top="140" w:right="419" w:bottom="1440" w:gutter="0" w:footer="0" w:header="0"/>
        </w:sect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FF0000"/>
        </w:rPr>
        <w:t>Tuesday, March 16, 2021</w:t>
      </w:r>
    </w:p>
    <w:p>
      <w:pPr>
        <w:spacing w:after="0" w:line="72" w:lineRule="exact"/>
        <w:rPr>
          <w:sz w:val="20"/>
          <w:szCs w:val="20"/>
          <w:color w:val="auto"/>
        </w:rPr>
      </w:pPr>
    </w:p>
    <w:p>
      <w:pPr>
        <w:sectPr>
          <w:pgSz w:w="11900" w:h="16838" w:orient="portrait"/>
          <w:cols w:equalWidth="0" w:num="2">
            <w:col w:w="580" w:space="720"/>
            <w:col w:w="9860"/>
          </w:cols>
          <w:pgMar w:left="320" w:top="140" w:right="41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FF0000"/>
        </w:rPr>
        <w:t>1:30 p.m., Central Daylight Time</w:t>
      </w:r>
    </w:p>
    <w:p>
      <w:pPr>
        <w:spacing w:after="0" w:line="73" w:lineRule="exact"/>
        <w:rPr>
          <w:sz w:val="20"/>
          <w:szCs w:val="20"/>
          <w:color w:val="auto"/>
        </w:rPr>
      </w:pPr>
    </w:p>
    <w:p>
      <w:pPr>
        <w:sectPr>
          <w:pgSz w:w="11900" w:h="16838" w:orient="portrait"/>
          <w:cols w:equalWidth="0" w:num="2">
            <w:col w:w="580" w:space="720"/>
            <w:col w:w="9860"/>
          </w:cols>
          <w:pgMar w:left="320" w:top="140" w:right="41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FF0000"/>
        </w:rPr>
        <w:t>Virtual</w:t>
      </w:r>
    </w:p>
    <w:p>
      <w:pPr>
        <w:spacing w:after="0" w:line="81" w:lineRule="exact"/>
        <w:rPr>
          <w:sz w:val="20"/>
          <w:szCs w:val="20"/>
          <w:color w:val="auto"/>
        </w:rPr>
      </w:pPr>
    </w:p>
    <w:p>
      <w:pPr>
        <w:sectPr>
          <w:pgSz w:w="11900" w:h="16838" w:orient="portrait"/>
          <w:cols w:equalWidth="0" w:num="2">
            <w:col w:w="820" w:space="480"/>
            <w:col w:w="9860"/>
          </w:cols>
          <w:pgMar w:left="320" w:top="140" w:right="419" w:bottom="1440" w:gutter="0" w:footer="0" w:header="0"/>
          <w:type w:val="continuous"/>
        </w:sectPr>
      </w:pPr>
    </w:p>
    <w:p>
      <w:pPr>
        <w:ind w:left="1300"/>
        <w:spacing w:after="0"/>
        <w:rPr>
          <w:sz w:val="20"/>
          <w:szCs w:val="20"/>
          <w:color w:val="auto"/>
        </w:rPr>
      </w:pPr>
      <w:r>
        <w:rPr>
          <w:rFonts w:ascii="Arial" w:cs="Arial" w:eastAsia="Arial" w:hAnsi="Arial"/>
          <w:sz w:val="17"/>
          <w:szCs w:val="17"/>
          <w:color w:val="FF0000"/>
        </w:rPr>
        <w:t>www.virtualshareholdermeeting.com/TTC2021</w:t>
      </w:r>
    </w:p>
    <w:p>
      <w:pPr>
        <w:sectPr>
          <w:pgSz w:w="11900" w:h="16838" w:orient="portrait"/>
          <w:cols w:equalWidth="0" w:num="1">
            <w:col w:w="11160"/>
          </w:cols>
          <w:pgMar w:left="320" w:top="140" w:right="41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ind w:left="1300" w:right="140" w:hanging="1608"/>
        <w:spacing w:after="0"/>
        <w:tabs>
          <w:tab w:leader="none" w:pos="1280" w:val="left"/>
        </w:tabs>
        <w:rPr>
          <w:sz w:val="20"/>
          <w:szCs w:val="20"/>
          <w:color w:val="auto"/>
        </w:rPr>
      </w:pPr>
      <w:r>
        <w:rPr>
          <w:rFonts w:ascii="Arial" w:cs="Arial" w:eastAsia="Arial" w:hAnsi="Arial"/>
          <w:sz w:val="18"/>
          <w:szCs w:val="18"/>
          <w:b w:val="1"/>
          <w:bCs w:val="1"/>
          <w:color w:val="auto"/>
        </w:rPr>
        <w:t>Agenda:</w:t>
      </w:r>
      <w:r>
        <w:rPr>
          <w:sz w:val="20"/>
          <w:szCs w:val="20"/>
          <w:color w:val="auto"/>
        </w:rPr>
        <w:tab/>
      </w:r>
      <w:r>
        <w:rPr>
          <w:rFonts w:ascii="Arial" w:cs="Arial" w:eastAsia="Arial" w:hAnsi="Arial"/>
          <w:sz w:val="18"/>
          <w:szCs w:val="18"/>
          <w:color w:val="FF0000"/>
        </w:rPr>
        <w:t xml:space="preserve">1. </w:t>
      </w:r>
      <w:r>
        <w:rPr>
          <w:rFonts w:ascii="Arial" w:cs="Arial" w:eastAsia="Arial" w:hAnsi="Arial"/>
          <w:sz w:val="18"/>
          <w:szCs w:val="18"/>
          <w:color w:val="000000"/>
        </w:rPr>
        <w:t>To elect as directors the three nominees named in the attached proxy statement, each to serve for a term of three years</w:t>
      </w:r>
      <w:r>
        <w:rPr>
          <w:rFonts w:ascii="Arial" w:cs="Arial" w:eastAsia="Arial" w:hAnsi="Arial"/>
          <w:sz w:val="18"/>
          <w:szCs w:val="18"/>
          <w:color w:val="FF0000"/>
        </w:rPr>
        <w:t xml:space="preserve"> </w:t>
      </w:r>
      <w:r>
        <w:rPr>
          <w:rFonts w:ascii="Arial" w:cs="Arial" w:eastAsia="Arial" w:hAnsi="Arial"/>
          <w:sz w:val="18"/>
          <w:szCs w:val="18"/>
          <w:color w:val="000000"/>
        </w:rPr>
        <w:t>ending at the 2024 Annual Meeting of Shareholders;</w:t>
      </w:r>
    </w:p>
    <w:p>
      <w:pPr>
        <w:spacing w:after="0" w:line="77" w:lineRule="exact"/>
        <w:rPr>
          <w:sz w:val="20"/>
          <w:szCs w:val="20"/>
          <w:color w:val="auto"/>
        </w:rPr>
      </w:pPr>
    </w:p>
    <w:p>
      <w:pPr>
        <w:ind w:left="1620" w:right="540" w:hanging="326"/>
        <w:spacing w:after="0"/>
        <w:tabs>
          <w:tab w:leader="none" w:pos="1596" w:val="left"/>
        </w:tabs>
        <w:numPr>
          <w:ilvl w:val="0"/>
          <w:numId w:val="4"/>
        </w:numPr>
        <w:rPr>
          <w:rFonts w:ascii="Arial" w:cs="Arial" w:eastAsia="Arial" w:hAnsi="Arial"/>
          <w:sz w:val="18"/>
          <w:szCs w:val="18"/>
          <w:color w:val="FF0000"/>
        </w:rPr>
      </w:pPr>
      <w:r>
        <w:rPr>
          <w:rFonts w:ascii="Arial" w:cs="Arial" w:eastAsia="Arial" w:hAnsi="Arial"/>
          <w:sz w:val="18"/>
          <w:szCs w:val="18"/>
          <w:color w:val="auto"/>
        </w:rPr>
        <w:t>To ratify the selection of KPMG LLP as our independent registered public accounting firm for our fiscal year ending October 31, 2021;</w:t>
      </w:r>
    </w:p>
    <w:p>
      <w:pPr>
        <w:spacing w:after="0" w:line="55" w:lineRule="exact"/>
        <w:rPr>
          <w:rFonts w:ascii="Arial" w:cs="Arial" w:eastAsia="Arial" w:hAnsi="Arial"/>
          <w:sz w:val="18"/>
          <w:szCs w:val="18"/>
          <w:color w:val="FF0000"/>
        </w:rPr>
      </w:pPr>
    </w:p>
    <w:p>
      <w:pPr>
        <w:ind w:left="1600" w:hanging="306"/>
        <w:spacing w:after="0"/>
        <w:tabs>
          <w:tab w:leader="none" w:pos="1600" w:val="left"/>
        </w:tabs>
        <w:numPr>
          <w:ilvl w:val="0"/>
          <w:numId w:val="4"/>
        </w:numPr>
        <w:rPr>
          <w:rFonts w:ascii="Arial" w:cs="Arial" w:eastAsia="Arial" w:hAnsi="Arial"/>
          <w:sz w:val="18"/>
          <w:szCs w:val="18"/>
          <w:color w:val="FF0000"/>
        </w:rPr>
      </w:pPr>
      <w:r>
        <w:rPr>
          <w:rFonts w:ascii="Arial" w:cs="Arial" w:eastAsia="Arial" w:hAnsi="Arial"/>
          <w:sz w:val="18"/>
          <w:szCs w:val="18"/>
          <w:color w:val="auto"/>
        </w:rPr>
        <w:t>To approve, on an advisory basis, our executive compensation; and</w:t>
      </w:r>
    </w:p>
    <w:p>
      <w:pPr>
        <w:spacing w:after="0" w:line="74" w:lineRule="exact"/>
        <w:rPr>
          <w:rFonts w:ascii="Arial" w:cs="Arial" w:eastAsia="Arial" w:hAnsi="Arial"/>
          <w:sz w:val="18"/>
          <w:szCs w:val="18"/>
          <w:color w:val="FF0000"/>
        </w:rPr>
      </w:pPr>
    </w:p>
    <w:p>
      <w:pPr>
        <w:ind w:left="1620" w:right="200" w:hanging="326"/>
        <w:spacing w:after="0"/>
        <w:tabs>
          <w:tab w:leader="none" w:pos="1596" w:val="left"/>
        </w:tabs>
        <w:numPr>
          <w:ilvl w:val="0"/>
          <w:numId w:val="4"/>
        </w:numPr>
        <w:rPr>
          <w:rFonts w:ascii="Arial" w:cs="Arial" w:eastAsia="Arial" w:hAnsi="Arial"/>
          <w:sz w:val="18"/>
          <w:szCs w:val="18"/>
          <w:color w:val="FF0000"/>
        </w:rPr>
      </w:pPr>
      <w:r>
        <w:rPr>
          <w:rFonts w:ascii="Arial" w:cs="Arial" w:eastAsia="Arial" w:hAnsi="Arial"/>
          <w:sz w:val="18"/>
          <w:szCs w:val="18"/>
          <w:color w:val="auto"/>
        </w:rPr>
        <w:t>To transact any other business properly brought before the annual meeting or any adjournment or postponement of the annual meeting.</w:t>
      </w:r>
    </w:p>
    <w:p>
      <w:pPr>
        <w:spacing w:after="0" w:line="109" w:lineRule="exact"/>
        <w:rPr>
          <w:sz w:val="20"/>
          <w:szCs w:val="20"/>
          <w:color w:val="auto"/>
        </w:rPr>
      </w:pPr>
    </w:p>
    <w:p>
      <w:pPr>
        <w:ind w:firstLine="401"/>
        <w:spacing w:after="0" w:line="236" w:lineRule="auto"/>
        <w:rPr>
          <w:sz w:val="20"/>
          <w:szCs w:val="20"/>
          <w:color w:val="auto"/>
        </w:rPr>
      </w:pPr>
      <w:r>
        <w:rPr>
          <w:rFonts w:ascii="Arial" w:cs="Arial" w:eastAsia="Arial" w:hAnsi="Arial"/>
          <w:sz w:val="18"/>
          <w:szCs w:val="18"/>
          <w:color w:val="auto"/>
        </w:rPr>
        <w:t>We currently are not aware of any other business to be brought before the annual meeting. Shareholders of record at the close of business on January 19, 2021, the record date, will be entitled to vote at the annual meeting or at any adjournment or postponement of the annual meeting. A shareholder list will be made available at our principal executive offices during ordinary business hours beginning March 5, 2021, for examination by any shareholder registered on our stock ledger as of the record date for any purpose germane to the annual meeting.</w:t>
      </w:r>
    </w:p>
    <w:p>
      <w:pPr>
        <w:spacing w:after="0" w:line="95" w:lineRule="exact"/>
        <w:rPr>
          <w:sz w:val="20"/>
          <w:szCs w:val="20"/>
          <w:color w:val="auto"/>
        </w:rPr>
      </w:pPr>
    </w:p>
    <w:p>
      <w:pPr>
        <w:ind w:right="20" w:firstLine="401"/>
        <w:spacing w:after="0" w:line="254" w:lineRule="auto"/>
        <w:rPr>
          <w:sz w:val="20"/>
          <w:szCs w:val="20"/>
          <w:color w:val="auto"/>
        </w:rPr>
      </w:pPr>
      <w:r>
        <w:rPr>
          <w:rFonts w:ascii="Arial" w:cs="Arial" w:eastAsia="Arial" w:hAnsi="Arial"/>
          <w:sz w:val="17"/>
          <w:szCs w:val="17"/>
          <w:color w:val="auto"/>
        </w:rPr>
        <w:t>Your vote is important. A majority of the outstanding shares of our common stock must be present either by attending the virtual meeting or by proxy to constitute a quorum for the conduct of business. Please promptly vote your shares by following the instructions for voting contained in the Notice Regarding the Availability of Proxy Materials or, if you received a paper or electronic copy of our proxy materials, by completing, signing, dating and returning your proxy card or by Internet, telephone or mobile device voting as described on your proxy card.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February 3, 2021</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141605</wp:posOffset>
            </wp:positionV>
            <wp:extent cx="1344930" cy="434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44930"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FF0000"/>
        </w:rPr>
        <w:t>Amy E. Dahl</w:t>
      </w:r>
    </w:p>
    <w:p>
      <w:pPr>
        <w:ind w:left="40"/>
        <w:spacing w:after="0" w:line="233" w:lineRule="auto"/>
        <w:rPr>
          <w:sz w:val="20"/>
          <w:szCs w:val="20"/>
          <w:color w:val="auto"/>
        </w:rPr>
      </w:pPr>
      <w:r>
        <w:rPr>
          <w:rFonts w:ascii="Arial" w:cs="Arial" w:eastAsia="Arial" w:hAnsi="Arial"/>
          <w:sz w:val="18"/>
          <w:szCs w:val="18"/>
          <w:color w:val="auto"/>
        </w:rPr>
        <w:t>Vice President, Human Resources and General Counsel and</w:t>
      </w:r>
    </w:p>
    <w:p>
      <w:pPr>
        <w:ind w:left="36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8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LETTER TO SHAREHOLDERS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68"/>
        </w:trPr>
        <w:tc>
          <w:tcPr>
            <w:tcW w:w="1088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NOTICE OF 2021 ANNUAL MEETING OF SHAREHOLDERS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268"/>
        </w:trPr>
        <w:tc>
          <w:tcPr>
            <w:tcW w:w="1088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THE TORO COMPANY HIGHLIGHTS AND PROXY STATEMENT EXECUTIVE SUMMARY</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vi</w:t>
            </w:r>
          </w:p>
        </w:tc>
      </w:tr>
      <w:tr>
        <w:trPr>
          <w:trHeight w:val="268"/>
        </w:trPr>
        <w:tc>
          <w:tcPr>
            <w:tcW w:w="1088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PROXY STATEMENT</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8"/>
        </w:trPr>
        <w:tc>
          <w:tcPr>
            <w:tcW w:w="1088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GENERAL INFORMATION ABOUT THE 2021 ANNUAL MEETING AND VOTING</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5"/>
        </w:trPr>
        <w:tc>
          <w:tcPr>
            <w:tcW w:w="10880" w:type="dxa"/>
            <w:vAlign w:val="bottom"/>
          </w:tcPr>
          <w:p>
            <w:pPr>
              <w:ind w:left="360"/>
              <w:spacing w:after="0"/>
              <w:rPr>
                <w:rFonts w:ascii="Arial" w:cs="Arial" w:eastAsia="Arial" w:hAnsi="Arial"/>
                <w:sz w:val="18"/>
                <w:szCs w:val="18"/>
                <w:color w:val="0000EE"/>
              </w:rPr>
            </w:pPr>
            <w:hyperlink w:anchor="page13">
              <w:r>
                <w:rPr>
                  <w:rFonts w:ascii="Arial" w:cs="Arial" w:eastAsia="Arial" w:hAnsi="Arial"/>
                  <w:sz w:val="18"/>
                  <w:szCs w:val="18"/>
                  <w:u w:val="single" w:color="auto"/>
                  <w:color w:val="0000EE"/>
                </w:rPr>
                <w:t>Important Notice Regarding the Availability of Proxy Materials for the Shareholder Meeting To Be Held on Tuesday, March 16, 202</w:t>
              </w:r>
            </w:hyperlink>
            <w:r>
              <w:rPr>
                <w:rFonts w:ascii="Arial" w:cs="Arial" w:eastAsia="Arial" w:hAnsi="Arial"/>
                <w:sz w:val="18"/>
                <w:szCs w:val="18"/>
                <w:color w:val="000000"/>
              </w:rPr>
              <w:t>1</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When and Where Will the Annual Meeting Be Held?</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How Can I Attend the Virtual Annual Meeting?</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What Are the Purposes of the Annual Meeting?</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Are There Any Matters To Be Voted On at the Annual Meeting that Are Not Included in this Proxy Statement?</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Who Is Entitled to Vote and How Many Shares Must Be Present to Hold the Annual Meeting?</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How Do I Vote My Shares?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How Does the Board Recommend that I Vote and What Vote is Required for Each Proposal?</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How Will My Shares Be Voted?</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What Does It Mean If I Receive More Than One Notice or Set of Proxy Materials?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How Can I Revoke or Change My Vote?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Who Will Count the Votes?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How Will Business Be Conducted at the Annual Meeting?</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How Can I Ask Questions During the Annual Meeting?</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8"/>
        </w:trPr>
        <w:tc>
          <w:tcPr>
            <w:tcW w:w="1088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PROPOSAL ONE—ELECTION OF DIRECTORS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Number of Directors; Board Structure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Nominees for Director</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Board Recommendation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Information About Director Nominees and Continuing Directors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8"/>
        </w:trPr>
        <w:tc>
          <w:tcPr>
            <w:tcW w:w="1088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CORPORATE GOVERNANCE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Corporate Governance Guidelines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Board Leadership Structure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Director Independence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Director Attendance; Executive Sessions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Board Committees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Board’s Role in Risk Oversight</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Executive Compensation Process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Director Nomination and Refreshment Process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Related Person Transactions and Policies and Procedures Regarding Related Person Transactions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Board of Directors Business Ethics Policy Statement</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Code of Conduct and Code of Ethics for our CEO and Senior Financial Personnel</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Communications with Directors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Complaint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5"/>
        </w:trPr>
        <w:tc>
          <w:tcPr>
            <w:tcW w:w="1088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DIRECTOR COMPENSATION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Director Compensation Program for Fiscal 2020</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5"/>
        </w:trPr>
        <w:tc>
          <w:tcPr>
            <w:tcW w:w="10880" w:type="dxa"/>
            <w:vAlign w:val="bottom"/>
          </w:tcPr>
          <w:p>
            <w:pPr>
              <w:ind w:left="3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Director Compensation for Fiscal 2020</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3"/>
        </w:trPr>
        <w:tc>
          <w:tcPr>
            <w:tcW w:w="1026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tc>
        <w:tc>
          <w:tcPr>
            <w:tcW w:w="980" w:type="dxa"/>
            <w:vAlign w:val="bottom"/>
          </w:tcPr>
          <w:p>
            <w:pPr>
              <w:spacing w:after="0"/>
              <w:rPr>
                <w:sz w:val="18"/>
                <w:szCs w:val="18"/>
                <w:color w:val="auto"/>
              </w:rPr>
            </w:pPr>
          </w:p>
        </w:tc>
      </w:tr>
      <w:tr>
        <w:trPr>
          <w:trHeight w:val="389"/>
        </w:trPr>
        <w:tc>
          <w:tcPr>
            <w:tcW w:w="1026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PROPOSAL TWO—RATIFICATION OF SELECTION OF INDEPENDENT REGISTERED PUBLIC ACCOUNTING FIRM</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Selection of Independent Registered Public Accounting Firm</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Audit, Audit-Related, Tax and Other Fees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Pre-Approval Policies and Procedures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Board Recommendation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Audit Committee Report</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8"/>
        </w:trPr>
        <w:tc>
          <w:tcPr>
            <w:tcW w:w="1026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PROPOSAL THREE—ADVISORY APPROVAL OF OUR EXECUTIVE COMPENSATION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Board Recommendation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8"/>
        </w:trPr>
        <w:tc>
          <w:tcPr>
            <w:tcW w:w="1026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EXECUTIVE COMPENSATION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Compensation &amp; Human Resources Committee Report</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Compensation Discussion and Analysis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Assessment of Risk Related to Compensation Programs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Summary Compensation Table</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All Other Compensation for Fiscal 2020</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Grants of Plan-Based Awards for Fiscal 2020</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Outstanding Equity Awards at Fiscal Year-End for 2020</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Option Exercises and Stock Vested for Fiscal 2020</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Nonqualified Deferred Compensation for Fiscal 2020</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Potential Payments Upon Termination or Change In Control</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Pay Ratio Disclosure</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Compensation Committee Interlocks and Insider Participation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68"/>
        </w:trPr>
        <w:tc>
          <w:tcPr>
            <w:tcW w:w="1026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STOCK OWNERSHIP</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Significant Beneficial Owners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Directors and Executive Officers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Stock Ownership Guidelines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Anti-Hedging and Anti-Pledging Policies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68"/>
        </w:trPr>
        <w:tc>
          <w:tcPr>
            <w:tcW w:w="1026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EQUITY COMPENSATION PLAN INFORMATION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68"/>
        </w:trPr>
        <w:tc>
          <w:tcPr>
            <w:tcW w:w="1026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OTHER INFORMATION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Shareholder Proposals and Director Nominations for the 2022 Annual Meeting</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Householding of Annual Meeting Materials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Annual Report</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55"/>
        </w:trPr>
        <w:tc>
          <w:tcPr>
            <w:tcW w:w="10260" w:type="dxa"/>
            <w:vAlign w:val="bottom"/>
          </w:tcPr>
          <w:p>
            <w:pPr>
              <w:ind w:left="36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Cost and Method of Solicitation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FORWARD-LOOKING INFORMATION</w:t>
      </w:r>
    </w:p>
    <w:p>
      <w:pPr>
        <w:spacing w:after="0" w:line="123" w:lineRule="exact"/>
        <w:rPr>
          <w:sz w:val="20"/>
          <w:szCs w:val="20"/>
          <w:color w:val="auto"/>
        </w:rPr>
      </w:pPr>
    </w:p>
    <w:p>
      <w:pPr>
        <w:ind w:firstLine="401"/>
        <w:spacing w:after="0" w:line="234" w:lineRule="auto"/>
        <w:rPr>
          <w:sz w:val="20"/>
          <w:szCs w:val="20"/>
          <w:color w:val="auto"/>
        </w:rPr>
      </w:pPr>
      <w:r>
        <w:rPr>
          <w:rFonts w:ascii="Arial" w:cs="Arial" w:eastAsia="Arial" w:hAnsi="Arial"/>
          <w:sz w:val="18"/>
          <w:szCs w:val="18"/>
          <w:color w:val="auto"/>
        </w:rPr>
        <w:t>Statements in this proxy statement not based on historical facts are intended to constitute “forward-looking” statements in connection with the “safe harbor” provisions of the Private Securities Litigation Reform Act of 1995. Forward-looking statements can be identified in this proxy statement by using words such as "expect," "strive," "look forward," "outlook," "guidance," "forecast," "goal," "optimistic," "anticipate," "continue," "plan," "estimate," "project," "believe," "should," "could," "will," "would," "possible," "may," "likely," "intend," "can," "seek," "potential," "pro forma," or the negative thereof and similar expressions or future dates. Although such statements have been made in good faith and are based on reasonable assumptions, there is no assurance that the expected results will be achieved. Accordingly, such statements involve risks and uncertainties that could cause actual results to differ materially from those projected or implied. Reference is made to our most recent Annual Report on Form 10-K filed with the Securities and Exchange Commission, or SEC, on December 18, 2020, and any subsequent Quarterly Report on Form 10-Q or Current Report on Form 8-K filed with the SEC, for a list of such factors.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3590" cy="204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204470"/>
                    </a:xfrm>
                    <a:prstGeom prst="rect">
                      <a:avLst/>
                    </a:prstGeom>
                    <a:noFill/>
                  </pic:spPr>
                </pic:pic>
              </a:graphicData>
            </a:graphic>
          </wp:anchor>
        </w:drawing>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20"/>
          <w:szCs w:val="20"/>
          <w:b w:val="1"/>
          <w:bCs w:val="1"/>
          <w:color w:val="FFFFFF"/>
        </w:rPr>
        <w:t>THE TORO COMPANY HIGHLIGHTS AND PROXY STATEMENT EXECUTIVE SUMMARY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Business Overview</w:t>
      </w:r>
    </w:p>
    <w:p>
      <w:pPr>
        <w:spacing w:after="0" w:line="118" w:lineRule="exact"/>
        <w:rPr>
          <w:sz w:val="20"/>
          <w:szCs w:val="20"/>
          <w:color w:val="auto"/>
        </w:rPr>
      </w:pPr>
    </w:p>
    <w:p>
      <w:pPr>
        <w:ind w:firstLine="401"/>
        <w:spacing w:after="0" w:line="250" w:lineRule="auto"/>
        <w:rPr>
          <w:sz w:val="20"/>
          <w:szCs w:val="20"/>
          <w:color w:val="auto"/>
        </w:rPr>
      </w:pPr>
      <w:r>
        <w:rPr>
          <w:rFonts w:ascii="Arial" w:cs="Arial" w:eastAsia="Arial" w:hAnsi="Arial"/>
          <w:sz w:val="17"/>
          <w:szCs w:val="17"/>
          <w:color w:val="auto"/>
        </w:rPr>
        <w:t>The Toro Company (the “Company,” “TTC,” “we,” “us” and “our”), is a leading worldwide provider of innovative solutions for the outdoor environment including turf and landscape maintenance, snow and ice management, underground utility construction, rental and specialty construction, and irrigation and outdoor lighting solutions. The Toro Company’s global presence extends to more than 125 countries through a family of brands that includes Toro, Ditch Witch, Exmark, BOSS Snowplow, Ventrac, American Augers, Subsite Electronics, HammerHead, Trencor, Unique Lighting Systems, Irritrol, PERROT, Hayter, Pope, Lawn-Boy and Radius HDD. Through constant innovation and caring relationships built on trust and integrity, The Toro Company and its family of brands have built a legacy of excellence by helping customers care for golf courses, sports fields, construction sites, public green spaces, commercial and residential properties and agricultural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57150</wp:posOffset>
            </wp:positionV>
            <wp:extent cx="4987925" cy="8597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87925" cy="859790"/>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p>
      <w:pPr>
        <w:spacing w:after="0" w:line="134"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FF0000"/>
        </w:rPr>
        <w:t>OUR PURPOSE</w:t>
      </w:r>
    </w:p>
    <w:p>
      <w:pPr>
        <w:spacing w:after="0" w:line="50" w:lineRule="exact"/>
        <w:rPr>
          <w:sz w:val="20"/>
          <w:szCs w:val="20"/>
          <w:color w:val="auto"/>
        </w:rPr>
      </w:pPr>
    </w:p>
    <w:p>
      <w:pPr>
        <w:jc w:val="center"/>
        <w:ind w:left="1980"/>
        <w:spacing w:after="0"/>
        <w:rPr>
          <w:sz w:val="20"/>
          <w:szCs w:val="20"/>
          <w:color w:val="auto"/>
        </w:rPr>
      </w:pPr>
      <w:r>
        <w:rPr>
          <w:rFonts w:ascii="Arial" w:cs="Arial" w:eastAsia="Arial" w:hAnsi="Arial"/>
          <w:sz w:val="18"/>
          <w:szCs w:val="18"/>
          <w:color w:val="auto"/>
        </w:rPr>
        <w:t>To help our</w:t>
      </w:r>
    </w:p>
    <w:p>
      <w:pPr>
        <w:jc w:val="center"/>
        <w:ind w:left="1980"/>
        <w:spacing w:after="0"/>
        <w:rPr>
          <w:sz w:val="20"/>
          <w:szCs w:val="20"/>
          <w:color w:val="auto"/>
        </w:rPr>
      </w:pPr>
      <w:r>
        <w:rPr>
          <w:rFonts w:ascii="Arial" w:cs="Arial" w:eastAsia="Arial" w:hAnsi="Arial"/>
          <w:sz w:val="17"/>
          <w:szCs w:val="17"/>
          <w:color w:val="auto"/>
        </w:rPr>
        <w:t>customers enrich the</w:t>
      </w:r>
    </w:p>
    <w:p>
      <w:pPr>
        <w:jc w:val="center"/>
        <w:ind w:left="1980"/>
        <w:spacing w:after="0"/>
        <w:rPr>
          <w:sz w:val="20"/>
          <w:szCs w:val="20"/>
          <w:color w:val="auto"/>
        </w:rPr>
      </w:pPr>
      <w:r>
        <w:rPr>
          <w:rFonts w:ascii="Arial" w:cs="Arial" w:eastAsia="Arial" w:hAnsi="Arial"/>
          <w:sz w:val="18"/>
          <w:szCs w:val="18"/>
          <w:color w:val="auto"/>
        </w:rPr>
        <w:t>beauty, productivity</w:t>
      </w:r>
    </w:p>
    <w:p>
      <w:pPr>
        <w:jc w:val="center"/>
        <w:ind w:left="1980"/>
        <w:spacing w:after="0" w:line="233" w:lineRule="auto"/>
        <w:rPr>
          <w:sz w:val="20"/>
          <w:szCs w:val="20"/>
          <w:color w:val="auto"/>
        </w:rPr>
      </w:pPr>
      <w:r>
        <w:rPr>
          <w:rFonts w:ascii="Arial" w:cs="Arial" w:eastAsia="Arial" w:hAnsi="Arial"/>
          <w:sz w:val="18"/>
          <w:szCs w:val="18"/>
          <w:color w:val="auto"/>
        </w:rPr>
        <w:t>and sustainability</w:t>
      </w:r>
    </w:p>
    <w:p>
      <w:pPr>
        <w:jc w:val="center"/>
        <w:ind w:left="1980"/>
        <w:spacing w:after="0"/>
        <w:rPr>
          <w:sz w:val="20"/>
          <w:szCs w:val="20"/>
          <w:color w:val="auto"/>
        </w:rPr>
      </w:pPr>
      <w:r>
        <w:rPr>
          <w:rFonts w:ascii="Arial" w:cs="Arial" w:eastAsia="Arial" w:hAnsi="Arial"/>
          <w:sz w:val="18"/>
          <w:szCs w:val="18"/>
          <w:color w:val="auto"/>
        </w:rPr>
        <w:t>of the land.</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FF0000"/>
        </w:rPr>
        <w:t>OUR VISION</w:t>
      </w:r>
    </w:p>
    <w:p>
      <w:pPr>
        <w:spacing w:after="0" w:line="5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To be the most trusted</w:t>
      </w:r>
    </w:p>
    <w:p>
      <w:pPr>
        <w:jc w:val="center"/>
        <w:ind w:right="220"/>
        <w:spacing w:after="0"/>
        <w:rPr>
          <w:sz w:val="20"/>
          <w:szCs w:val="20"/>
          <w:color w:val="auto"/>
        </w:rPr>
      </w:pPr>
      <w:r>
        <w:rPr>
          <w:rFonts w:ascii="Arial" w:cs="Arial" w:eastAsia="Arial" w:hAnsi="Arial"/>
          <w:sz w:val="17"/>
          <w:szCs w:val="17"/>
          <w:color w:val="auto"/>
        </w:rPr>
        <w:t>leader in solutions for the</w:t>
      </w:r>
    </w:p>
    <w:p>
      <w:pPr>
        <w:jc w:val="center"/>
        <w:ind w:right="220"/>
        <w:spacing w:after="0"/>
        <w:rPr>
          <w:sz w:val="20"/>
          <w:szCs w:val="20"/>
          <w:color w:val="auto"/>
        </w:rPr>
      </w:pPr>
      <w:r>
        <w:rPr>
          <w:rFonts w:ascii="Arial" w:cs="Arial" w:eastAsia="Arial" w:hAnsi="Arial"/>
          <w:sz w:val="18"/>
          <w:szCs w:val="18"/>
          <w:color w:val="auto"/>
        </w:rPr>
        <w:t>outdoor environment.</w:t>
      </w:r>
    </w:p>
    <w:p>
      <w:pPr>
        <w:jc w:val="center"/>
        <w:ind w:right="220"/>
        <w:spacing w:after="0" w:line="233" w:lineRule="auto"/>
        <w:rPr>
          <w:sz w:val="20"/>
          <w:szCs w:val="20"/>
          <w:color w:val="auto"/>
        </w:rPr>
      </w:pPr>
      <w:r>
        <w:rPr>
          <w:rFonts w:ascii="Arial" w:cs="Arial" w:eastAsia="Arial" w:hAnsi="Arial"/>
          <w:sz w:val="18"/>
          <w:szCs w:val="18"/>
          <w:color w:val="auto"/>
        </w:rPr>
        <w:t>Every day.</w:t>
      </w:r>
    </w:p>
    <w:p>
      <w:pPr>
        <w:jc w:val="center"/>
        <w:ind w:right="220"/>
        <w:spacing w:after="0"/>
        <w:rPr>
          <w:sz w:val="20"/>
          <w:szCs w:val="20"/>
          <w:color w:val="auto"/>
        </w:rPr>
      </w:pPr>
      <w:r>
        <w:rPr>
          <w:rFonts w:ascii="Arial" w:cs="Arial" w:eastAsia="Arial" w:hAnsi="Arial"/>
          <w:sz w:val="18"/>
          <w:szCs w:val="18"/>
          <w:color w:val="auto"/>
        </w:rPr>
        <w:t>Everywhere.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-1843405</wp:posOffset>
            </wp:positionH>
            <wp:positionV relativeFrom="paragraph">
              <wp:posOffset>64770</wp:posOffset>
            </wp:positionV>
            <wp:extent cx="4987925" cy="808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87925" cy="808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2180"/>
        <w:spacing w:after="0"/>
        <w:rPr>
          <w:sz w:val="20"/>
          <w:szCs w:val="20"/>
          <w:color w:val="auto"/>
        </w:rPr>
      </w:pPr>
      <w:r>
        <w:rPr>
          <w:rFonts w:ascii="Arial" w:cs="Arial" w:eastAsia="Arial" w:hAnsi="Arial"/>
          <w:sz w:val="18"/>
          <w:szCs w:val="18"/>
          <w:b w:val="1"/>
          <w:bCs w:val="1"/>
          <w:color w:val="FF0000"/>
        </w:rPr>
        <w:t>OUR MISSION</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To deliver superior</w:t>
      </w:r>
    </w:p>
    <w:p>
      <w:pPr>
        <w:ind w:left="60"/>
        <w:spacing w:after="0"/>
        <w:rPr>
          <w:sz w:val="20"/>
          <w:szCs w:val="20"/>
          <w:color w:val="auto"/>
        </w:rPr>
      </w:pPr>
      <w:r>
        <w:rPr>
          <w:rFonts w:ascii="Arial" w:cs="Arial" w:eastAsia="Arial" w:hAnsi="Arial"/>
          <w:sz w:val="18"/>
          <w:szCs w:val="18"/>
          <w:color w:val="auto"/>
        </w:rPr>
        <w:t>innovation and to</w:t>
      </w:r>
    </w:p>
    <w:p>
      <w:pPr>
        <w:ind w:left="120"/>
        <w:spacing w:after="0" w:line="233" w:lineRule="auto"/>
        <w:rPr>
          <w:sz w:val="20"/>
          <w:szCs w:val="20"/>
          <w:color w:val="auto"/>
        </w:rPr>
      </w:pPr>
      <w:r>
        <w:rPr>
          <w:rFonts w:ascii="Arial" w:cs="Arial" w:eastAsia="Arial" w:hAnsi="Arial"/>
          <w:sz w:val="18"/>
          <w:szCs w:val="18"/>
          <w:color w:val="auto"/>
        </w:rPr>
        <w:t>deliver superior</w:t>
      </w:r>
    </w:p>
    <w:p>
      <w:pPr>
        <w:ind w:left="140"/>
        <w:spacing w:after="0"/>
        <w:rPr>
          <w:sz w:val="20"/>
          <w:szCs w:val="20"/>
          <w:color w:val="auto"/>
        </w:rPr>
      </w:pPr>
      <w:r>
        <w:rPr>
          <w:rFonts w:ascii="Arial" w:cs="Arial" w:eastAsia="Arial" w:hAnsi="Arial"/>
          <w:sz w:val="18"/>
          <w:szCs w:val="18"/>
          <w:color w:val="auto"/>
        </w:rPr>
        <w:t>customer care.</w:t>
      </w:r>
    </w:p>
    <w:p>
      <w:pPr>
        <w:spacing w:after="0" w:line="347" w:lineRule="exact"/>
        <w:rPr>
          <w:sz w:val="20"/>
          <w:szCs w:val="20"/>
          <w:color w:val="auto"/>
        </w:rPr>
      </w:pPr>
    </w:p>
    <w:p>
      <w:pPr>
        <w:sectPr>
          <w:pgSz w:w="11900" w:h="16838" w:orient="portrait"/>
          <w:cols w:equalWidth="0" w:num="3">
            <w:col w:w="3880" w:space="720"/>
            <w:col w:w="2220" w:space="720"/>
            <w:col w:w="3640"/>
          </w:cols>
          <w:pgMar w:left="320" w:top="140" w:right="3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FF0000"/>
        </w:rPr>
        <w:t>OUR GUIDING PRINCIPLES</w:t>
      </w:r>
    </w:p>
    <w:p>
      <w:pPr>
        <w:spacing w:after="0" w:line="56" w:lineRule="exact"/>
        <w:rPr>
          <w:sz w:val="20"/>
          <w:szCs w:val="20"/>
          <w:color w:val="auto"/>
        </w:rPr>
      </w:pPr>
    </w:p>
    <w:p>
      <w:pPr>
        <w:jc w:val="center"/>
        <w:ind w:left="1180" w:right="920"/>
        <w:spacing w:after="0" w:line="236" w:lineRule="auto"/>
        <w:rPr>
          <w:sz w:val="20"/>
          <w:szCs w:val="20"/>
          <w:color w:val="auto"/>
        </w:rPr>
      </w:pPr>
      <w:r>
        <w:rPr>
          <w:rFonts w:ascii="Arial" w:cs="Arial" w:eastAsia="Arial" w:hAnsi="Arial"/>
          <w:sz w:val="18"/>
          <w:szCs w:val="18"/>
          <w:color w:val="auto"/>
        </w:rPr>
        <w:t>The Toro Company’s success is founded on a long history of caring relationships based on trust and integrity. These relationships are the foundation on which we build market leadership with the best in innovative products and solutions to make outdoor environments beautiful, productive, and sustainable. We are entrusted to strengthen this legacy of excellence.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Quick Facts About The Toro Company</w:t>
      </w:r>
    </w:p>
    <w:p>
      <w:pPr>
        <w:spacing w:after="0" w:line="12" w:lineRule="exact"/>
        <w:rPr>
          <w:sz w:val="20"/>
          <w:szCs w:val="20"/>
          <w:color w:val="auto"/>
        </w:rPr>
      </w:pPr>
    </w:p>
    <w:tbl>
      <w:tblPr>
        <w:tblLayout w:type="fixed"/>
        <w:tblInd w:w="860" w:type="dxa"/>
        <w:tblCellMar>
          <w:top w:w="0" w:type="dxa"/>
          <w:left w:w="0" w:type="dxa"/>
          <w:bottom w:w="0" w:type="dxa"/>
          <w:right w:w="0" w:type="dxa"/>
        </w:tblCellMar>
      </w:tblPr>
      <w:tr>
        <w:trPr>
          <w:trHeight w:val="194"/>
        </w:trPr>
        <w:tc>
          <w:tcPr>
            <w:tcW w:w="40" w:type="dxa"/>
            <w:vAlign w:val="bottom"/>
            <w:tcBorders>
              <w:top w:val="single" w:sz="8" w:color="auto"/>
              <w:right w:val="single" w:sz="8" w:color="D9D9D9"/>
            </w:tcBorders>
            <w:shd w:val="clear" w:color="auto" w:fill="000000"/>
          </w:tcPr>
          <w:p>
            <w:pPr>
              <w:spacing w:after="0"/>
              <w:rPr>
                <w:sz w:val="16"/>
                <w:szCs w:val="16"/>
                <w:color w:val="auto"/>
              </w:rPr>
            </w:pPr>
          </w:p>
        </w:tc>
        <w:tc>
          <w:tcPr>
            <w:tcW w:w="3120" w:type="dxa"/>
            <w:vAlign w:val="bottom"/>
            <w:tcBorders>
              <w:top w:val="single" w:sz="8" w:color="auto"/>
              <w:right w:val="single" w:sz="8" w:color="auto"/>
            </w:tcBorders>
            <w:shd w:val="clear" w:color="auto" w:fill="D9D9D9"/>
          </w:tcPr>
          <w:p>
            <w:pPr>
              <w:jc w:val="center"/>
              <w:spacing w:after="0" w:line="195" w:lineRule="exact"/>
              <w:rPr>
                <w:sz w:val="20"/>
                <w:szCs w:val="20"/>
                <w:color w:val="auto"/>
              </w:rPr>
            </w:pPr>
            <w:r>
              <w:rPr>
                <w:rFonts w:ascii="Arial" w:cs="Arial" w:eastAsia="Arial" w:hAnsi="Arial"/>
                <w:sz w:val="18"/>
                <w:szCs w:val="18"/>
                <w:b w:val="1"/>
                <w:bCs w:val="1"/>
                <w:color w:val="FF0000"/>
                <w:w w:val="99"/>
              </w:rPr>
              <w:t>Founded</w:t>
            </w:r>
          </w:p>
        </w:tc>
        <w:tc>
          <w:tcPr>
            <w:tcW w:w="100" w:type="dxa"/>
            <w:vAlign w:val="bottom"/>
            <w:tcBorders>
              <w:right w:val="single" w:sz="8" w:color="auto"/>
            </w:tcBorders>
          </w:tcPr>
          <w:p>
            <w:pPr>
              <w:spacing w:after="0"/>
              <w:rPr>
                <w:sz w:val="16"/>
                <w:szCs w:val="16"/>
                <w:color w:val="auto"/>
              </w:rPr>
            </w:pPr>
          </w:p>
        </w:tc>
        <w:tc>
          <w:tcPr>
            <w:tcW w:w="2840" w:type="dxa"/>
            <w:vAlign w:val="bottom"/>
            <w:tcBorders>
              <w:top w:val="single" w:sz="8" w:color="auto"/>
            </w:tcBorders>
            <w:shd w:val="clear" w:color="auto" w:fill="D9D9D9"/>
          </w:tcPr>
          <w:p>
            <w:pPr>
              <w:jc w:val="center"/>
              <w:spacing w:after="0" w:line="195" w:lineRule="exact"/>
              <w:rPr>
                <w:sz w:val="20"/>
                <w:szCs w:val="20"/>
                <w:color w:val="auto"/>
              </w:rPr>
            </w:pPr>
            <w:r>
              <w:rPr>
                <w:rFonts w:ascii="Arial" w:cs="Arial" w:eastAsia="Arial" w:hAnsi="Arial"/>
                <w:sz w:val="18"/>
                <w:szCs w:val="18"/>
                <w:b w:val="1"/>
                <w:bCs w:val="1"/>
                <w:color w:val="FF0000"/>
                <w:w w:val="98"/>
              </w:rPr>
              <w:t>Fiscal 2020 Net Sales</w:t>
            </w:r>
          </w:p>
        </w:tc>
        <w:tc>
          <w:tcPr>
            <w:tcW w:w="100" w:type="dxa"/>
            <w:vAlign w:val="bottom"/>
            <w:tcBorders>
              <w:left w:val="single" w:sz="8" w:color="auto"/>
              <w:right w:val="single" w:sz="8" w:color="auto"/>
            </w:tcBorders>
          </w:tcPr>
          <w:p>
            <w:pPr>
              <w:spacing w:after="0"/>
              <w:rPr>
                <w:sz w:val="16"/>
                <w:szCs w:val="16"/>
                <w:color w:val="auto"/>
              </w:rPr>
            </w:pPr>
          </w:p>
        </w:tc>
        <w:tc>
          <w:tcPr>
            <w:tcW w:w="3300" w:type="dxa"/>
            <w:vAlign w:val="bottom"/>
            <w:tcBorders>
              <w:top w:val="single" w:sz="8" w:color="auto"/>
            </w:tcBorders>
            <w:shd w:val="clear" w:color="auto" w:fill="D9D9D9"/>
          </w:tcPr>
          <w:p>
            <w:pPr>
              <w:jc w:val="center"/>
              <w:spacing w:after="0" w:line="195" w:lineRule="exact"/>
              <w:rPr>
                <w:sz w:val="20"/>
                <w:szCs w:val="20"/>
                <w:color w:val="auto"/>
              </w:rPr>
            </w:pPr>
            <w:r>
              <w:rPr>
                <w:rFonts w:ascii="Arial" w:cs="Arial" w:eastAsia="Arial" w:hAnsi="Arial"/>
                <w:sz w:val="18"/>
                <w:szCs w:val="18"/>
                <w:b w:val="1"/>
                <w:bCs w:val="1"/>
                <w:color w:val="FF0000"/>
                <w:w w:val="99"/>
              </w:rPr>
              <w:t>Worldwide Headquarters</w:t>
            </w:r>
          </w:p>
        </w:tc>
        <w:tc>
          <w:tcPr>
            <w:tcW w:w="40" w:type="dxa"/>
            <w:vAlign w:val="bottom"/>
            <w:tcBorders>
              <w:top w:val="single" w:sz="8" w:color="auto"/>
              <w:left w:val="single" w:sz="8" w:color="D9D9D9"/>
            </w:tcBorders>
            <w:shd w:val="clear" w:color="auto" w:fill="000000"/>
          </w:tcPr>
          <w:p>
            <w:pPr>
              <w:spacing w:after="0"/>
              <w:rPr>
                <w:sz w:val="16"/>
                <w:szCs w:val="16"/>
                <w:color w:val="auto"/>
              </w:rPr>
            </w:pPr>
          </w:p>
        </w:tc>
      </w:tr>
      <w:tr>
        <w:trPr>
          <w:trHeight w:val="287"/>
        </w:trPr>
        <w:tc>
          <w:tcPr>
            <w:tcW w:w="40" w:type="dxa"/>
            <w:vAlign w:val="bottom"/>
            <w:tcBorders>
              <w:bottom w:val="single" w:sz="8" w:color="auto"/>
              <w:right w:val="single" w:sz="8" w:color="D9D9D9"/>
            </w:tcBorders>
            <w:shd w:val="clear" w:color="auto" w:fill="000000"/>
          </w:tcPr>
          <w:p>
            <w:pPr>
              <w:spacing w:after="0"/>
              <w:rPr>
                <w:sz w:val="24"/>
                <w:szCs w:val="24"/>
                <w:color w:val="auto"/>
              </w:rPr>
            </w:pPr>
          </w:p>
        </w:tc>
        <w:tc>
          <w:tcPr>
            <w:tcW w:w="31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1914</w:t>
            </w:r>
          </w:p>
        </w:tc>
        <w:tc>
          <w:tcPr>
            <w:tcW w:w="100" w:type="dxa"/>
            <w:vAlign w:val="bottom"/>
            <w:tcBorders>
              <w:right w:val="single" w:sz="8" w:color="auto"/>
            </w:tcBorders>
          </w:tcPr>
          <w:p>
            <w:pPr>
              <w:spacing w:after="0"/>
              <w:rPr>
                <w:sz w:val="24"/>
                <w:szCs w:val="24"/>
                <w:color w:val="auto"/>
              </w:rPr>
            </w:pPr>
          </w:p>
        </w:tc>
        <w:tc>
          <w:tcPr>
            <w:tcW w:w="284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9"/>
              </w:rPr>
              <w:t>$3.38 billion</w:t>
            </w:r>
          </w:p>
        </w:tc>
        <w:tc>
          <w:tcPr>
            <w:tcW w:w="100" w:type="dxa"/>
            <w:vAlign w:val="bottom"/>
            <w:tcBorders>
              <w:left w:val="single" w:sz="8" w:color="auto"/>
              <w:right w:val="single" w:sz="8" w:color="auto"/>
            </w:tcBorders>
          </w:tcPr>
          <w:p>
            <w:pPr>
              <w:spacing w:after="0"/>
              <w:rPr>
                <w:sz w:val="24"/>
                <w:szCs w:val="24"/>
                <w:color w:val="auto"/>
              </w:rPr>
            </w:pPr>
          </w:p>
        </w:tc>
        <w:tc>
          <w:tcPr>
            <w:tcW w:w="33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9"/>
              </w:rPr>
              <w:t>Bloomington, Minnesota, U.S.A.</w:t>
            </w:r>
          </w:p>
        </w:tc>
        <w:tc>
          <w:tcPr>
            <w:tcW w:w="40" w:type="dxa"/>
            <w:vAlign w:val="bottom"/>
            <w:tcBorders>
              <w:left w:val="single" w:sz="8" w:color="D9D9D9"/>
              <w:bottom w:val="single" w:sz="8" w:color="auto"/>
            </w:tcBorders>
            <w:shd w:val="clear" w:color="auto" w:fill="000000"/>
          </w:tcPr>
          <w:p>
            <w:pPr>
              <w:spacing w:after="0"/>
              <w:rPr>
                <w:sz w:val="24"/>
                <w:szCs w:val="24"/>
                <w:color w:val="auto"/>
              </w:rPr>
            </w:pPr>
          </w:p>
        </w:tc>
      </w:tr>
      <w:tr>
        <w:trPr>
          <w:trHeight w:val="74"/>
        </w:trPr>
        <w:tc>
          <w:tcPr>
            <w:tcW w:w="40" w:type="dxa"/>
            <w:vAlign w:val="bottom"/>
            <w:tcBorders>
              <w:top w:val="single" w:sz="8" w:color="auto"/>
            </w:tcBorders>
          </w:tcPr>
          <w:p>
            <w:pPr>
              <w:spacing w:after="0"/>
              <w:rPr>
                <w:sz w:val="6"/>
                <w:szCs w:val="6"/>
                <w:color w:val="auto"/>
              </w:rPr>
            </w:pPr>
          </w:p>
        </w:tc>
        <w:tc>
          <w:tcPr>
            <w:tcW w:w="3120" w:type="dxa"/>
            <w:vAlign w:val="bottom"/>
            <w:tcBorders>
              <w:top w:val="single" w:sz="8" w:color="auto"/>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40" w:type="dxa"/>
            <w:vAlign w:val="bottom"/>
            <w:tcBorders>
              <w:top w:val="single" w:sz="8" w:color="auto"/>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30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r>
      <w:tr>
        <w:trPr>
          <w:trHeight w:val="212"/>
        </w:trPr>
        <w:tc>
          <w:tcPr>
            <w:tcW w:w="4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FF0000"/>
                <w:w w:val="98"/>
              </w:rPr>
              <w:t>Fiscal 2020 Net Earnings</w:t>
            </w:r>
          </w:p>
        </w:tc>
        <w:tc>
          <w:tcPr>
            <w:tcW w:w="100" w:type="dxa"/>
            <w:vAlign w:val="bottom"/>
            <w:tcBorders>
              <w:right w:val="single" w:sz="8" w:color="auto"/>
            </w:tcBorders>
          </w:tcPr>
          <w:p>
            <w:pPr>
              <w:spacing w:after="0"/>
              <w:rPr>
                <w:sz w:val="18"/>
                <w:szCs w:val="18"/>
                <w:color w:val="auto"/>
              </w:rPr>
            </w:pPr>
          </w:p>
        </w:tc>
        <w:tc>
          <w:tcPr>
            <w:tcW w:w="284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FF0000"/>
                <w:w w:val="99"/>
              </w:rPr>
              <w:t>Fiscal 2020 Net Sales</w:t>
            </w:r>
          </w:p>
        </w:tc>
        <w:tc>
          <w:tcPr>
            <w:tcW w:w="100" w:type="dxa"/>
            <w:vAlign w:val="bottom"/>
            <w:tcBorders>
              <w:right w:val="single" w:sz="8" w:color="auto"/>
            </w:tcBorders>
          </w:tcPr>
          <w:p>
            <w:pPr>
              <w:spacing w:after="0"/>
              <w:rPr>
                <w:sz w:val="18"/>
                <w:szCs w:val="18"/>
                <w:color w:val="auto"/>
              </w:rPr>
            </w:pPr>
          </w:p>
        </w:tc>
        <w:tc>
          <w:tcPr>
            <w:tcW w:w="330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FF0000"/>
                <w:w w:val="99"/>
              </w:rPr>
              <w:t>Fiscal 2020 % Net Sales</w:t>
            </w:r>
          </w:p>
        </w:tc>
        <w:tc>
          <w:tcPr>
            <w:tcW w:w="40" w:type="dxa"/>
            <w:vAlign w:val="bottom"/>
            <w:tcBorders>
              <w:left w:val="single" w:sz="8" w:color="auto"/>
            </w:tcBorders>
          </w:tcPr>
          <w:p>
            <w:pPr>
              <w:spacing w:after="0"/>
              <w:rPr>
                <w:sz w:val="18"/>
                <w:szCs w:val="18"/>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$329.7 million</w:t>
            </w:r>
          </w:p>
        </w:tc>
        <w:tc>
          <w:tcPr>
            <w:tcW w:w="100" w:type="dxa"/>
            <w:vAlign w:val="bottom"/>
            <w:tcBorders>
              <w:right w:val="single" w:sz="8" w:color="auto"/>
            </w:tcBorders>
          </w:tcPr>
          <w:p>
            <w:pPr>
              <w:spacing w:after="0"/>
              <w:rPr>
                <w:sz w:val="19"/>
                <w:szCs w:val="19"/>
                <w:color w:val="auto"/>
              </w:rPr>
            </w:pPr>
          </w:p>
        </w:tc>
        <w:tc>
          <w:tcPr>
            <w:tcW w:w="284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8"/>
              </w:rPr>
              <w:t>U.S.A. – 80%</w:t>
            </w:r>
          </w:p>
        </w:tc>
        <w:tc>
          <w:tcPr>
            <w:tcW w:w="100" w:type="dxa"/>
            <w:vAlign w:val="bottom"/>
            <w:tcBorders>
              <w:right w:val="single" w:sz="8" w:color="auto"/>
            </w:tcBorders>
          </w:tcPr>
          <w:p>
            <w:pPr>
              <w:spacing w:after="0"/>
              <w:rPr>
                <w:sz w:val="19"/>
                <w:szCs w:val="19"/>
                <w:color w:val="auto"/>
              </w:rPr>
            </w:pPr>
          </w:p>
        </w:tc>
        <w:tc>
          <w:tcPr>
            <w:tcW w:w="330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FF0000"/>
                <w:w w:val="99"/>
              </w:rPr>
              <w:t>from New Products</w:t>
            </w:r>
          </w:p>
        </w:tc>
        <w:tc>
          <w:tcPr>
            <w:tcW w:w="40" w:type="dxa"/>
            <w:vAlign w:val="bottom"/>
            <w:tcBorders>
              <w:left w:val="single" w:sz="8" w:color="auto"/>
            </w:tcBorders>
          </w:tcPr>
          <w:p>
            <w:pPr>
              <w:spacing w:after="0"/>
              <w:rPr>
                <w:sz w:val="19"/>
                <w:szCs w:val="19"/>
                <w:color w:val="auto"/>
              </w:rPr>
            </w:pPr>
          </w:p>
        </w:tc>
      </w:tr>
      <w:tr>
        <w:trPr>
          <w:trHeight w:val="247"/>
        </w:trPr>
        <w:tc>
          <w:tcPr>
            <w:tcW w:w="40" w:type="dxa"/>
            <w:vAlign w:val="bottom"/>
            <w:tcBorders>
              <w:right w:val="single" w:sz="8" w:color="auto"/>
            </w:tcBorders>
          </w:tcPr>
          <w:p>
            <w:pPr>
              <w:spacing w:after="0"/>
              <w:rPr>
                <w:sz w:val="21"/>
                <w:szCs w:val="21"/>
                <w:color w:val="auto"/>
              </w:rPr>
            </w:pPr>
          </w:p>
        </w:tc>
        <w:tc>
          <w:tcPr>
            <w:tcW w:w="3120" w:type="dxa"/>
            <w:vAlign w:val="bottom"/>
            <w:tcBorders>
              <w:bottom w:val="single" w:sz="8" w:color="D9D9D9"/>
              <w:right w:val="single" w:sz="8" w:color="auto"/>
            </w:tcBorders>
            <w:shd w:val="clear" w:color="auto" w:fill="D9D9D9"/>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284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9"/>
              </w:rPr>
              <w:t>International – 20%</w:t>
            </w:r>
          </w:p>
        </w:tc>
        <w:tc>
          <w:tcPr>
            <w:tcW w:w="100" w:type="dxa"/>
            <w:vAlign w:val="bottom"/>
            <w:tcBorders>
              <w:right w:val="single" w:sz="8" w:color="auto"/>
            </w:tcBorders>
          </w:tcPr>
          <w:p>
            <w:pPr>
              <w:spacing w:after="0"/>
              <w:rPr>
                <w:sz w:val="21"/>
                <w:szCs w:val="21"/>
                <w:color w:val="auto"/>
              </w:rPr>
            </w:pPr>
          </w:p>
        </w:tc>
        <w:tc>
          <w:tcPr>
            <w:tcW w:w="33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9"/>
              </w:rPr>
              <w:t>32%</w:t>
            </w:r>
          </w:p>
        </w:tc>
        <w:tc>
          <w:tcPr>
            <w:tcW w:w="40" w:type="dxa"/>
            <w:vAlign w:val="bottom"/>
            <w:tcBorders>
              <w:left w:val="single" w:sz="8" w:color="auto"/>
            </w:tcBorders>
          </w:tcPr>
          <w:p>
            <w:pPr>
              <w:spacing w:after="0"/>
              <w:rPr>
                <w:sz w:val="21"/>
                <w:szCs w:val="21"/>
                <w:color w:val="auto"/>
              </w:rPr>
            </w:pPr>
          </w:p>
        </w:tc>
      </w:tr>
      <w:tr>
        <w:trPr>
          <w:trHeight w:val="141"/>
        </w:trPr>
        <w:tc>
          <w:tcPr>
            <w:tcW w:w="40" w:type="dxa"/>
            <w:vAlign w:val="bottom"/>
          </w:tcPr>
          <w:p>
            <w:pPr>
              <w:spacing w:after="0"/>
              <w:rPr>
                <w:sz w:val="12"/>
                <w:szCs w:val="12"/>
                <w:color w:val="auto"/>
              </w:rPr>
            </w:pPr>
          </w:p>
        </w:tc>
        <w:tc>
          <w:tcPr>
            <w:tcW w:w="31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34"/>
        </w:trPr>
        <w:tc>
          <w:tcPr>
            <w:tcW w:w="40" w:type="dxa"/>
            <w:vAlign w:val="bottom"/>
            <w:tcBorders>
              <w:right w:val="single" w:sz="8" w:color="D9D9D9"/>
            </w:tcBorders>
          </w:tcPr>
          <w:p>
            <w:pPr>
              <w:spacing w:after="0"/>
              <w:rPr>
                <w:sz w:val="20"/>
                <w:szCs w:val="20"/>
                <w:color w:val="auto"/>
              </w:rPr>
            </w:pPr>
          </w:p>
        </w:tc>
        <w:tc>
          <w:tcPr>
            <w:tcW w:w="312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FF0000"/>
                <w:w w:val="99"/>
              </w:rPr>
              <w:t>Fiscal 2020 Products</w:t>
            </w:r>
          </w:p>
        </w:tc>
        <w:tc>
          <w:tcPr>
            <w:tcW w:w="100" w:type="dxa"/>
            <w:vAlign w:val="bottom"/>
            <w:tcBorders>
              <w:right w:val="single" w:sz="8" w:color="D9D9D9"/>
            </w:tcBorders>
          </w:tcPr>
          <w:p>
            <w:pPr>
              <w:spacing w:after="0"/>
              <w:rPr>
                <w:sz w:val="20"/>
                <w:szCs w:val="20"/>
                <w:color w:val="auto"/>
              </w:rPr>
            </w:pPr>
          </w:p>
        </w:tc>
        <w:tc>
          <w:tcPr>
            <w:tcW w:w="284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FF0000"/>
                <w:w w:val="99"/>
              </w:rPr>
              <w:t>Fiscal 2020 Segments</w:t>
            </w:r>
          </w:p>
        </w:tc>
        <w:tc>
          <w:tcPr>
            <w:tcW w:w="100" w:type="dxa"/>
            <w:vAlign w:val="bottom"/>
            <w:tcBorders>
              <w:right w:val="single" w:sz="8" w:color="D9D9D9"/>
            </w:tcBorders>
          </w:tcPr>
          <w:p>
            <w:pPr>
              <w:spacing w:after="0"/>
              <w:rPr>
                <w:sz w:val="20"/>
                <w:szCs w:val="20"/>
                <w:color w:val="auto"/>
              </w:rPr>
            </w:pPr>
          </w:p>
        </w:tc>
        <w:tc>
          <w:tcPr>
            <w:tcW w:w="330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FF0000"/>
                <w:w w:val="99"/>
              </w:rPr>
              <w:t>Manufacturing Locations</w:t>
            </w:r>
          </w:p>
        </w:tc>
        <w:tc>
          <w:tcPr>
            <w:tcW w:w="40" w:type="dxa"/>
            <w:vAlign w:val="bottom"/>
          </w:tcPr>
          <w:p>
            <w:pPr>
              <w:spacing w:after="0"/>
              <w:rPr>
                <w:sz w:val="20"/>
                <w:szCs w:val="20"/>
                <w:color w:val="auto"/>
              </w:rPr>
            </w:pPr>
          </w:p>
        </w:tc>
      </w:tr>
      <w:tr>
        <w:trPr>
          <w:trHeight w:val="201"/>
        </w:trPr>
        <w:tc>
          <w:tcPr>
            <w:tcW w:w="40" w:type="dxa"/>
            <w:vAlign w:val="bottom"/>
            <w:tcBorders>
              <w:right w:val="single" w:sz="8" w:color="D9D9D9"/>
            </w:tcBorders>
          </w:tcPr>
          <w:p>
            <w:pPr>
              <w:spacing w:after="0"/>
              <w:rPr>
                <w:sz w:val="17"/>
                <w:szCs w:val="17"/>
                <w:color w:val="auto"/>
              </w:rPr>
            </w:pPr>
          </w:p>
        </w:tc>
        <w:tc>
          <w:tcPr>
            <w:tcW w:w="3120" w:type="dxa"/>
            <w:vAlign w:val="bottom"/>
            <w:tcBorders>
              <w:right w:val="single" w:sz="8" w:color="D9D9D9"/>
            </w:tcBorders>
            <w:shd w:val="clear" w:color="auto" w:fill="D9D9D9"/>
          </w:tcPr>
          <w:p>
            <w:pPr>
              <w:jc w:val="center"/>
              <w:spacing w:after="0" w:line="201" w:lineRule="exact"/>
              <w:rPr>
                <w:sz w:val="20"/>
                <w:szCs w:val="20"/>
                <w:color w:val="auto"/>
              </w:rPr>
            </w:pPr>
            <w:r>
              <w:rPr>
                <w:rFonts w:ascii="Arial" w:cs="Arial" w:eastAsia="Arial" w:hAnsi="Arial"/>
                <w:sz w:val="18"/>
                <w:szCs w:val="18"/>
                <w:color w:val="auto"/>
                <w:w w:val="99"/>
              </w:rPr>
              <w:t>Equipment – 88%</w:t>
            </w:r>
          </w:p>
        </w:tc>
        <w:tc>
          <w:tcPr>
            <w:tcW w:w="100" w:type="dxa"/>
            <w:vAlign w:val="bottom"/>
            <w:tcBorders>
              <w:right w:val="single" w:sz="8" w:color="D9D9D9"/>
            </w:tcBorders>
          </w:tcPr>
          <w:p>
            <w:pPr>
              <w:spacing w:after="0"/>
              <w:rPr>
                <w:sz w:val="17"/>
                <w:szCs w:val="17"/>
                <w:color w:val="auto"/>
              </w:rPr>
            </w:pPr>
          </w:p>
        </w:tc>
        <w:tc>
          <w:tcPr>
            <w:tcW w:w="284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9"/>
              </w:rPr>
              <w:t>Professional – 75%</w:t>
            </w:r>
          </w:p>
        </w:tc>
        <w:tc>
          <w:tcPr>
            <w:tcW w:w="100" w:type="dxa"/>
            <w:vAlign w:val="bottom"/>
            <w:tcBorders>
              <w:right w:val="single" w:sz="8" w:color="D9D9D9"/>
            </w:tcBorders>
          </w:tcPr>
          <w:p>
            <w:pPr>
              <w:spacing w:after="0"/>
              <w:rPr>
                <w:sz w:val="17"/>
                <w:szCs w:val="17"/>
                <w:color w:val="auto"/>
              </w:rPr>
            </w:pPr>
          </w:p>
        </w:tc>
        <w:tc>
          <w:tcPr>
            <w:tcW w:w="330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7"/>
              </w:rPr>
              <w:t>U.S.A. – 17</w:t>
            </w:r>
          </w:p>
        </w:tc>
        <w:tc>
          <w:tcPr>
            <w:tcW w:w="40" w:type="dxa"/>
            <w:vAlign w:val="bottom"/>
          </w:tcPr>
          <w:p>
            <w:pPr>
              <w:spacing w:after="0"/>
              <w:rPr>
                <w:sz w:val="17"/>
                <w:szCs w:val="17"/>
                <w:color w:val="auto"/>
              </w:rPr>
            </w:pPr>
          </w:p>
        </w:tc>
      </w:tr>
      <w:tr>
        <w:trPr>
          <w:trHeight w:val="201"/>
        </w:trPr>
        <w:tc>
          <w:tcPr>
            <w:tcW w:w="40" w:type="dxa"/>
            <w:vAlign w:val="bottom"/>
            <w:tcBorders>
              <w:right w:val="single" w:sz="8" w:color="D9D9D9"/>
            </w:tcBorders>
          </w:tcPr>
          <w:p>
            <w:pPr>
              <w:spacing w:after="0"/>
              <w:rPr>
                <w:sz w:val="17"/>
                <w:szCs w:val="17"/>
                <w:color w:val="auto"/>
              </w:rPr>
            </w:pPr>
          </w:p>
        </w:tc>
        <w:tc>
          <w:tcPr>
            <w:tcW w:w="3120" w:type="dxa"/>
            <w:vAlign w:val="bottom"/>
            <w:tcBorders>
              <w:right w:val="single" w:sz="8" w:color="D9D9D9"/>
            </w:tcBorders>
            <w:shd w:val="clear" w:color="auto" w:fill="D9D9D9"/>
          </w:tcPr>
          <w:p>
            <w:pPr>
              <w:jc w:val="center"/>
              <w:spacing w:after="0" w:line="201" w:lineRule="exact"/>
              <w:rPr>
                <w:sz w:val="20"/>
                <w:szCs w:val="20"/>
                <w:color w:val="auto"/>
              </w:rPr>
            </w:pPr>
            <w:r>
              <w:rPr>
                <w:rFonts w:ascii="Arial" w:cs="Arial" w:eastAsia="Arial" w:hAnsi="Arial"/>
                <w:sz w:val="18"/>
                <w:szCs w:val="18"/>
                <w:color w:val="auto"/>
                <w:w w:val="99"/>
              </w:rPr>
              <w:t>Irrigation – 12%</w:t>
            </w:r>
          </w:p>
        </w:tc>
        <w:tc>
          <w:tcPr>
            <w:tcW w:w="100" w:type="dxa"/>
            <w:vAlign w:val="bottom"/>
            <w:tcBorders>
              <w:right w:val="single" w:sz="8" w:color="D9D9D9"/>
            </w:tcBorders>
          </w:tcPr>
          <w:p>
            <w:pPr>
              <w:spacing w:after="0"/>
              <w:rPr>
                <w:sz w:val="17"/>
                <w:szCs w:val="17"/>
                <w:color w:val="auto"/>
              </w:rPr>
            </w:pPr>
          </w:p>
        </w:tc>
        <w:tc>
          <w:tcPr>
            <w:tcW w:w="284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9"/>
              </w:rPr>
              <w:t>Residential – 24%</w:t>
            </w:r>
          </w:p>
        </w:tc>
        <w:tc>
          <w:tcPr>
            <w:tcW w:w="100" w:type="dxa"/>
            <w:vAlign w:val="bottom"/>
            <w:tcBorders>
              <w:right w:val="single" w:sz="8" w:color="D9D9D9"/>
            </w:tcBorders>
          </w:tcPr>
          <w:p>
            <w:pPr>
              <w:spacing w:after="0"/>
              <w:rPr>
                <w:sz w:val="17"/>
                <w:szCs w:val="17"/>
                <w:color w:val="auto"/>
              </w:rPr>
            </w:pPr>
          </w:p>
        </w:tc>
        <w:tc>
          <w:tcPr>
            <w:tcW w:w="330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9"/>
              </w:rPr>
              <w:t>International – 10</w:t>
            </w:r>
          </w:p>
        </w:tc>
        <w:tc>
          <w:tcPr>
            <w:tcW w:w="40" w:type="dxa"/>
            <w:vAlign w:val="bottom"/>
          </w:tcPr>
          <w:p>
            <w:pPr>
              <w:spacing w:after="0"/>
              <w:rPr>
                <w:sz w:val="17"/>
                <w:szCs w:val="17"/>
                <w:color w:val="auto"/>
              </w:rPr>
            </w:pPr>
          </w:p>
        </w:tc>
      </w:tr>
      <w:tr>
        <w:trPr>
          <w:trHeight w:val="214"/>
        </w:trPr>
        <w:tc>
          <w:tcPr>
            <w:tcW w:w="40" w:type="dxa"/>
            <w:vAlign w:val="bottom"/>
            <w:tcBorders>
              <w:right w:val="single" w:sz="8" w:color="D9D9D9"/>
            </w:tcBorders>
          </w:tcPr>
          <w:p>
            <w:pPr>
              <w:spacing w:after="0"/>
              <w:rPr>
                <w:sz w:val="18"/>
                <w:szCs w:val="18"/>
                <w:color w:val="auto"/>
              </w:rPr>
            </w:pPr>
          </w:p>
        </w:tc>
        <w:tc>
          <w:tcPr>
            <w:tcW w:w="3120" w:type="dxa"/>
            <w:vAlign w:val="bottom"/>
            <w:tcBorders>
              <w:right w:val="single" w:sz="8" w:color="D9D9D9"/>
            </w:tcBorders>
            <w:shd w:val="clear" w:color="auto" w:fill="D9D9D9"/>
          </w:tcPr>
          <w:p>
            <w:pPr>
              <w:spacing w:after="0"/>
              <w:rPr>
                <w:sz w:val="18"/>
                <w:szCs w:val="18"/>
                <w:color w:val="auto"/>
              </w:rPr>
            </w:pPr>
          </w:p>
        </w:tc>
        <w:tc>
          <w:tcPr>
            <w:tcW w:w="100" w:type="dxa"/>
            <w:vAlign w:val="bottom"/>
            <w:tcBorders>
              <w:right w:val="single" w:sz="8" w:color="D9D9D9"/>
            </w:tcBorders>
          </w:tcPr>
          <w:p>
            <w:pPr>
              <w:spacing w:after="0"/>
              <w:rPr>
                <w:sz w:val="18"/>
                <w:szCs w:val="18"/>
                <w:color w:val="auto"/>
              </w:rPr>
            </w:pPr>
          </w:p>
        </w:tc>
        <w:tc>
          <w:tcPr>
            <w:tcW w:w="284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8"/>
              </w:rPr>
              <w:t>Other – 1%</w:t>
            </w:r>
          </w:p>
        </w:tc>
        <w:tc>
          <w:tcPr>
            <w:tcW w:w="100" w:type="dxa"/>
            <w:vAlign w:val="bottom"/>
            <w:tcBorders>
              <w:right w:val="single" w:sz="8" w:color="D9D9D9"/>
            </w:tcBorders>
          </w:tcPr>
          <w:p>
            <w:pPr>
              <w:spacing w:after="0"/>
              <w:rPr>
                <w:sz w:val="18"/>
                <w:szCs w:val="18"/>
                <w:color w:val="auto"/>
              </w:rPr>
            </w:pPr>
          </w:p>
        </w:tc>
        <w:tc>
          <w:tcPr>
            <w:tcW w:w="3300" w:type="dxa"/>
            <w:vAlign w:val="bottom"/>
            <w:shd w:val="clear" w:color="auto" w:fill="D9D9D9"/>
          </w:tcPr>
          <w:p>
            <w:pPr>
              <w:spacing w:after="0"/>
              <w:rPr>
                <w:sz w:val="18"/>
                <w:szCs w:val="18"/>
                <w:color w:val="auto"/>
              </w:rPr>
            </w:pPr>
          </w:p>
        </w:tc>
        <w:tc>
          <w:tcPr>
            <w:tcW w:w="40" w:type="dxa"/>
            <w:vAlign w:val="bottom"/>
          </w:tcPr>
          <w:p>
            <w:pPr>
              <w:spacing w:after="0"/>
              <w:rPr>
                <w:sz w:val="18"/>
                <w:szCs w:val="18"/>
                <w:color w:val="auto"/>
              </w:rPr>
            </w:pPr>
          </w:p>
        </w:tc>
      </w:tr>
      <w:tr>
        <w:trPr>
          <w:trHeight w:val="28"/>
        </w:trPr>
        <w:tc>
          <w:tcPr>
            <w:tcW w:w="40" w:type="dxa"/>
            <w:vAlign w:val="bottom"/>
            <w:tcBorders>
              <w:right w:val="single" w:sz="8" w:color="D9D9D9"/>
            </w:tcBorders>
          </w:tcPr>
          <w:p>
            <w:pPr>
              <w:spacing w:after="0"/>
              <w:rPr>
                <w:sz w:val="2"/>
                <w:szCs w:val="2"/>
                <w:color w:val="auto"/>
              </w:rPr>
            </w:pPr>
          </w:p>
        </w:tc>
        <w:tc>
          <w:tcPr>
            <w:tcW w:w="3120" w:type="dxa"/>
            <w:vAlign w:val="bottom"/>
            <w:tcBorders>
              <w:right w:val="single" w:sz="8" w:color="D9D9D9"/>
            </w:tcBorders>
            <w:shd w:val="clear" w:color="auto" w:fill="D9D9D9"/>
          </w:tcPr>
          <w:p>
            <w:pPr>
              <w:spacing w:after="0"/>
              <w:rPr>
                <w:sz w:val="2"/>
                <w:szCs w:val="2"/>
                <w:color w:val="auto"/>
              </w:rPr>
            </w:pPr>
          </w:p>
        </w:tc>
        <w:tc>
          <w:tcPr>
            <w:tcW w:w="100" w:type="dxa"/>
            <w:vAlign w:val="bottom"/>
            <w:tcBorders>
              <w:right w:val="single" w:sz="8" w:color="D9D9D9"/>
            </w:tcBorders>
          </w:tcPr>
          <w:p>
            <w:pPr>
              <w:spacing w:after="0"/>
              <w:rPr>
                <w:sz w:val="2"/>
                <w:szCs w:val="2"/>
                <w:color w:val="auto"/>
              </w:rPr>
            </w:pPr>
          </w:p>
        </w:tc>
        <w:tc>
          <w:tcPr>
            <w:tcW w:w="2840" w:type="dxa"/>
            <w:vAlign w:val="bottom"/>
            <w:shd w:val="clear" w:color="auto" w:fill="D9D9D9"/>
          </w:tcPr>
          <w:p>
            <w:pPr>
              <w:spacing w:after="0"/>
              <w:rPr>
                <w:sz w:val="2"/>
                <w:szCs w:val="2"/>
                <w:color w:val="auto"/>
              </w:rPr>
            </w:pPr>
          </w:p>
        </w:tc>
        <w:tc>
          <w:tcPr>
            <w:tcW w:w="100" w:type="dxa"/>
            <w:vAlign w:val="bottom"/>
            <w:tcBorders>
              <w:right w:val="single" w:sz="8" w:color="D9D9D9"/>
            </w:tcBorders>
          </w:tcPr>
          <w:p>
            <w:pPr>
              <w:spacing w:after="0"/>
              <w:rPr>
                <w:sz w:val="2"/>
                <w:szCs w:val="2"/>
                <w:color w:val="auto"/>
              </w:rPr>
            </w:pPr>
          </w:p>
        </w:tc>
        <w:tc>
          <w:tcPr>
            <w:tcW w:w="3300" w:type="dxa"/>
            <w:vAlign w:val="bottom"/>
            <w:shd w:val="clear" w:color="auto" w:fill="D9D9D9"/>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-569595</wp:posOffset>
            </wp:positionV>
            <wp:extent cx="6017895" cy="579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17895" cy="57912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FF0000"/>
        </w:rPr>
        <w:t>The Toro Company’s Commitment to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-635</wp:posOffset>
            </wp:positionV>
            <wp:extent cx="5694680" cy="808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4680" cy="808355"/>
                    </a:xfrm>
                    <a:prstGeom prst="rect">
                      <a:avLst/>
                    </a:prstGeom>
                    <a:noFill/>
                  </pic:spPr>
                </pic:pic>
              </a:graphicData>
            </a:graphic>
          </wp:anchor>
        </w:drawing>
      </w:r>
    </w:p>
    <w:p>
      <w:pPr>
        <w:spacing w:after="0" w:line="13" w:lineRule="exact"/>
        <w:rPr>
          <w:sz w:val="20"/>
          <w:szCs w:val="20"/>
          <w:color w:val="auto"/>
        </w:rPr>
      </w:pPr>
    </w:p>
    <w:p>
      <w:pPr>
        <w:ind w:left="1400" w:hanging="247"/>
        <w:spacing w:after="0"/>
        <w:tabs>
          <w:tab w:leader="none" w:pos="14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Launched first sustainability platform, </w:t>
      </w:r>
      <w:r>
        <w:rPr>
          <w:rFonts w:ascii="Arial" w:cs="Arial" w:eastAsia="Arial" w:hAnsi="Arial"/>
          <w:sz w:val="18"/>
          <w:szCs w:val="18"/>
          <w:i w:val="1"/>
          <w:iCs w:val="1"/>
          <w:color w:val="auto"/>
        </w:rPr>
        <w:t>Sustainability Endures</w:t>
      </w:r>
    </w:p>
    <w:p>
      <w:pPr>
        <w:spacing w:after="0" w:line="79" w:lineRule="exact"/>
        <w:rPr>
          <w:rFonts w:ascii="MS PGothic" w:cs="MS PGothic" w:eastAsia="MS PGothic" w:hAnsi="MS PGothic"/>
          <w:sz w:val="18"/>
          <w:szCs w:val="18"/>
          <w:color w:val="auto"/>
        </w:rPr>
      </w:pPr>
    </w:p>
    <w:p>
      <w:pPr>
        <w:ind w:left="1400" w:hanging="247"/>
        <w:spacing w:after="0"/>
        <w:tabs>
          <w:tab w:leader="none" w:pos="14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Deeply rooted in our purpose and strategic business priorities</w:t>
      </w:r>
    </w:p>
    <w:p>
      <w:pPr>
        <w:spacing w:after="0" w:line="61" w:lineRule="exact"/>
        <w:rPr>
          <w:rFonts w:ascii="MS PGothic" w:cs="MS PGothic" w:eastAsia="MS PGothic" w:hAnsi="MS PGothic"/>
          <w:sz w:val="18"/>
          <w:szCs w:val="18"/>
          <w:color w:val="auto"/>
        </w:rPr>
      </w:pPr>
    </w:p>
    <w:p>
      <w:pPr>
        <w:ind w:left="1160" w:right="3480" w:hanging="7"/>
        <w:spacing w:after="0" w:line="256" w:lineRule="auto"/>
        <w:tabs>
          <w:tab w:leader="none" w:pos="1407"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Continue to advance efforts by focusing on our pillars of Products, Process, and People, with transparency facilitated by our Planning Pillar</w:t>
      </w:r>
    </w:p>
    <w:p>
      <w:pPr>
        <w:sectPr>
          <w:pgSz w:w="11900" w:h="16838" w:orient="portrait"/>
          <w:cols w:equalWidth="0" w:num="1">
            <w:col w:w="11180"/>
          </w:cols>
          <w:pgMar w:left="320" w:top="140" w:right="399" w:bottom="1440" w:gutter="0" w:footer="0" w:header="0"/>
          <w:type w:val="continuous"/>
        </w:sectPr>
      </w:pPr>
    </w:p>
    <w:p>
      <w:pPr>
        <w:spacing w:after="0" w:line="287" w:lineRule="exact"/>
        <w:rPr>
          <w:sz w:val="20"/>
          <w:szCs w:val="20"/>
          <w:color w:val="auto"/>
        </w:rPr>
      </w:pPr>
    </w:p>
    <w:p>
      <w:pPr>
        <w:ind w:left="460"/>
        <w:spacing w:after="0" w:line="238" w:lineRule="auto"/>
        <w:rPr>
          <w:sz w:val="20"/>
          <w:szCs w:val="20"/>
          <w:color w:val="auto"/>
        </w:rPr>
      </w:pPr>
      <w:r>
        <w:rPr>
          <w:rFonts w:ascii="Arial" w:cs="Arial" w:eastAsia="Arial" w:hAnsi="Arial"/>
          <w:sz w:val="18"/>
          <w:szCs w:val="18"/>
          <w:b w:val="1"/>
          <w:bCs w:val="1"/>
          <w:color w:val="FF0000"/>
        </w:rPr>
        <w:t xml:space="preserve">PRODUCTS: </w:t>
      </w:r>
      <w:r>
        <w:rPr>
          <w:rFonts w:ascii="Arial" w:cs="Arial" w:eastAsia="Arial" w:hAnsi="Arial"/>
          <w:sz w:val="18"/>
          <w:szCs w:val="18"/>
          <w:color w:val="000000"/>
        </w:rPr>
        <w:t>Persistent drive to</w:t>
      </w:r>
      <w:r>
        <w:rPr>
          <w:rFonts w:ascii="Arial" w:cs="Arial" w:eastAsia="Arial" w:hAnsi="Arial"/>
          <w:sz w:val="18"/>
          <w:szCs w:val="18"/>
          <w:b w:val="1"/>
          <w:bCs w:val="1"/>
          <w:color w:val="FF0000"/>
        </w:rPr>
        <w:t xml:space="preserve"> </w:t>
      </w:r>
      <w:r>
        <w:rPr>
          <w:rFonts w:ascii="Arial" w:cs="Arial" w:eastAsia="Arial" w:hAnsi="Arial"/>
          <w:sz w:val="18"/>
          <w:szCs w:val="18"/>
          <w:color w:val="000000"/>
        </w:rPr>
        <w:t>develop innovative, safe and high-quality products and emerging technologies that are designed to yield performance, productivity and environmental benefits for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-914400</wp:posOffset>
            </wp:positionV>
            <wp:extent cx="1727835" cy="962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27835" cy="962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color w:val="FF0000"/>
        </w:rPr>
        <w:t xml:space="preserve">PROCESS: </w:t>
      </w:r>
      <w:r>
        <w:rPr>
          <w:rFonts w:ascii="Arial" w:cs="Arial" w:eastAsia="Arial" w:hAnsi="Arial"/>
          <w:sz w:val="17"/>
          <w:szCs w:val="17"/>
          <w:color w:val="000000"/>
        </w:rPr>
        <w:t>Maximize resource efficiency and reduce environmental impacts across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-796290</wp:posOffset>
            </wp:positionV>
            <wp:extent cx="1123315" cy="962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23315" cy="962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color w:val="FF0000"/>
        </w:rPr>
        <w:t xml:space="preserve">PEOPLE: </w:t>
      </w:r>
      <w:r>
        <w:rPr>
          <w:rFonts w:ascii="Arial" w:cs="Arial" w:eastAsia="Arial" w:hAnsi="Arial"/>
          <w:sz w:val="17"/>
          <w:szCs w:val="17"/>
          <w:color w:val="000000"/>
        </w:rPr>
        <w:t>Committed to fostering a culture that</w:t>
      </w:r>
      <w:r>
        <w:rPr>
          <w:rFonts w:ascii="Arial" w:cs="Arial" w:eastAsia="Arial" w:hAnsi="Arial"/>
          <w:sz w:val="17"/>
          <w:szCs w:val="17"/>
          <w:b w:val="1"/>
          <w:bCs w:val="1"/>
          <w:color w:val="FF0000"/>
        </w:rPr>
        <w:t xml:space="preserve"> </w:t>
      </w:r>
      <w:r>
        <w:rPr>
          <w:rFonts w:ascii="Arial" w:cs="Arial" w:eastAsia="Arial" w:hAnsi="Arial"/>
          <w:sz w:val="17"/>
          <w:szCs w:val="17"/>
          <w:color w:val="000000"/>
        </w:rPr>
        <w:t>embraces workplace safety and diversity, equity and inclusion; continuing our strong legacy of giving back to our communities; and conducting business with integrity and according to the highest standards of ethical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-796290</wp:posOffset>
            </wp:positionV>
            <wp:extent cx="2477135" cy="962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77135" cy="962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1080770" cy="962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80770" cy="9620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Enhance</w:t>
      </w:r>
    </w:p>
    <w:p>
      <w:pPr>
        <w:spacing w:after="0" w:line="233" w:lineRule="auto"/>
        <w:rPr>
          <w:sz w:val="20"/>
          <w:szCs w:val="20"/>
          <w:color w:val="auto"/>
        </w:rPr>
      </w:pPr>
      <w:r>
        <w:rPr>
          <w:rFonts w:ascii="Arial" w:cs="Arial" w:eastAsia="Arial" w:hAnsi="Arial"/>
          <w:sz w:val="18"/>
          <w:szCs w:val="18"/>
          <w:color w:val="auto"/>
        </w:rPr>
        <w:t>transparency and</w:t>
      </w:r>
    </w:p>
    <w:p>
      <w:pPr>
        <w:spacing w:after="0" w:line="233" w:lineRule="auto"/>
        <w:rPr>
          <w:sz w:val="20"/>
          <w:szCs w:val="20"/>
          <w:color w:val="auto"/>
        </w:rPr>
      </w:pPr>
      <w:r>
        <w:rPr>
          <w:rFonts w:ascii="Arial" w:cs="Arial" w:eastAsia="Arial" w:hAnsi="Arial"/>
          <w:sz w:val="18"/>
          <w:szCs w:val="18"/>
          <w:color w:val="auto"/>
        </w:rPr>
        <w:t>disclosure of</w:t>
      </w:r>
    </w:p>
    <w:p>
      <w:pPr>
        <w:spacing w:after="0"/>
        <w:rPr>
          <w:sz w:val="20"/>
          <w:szCs w:val="20"/>
          <w:color w:val="auto"/>
        </w:rPr>
      </w:pPr>
      <w:r>
        <w:rPr>
          <w:rFonts w:ascii="Arial" w:cs="Arial" w:eastAsia="Arial" w:hAnsi="Arial"/>
          <w:sz w:val="17"/>
          <w:szCs w:val="17"/>
          <w:color w:val="auto"/>
        </w:rPr>
        <w:t>sustainability focus,</w:t>
      </w:r>
    </w:p>
    <w:p>
      <w:pPr>
        <w:spacing w:after="0"/>
        <w:rPr>
          <w:sz w:val="20"/>
          <w:szCs w:val="20"/>
          <w:color w:val="auto"/>
        </w:rPr>
      </w:pPr>
      <w:r>
        <w:rPr>
          <w:rFonts w:ascii="Arial" w:cs="Arial" w:eastAsia="Arial" w:hAnsi="Arial"/>
          <w:sz w:val="18"/>
          <w:szCs w:val="18"/>
          <w:color w:val="auto"/>
        </w:rPr>
        <w:t>goals and</w:t>
      </w:r>
    </w:p>
    <w:p>
      <w:pPr>
        <w:spacing w:after="0"/>
        <w:rPr>
          <w:sz w:val="20"/>
          <w:szCs w:val="20"/>
          <w:color w:val="auto"/>
        </w:rPr>
      </w:pPr>
      <w:r>
        <w:rPr>
          <w:rFonts w:ascii="Arial" w:cs="Arial" w:eastAsia="Arial" w:hAnsi="Arial"/>
          <w:sz w:val="18"/>
          <w:szCs w:val="18"/>
          <w:color w:val="auto"/>
        </w:rPr>
        <w:t>achievements.</w:t>
      </w:r>
    </w:p>
    <w:p>
      <w:pPr>
        <w:spacing w:after="0" w:line="214" w:lineRule="exact"/>
        <w:rPr>
          <w:sz w:val="20"/>
          <w:szCs w:val="20"/>
          <w:color w:val="auto"/>
        </w:rPr>
      </w:pPr>
    </w:p>
    <w:p>
      <w:pPr>
        <w:sectPr>
          <w:pgSz w:w="11900" w:h="16838" w:orient="portrait"/>
          <w:cols w:equalWidth="0" w:num="4">
            <w:col w:w="3060" w:space="240"/>
            <w:col w:w="1680" w:space="200"/>
            <w:col w:w="3780" w:space="160"/>
            <w:col w:w="2060"/>
          </w:cols>
          <w:pgMar w:left="320" w:top="140" w:right="399" w:bottom="1440" w:gutter="0" w:footer="0" w:header="0"/>
          <w:type w:val="continuous"/>
        </w:sectPr>
      </w:pP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15010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74" w:lineRule="exact"/>
        <w:rPr>
          <w:sz w:val="20"/>
          <w:szCs w:val="20"/>
          <w:color w:val="auto"/>
        </w:rPr>
      </w:pPr>
    </w:p>
    <w:p>
      <w:pPr>
        <w:spacing w:after="0"/>
        <w:rPr>
          <w:sz w:val="20"/>
          <w:szCs w:val="20"/>
          <w:color w:val="auto"/>
        </w:rPr>
      </w:pPr>
      <w:r>
        <w:rPr>
          <w:rFonts w:ascii="Arial" w:cs="Arial" w:eastAsia="Arial" w:hAnsi="Arial"/>
          <w:sz w:val="19"/>
          <w:szCs w:val="19"/>
          <w:b w:val="1"/>
          <w:bCs w:val="1"/>
          <w:color w:val="FF0000"/>
        </w:rPr>
        <w:t>2021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881380</wp:posOffset>
            </wp:positionH>
            <wp:positionV relativeFrom="paragraph">
              <wp:posOffset>91440</wp:posOffset>
            </wp:positionV>
            <wp:extent cx="1617345" cy="450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17345" cy="450850"/>
                    </a:xfrm>
                    <a:prstGeom prst="rect">
                      <a:avLst/>
                    </a:prstGeom>
                    <a:noFill/>
                  </pic:spPr>
                </pic:pic>
              </a:graphicData>
            </a:graphic>
          </wp:anchor>
        </w:drawing>
      </w:r>
    </w:p>
    <w:p>
      <w:pPr>
        <w:spacing w:after="0" w:line="182"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FF0000"/>
        </w:rPr>
        <w:t>Date and Time</w:t>
      </w:r>
    </w:p>
    <w:p>
      <w:pPr>
        <w:spacing w:after="0" w:line="16"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Tuesday, March 16, 2021</w:t>
      </w:r>
    </w:p>
    <w:p>
      <w:pPr>
        <w:spacing w:after="0" w:line="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1:30 p.m. CDT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-167640</wp:posOffset>
            </wp:positionV>
            <wp:extent cx="2425700" cy="450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25700" cy="4508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Virtual at:</w:t>
      </w:r>
    </w:p>
    <w:p>
      <w:pPr>
        <w:spacing w:after="0"/>
        <w:rPr>
          <w:sz w:val="20"/>
          <w:szCs w:val="20"/>
          <w:color w:val="auto"/>
        </w:rPr>
      </w:pPr>
      <w:r>
        <w:rPr>
          <w:rFonts w:ascii="Arial" w:cs="Arial" w:eastAsia="Arial" w:hAnsi="Arial"/>
          <w:sz w:val="17"/>
          <w:szCs w:val="17"/>
          <w:color w:val="auto"/>
        </w:rPr>
        <w:t>www.virtualshareholdermeeting.com/TTC2021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-167640</wp:posOffset>
            </wp:positionV>
            <wp:extent cx="1225550" cy="450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25550" cy="4508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January 19, 2021</w:t>
      </w:r>
    </w:p>
    <w:p>
      <w:pPr>
        <w:spacing w:after="0" w:line="313" w:lineRule="exact"/>
        <w:rPr>
          <w:sz w:val="20"/>
          <w:szCs w:val="20"/>
          <w:color w:val="auto"/>
        </w:rPr>
      </w:pPr>
    </w:p>
    <w:p>
      <w:pPr>
        <w:sectPr>
          <w:pgSz w:w="11900" w:h="16838" w:orient="portrait"/>
          <w:cols w:equalWidth="0" w:num="3">
            <w:col w:w="3540" w:space="640"/>
            <w:col w:w="3660" w:space="240"/>
            <w:col w:w="3180"/>
          </w:cols>
          <w:pgMar w:left="320" w:top="140" w:right="319" w:bottom="1440" w:gutter="0" w:footer="0" w:header="0"/>
        </w:sectPr>
      </w:pPr>
    </w:p>
    <w:p>
      <w:pPr>
        <w:spacing w:after="0"/>
        <w:rPr>
          <w:sz w:val="20"/>
          <w:szCs w:val="20"/>
          <w:color w:val="auto"/>
        </w:rPr>
      </w:pPr>
      <w:r>
        <w:rPr>
          <w:rFonts w:ascii="Arial" w:cs="Arial" w:eastAsia="Arial" w:hAnsi="Arial"/>
          <w:sz w:val="20"/>
          <w:szCs w:val="20"/>
          <w:b w:val="1"/>
          <w:bCs w:val="1"/>
          <w:color w:val="FF0000"/>
        </w:rPr>
        <w:t>Meeting Agenda Voting Matters and Recommendations</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8560" w:type="dxa"/>
            <w:vAlign w:val="bottom"/>
            <w:tcBorders>
              <w:top w:val="single" w:sz="8" w:color="auto"/>
              <w:lef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FF0000"/>
              </w:rPr>
              <w:t>Proposal One</w:t>
            </w:r>
          </w:p>
        </w:tc>
        <w:tc>
          <w:tcPr>
            <w:tcW w:w="1440" w:type="dxa"/>
            <w:vAlign w:val="bottom"/>
            <w:tcBorders>
              <w:top w:val="single" w:sz="8" w:color="auto"/>
            </w:tcBorders>
            <w:vMerge w:val="restart"/>
            <w:shd w:val="clear" w:color="auto" w:fill="D9D9D9"/>
          </w:tcPr>
          <w:p>
            <w:pPr>
              <w:ind w:left="60"/>
              <w:spacing w:after="0" w:line="575" w:lineRule="exact"/>
              <w:rPr>
                <w:sz w:val="20"/>
                <w:szCs w:val="20"/>
                <w:color w:val="auto"/>
              </w:rPr>
            </w:pPr>
            <w:r>
              <w:rPr>
                <w:rFonts w:ascii="MS PGothic" w:cs="MS PGothic" w:eastAsia="MS PGothic" w:hAnsi="MS PGothic"/>
                <w:sz w:val="50"/>
                <w:szCs w:val="50"/>
                <w:color w:val="FF0000"/>
              </w:rPr>
              <w:t>☑</w:t>
            </w:r>
            <w:r>
              <w:rPr>
                <w:rFonts w:ascii="Arial" w:cs="Arial" w:eastAsia="Arial" w:hAnsi="Arial"/>
                <w:sz w:val="18"/>
                <w:szCs w:val="18"/>
                <w:color w:val="auto"/>
              </w:rPr>
              <w:t>FOR</w:t>
            </w:r>
          </w:p>
        </w:tc>
        <w:tc>
          <w:tcPr>
            <w:tcW w:w="1240" w:type="dxa"/>
            <w:vAlign w:val="bottom"/>
            <w:tcBorders>
              <w:top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560" w:type="dxa"/>
            <w:vAlign w:val="bottom"/>
            <w:tcBorders>
              <w:left w:val="single" w:sz="8" w:color="auto"/>
            </w:tcBorders>
            <w:shd w:val="clear" w:color="auto" w:fill="D9D9D9"/>
          </w:tcPr>
          <w:p>
            <w:pPr>
              <w:ind w:left="60"/>
              <w:spacing w:after="0"/>
              <w:rPr>
                <w:sz w:val="20"/>
                <w:szCs w:val="20"/>
                <w:color w:val="auto"/>
              </w:rPr>
            </w:pPr>
            <w:r>
              <w:rPr>
                <w:rFonts w:ascii="Arial" w:cs="Arial" w:eastAsia="Arial" w:hAnsi="Arial"/>
                <w:sz w:val="18"/>
                <w:szCs w:val="18"/>
                <w:color w:val="auto"/>
              </w:rPr>
              <w:t>To elect as directors the three nominees named in this proxy statement, each to serve for a term of three</w:t>
            </w:r>
          </w:p>
        </w:tc>
        <w:tc>
          <w:tcPr>
            <w:tcW w:w="1440" w:type="dxa"/>
            <w:vAlign w:val="bottom"/>
            <w:vMerge w:val="continue"/>
            <w:shd w:val="clear" w:color="auto" w:fill="D9D9D9"/>
          </w:tcPr>
          <w:p>
            <w:pPr>
              <w:spacing w:after="0"/>
              <w:rPr>
                <w:sz w:val="18"/>
                <w:szCs w:val="18"/>
                <w:color w:val="auto"/>
              </w:rPr>
            </w:pPr>
          </w:p>
        </w:tc>
        <w:tc>
          <w:tcPr>
            <w:tcW w:w="1240" w:type="dxa"/>
            <w:vAlign w:val="bottom"/>
            <w:tcBorders>
              <w:right w:val="single" w:sz="8" w:color="auto"/>
            </w:tcBorders>
            <w:shd w:val="clear" w:color="auto" w:fill="D9D9D9"/>
          </w:tcPr>
          <w:p>
            <w:pPr>
              <w:ind w:left="240"/>
              <w:spacing w:after="0"/>
              <w:rPr>
                <w:sz w:val="20"/>
                <w:szCs w:val="20"/>
                <w:color w:val="auto"/>
              </w:rPr>
            </w:pPr>
            <w:r>
              <w:rPr>
                <w:rFonts w:ascii="Arial" w:cs="Arial" w:eastAsia="Arial" w:hAnsi="Arial"/>
                <w:sz w:val="18"/>
                <w:szCs w:val="18"/>
                <w:color w:val="auto"/>
              </w:rPr>
              <w:t>Page 5</w:t>
            </w:r>
          </w:p>
        </w:tc>
        <w:tc>
          <w:tcPr>
            <w:tcW w:w="0" w:type="dxa"/>
            <w:vAlign w:val="bottom"/>
          </w:tcPr>
          <w:p>
            <w:pPr>
              <w:spacing w:after="0"/>
              <w:rPr>
                <w:sz w:val="1"/>
                <w:szCs w:val="1"/>
                <w:color w:val="auto"/>
              </w:rPr>
            </w:pPr>
          </w:p>
        </w:tc>
      </w:tr>
      <w:tr>
        <w:trPr>
          <w:trHeight w:val="162"/>
        </w:trPr>
        <w:tc>
          <w:tcPr>
            <w:tcW w:w="8560" w:type="dxa"/>
            <w:vAlign w:val="bottom"/>
            <w:tcBorders>
              <w:left w:val="single" w:sz="8" w:color="auto"/>
            </w:tcBorders>
            <w:shd w:val="clear" w:color="auto" w:fill="D9D9D9"/>
          </w:tcPr>
          <w:p>
            <w:pPr>
              <w:ind w:left="60"/>
              <w:spacing w:after="0" w:line="162" w:lineRule="exact"/>
              <w:rPr>
                <w:sz w:val="20"/>
                <w:szCs w:val="20"/>
                <w:color w:val="auto"/>
              </w:rPr>
            </w:pPr>
            <w:r>
              <w:rPr>
                <w:rFonts w:ascii="Arial" w:cs="Arial" w:eastAsia="Arial" w:hAnsi="Arial"/>
                <w:sz w:val="18"/>
                <w:szCs w:val="18"/>
                <w:color w:val="auto"/>
              </w:rPr>
              <w:t>years ending at the 2024 Annual Meeting of Shareholders.</w:t>
            </w:r>
          </w:p>
        </w:tc>
        <w:tc>
          <w:tcPr>
            <w:tcW w:w="1440" w:type="dxa"/>
            <w:vAlign w:val="bottom"/>
            <w:vMerge w:val="continue"/>
            <w:shd w:val="clear" w:color="auto" w:fill="D9D9D9"/>
          </w:tcPr>
          <w:p>
            <w:pPr>
              <w:spacing w:after="0"/>
              <w:rPr>
                <w:sz w:val="14"/>
                <w:szCs w:val="14"/>
                <w:color w:val="auto"/>
              </w:rPr>
            </w:pPr>
          </w:p>
        </w:tc>
        <w:tc>
          <w:tcPr>
            <w:tcW w:w="1240" w:type="dxa"/>
            <w:vAlign w:val="bottom"/>
            <w:tcBorders>
              <w:right w:val="single" w:sz="8" w:color="auto"/>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560" w:type="dxa"/>
            <w:vAlign w:val="bottom"/>
            <w:tcBorders>
              <w:left w:val="single" w:sz="8" w:color="auto"/>
              <w:bottom w:val="single" w:sz="8" w:color="auto"/>
            </w:tcBorders>
            <w:shd w:val="clear" w:color="auto" w:fill="D9D9D9"/>
          </w:tcPr>
          <w:p>
            <w:pPr>
              <w:spacing w:after="0"/>
              <w:rPr>
                <w:sz w:val="10"/>
                <w:szCs w:val="10"/>
                <w:color w:val="auto"/>
              </w:rPr>
            </w:pPr>
          </w:p>
        </w:tc>
        <w:tc>
          <w:tcPr>
            <w:tcW w:w="1440" w:type="dxa"/>
            <w:vAlign w:val="bottom"/>
            <w:tcBorders>
              <w:bottom w:val="single" w:sz="8" w:color="auto"/>
            </w:tcBorders>
            <w:shd w:val="clear" w:color="auto" w:fill="D9D9D9"/>
          </w:tcPr>
          <w:p>
            <w:pPr>
              <w:ind w:left="60"/>
              <w:spacing w:after="0" w:line="121" w:lineRule="exact"/>
              <w:rPr>
                <w:sz w:val="20"/>
                <w:szCs w:val="20"/>
                <w:color w:val="auto"/>
              </w:rPr>
            </w:pPr>
            <w:r>
              <w:rPr>
                <w:rFonts w:ascii="Arial" w:cs="Arial" w:eastAsia="Arial" w:hAnsi="Arial"/>
                <w:sz w:val="13"/>
                <w:szCs w:val="13"/>
                <w:color w:val="auto"/>
              </w:rPr>
              <w:t>each nominee</w:t>
            </w:r>
          </w:p>
        </w:tc>
        <w:tc>
          <w:tcPr>
            <w:tcW w:w="1240" w:type="dxa"/>
            <w:vAlign w:val="bottom"/>
            <w:tcBorders>
              <w:bottom w:val="single" w:sz="8" w:color="auto"/>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5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8560" w:type="dxa"/>
            <w:vAlign w:val="bottom"/>
            <w:tcBorders>
              <w:lef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FF0000"/>
              </w:rPr>
              <w:t>Proposal Two</w:t>
            </w:r>
          </w:p>
        </w:tc>
        <w:tc>
          <w:tcPr>
            <w:tcW w:w="1440" w:type="dxa"/>
            <w:vAlign w:val="bottom"/>
            <w:vMerge w:val="restart"/>
            <w:shd w:val="clear" w:color="auto" w:fill="D9D9D9"/>
          </w:tcPr>
          <w:p>
            <w:pPr>
              <w:ind w:left="60"/>
              <w:spacing w:after="0" w:line="575" w:lineRule="exact"/>
              <w:rPr>
                <w:sz w:val="20"/>
                <w:szCs w:val="20"/>
                <w:color w:val="auto"/>
              </w:rPr>
            </w:pPr>
            <w:r>
              <w:rPr>
                <w:rFonts w:ascii="MS PGothic" w:cs="MS PGothic" w:eastAsia="MS PGothic" w:hAnsi="MS PGothic"/>
                <w:sz w:val="50"/>
                <w:szCs w:val="50"/>
                <w:color w:val="FF0000"/>
              </w:rPr>
              <w:t>☑</w:t>
            </w:r>
            <w:r>
              <w:rPr>
                <w:rFonts w:ascii="Arial" w:cs="Arial" w:eastAsia="Arial" w:hAnsi="Arial"/>
                <w:sz w:val="18"/>
                <w:szCs w:val="18"/>
                <w:color w:val="auto"/>
              </w:rPr>
              <w:t>FOR</w:t>
            </w:r>
          </w:p>
        </w:tc>
        <w:tc>
          <w:tcPr>
            <w:tcW w:w="1240" w:type="dxa"/>
            <w:vAlign w:val="bottom"/>
            <w:tcBorders>
              <w:right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560" w:type="dxa"/>
            <w:vAlign w:val="bottom"/>
            <w:tcBorders>
              <w:left w:val="single" w:sz="8" w:color="auto"/>
            </w:tcBorders>
            <w:shd w:val="clear" w:color="auto" w:fill="D9D9D9"/>
          </w:tcPr>
          <w:p>
            <w:pPr>
              <w:ind w:left="60"/>
              <w:spacing w:after="0"/>
              <w:rPr>
                <w:sz w:val="20"/>
                <w:szCs w:val="20"/>
                <w:color w:val="auto"/>
              </w:rPr>
            </w:pPr>
            <w:r>
              <w:rPr>
                <w:rFonts w:ascii="Arial" w:cs="Arial" w:eastAsia="Arial" w:hAnsi="Arial"/>
                <w:sz w:val="18"/>
                <w:szCs w:val="18"/>
                <w:color w:val="auto"/>
                <w:w w:val="99"/>
              </w:rPr>
              <w:t>To ratify the selection of KPMG LLP as our independent registered public accounting firm for our fiscal year</w:t>
            </w:r>
          </w:p>
        </w:tc>
        <w:tc>
          <w:tcPr>
            <w:tcW w:w="1440" w:type="dxa"/>
            <w:vAlign w:val="bottom"/>
            <w:vMerge w:val="continue"/>
            <w:shd w:val="clear" w:color="auto" w:fill="D9D9D9"/>
          </w:tcPr>
          <w:p>
            <w:pPr>
              <w:spacing w:after="0"/>
              <w:rPr>
                <w:sz w:val="21"/>
                <w:szCs w:val="21"/>
                <w:color w:val="auto"/>
              </w:rPr>
            </w:pPr>
          </w:p>
        </w:tc>
        <w:tc>
          <w:tcPr>
            <w:tcW w:w="1240" w:type="dxa"/>
            <w:vAlign w:val="bottom"/>
            <w:tcBorders>
              <w:right w:val="single" w:sz="8" w:color="auto"/>
            </w:tcBorders>
            <w:shd w:val="clear" w:color="auto" w:fill="D9D9D9"/>
          </w:tcPr>
          <w:p>
            <w:pPr>
              <w:ind w:left="240"/>
              <w:spacing w:after="0"/>
              <w:rPr>
                <w:sz w:val="20"/>
                <w:szCs w:val="20"/>
                <w:color w:val="auto"/>
              </w:rPr>
            </w:pPr>
            <w:r>
              <w:rPr>
                <w:rFonts w:ascii="Arial" w:cs="Arial" w:eastAsia="Arial" w:hAnsi="Arial"/>
                <w:sz w:val="18"/>
                <w:szCs w:val="18"/>
                <w:color w:val="auto"/>
              </w:rPr>
              <w:t>Page 24</w:t>
            </w:r>
          </w:p>
        </w:tc>
        <w:tc>
          <w:tcPr>
            <w:tcW w:w="0" w:type="dxa"/>
            <w:vAlign w:val="bottom"/>
          </w:tcPr>
          <w:p>
            <w:pPr>
              <w:spacing w:after="0"/>
              <w:rPr>
                <w:sz w:val="1"/>
                <w:szCs w:val="1"/>
                <w:color w:val="auto"/>
              </w:rPr>
            </w:pPr>
          </w:p>
        </w:tc>
      </w:tr>
      <w:tr>
        <w:trPr>
          <w:trHeight w:val="256"/>
        </w:trPr>
        <w:tc>
          <w:tcPr>
            <w:tcW w:w="8560" w:type="dxa"/>
            <w:vAlign w:val="bottom"/>
            <w:tcBorders>
              <w:left w:val="single" w:sz="8" w:color="auto"/>
              <w:bottom w:val="single" w:sz="8" w:color="auto"/>
            </w:tcBorders>
            <w:shd w:val="clear" w:color="auto" w:fill="D9D9D9"/>
          </w:tcPr>
          <w:p>
            <w:pPr>
              <w:ind w:left="60"/>
              <w:spacing w:after="0"/>
              <w:rPr>
                <w:sz w:val="20"/>
                <w:szCs w:val="20"/>
                <w:color w:val="auto"/>
              </w:rPr>
            </w:pPr>
            <w:r>
              <w:rPr>
                <w:rFonts w:ascii="Arial" w:cs="Arial" w:eastAsia="Arial" w:hAnsi="Arial"/>
                <w:sz w:val="18"/>
                <w:szCs w:val="18"/>
                <w:color w:val="auto"/>
              </w:rPr>
              <w:t>ending October 31, 2021.</w:t>
            </w:r>
          </w:p>
        </w:tc>
        <w:tc>
          <w:tcPr>
            <w:tcW w:w="1440" w:type="dxa"/>
            <w:vAlign w:val="bottom"/>
            <w:tcBorders>
              <w:bottom w:val="single" w:sz="8" w:color="auto"/>
            </w:tcBorders>
            <w:vMerge w:val="continue"/>
            <w:shd w:val="clear" w:color="auto" w:fill="D9D9D9"/>
          </w:tcPr>
          <w:p>
            <w:pPr>
              <w:spacing w:after="0"/>
              <w:rPr>
                <w:sz w:val="22"/>
                <w:szCs w:val="22"/>
                <w:color w:val="auto"/>
              </w:rPr>
            </w:pPr>
          </w:p>
        </w:tc>
        <w:tc>
          <w:tcPr>
            <w:tcW w:w="1240" w:type="dxa"/>
            <w:vAlign w:val="bottom"/>
            <w:tcBorders>
              <w:bottom w:val="single" w:sz="8" w:color="auto"/>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85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8560" w:type="dxa"/>
            <w:vAlign w:val="bottom"/>
            <w:tcBorders>
              <w:lef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FF0000"/>
              </w:rPr>
              <w:t>Proposal Three</w:t>
            </w:r>
          </w:p>
        </w:tc>
        <w:tc>
          <w:tcPr>
            <w:tcW w:w="1440" w:type="dxa"/>
            <w:vAlign w:val="bottom"/>
            <w:vMerge w:val="restart"/>
            <w:shd w:val="clear" w:color="auto" w:fill="D9D9D9"/>
          </w:tcPr>
          <w:p>
            <w:pPr>
              <w:ind w:left="60"/>
              <w:spacing w:after="0" w:line="575" w:lineRule="exact"/>
              <w:rPr>
                <w:sz w:val="20"/>
                <w:szCs w:val="20"/>
                <w:color w:val="auto"/>
              </w:rPr>
            </w:pPr>
            <w:r>
              <w:rPr>
                <w:rFonts w:ascii="MS PGothic" w:cs="MS PGothic" w:eastAsia="MS PGothic" w:hAnsi="MS PGothic"/>
                <w:sz w:val="50"/>
                <w:szCs w:val="50"/>
                <w:color w:val="FF0000"/>
              </w:rPr>
              <w:t>☑</w:t>
            </w:r>
            <w:r>
              <w:rPr>
                <w:rFonts w:ascii="Arial" w:cs="Arial" w:eastAsia="Arial" w:hAnsi="Arial"/>
                <w:sz w:val="18"/>
                <w:szCs w:val="18"/>
                <w:color w:val="auto"/>
              </w:rPr>
              <w:t>FOR</w:t>
            </w:r>
          </w:p>
        </w:tc>
        <w:tc>
          <w:tcPr>
            <w:tcW w:w="1240" w:type="dxa"/>
            <w:vAlign w:val="bottom"/>
            <w:tcBorders>
              <w:right w:val="single" w:sz="8" w:color="auto"/>
            </w:tcBorders>
            <w:vMerge w:val="restart"/>
            <w:shd w:val="clear" w:color="auto" w:fill="D9D9D9"/>
          </w:tcPr>
          <w:p>
            <w:pPr>
              <w:ind w:left="240"/>
              <w:spacing w:after="0"/>
              <w:rPr>
                <w:sz w:val="20"/>
                <w:szCs w:val="20"/>
                <w:color w:val="auto"/>
              </w:rPr>
            </w:pPr>
            <w:r>
              <w:rPr>
                <w:rFonts w:ascii="Arial" w:cs="Arial" w:eastAsia="Arial" w:hAnsi="Arial"/>
                <w:sz w:val="18"/>
                <w:szCs w:val="18"/>
                <w:color w:val="auto"/>
              </w:rPr>
              <w:t>Page 26</w:t>
            </w:r>
          </w:p>
        </w:tc>
        <w:tc>
          <w:tcPr>
            <w:tcW w:w="0" w:type="dxa"/>
            <w:vAlign w:val="bottom"/>
          </w:tcPr>
          <w:p>
            <w:pPr>
              <w:spacing w:after="0"/>
              <w:rPr>
                <w:sz w:val="1"/>
                <w:szCs w:val="1"/>
                <w:color w:val="auto"/>
              </w:rPr>
            </w:pPr>
          </w:p>
        </w:tc>
      </w:tr>
      <w:tr>
        <w:trPr>
          <w:trHeight w:val="161"/>
        </w:trPr>
        <w:tc>
          <w:tcPr>
            <w:tcW w:w="8560" w:type="dxa"/>
            <w:vAlign w:val="bottom"/>
            <w:tcBorders>
              <w:left w:val="single" w:sz="8" w:color="auto"/>
            </w:tcBorders>
            <w:vMerge w:val="restart"/>
            <w:shd w:val="clear" w:color="auto" w:fill="D9D9D9"/>
          </w:tcPr>
          <w:p>
            <w:pPr>
              <w:ind w:left="60"/>
              <w:spacing w:after="0"/>
              <w:rPr>
                <w:sz w:val="20"/>
                <w:szCs w:val="20"/>
                <w:color w:val="auto"/>
              </w:rPr>
            </w:pPr>
            <w:r>
              <w:rPr>
                <w:rFonts w:ascii="Arial" w:cs="Arial" w:eastAsia="Arial" w:hAnsi="Arial"/>
                <w:sz w:val="18"/>
                <w:szCs w:val="18"/>
                <w:color w:val="auto"/>
              </w:rPr>
              <w:t>To approve, on an advisory basis, our executive compensation.</w:t>
            </w:r>
          </w:p>
        </w:tc>
        <w:tc>
          <w:tcPr>
            <w:tcW w:w="1440" w:type="dxa"/>
            <w:vAlign w:val="bottom"/>
            <w:vMerge w:val="continue"/>
            <w:shd w:val="clear" w:color="auto" w:fill="D9D9D9"/>
          </w:tcPr>
          <w:p>
            <w:pPr>
              <w:spacing w:after="0"/>
              <w:rPr>
                <w:sz w:val="13"/>
                <w:szCs w:val="13"/>
                <w:color w:val="auto"/>
              </w:rPr>
            </w:pPr>
          </w:p>
        </w:tc>
        <w:tc>
          <w:tcPr>
            <w:tcW w:w="1240" w:type="dxa"/>
            <w:vAlign w:val="bottom"/>
            <w:tcBorders>
              <w:right w:val="single" w:sz="8" w:color="auto"/>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560" w:type="dxa"/>
            <w:vAlign w:val="bottom"/>
            <w:tcBorders>
              <w:left w:val="single" w:sz="8" w:color="auto"/>
              <w:bottom w:val="single" w:sz="8" w:color="auto"/>
            </w:tcBorders>
            <w:vMerge w:val="continue"/>
            <w:shd w:val="clear" w:color="auto" w:fill="D9D9D9"/>
          </w:tcPr>
          <w:p>
            <w:pPr>
              <w:spacing w:after="0"/>
              <w:rPr>
                <w:sz w:val="15"/>
                <w:szCs w:val="15"/>
                <w:color w:val="auto"/>
              </w:rPr>
            </w:pPr>
          </w:p>
        </w:tc>
        <w:tc>
          <w:tcPr>
            <w:tcW w:w="1440" w:type="dxa"/>
            <w:vAlign w:val="bottom"/>
            <w:tcBorders>
              <w:bottom w:val="single" w:sz="8" w:color="auto"/>
            </w:tcBorders>
            <w:vMerge w:val="continue"/>
            <w:shd w:val="clear" w:color="auto" w:fill="D9D9D9"/>
          </w:tcPr>
          <w:p>
            <w:pPr>
              <w:spacing w:after="0"/>
              <w:rPr>
                <w:sz w:val="15"/>
                <w:szCs w:val="15"/>
                <w:color w:val="auto"/>
              </w:rPr>
            </w:pPr>
          </w:p>
        </w:tc>
        <w:tc>
          <w:tcPr>
            <w:tcW w:w="124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How to Cast Your Vote</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Your vote is important! </w:t>
      </w:r>
      <w:r>
        <w:rPr>
          <w:rFonts w:ascii="Arial" w:cs="Arial" w:eastAsia="Arial" w:hAnsi="Arial"/>
          <w:sz w:val="18"/>
          <w:szCs w:val="18"/>
          <w:color w:val="auto"/>
        </w:rPr>
        <w:t>Please vote your shares promptly using one of the methods listed below. See page 2 for additional voting</w:t>
      </w:r>
    </w:p>
    <w:p>
      <w:pPr>
        <w:sectPr>
          <w:pgSz w:w="11900" w:h="16838" w:orient="portrait"/>
          <w:cols w:equalWidth="0" w:num="1">
            <w:col w:w="11260"/>
          </w:cols>
          <w:pgMar w:left="320" w:top="140" w:right="31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64770</wp:posOffset>
            </wp:positionV>
            <wp:extent cx="1430020" cy="5791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30020" cy="579120"/>
                    </a:xfrm>
                    <a:prstGeom prst="rect">
                      <a:avLst/>
                    </a:prstGeom>
                    <a:noFill/>
                  </pic:spPr>
                </pic:pic>
              </a:graphicData>
            </a:graphic>
          </wp:anchor>
        </w:drawing>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0000"/>
        </w:rPr>
        <w:t>By Internet</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Go to</w:t>
      </w:r>
    </w:p>
    <w:p>
      <w:pPr>
        <w:ind w:left="200"/>
        <w:spacing w:after="0"/>
        <w:rPr>
          <w:sz w:val="20"/>
          <w:szCs w:val="20"/>
          <w:color w:val="auto"/>
        </w:rPr>
      </w:pPr>
      <w:r>
        <w:rPr>
          <w:rFonts w:ascii="Arial" w:cs="Arial" w:eastAsia="Arial" w:hAnsi="Arial"/>
          <w:sz w:val="17"/>
          <w:szCs w:val="17"/>
          <w:color w:val="auto"/>
        </w:rPr>
        <w:t>www.proxyvote.com</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FF0000"/>
        </w:rPr>
        <w:t>By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-142875</wp:posOffset>
            </wp:positionV>
            <wp:extent cx="774700" cy="5791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0" cy="5791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Call</w:t>
      </w:r>
    </w:p>
    <w:p>
      <w:pPr>
        <w:spacing w:after="0" w:line="233" w:lineRule="auto"/>
        <w:rPr>
          <w:sz w:val="20"/>
          <w:szCs w:val="20"/>
          <w:color w:val="auto"/>
        </w:rPr>
      </w:pPr>
      <w:r>
        <w:rPr>
          <w:rFonts w:ascii="Arial" w:cs="Arial" w:eastAsia="Arial" w:hAnsi="Arial"/>
          <w:sz w:val="18"/>
          <w:szCs w:val="18"/>
          <w:color w:val="auto"/>
        </w:rPr>
        <w:t>800-690-</w:t>
      </w:r>
    </w:p>
    <w:p>
      <w:pPr>
        <w:spacing w:after="0"/>
        <w:rPr>
          <w:sz w:val="20"/>
          <w:szCs w:val="20"/>
          <w:color w:val="auto"/>
        </w:rPr>
      </w:pPr>
      <w:r>
        <w:rPr>
          <w:rFonts w:ascii="Arial" w:cs="Arial" w:eastAsia="Arial" w:hAnsi="Arial"/>
          <w:sz w:val="18"/>
          <w:szCs w:val="18"/>
          <w:color w:val="auto"/>
        </w:rPr>
        <w:t>6903</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FF0000"/>
        </w:rPr>
        <w:t xml:space="preserve">By Mobile Device </w:t>
      </w:r>
      <w:r>
        <w:rPr>
          <w:rFonts w:ascii="Arial" w:cs="Arial" w:eastAsia="Arial" w:hAnsi="Arial"/>
          <w:sz w:val="18"/>
          <w:szCs w:val="18"/>
          <w:color w:val="000000"/>
        </w:rPr>
        <w:t>Scan the QR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-553720</wp:posOffset>
            </wp:positionV>
            <wp:extent cx="825500" cy="5791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00" cy="5791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FF0000"/>
        </w:rPr>
        <w:t xml:space="preserve">By Mail </w:t>
      </w:r>
      <w:r>
        <w:rPr>
          <w:rFonts w:ascii="Arial" w:cs="Arial" w:eastAsia="Arial" w:hAnsi="Arial"/>
          <w:sz w:val="17"/>
          <w:szCs w:val="17"/>
          <w:color w:val="000000"/>
        </w:rPr>
        <w:t>Return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-439420</wp:posOffset>
            </wp:positionV>
            <wp:extent cx="885190" cy="5791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5190" cy="5791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By Attending the Meeting Virtually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-125095</wp:posOffset>
            </wp:positionV>
            <wp:extent cx="2911475" cy="5791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11475" cy="5791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Visit www.virtualshareholdermeeting.com/TTC2021</w:t>
      </w:r>
    </w:p>
    <w:p>
      <w:pPr>
        <w:spacing w:after="0" w:line="582" w:lineRule="exact"/>
        <w:rPr>
          <w:sz w:val="20"/>
          <w:szCs w:val="20"/>
          <w:color w:val="auto"/>
        </w:rPr>
      </w:pPr>
    </w:p>
    <w:p>
      <w:pPr>
        <w:sectPr>
          <w:pgSz w:w="11900" w:h="16838" w:orient="portrait"/>
          <w:cols w:equalWidth="0" w:num="5">
            <w:col w:w="1820" w:space="720"/>
            <w:col w:w="820" w:space="500"/>
            <w:col w:w="1020" w:space="360"/>
            <w:col w:w="920" w:space="440"/>
            <w:col w:w="4660"/>
          </w:cols>
          <w:pgMar w:left="320" w:top="140" w:right="319" w:bottom="1440" w:gutter="0" w:footer="0" w:header="0"/>
          <w:type w:val="continuous"/>
        </w:sectPr>
      </w:pPr>
    </w:p>
    <w:p>
      <w:pPr>
        <w:spacing w:after="0"/>
        <w:rPr>
          <w:sz w:val="20"/>
          <w:szCs w:val="20"/>
          <w:color w:val="auto"/>
        </w:rPr>
      </w:pPr>
      <w:r>
        <w:rPr>
          <w:rFonts w:ascii="Arial" w:cs="Arial" w:eastAsia="Arial" w:hAnsi="Arial"/>
          <w:sz w:val="20"/>
          <w:szCs w:val="20"/>
          <w:b w:val="1"/>
          <w:bCs w:val="1"/>
          <w:color w:val="FF0000"/>
        </w:rPr>
        <w:t>Corporate Governance Highlights</w:t>
      </w:r>
    </w:p>
    <w:p>
      <w:pPr>
        <w:spacing w:after="0" w:line="118" w:lineRule="exact"/>
        <w:rPr>
          <w:sz w:val="20"/>
          <w:szCs w:val="20"/>
          <w:color w:val="auto"/>
        </w:rPr>
      </w:pPr>
    </w:p>
    <w:p>
      <w:pPr>
        <w:ind w:right="240" w:firstLine="401"/>
        <w:spacing w:after="0" w:line="238" w:lineRule="auto"/>
        <w:rPr>
          <w:sz w:val="20"/>
          <w:szCs w:val="20"/>
          <w:color w:val="auto"/>
        </w:rPr>
      </w:pPr>
      <w:r>
        <w:rPr>
          <w:rFonts w:ascii="Arial" w:cs="Arial" w:eastAsia="Arial" w:hAnsi="Arial"/>
          <w:sz w:val="18"/>
          <w:szCs w:val="18"/>
          <w:color w:val="auto"/>
        </w:rPr>
        <w:t>Our Board provides oversight of critical matters such as our strategic plans, financial and other controls, risk management, merger and acquisition related activities, and management succession planning. The Board reviews our major governance documents, policies and processes regularly and thoughtfully determines the structures that are appropriate for our Company at the time.</w:t>
      </w:r>
    </w:p>
    <w:p>
      <w:pPr>
        <w:spacing w:after="0" w:line="68" w:lineRule="exact"/>
        <w:rPr>
          <w:sz w:val="20"/>
          <w:szCs w:val="20"/>
          <w:color w:val="auto"/>
        </w:rPr>
      </w:pPr>
    </w:p>
    <w:p>
      <w:pPr>
        <w:ind w:left="5780" w:right="800" w:hanging="5200"/>
        <w:spacing w:after="0" w:line="247" w:lineRule="exact"/>
        <w:tabs>
          <w:tab w:leader="none" w:pos="5760" w:val="left"/>
        </w:tabs>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 xml:space="preserve"> All directors are independent, other than CEO</w:t>
      </w:r>
      <w:r>
        <w:rPr>
          <w:sz w:val="20"/>
          <w:szCs w:val="20"/>
          <w:color w:val="auto"/>
        </w:rPr>
        <w:tab/>
      </w:r>
      <w:r>
        <w:rPr>
          <w:rFonts w:ascii="MS PGothic" w:cs="MS PGothic" w:eastAsia="MS PGothic" w:hAnsi="MS PGothic"/>
          <w:sz w:val="20"/>
          <w:szCs w:val="20"/>
          <w:color w:val="auto"/>
        </w:rPr>
        <w:t xml:space="preserve">✓ </w:t>
      </w:r>
      <w:r>
        <w:rPr>
          <w:rFonts w:ascii="Arial" w:cs="Arial" w:eastAsia="Arial" w:hAnsi="Arial"/>
          <w:sz w:val="17"/>
          <w:szCs w:val="17"/>
          <w:color w:val="auto"/>
        </w:rPr>
        <w:t>Comprehensive strategy and risk oversight by the Board</w:t>
      </w:r>
      <w:r>
        <w:rPr>
          <w:rFonts w:ascii="MS PGothic" w:cs="MS PGothic" w:eastAsia="MS PGothic" w:hAnsi="MS PGothic"/>
          <w:sz w:val="20"/>
          <w:szCs w:val="20"/>
          <w:color w:val="auto"/>
        </w:rPr>
        <w:t xml:space="preserve"> </w:t>
      </w:r>
      <w:r>
        <w:rPr>
          <w:rFonts w:ascii="Arial" w:cs="Arial" w:eastAsia="Arial" w:hAnsi="Arial"/>
          <w:sz w:val="17"/>
          <w:szCs w:val="17"/>
          <w:color w:val="auto"/>
        </w:rPr>
        <w:t>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-295275</wp:posOffset>
            </wp:positionV>
            <wp:extent cx="6426835" cy="25025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26835" cy="2502535"/>
                    </a:xfrm>
                    <a:prstGeom prst="rect">
                      <a:avLst/>
                    </a:prstGeom>
                    <a:noFill/>
                  </pic:spPr>
                </pic:pic>
              </a:graphicData>
            </a:graphic>
          </wp:anchor>
        </w:drawing>
      </w:r>
    </w:p>
    <w:p>
      <w:pPr>
        <w:ind w:left="800" w:hanging="223"/>
        <w:spacing w:after="0"/>
        <w:tabs>
          <w:tab w:leader="none" w:pos="800" w:val="left"/>
        </w:tabs>
        <w:numPr>
          <w:ilvl w:val="0"/>
          <w:numId w:val="6"/>
        </w:numPr>
        <w:rPr>
          <w:rFonts w:ascii="MS PGothic" w:cs="MS PGothic" w:eastAsia="MS PGothic" w:hAnsi="MS PGothic"/>
          <w:sz w:val="20"/>
          <w:szCs w:val="20"/>
          <w:color w:val="auto"/>
        </w:rPr>
      </w:pPr>
      <w:r>
        <w:rPr>
          <w:rFonts w:ascii="Arial" w:cs="Arial" w:eastAsia="Arial" w:hAnsi="Arial"/>
          <w:sz w:val="18"/>
          <w:szCs w:val="18"/>
          <w:color w:val="auto"/>
        </w:rPr>
        <w:t>All members of each Board committee are independent</w:t>
      </w:r>
    </w:p>
    <w:p>
      <w:pPr>
        <w:ind w:left="578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 xml:space="preserve"> Annual Board and committee self-evaluations</w:t>
      </w:r>
    </w:p>
    <w:p>
      <w:pPr>
        <w:spacing w:after="0" w:line="32" w:lineRule="exact"/>
        <w:rPr>
          <w:sz w:val="20"/>
          <w:szCs w:val="20"/>
          <w:color w:val="auto"/>
        </w:rPr>
      </w:pPr>
    </w:p>
    <w:p>
      <w:pPr>
        <w:ind w:left="58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 xml:space="preserve"> Robust lead director structure</w:t>
      </w:r>
    </w:p>
    <w:tbl>
      <w:tblPr>
        <w:tblLayout w:type="fixed"/>
        <w:tblInd w:w="0" w:type="dxa"/>
        <w:tblCellMar>
          <w:top w:w="0" w:type="dxa"/>
          <w:left w:w="0" w:type="dxa"/>
          <w:bottom w:w="0" w:type="dxa"/>
          <w:right w:w="0" w:type="dxa"/>
        </w:tblCellMar>
      </w:tblPr>
      <w:tr>
        <w:trPr>
          <w:trHeight w:val="235"/>
        </w:trPr>
        <w:tc>
          <w:tcPr>
            <w:tcW w:w="5740" w:type="dxa"/>
            <w:vAlign w:val="bottom"/>
            <w:gridSpan w:val="2"/>
            <w:vMerge w:val="restart"/>
          </w:tcPr>
          <w:p>
            <w:pPr>
              <w:ind w:left="58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 xml:space="preserve"> Regular executive sessions of independent directors</w:t>
            </w:r>
          </w:p>
        </w:tc>
        <w:tc>
          <w:tcPr>
            <w:tcW w:w="5520" w:type="dxa"/>
            <w:vAlign w:val="bottom"/>
            <w:gridSpan w:val="2"/>
          </w:tcPr>
          <w:p>
            <w:pPr>
              <w:ind w:left="4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 xml:space="preserve"> Fiscal 2020 Board and committee meeting attendance of</w:t>
            </w:r>
          </w:p>
        </w:tc>
        <w:tc>
          <w:tcPr>
            <w:tcW w:w="0" w:type="dxa"/>
            <w:vAlign w:val="bottom"/>
          </w:tcPr>
          <w:p>
            <w:pPr>
              <w:spacing w:after="0"/>
              <w:rPr>
                <w:sz w:val="1"/>
                <w:szCs w:val="1"/>
                <w:color w:val="auto"/>
              </w:rPr>
            </w:pPr>
          </w:p>
        </w:tc>
      </w:tr>
      <w:tr>
        <w:trPr>
          <w:trHeight w:val="295"/>
        </w:trPr>
        <w:tc>
          <w:tcPr>
            <w:tcW w:w="5740" w:type="dxa"/>
            <w:vAlign w:val="bottom"/>
            <w:gridSpan w:val="2"/>
            <w:vMerge w:val="continue"/>
          </w:tcPr>
          <w:p>
            <w:pPr>
              <w:spacing w:after="0"/>
              <w:rPr>
                <w:sz w:val="24"/>
                <w:szCs w:val="24"/>
                <w:color w:val="auto"/>
              </w:rPr>
            </w:pPr>
          </w:p>
        </w:tc>
        <w:tc>
          <w:tcPr>
            <w:tcW w:w="5520" w:type="dxa"/>
            <w:vAlign w:val="bottom"/>
            <w:gridSpan w:val="2"/>
          </w:tcPr>
          <w:p>
            <w:pPr>
              <w:ind w:lef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469"/>
        </w:trPr>
        <w:tc>
          <w:tcPr>
            <w:tcW w:w="5740" w:type="dxa"/>
            <w:vAlign w:val="bottom"/>
            <w:gridSpan w:val="2"/>
          </w:tcPr>
          <w:p>
            <w:pPr>
              <w:ind w:left="58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 xml:space="preserve"> Anti-hedging and anti-pledging policy for TTC common stock</w:t>
            </w:r>
          </w:p>
        </w:tc>
        <w:tc>
          <w:tcPr>
            <w:tcW w:w="5520" w:type="dxa"/>
            <w:vAlign w:val="bottom"/>
            <w:gridSpan w:val="2"/>
          </w:tcPr>
          <w:p>
            <w:pPr>
              <w:ind w:left="4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 xml:space="preserve"> Board access to management</w:t>
            </w:r>
          </w:p>
        </w:tc>
        <w:tc>
          <w:tcPr>
            <w:tcW w:w="0" w:type="dxa"/>
            <w:vAlign w:val="bottom"/>
          </w:tcPr>
          <w:p>
            <w:pPr>
              <w:spacing w:after="0"/>
              <w:rPr>
                <w:sz w:val="1"/>
                <w:szCs w:val="1"/>
                <w:color w:val="auto"/>
              </w:rPr>
            </w:pPr>
          </w:p>
        </w:tc>
      </w:tr>
      <w:tr>
        <w:trPr>
          <w:trHeight w:val="442"/>
        </w:trPr>
        <w:tc>
          <w:tcPr>
            <w:tcW w:w="5740" w:type="dxa"/>
            <w:vAlign w:val="bottom"/>
            <w:gridSpan w:val="2"/>
          </w:tcPr>
          <w:p>
            <w:pPr>
              <w:ind w:left="58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 xml:space="preserve"> Codes of Conduct and Ethics for directors, executive officers</w:t>
            </w:r>
          </w:p>
        </w:tc>
        <w:tc>
          <w:tcPr>
            <w:tcW w:w="5520" w:type="dxa"/>
            <w:vAlign w:val="bottom"/>
            <w:gridSpan w:val="2"/>
          </w:tcPr>
          <w:p>
            <w:pPr>
              <w:ind w:left="4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 xml:space="preserve"> Board oversight of sustainability matters</w:t>
            </w:r>
          </w:p>
        </w:tc>
        <w:tc>
          <w:tcPr>
            <w:tcW w:w="0" w:type="dxa"/>
            <w:vAlign w:val="bottom"/>
          </w:tcPr>
          <w:p>
            <w:pPr>
              <w:spacing w:after="0"/>
              <w:rPr>
                <w:sz w:val="1"/>
                <w:szCs w:val="1"/>
                <w:color w:val="auto"/>
              </w:rPr>
            </w:pPr>
          </w:p>
        </w:tc>
      </w:tr>
      <w:tr>
        <w:trPr>
          <w:trHeight w:val="214"/>
        </w:trPr>
        <w:tc>
          <w:tcPr>
            <w:tcW w:w="5740" w:type="dxa"/>
            <w:vAlign w:val="bottom"/>
            <w:gridSpan w:val="2"/>
          </w:tcPr>
          <w:p>
            <w:pPr>
              <w:ind w:left="580"/>
              <w:spacing w:after="0"/>
              <w:rPr>
                <w:sz w:val="20"/>
                <w:szCs w:val="20"/>
                <w:color w:val="auto"/>
              </w:rPr>
            </w:pPr>
            <w:r>
              <w:rPr>
                <w:rFonts w:ascii="Arial" w:cs="Arial" w:eastAsia="Arial" w:hAnsi="Arial"/>
                <w:sz w:val="18"/>
                <w:szCs w:val="18"/>
                <w:color w:val="auto"/>
              </w:rPr>
              <w:t>and employees</w:t>
            </w:r>
          </w:p>
        </w:tc>
        <w:tc>
          <w:tcPr>
            <w:tcW w:w="5520" w:type="dxa"/>
            <w:vAlign w:val="bottom"/>
            <w:gridSpan w:val="2"/>
            <w:vMerge w:val="restart"/>
          </w:tcPr>
          <w:p>
            <w:pPr>
              <w:ind w:left="4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 xml:space="preserve"> Ongoing consideration of Board composition and</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5740" w:type="dxa"/>
            <w:vAlign w:val="bottom"/>
            <w:gridSpan w:val="2"/>
          </w:tcPr>
          <w:p>
            <w:pPr>
              <w:ind w:left="58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 xml:space="preserve"> Robust director onboarding process</w:t>
            </w:r>
          </w:p>
        </w:tc>
        <w:tc>
          <w:tcPr>
            <w:tcW w:w="5520" w:type="dxa"/>
            <w:vAlign w:val="bottom"/>
            <w:gridSpan w:val="2"/>
          </w:tcPr>
          <w:p>
            <w:pPr>
              <w:ind w:left="40"/>
              <w:spacing w:after="0"/>
              <w:rPr>
                <w:sz w:val="20"/>
                <w:szCs w:val="20"/>
                <w:color w:val="auto"/>
              </w:rPr>
            </w:pPr>
            <w:r>
              <w:rPr>
                <w:rFonts w:ascii="Arial" w:cs="Arial" w:eastAsia="Arial" w:hAnsi="Arial"/>
                <w:sz w:val="18"/>
                <w:szCs w:val="18"/>
                <w:color w:val="auto"/>
              </w:rPr>
              <w:t>refreshment, including diversity</w:t>
            </w:r>
          </w:p>
        </w:tc>
        <w:tc>
          <w:tcPr>
            <w:tcW w:w="0" w:type="dxa"/>
            <w:vAlign w:val="bottom"/>
          </w:tcPr>
          <w:p>
            <w:pPr>
              <w:spacing w:after="0"/>
              <w:rPr>
                <w:sz w:val="1"/>
                <w:szCs w:val="1"/>
                <w:color w:val="auto"/>
              </w:rPr>
            </w:pPr>
          </w:p>
        </w:tc>
      </w:tr>
      <w:tr>
        <w:trPr>
          <w:trHeight w:val="429"/>
        </w:trPr>
        <w:tc>
          <w:tcPr>
            <w:tcW w:w="5740" w:type="dxa"/>
            <w:vAlign w:val="bottom"/>
            <w:gridSpan w:val="2"/>
          </w:tcPr>
          <w:p>
            <w:pPr>
              <w:ind w:left="58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 xml:space="preserve"> Robust stock ownership guidelines for directors and</w:t>
            </w:r>
          </w:p>
        </w:tc>
        <w:tc>
          <w:tcPr>
            <w:tcW w:w="5520" w:type="dxa"/>
            <w:vAlign w:val="bottom"/>
            <w:gridSpan w:val="2"/>
          </w:tcPr>
          <w:p>
            <w:pPr>
              <w:ind w:left="4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 xml:space="preserve"> No poison pill</w:t>
            </w:r>
          </w:p>
        </w:tc>
        <w:tc>
          <w:tcPr>
            <w:tcW w:w="0" w:type="dxa"/>
            <w:vAlign w:val="bottom"/>
          </w:tcPr>
          <w:p>
            <w:pPr>
              <w:spacing w:after="0"/>
              <w:rPr>
                <w:sz w:val="1"/>
                <w:szCs w:val="1"/>
                <w:color w:val="auto"/>
              </w:rPr>
            </w:pPr>
          </w:p>
        </w:tc>
      </w:tr>
      <w:tr>
        <w:trPr>
          <w:trHeight w:val="202"/>
        </w:trPr>
        <w:tc>
          <w:tcPr>
            <w:tcW w:w="5660" w:type="dxa"/>
            <w:vAlign w:val="bottom"/>
          </w:tcPr>
          <w:p>
            <w:pPr>
              <w:ind w:left="580"/>
              <w:spacing w:after="0" w:line="202" w:lineRule="exact"/>
              <w:rPr>
                <w:sz w:val="20"/>
                <w:szCs w:val="20"/>
                <w:color w:val="auto"/>
              </w:rPr>
            </w:pPr>
            <w:r>
              <w:rPr>
                <w:rFonts w:ascii="Arial" w:cs="Arial" w:eastAsia="Arial" w:hAnsi="Arial"/>
                <w:sz w:val="18"/>
                <w:szCs w:val="18"/>
                <w:color w:val="auto"/>
              </w:rPr>
              <w:t>executive officers</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1"/>
        </w:trPr>
        <w:tc>
          <w:tcPr>
            <w:tcW w:w="5740" w:type="dxa"/>
            <w:vAlign w:val="bottom"/>
            <w:gridSpan w:val="2"/>
          </w:tcPr>
          <w:p>
            <w:pPr>
              <w:ind w:left="5540"/>
              <w:spacing w:after="0"/>
              <w:rPr>
                <w:sz w:val="20"/>
                <w:szCs w:val="20"/>
                <w:color w:val="auto"/>
              </w:rPr>
            </w:pPr>
            <w:r>
              <w:rPr>
                <w:rFonts w:ascii="Arial" w:cs="Arial" w:eastAsia="Arial" w:hAnsi="Arial"/>
                <w:sz w:val="18"/>
                <w:szCs w:val="18"/>
                <w:color w:val="auto"/>
              </w:rPr>
              <w:t>vii</w:t>
            </w:r>
          </w:p>
        </w:tc>
        <w:tc>
          <w:tcPr>
            <w:tcW w:w="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6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54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64135</wp:posOffset>
            </wp:positionV>
            <wp:extent cx="6417945" cy="212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7945" cy="212725"/>
                    </a:xfrm>
                    <a:prstGeom prst="rect">
                      <a:avLst/>
                    </a:prstGeom>
                    <a:noFill/>
                  </pic:spPr>
                </pic:pic>
              </a:graphicData>
            </a:graphic>
          </wp:anchor>
        </w:drawing>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i w:val="1"/>
          <w:iCs w:val="1"/>
          <w:color w:val="FF0000"/>
        </w:rPr>
        <w:t>As of the 2021 Annual Meeting, our Board will reflect the following characteristics:</w:t>
      </w:r>
    </w:p>
    <w:p>
      <w:pPr>
        <w:sectPr>
          <w:pgSz w:w="11900" w:h="16838" w:orient="portrait"/>
          <w:cols w:equalWidth="0" w:num="1">
            <w:col w:w="11240"/>
          </w:cols>
          <w:pgMar w:left="320" w:top="140" w:right="339" w:bottom="1440" w:gutter="0" w:footer="0" w:header="0"/>
        </w:sectPr>
      </w:pPr>
    </w:p>
    <w:p>
      <w:pPr>
        <w:spacing w:after="0" w:line="260"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FF0000"/>
        </w:rPr>
        <w:t>Average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-125095</wp:posOffset>
            </wp:positionV>
            <wp:extent cx="2009140" cy="450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09140" cy="45085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b w:val="1"/>
          <w:bCs w:val="1"/>
          <w:color w:val="auto"/>
        </w:rPr>
        <w:t>60.2</w:t>
      </w:r>
    </w:p>
    <w:p>
      <w:pPr>
        <w:spacing w:after="0" w:line="361" w:lineRule="exact"/>
        <w:rPr>
          <w:sz w:val="20"/>
          <w:szCs w:val="20"/>
          <w:color w:val="auto"/>
        </w:rPr>
      </w:pPr>
    </w:p>
    <w:p>
      <w:pPr>
        <w:ind w:left="1300" w:right="280" w:firstLine="165"/>
        <w:spacing w:after="0" w:line="260" w:lineRule="auto"/>
        <w:tabs>
          <w:tab w:leader="none" w:pos="1673" w:val="left"/>
        </w:tabs>
        <w:numPr>
          <w:ilvl w:val="0"/>
          <w:numId w:val="7"/>
        </w:numPr>
        <w:rPr>
          <w:rFonts w:ascii="Arial" w:cs="Arial" w:eastAsia="Arial" w:hAnsi="Arial"/>
          <w:sz w:val="17"/>
          <w:szCs w:val="17"/>
          <w:b w:val="1"/>
          <w:bCs w:val="1"/>
          <w:color w:val="FF0000"/>
        </w:rPr>
      </w:pPr>
      <w:r>
        <w:rPr>
          <w:rFonts w:ascii="Arial" w:cs="Arial" w:eastAsia="Arial" w:hAnsi="Arial"/>
          <w:sz w:val="17"/>
          <w:szCs w:val="17"/>
          <w:b w:val="1"/>
          <w:bCs w:val="1"/>
          <w:color w:val="FF0000"/>
        </w:rPr>
        <w:t>of Directors who are Racially/Ethnically Diverse</w:t>
      </w:r>
    </w:p>
    <w:p>
      <w:pPr>
        <w:ind w:left="2260"/>
        <w:spacing w:after="0"/>
        <w:rPr>
          <w:rFonts w:ascii="Arial" w:cs="Arial" w:eastAsia="Arial" w:hAnsi="Arial"/>
          <w:sz w:val="17"/>
          <w:szCs w:val="17"/>
          <w:b w:val="1"/>
          <w:bCs w:val="1"/>
          <w:color w:val="FF0000"/>
        </w:rPr>
      </w:pPr>
      <w:r>
        <w:rPr>
          <w:rFonts w:ascii="Arial" w:cs="Arial" w:eastAsia="Arial" w:hAnsi="Arial"/>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-394335</wp:posOffset>
            </wp:positionV>
            <wp:extent cx="2009140" cy="450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09140" cy="450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FF0000"/>
        </w:rPr>
        <w:t>Average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-150495</wp:posOffset>
            </wp:positionV>
            <wp:extent cx="1830070" cy="450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30070" cy="45085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b w:val="1"/>
          <w:bCs w:val="1"/>
          <w:color w:val="auto"/>
        </w:rPr>
        <w:t>9.3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209550</wp:posOffset>
            </wp:positionV>
            <wp:extent cx="1830070" cy="450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30070" cy="450850"/>
                    </a:xfrm>
                    <a:prstGeom prst="rect">
                      <a:avLst/>
                    </a:prstGeom>
                    <a:noFill/>
                  </pic:spPr>
                </pic:pic>
              </a:graphicData>
            </a:graphic>
          </wp:anchor>
        </w:drawing>
      </w:r>
    </w:p>
    <w:p>
      <w:pPr>
        <w:spacing w:after="0" w:line="341" w:lineRule="exact"/>
        <w:rPr>
          <w:sz w:val="20"/>
          <w:szCs w:val="20"/>
          <w:color w:val="auto"/>
        </w:rPr>
      </w:pPr>
    </w:p>
    <w:p>
      <w:pPr>
        <w:ind w:left="660" w:right="660" w:hanging="651"/>
        <w:spacing w:after="0" w:line="245" w:lineRule="auto"/>
        <w:tabs>
          <w:tab w:leader="none" w:pos="221" w:val="left"/>
        </w:tabs>
        <w:numPr>
          <w:ilvl w:val="0"/>
          <w:numId w:val="8"/>
        </w:numPr>
        <w:rPr>
          <w:rFonts w:ascii="Arial" w:cs="Arial" w:eastAsia="Arial" w:hAnsi="Arial"/>
          <w:sz w:val="18"/>
          <w:szCs w:val="18"/>
          <w:b w:val="1"/>
          <w:bCs w:val="1"/>
          <w:color w:val="FF0000"/>
        </w:rPr>
      </w:pPr>
      <w:r>
        <w:rPr>
          <w:rFonts w:ascii="Arial" w:cs="Arial" w:eastAsia="Arial" w:hAnsi="Arial"/>
          <w:sz w:val="18"/>
          <w:szCs w:val="18"/>
          <w:b w:val="1"/>
          <w:bCs w:val="1"/>
          <w:color w:val="FF0000"/>
        </w:rPr>
        <w:t>of Directors who are Women</w:t>
      </w:r>
    </w:p>
    <w:p>
      <w:pPr>
        <w:spacing w:after="0" w:line="1" w:lineRule="exact"/>
        <w:rPr>
          <w:rFonts w:ascii="Arial" w:cs="Arial" w:eastAsia="Arial" w:hAnsi="Arial"/>
          <w:sz w:val="18"/>
          <w:szCs w:val="18"/>
          <w:b w:val="1"/>
          <w:bCs w:val="1"/>
          <w:color w:val="FF0000"/>
        </w:rPr>
      </w:pPr>
    </w:p>
    <w:p>
      <w:pPr>
        <w:ind w:left="800"/>
        <w:spacing w:after="0"/>
        <w:rPr>
          <w:rFonts w:ascii="Arial" w:cs="Arial" w:eastAsia="Arial" w:hAnsi="Arial"/>
          <w:sz w:val="18"/>
          <w:szCs w:val="18"/>
          <w:b w:val="1"/>
          <w:bCs w:val="1"/>
          <w:color w:val="FF0000"/>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jc w:val="center"/>
        <w:ind w:right="1620"/>
        <w:spacing w:after="0"/>
        <w:rPr>
          <w:sz w:val="20"/>
          <w:szCs w:val="20"/>
          <w:color w:val="auto"/>
        </w:rPr>
      </w:pPr>
      <w:r>
        <w:rPr>
          <w:rFonts w:ascii="Arial" w:cs="Arial" w:eastAsia="Arial" w:hAnsi="Arial"/>
          <w:sz w:val="17"/>
          <w:szCs w:val="17"/>
          <w:b w:val="1"/>
          <w:bCs w:val="1"/>
          <w:color w:val="FF0000"/>
        </w:rPr>
        <w:t>New Directors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-142875</wp:posOffset>
            </wp:positionV>
            <wp:extent cx="2094230" cy="450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94230" cy="450850"/>
                    </a:xfrm>
                    <a:prstGeom prst="rect">
                      <a:avLst/>
                    </a:prstGeom>
                    <a:noFill/>
                  </pic:spPr>
                </pic:pic>
              </a:graphicData>
            </a:graphic>
          </wp:anchor>
        </w:drawing>
      </w:r>
    </w:p>
    <w:p>
      <w:pPr>
        <w:spacing w:after="0" w:line="2" w:lineRule="exact"/>
        <w:rPr>
          <w:sz w:val="20"/>
          <w:szCs w:val="20"/>
          <w:color w:val="auto"/>
        </w:rPr>
      </w:pPr>
    </w:p>
    <w:p>
      <w:pPr>
        <w:jc w:val="center"/>
        <w:ind w:right="1620"/>
        <w:spacing w:after="0"/>
        <w:rPr>
          <w:sz w:val="20"/>
          <w:szCs w:val="20"/>
          <w:color w:val="auto"/>
        </w:rPr>
      </w:pPr>
      <w:r>
        <w:rPr>
          <w:rFonts w:ascii="Arial" w:cs="Arial" w:eastAsia="Arial" w:hAnsi="Arial"/>
          <w:sz w:val="18"/>
          <w:szCs w:val="18"/>
          <w:b w:val="1"/>
          <w:bCs w:val="1"/>
          <w:color w:val="FF0000"/>
        </w:rPr>
        <w:t>Last 5 Years</w:t>
      </w:r>
    </w:p>
    <w:p>
      <w:pPr>
        <w:ind w:left="820"/>
        <w:spacing w:after="0"/>
        <w:rPr>
          <w:sz w:val="20"/>
          <w:szCs w:val="20"/>
          <w:color w:val="auto"/>
        </w:rPr>
      </w:pPr>
      <w:r>
        <w:rPr>
          <w:rFonts w:ascii="Arial" w:cs="Arial" w:eastAsia="Arial" w:hAnsi="Arial"/>
          <w:sz w:val="18"/>
          <w:szCs w:val="18"/>
          <w:b w:val="1"/>
          <w:bCs w:val="1"/>
          <w:color w:val="auto"/>
        </w:rPr>
        <w:t>5</w:t>
      </w:r>
    </w:p>
    <w:p>
      <w:pPr>
        <w:spacing w:after="0" w:line="990" w:lineRule="exact"/>
        <w:rPr>
          <w:sz w:val="20"/>
          <w:szCs w:val="20"/>
          <w:color w:val="auto"/>
        </w:rPr>
      </w:pPr>
    </w:p>
    <w:p>
      <w:pPr>
        <w:sectPr>
          <w:pgSz w:w="11900" w:h="16838" w:orient="portrait"/>
          <w:cols w:equalWidth="0" w:num="3">
            <w:col w:w="3840" w:space="720"/>
            <w:col w:w="2600" w:space="720"/>
            <w:col w:w="3360"/>
          </w:cols>
          <w:pgMar w:left="320" w:top="140" w:right="3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Information About our Board of Directors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500" w:type="dxa"/>
            <w:vAlign w:val="bottom"/>
            <w:shd w:val="clear" w:color="auto" w:fill="C00000"/>
          </w:tcPr>
          <w:p>
            <w:pPr>
              <w:spacing w:after="0"/>
              <w:rPr>
                <w:sz w:val="16"/>
                <w:szCs w:val="16"/>
                <w:color w:val="auto"/>
              </w:rPr>
            </w:pPr>
          </w:p>
        </w:tc>
        <w:tc>
          <w:tcPr>
            <w:tcW w:w="620" w:type="dxa"/>
            <w:vAlign w:val="bottom"/>
            <w:shd w:val="clear" w:color="auto" w:fill="C00000"/>
          </w:tcPr>
          <w:p>
            <w:pPr>
              <w:spacing w:after="0"/>
              <w:rPr>
                <w:sz w:val="16"/>
                <w:szCs w:val="16"/>
                <w:color w:val="auto"/>
              </w:rPr>
            </w:pPr>
          </w:p>
        </w:tc>
        <w:tc>
          <w:tcPr>
            <w:tcW w:w="1880" w:type="dxa"/>
            <w:vAlign w:val="bottom"/>
            <w:shd w:val="clear" w:color="auto" w:fill="C00000"/>
          </w:tcPr>
          <w:p>
            <w:pPr>
              <w:spacing w:after="0"/>
              <w:rPr>
                <w:sz w:val="16"/>
                <w:szCs w:val="16"/>
                <w:color w:val="auto"/>
              </w:rPr>
            </w:pPr>
          </w:p>
        </w:tc>
        <w:tc>
          <w:tcPr>
            <w:tcW w:w="140" w:type="dxa"/>
            <w:vAlign w:val="bottom"/>
            <w:shd w:val="clear" w:color="auto" w:fill="C00000"/>
          </w:tcPr>
          <w:p>
            <w:pPr>
              <w:spacing w:after="0"/>
              <w:rPr>
                <w:sz w:val="16"/>
                <w:szCs w:val="16"/>
                <w:color w:val="auto"/>
              </w:rPr>
            </w:pPr>
          </w:p>
        </w:tc>
        <w:tc>
          <w:tcPr>
            <w:tcW w:w="640" w:type="dxa"/>
            <w:vAlign w:val="bottom"/>
            <w:shd w:val="clear" w:color="auto" w:fill="C00000"/>
          </w:tcPr>
          <w:p>
            <w:pPr>
              <w:spacing w:after="0"/>
              <w:rPr>
                <w:sz w:val="16"/>
                <w:szCs w:val="16"/>
                <w:color w:val="auto"/>
              </w:rPr>
            </w:pPr>
          </w:p>
        </w:tc>
        <w:tc>
          <w:tcPr>
            <w:tcW w:w="680" w:type="dxa"/>
            <w:vAlign w:val="bottom"/>
            <w:shd w:val="clear" w:color="auto" w:fill="C00000"/>
          </w:tcPr>
          <w:p>
            <w:pPr>
              <w:spacing w:after="0"/>
              <w:rPr>
                <w:sz w:val="16"/>
                <w:szCs w:val="16"/>
                <w:color w:val="auto"/>
              </w:rPr>
            </w:pPr>
          </w:p>
        </w:tc>
        <w:tc>
          <w:tcPr>
            <w:tcW w:w="1420" w:type="dxa"/>
            <w:vAlign w:val="bottom"/>
            <w:shd w:val="clear" w:color="auto" w:fill="C00000"/>
          </w:tcPr>
          <w:p>
            <w:pPr>
              <w:spacing w:after="0"/>
              <w:rPr>
                <w:sz w:val="16"/>
                <w:szCs w:val="16"/>
                <w:color w:val="auto"/>
              </w:rPr>
            </w:pPr>
          </w:p>
        </w:tc>
        <w:tc>
          <w:tcPr>
            <w:tcW w:w="280" w:type="dxa"/>
            <w:vAlign w:val="bottom"/>
            <w:shd w:val="clear" w:color="auto" w:fill="C00000"/>
          </w:tcPr>
          <w:p>
            <w:pPr>
              <w:spacing w:after="0"/>
              <w:rPr>
                <w:sz w:val="16"/>
                <w:szCs w:val="16"/>
                <w:color w:val="auto"/>
              </w:rPr>
            </w:pPr>
          </w:p>
        </w:tc>
        <w:tc>
          <w:tcPr>
            <w:tcW w:w="1900" w:type="dxa"/>
            <w:vAlign w:val="bottom"/>
            <w:gridSpan w:val="2"/>
            <w:shd w:val="clear" w:color="auto" w:fill="C00000"/>
          </w:tcPr>
          <w:p>
            <w:pPr>
              <w:ind w:left="120"/>
              <w:spacing w:after="0"/>
              <w:rPr>
                <w:sz w:val="20"/>
                <w:szCs w:val="20"/>
                <w:color w:val="auto"/>
              </w:rPr>
            </w:pPr>
            <w:r>
              <w:rPr>
                <w:rFonts w:ascii="Arial" w:cs="Arial" w:eastAsia="Arial" w:hAnsi="Arial"/>
                <w:sz w:val="14"/>
                <w:szCs w:val="14"/>
                <w:b w:val="1"/>
                <w:bCs w:val="1"/>
                <w:color w:val="FFFFFF"/>
              </w:rPr>
              <w:t>Committee Memberships</w:t>
            </w:r>
          </w:p>
        </w:tc>
        <w:tc>
          <w:tcPr>
            <w:tcW w:w="620" w:type="dxa"/>
            <w:vAlign w:val="bottom"/>
            <w:shd w:val="clear" w:color="auto" w:fill="C00000"/>
          </w:tcPr>
          <w:p>
            <w:pPr>
              <w:spacing w:after="0"/>
              <w:rPr>
                <w:sz w:val="16"/>
                <w:szCs w:val="16"/>
                <w:color w:val="auto"/>
              </w:rPr>
            </w:pPr>
          </w:p>
        </w:tc>
        <w:tc>
          <w:tcPr>
            <w:tcW w:w="7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Other</w:t>
            </w:r>
          </w:p>
        </w:tc>
        <w:tc>
          <w:tcPr>
            <w:tcW w:w="8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Racial/</w:t>
            </w:r>
          </w:p>
        </w:tc>
        <w:tc>
          <w:tcPr>
            <w:tcW w:w="0" w:type="dxa"/>
            <w:vAlign w:val="bottom"/>
          </w:tcPr>
          <w:p>
            <w:pPr>
              <w:spacing w:after="0"/>
              <w:rPr>
                <w:sz w:val="1"/>
                <w:szCs w:val="1"/>
                <w:color w:val="auto"/>
              </w:rPr>
            </w:pPr>
          </w:p>
        </w:tc>
      </w:tr>
      <w:tr>
        <w:trPr>
          <w:trHeight w:val="174"/>
        </w:trPr>
        <w:tc>
          <w:tcPr>
            <w:tcW w:w="1500" w:type="dxa"/>
            <w:vAlign w:val="bottom"/>
            <w:shd w:val="clear" w:color="auto" w:fill="C00000"/>
          </w:tcPr>
          <w:p>
            <w:pPr>
              <w:spacing w:after="0"/>
              <w:rPr>
                <w:sz w:val="15"/>
                <w:szCs w:val="15"/>
                <w:color w:val="auto"/>
              </w:rPr>
            </w:pPr>
          </w:p>
        </w:tc>
        <w:tc>
          <w:tcPr>
            <w:tcW w:w="620" w:type="dxa"/>
            <w:vAlign w:val="bottom"/>
            <w:shd w:val="clear" w:color="auto" w:fill="C00000"/>
          </w:tcPr>
          <w:p>
            <w:pPr>
              <w:spacing w:after="0"/>
              <w:rPr>
                <w:sz w:val="15"/>
                <w:szCs w:val="15"/>
                <w:color w:val="auto"/>
              </w:rPr>
            </w:pPr>
          </w:p>
        </w:tc>
        <w:tc>
          <w:tcPr>
            <w:tcW w:w="1880" w:type="dxa"/>
            <w:vAlign w:val="bottom"/>
            <w:shd w:val="clear" w:color="auto" w:fill="C00000"/>
          </w:tcPr>
          <w:p>
            <w:pPr>
              <w:spacing w:after="0"/>
              <w:rPr>
                <w:sz w:val="15"/>
                <w:szCs w:val="15"/>
                <w:color w:val="auto"/>
              </w:rPr>
            </w:pPr>
          </w:p>
        </w:tc>
        <w:tc>
          <w:tcPr>
            <w:tcW w:w="140" w:type="dxa"/>
            <w:vAlign w:val="bottom"/>
            <w:shd w:val="clear" w:color="auto" w:fill="C00000"/>
          </w:tcPr>
          <w:p>
            <w:pPr>
              <w:spacing w:after="0"/>
              <w:rPr>
                <w:sz w:val="15"/>
                <w:szCs w:val="15"/>
                <w:color w:val="auto"/>
              </w:rPr>
            </w:pPr>
          </w:p>
        </w:tc>
        <w:tc>
          <w:tcPr>
            <w:tcW w:w="640" w:type="dxa"/>
            <w:vAlign w:val="bottom"/>
            <w:shd w:val="clear" w:color="auto" w:fill="C00000"/>
          </w:tcPr>
          <w:p>
            <w:pPr>
              <w:spacing w:after="0"/>
              <w:rPr>
                <w:sz w:val="15"/>
                <w:szCs w:val="15"/>
                <w:color w:val="auto"/>
              </w:rPr>
            </w:pPr>
          </w:p>
        </w:tc>
        <w:tc>
          <w:tcPr>
            <w:tcW w:w="680" w:type="dxa"/>
            <w:vAlign w:val="bottom"/>
            <w:shd w:val="clear" w:color="auto" w:fill="C00000"/>
          </w:tcPr>
          <w:p>
            <w:pPr>
              <w:jc w:val="center"/>
              <w:ind w:right="29"/>
              <w:spacing w:after="0"/>
              <w:rPr>
                <w:sz w:val="20"/>
                <w:szCs w:val="20"/>
                <w:color w:val="auto"/>
              </w:rPr>
            </w:pPr>
            <w:r>
              <w:rPr>
                <w:rFonts w:ascii="Arial" w:cs="Arial" w:eastAsia="Arial" w:hAnsi="Arial"/>
                <w:sz w:val="14"/>
                <w:szCs w:val="14"/>
                <w:b w:val="1"/>
                <w:bCs w:val="1"/>
                <w:color w:val="FFFFFF"/>
              </w:rPr>
              <w:t>Director</w:t>
            </w:r>
          </w:p>
        </w:tc>
        <w:tc>
          <w:tcPr>
            <w:tcW w:w="1420" w:type="dxa"/>
            <w:vAlign w:val="bottom"/>
            <w:shd w:val="clear" w:color="auto" w:fill="C00000"/>
          </w:tcPr>
          <w:p>
            <w:pPr>
              <w:spacing w:after="0"/>
              <w:rPr>
                <w:sz w:val="15"/>
                <w:szCs w:val="15"/>
                <w:color w:val="auto"/>
              </w:rPr>
            </w:pPr>
          </w:p>
        </w:tc>
        <w:tc>
          <w:tcPr>
            <w:tcW w:w="280" w:type="dxa"/>
            <w:vAlign w:val="bottom"/>
            <w:shd w:val="clear" w:color="auto" w:fill="C00000"/>
          </w:tcPr>
          <w:p>
            <w:pPr>
              <w:spacing w:after="0"/>
              <w:rPr>
                <w:sz w:val="15"/>
                <w:szCs w:val="15"/>
                <w:color w:val="auto"/>
              </w:rPr>
            </w:pPr>
          </w:p>
        </w:tc>
        <w:tc>
          <w:tcPr>
            <w:tcW w:w="880" w:type="dxa"/>
            <w:vAlign w:val="bottom"/>
            <w:shd w:val="clear" w:color="auto" w:fill="C00000"/>
          </w:tcPr>
          <w:p>
            <w:pPr>
              <w:spacing w:after="0"/>
              <w:rPr>
                <w:sz w:val="15"/>
                <w:szCs w:val="15"/>
                <w:color w:val="auto"/>
              </w:rPr>
            </w:pPr>
          </w:p>
        </w:tc>
        <w:tc>
          <w:tcPr>
            <w:tcW w:w="1020" w:type="dxa"/>
            <w:vAlign w:val="bottom"/>
            <w:shd w:val="clear" w:color="auto" w:fill="C00000"/>
          </w:tcPr>
          <w:p>
            <w:pPr>
              <w:spacing w:after="0"/>
              <w:rPr>
                <w:sz w:val="15"/>
                <w:szCs w:val="15"/>
                <w:color w:val="auto"/>
              </w:rPr>
            </w:pPr>
          </w:p>
        </w:tc>
        <w:tc>
          <w:tcPr>
            <w:tcW w:w="620" w:type="dxa"/>
            <w:vAlign w:val="bottom"/>
            <w:shd w:val="clear" w:color="auto" w:fill="C00000"/>
          </w:tcPr>
          <w:p>
            <w:pPr>
              <w:spacing w:after="0"/>
              <w:rPr>
                <w:sz w:val="15"/>
                <w:szCs w:val="15"/>
                <w:color w:val="auto"/>
              </w:rPr>
            </w:pPr>
          </w:p>
        </w:tc>
        <w:tc>
          <w:tcPr>
            <w:tcW w:w="7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Public</w:t>
            </w:r>
          </w:p>
        </w:tc>
        <w:tc>
          <w:tcPr>
            <w:tcW w:w="8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Gender</w:t>
            </w:r>
          </w:p>
        </w:tc>
        <w:tc>
          <w:tcPr>
            <w:tcW w:w="0" w:type="dxa"/>
            <w:vAlign w:val="bottom"/>
          </w:tcPr>
          <w:p>
            <w:pPr>
              <w:spacing w:after="0"/>
              <w:rPr>
                <w:sz w:val="1"/>
                <w:szCs w:val="1"/>
                <w:color w:val="auto"/>
              </w:rPr>
            </w:pPr>
          </w:p>
        </w:tc>
      </w:tr>
      <w:tr>
        <w:trPr>
          <w:trHeight w:val="174"/>
        </w:trPr>
        <w:tc>
          <w:tcPr>
            <w:tcW w:w="1500" w:type="dxa"/>
            <w:vAlign w:val="bottom"/>
            <w:shd w:val="clear" w:color="auto" w:fill="C00000"/>
          </w:tcPr>
          <w:p>
            <w:pPr>
              <w:spacing w:after="0"/>
              <w:rPr>
                <w:sz w:val="15"/>
                <w:szCs w:val="15"/>
                <w:color w:val="auto"/>
              </w:rPr>
            </w:pPr>
          </w:p>
        </w:tc>
        <w:tc>
          <w:tcPr>
            <w:tcW w:w="2500" w:type="dxa"/>
            <w:vAlign w:val="bottom"/>
            <w:gridSpan w:val="2"/>
            <w:shd w:val="clear" w:color="auto" w:fill="C00000"/>
          </w:tcPr>
          <w:p>
            <w:pPr>
              <w:spacing w:after="0"/>
              <w:rPr>
                <w:sz w:val="20"/>
                <w:szCs w:val="20"/>
                <w:color w:val="auto"/>
              </w:rPr>
            </w:pPr>
            <w:r>
              <w:rPr>
                <w:rFonts w:ascii="Arial" w:cs="Arial" w:eastAsia="Arial" w:hAnsi="Arial"/>
                <w:sz w:val="14"/>
                <w:szCs w:val="14"/>
                <w:b w:val="1"/>
                <w:bCs w:val="1"/>
                <w:color w:val="FFFFFF"/>
              </w:rPr>
              <w:t>Name and Title</w:t>
            </w:r>
          </w:p>
        </w:tc>
        <w:tc>
          <w:tcPr>
            <w:tcW w:w="140" w:type="dxa"/>
            <w:vAlign w:val="bottom"/>
            <w:shd w:val="clear" w:color="auto" w:fill="C00000"/>
          </w:tcPr>
          <w:p>
            <w:pPr>
              <w:spacing w:after="0"/>
              <w:rPr>
                <w:sz w:val="15"/>
                <w:szCs w:val="15"/>
                <w:color w:val="auto"/>
              </w:rPr>
            </w:pPr>
          </w:p>
        </w:tc>
        <w:tc>
          <w:tcPr>
            <w:tcW w:w="640" w:type="dxa"/>
            <w:vAlign w:val="bottom"/>
            <w:shd w:val="clear" w:color="auto" w:fill="C00000"/>
          </w:tcPr>
          <w:p>
            <w:pPr>
              <w:jc w:val="right"/>
              <w:ind w:right="249"/>
              <w:spacing w:after="0"/>
              <w:rPr>
                <w:sz w:val="20"/>
                <w:szCs w:val="20"/>
                <w:color w:val="auto"/>
              </w:rPr>
            </w:pPr>
            <w:r>
              <w:rPr>
                <w:rFonts w:ascii="Arial" w:cs="Arial" w:eastAsia="Arial" w:hAnsi="Arial"/>
                <w:sz w:val="14"/>
                <w:szCs w:val="14"/>
                <w:b w:val="1"/>
                <w:bCs w:val="1"/>
                <w:color w:val="FFFFFF"/>
              </w:rPr>
              <w:t>Age</w:t>
            </w:r>
          </w:p>
        </w:tc>
        <w:tc>
          <w:tcPr>
            <w:tcW w:w="680" w:type="dxa"/>
            <w:vAlign w:val="bottom"/>
            <w:shd w:val="clear" w:color="auto" w:fill="C00000"/>
          </w:tcPr>
          <w:p>
            <w:pPr>
              <w:jc w:val="center"/>
              <w:ind w:right="29"/>
              <w:spacing w:after="0"/>
              <w:rPr>
                <w:sz w:val="20"/>
                <w:szCs w:val="20"/>
                <w:color w:val="auto"/>
              </w:rPr>
            </w:pPr>
            <w:r>
              <w:rPr>
                <w:rFonts w:ascii="Arial" w:cs="Arial" w:eastAsia="Arial" w:hAnsi="Arial"/>
                <w:sz w:val="14"/>
                <w:szCs w:val="14"/>
                <w:b w:val="1"/>
                <w:bCs w:val="1"/>
                <w:color w:val="FFFFFF"/>
              </w:rPr>
              <w:t>Since</w:t>
            </w:r>
          </w:p>
        </w:tc>
        <w:tc>
          <w:tcPr>
            <w:tcW w:w="1420" w:type="dxa"/>
            <w:vAlign w:val="bottom"/>
            <w:shd w:val="clear" w:color="auto" w:fill="C00000"/>
          </w:tcPr>
          <w:p>
            <w:pPr>
              <w:jc w:val="center"/>
              <w:ind w:right="247"/>
              <w:spacing w:after="0"/>
              <w:rPr>
                <w:sz w:val="20"/>
                <w:szCs w:val="20"/>
                <w:color w:val="auto"/>
              </w:rPr>
            </w:pPr>
            <w:r>
              <w:rPr>
                <w:rFonts w:ascii="Arial" w:cs="Arial" w:eastAsia="Arial" w:hAnsi="Arial"/>
                <w:sz w:val="14"/>
                <w:szCs w:val="14"/>
                <w:b w:val="1"/>
                <w:bCs w:val="1"/>
                <w:color w:val="FFFFFF"/>
              </w:rPr>
              <w:t>Independent</w:t>
            </w:r>
          </w:p>
        </w:tc>
        <w:tc>
          <w:tcPr>
            <w:tcW w:w="280" w:type="dxa"/>
            <w:vAlign w:val="bottom"/>
            <w:shd w:val="clear" w:color="auto" w:fill="C00000"/>
          </w:tcPr>
          <w:p>
            <w:pPr>
              <w:ind w:left="20"/>
              <w:spacing w:after="0"/>
              <w:rPr>
                <w:sz w:val="20"/>
                <w:szCs w:val="20"/>
                <w:color w:val="auto"/>
              </w:rPr>
            </w:pPr>
            <w:r>
              <w:rPr>
                <w:rFonts w:ascii="Arial" w:cs="Arial" w:eastAsia="Arial" w:hAnsi="Arial"/>
                <w:sz w:val="14"/>
                <w:szCs w:val="14"/>
                <w:b w:val="1"/>
                <w:bCs w:val="1"/>
                <w:color w:val="FFFFFF"/>
              </w:rPr>
              <w:t>A</w:t>
            </w:r>
          </w:p>
        </w:tc>
        <w:tc>
          <w:tcPr>
            <w:tcW w:w="880" w:type="dxa"/>
            <w:vAlign w:val="bottom"/>
            <w:shd w:val="clear" w:color="auto" w:fill="C00000"/>
          </w:tcPr>
          <w:p>
            <w:pPr>
              <w:jc w:val="center"/>
              <w:ind w:left="123"/>
              <w:spacing w:after="0"/>
              <w:rPr>
                <w:sz w:val="20"/>
                <w:szCs w:val="20"/>
                <w:color w:val="auto"/>
              </w:rPr>
            </w:pPr>
            <w:r>
              <w:rPr>
                <w:rFonts w:ascii="Arial" w:cs="Arial" w:eastAsia="Arial" w:hAnsi="Arial"/>
                <w:sz w:val="14"/>
                <w:szCs w:val="14"/>
                <w:b w:val="1"/>
                <w:bCs w:val="1"/>
                <w:color w:val="FFFFFF"/>
                <w:w w:val="92"/>
              </w:rPr>
              <w:t>F</w:t>
            </w:r>
          </w:p>
        </w:tc>
        <w:tc>
          <w:tcPr>
            <w:tcW w:w="1020" w:type="dxa"/>
            <w:vAlign w:val="bottom"/>
            <w:shd w:val="clear" w:color="auto" w:fill="C00000"/>
          </w:tcPr>
          <w:p>
            <w:pPr>
              <w:jc w:val="center"/>
              <w:ind w:right="103"/>
              <w:spacing w:after="0"/>
              <w:rPr>
                <w:sz w:val="20"/>
                <w:szCs w:val="20"/>
                <w:color w:val="auto"/>
              </w:rPr>
            </w:pPr>
            <w:r>
              <w:rPr>
                <w:rFonts w:ascii="Arial" w:cs="Arial" w:eastAsia="Arial" w:hAnsi="Arial"/>
                <w:sz w:val="14"/>
                <w:szCs w:val="14"/>
                <w:b w:val="1"/>
                <w:bCs w:val="1"/>
                <w:color w:val="FFFFFF"/>
              </w:rPr>
              <w:t>N&amp;G</w:t>
            </w:r>
          </w:p>
        </w:tc>
        <w:tc>
          <w:tcPr>
            <w:tcW w:w="620" w:type="dxa"/>
            <w:vAlign w:val="bottom"/>
            <w:shd w:val="clear" w:color="auto" w:fill="C00000"/>
          </w:tcPr>
          <w:p>
            <w:pPr>
              <w:jc w:val="center"/>
              <w:ind w:right="3"/>
              <w:spacing w:after="0"/>
              <w:rPr>
                <w:sz w:val="20"/>
                <w:szCs w:val="20"/>
                <w:color w:val="auto"/>
              </w:rPr>
            </w:pPr>
            <w:r>
              <w:rPr>
                <w:rFonts w:ascii="Arial" w:cs="Arial" w:eastAsia="Arial" w:hAnsi="Arial"/>
                <w:sz w:val="14"/>
                <w:szCs w:val="14"/>
                <w:b w:val="1"/>
                <w:bCs w:val="1"/>
                <w:color w:val="FFFFFF"/>
              </w:rPr>
              <w:t>C&amp;HR</w:t>
            </w:r>
          </w:p>
        </w:tc>
        <w:tc>
          <w:tcPr>
            <w:tcW w:w="7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9"/>
              </w:rPr>
              <w:t>Boards</w:t>
            </w:r>
          </w:p>
        </w:tc>
        <w:tc>
          <w:tcPr>
            <w:tcW w:w="8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Diversity</w:t>
            </w:r>
          </w:p>
        </w:tc>
        <w:tc>
          <w:tcPr>
            <w:tcW w:w="0" w:type="dxa"/>
            <w:vAlign w:val="bottom"/>
          </w:tcPr>
          <w:p>
            <w:pPr>
              <w:spacing w:after="0"/>
              <w:rPr>
                <w:sz w:val="1"/>
                <w:szCs w:val="1"/>
                <w:color w:val="auto"/>
              </w:rPr>
            </w:pPr>
          </w:p>
        </w:tc>
      </w:tr>
      <w:tr>
        <w:trPr>
          <w:trHeight w:val="174"/>
        </w:trPr>
        <w:tc>
          <w:tcPr>
            <w:tcW w:w="1500" w:type="dxa"/>
            <w:vAlign w:val="bottom"/>
            <w:shd w:val="clear" w:color="auto" w:fill="D9D9D9"/>
          </w:tcPr>
          <w:p>
            <w:pPr>
              <w:spacing w:after="0"/>
              <w:rPr>
                <w:sz w:val="20"/>
                <w:szCs w:val="20"/>
                <w:color w:val="auto"/>
              </w:rPr>
            </w:pPr>
            <w:r>
              <w:rPr>
                <w:rFonts w:ascii="Arial" w:cs="Arial" w:eastAsia="Arial" w:hAnsi="Arial"/>
                <w:sz w:val="14"/>
                <w:szCs w:val="14"/>
                <w:b w:val="1"/>
                <w:bCs w:val="1"/>
                <w:color w:val="FF0000"/>
              </w:rPr>
              <w:t>Director Nominees</w:t>
            </w:r>
          </w:p>
        </w:tc>
        <w:tc>
          <w:tcPr>
            <w:tcW w:w="620" w:type="dxa"/>
            <w:vAlign w:val="bottom"/>
            <w:shd w:val="clear" w:color="auto" w:fill="D9D9D9"/>
          </w:tcPr>
          <w:p>
            <w:pPr>
              <w:spacing w:after="0"/>
              <w:rPr>
                <w:sz w:val="15"/>
                <w:szCs w:val="15"/>
                <w:color w:val="auto"/>
              </w:rPr>
            </w:pPr>
          </w:p>
        </w:tc>
        <w:tc>
          <w:tcPr>
            <w:tcW w:w="188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640" w:type="dxa"/>
            <w:vAlign w:val="bottom"/>
            <w:shd w:val="clear" w:color="auto" w:fill="D9D9D9"/>
          </w:tcPr>
          <w:p>
            <w:pPr>
              <w:spacing w:after="0"/>
              <w:rPr>
                <w:sz w:val="15"/>
                <w:szCs w:val="15"/>
                <w:color w:val="auto"/>
              </w:rPr>
            </w:pPr>
          </w:p>
        </w:tc>
        <w:tc>
          <w:tcPr>
            <w:tcW w:w="680" w:type="dxa"/>
            <w:vAlign w:val="bottom"/>
            <w:shd w:val="clear" w:color="auto" w:fill="D9D9D9"/>
          </w:tcPr>
          <w:p>
            <w:pPr>
              <w:spacing w:after="0"/>
              <w:rPr>
                <w:sz w:val="15"/>
                <w:szCs w:val="15"/>
                <w:color w:val="auto"/>
              </w:rPr>
            </w:pPr>
          </w:p>
        </w:tc>
        <w:tc>
          <w:tcPr>
            <w:tcW w:w="1420" w:type="dxa"/>
            <w:vAlign w:val="bottom"/>
            <w:shd w:val="clear" w:color="auto" w:fill="D9D9D9"/>
          </w:tcPr>
          <w:p>
            <w:pPr>
              <w:spacing w:after="0"/>
              <w:rPr>
                <w:sz w:val="15"/>
                <w:szCs w:val="15"/>
                <w:color w:val="auto"/>
              </w:rPr>
            </w:pPr>
          </w:p>
        </w:tc>
        <w:tc>
          <w:tcPr>
            <w:tcW w:w="28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c>
          <w:tcPr>
            <w:tcW w:w="1020" w:type="dxa"/>
            <w:vAlign w:val="bottom"/>
            <w:shd w:val="clear" w:color="auto" w:fill="D9D9D9"/>
          </w:tcPr>
          <w:p>
            <w:pPr>
              <w:spacing w:after="0"/>
              <w:rPr>
                <w:sz w:val="15"/>
                <w:szCs w:val="15"/>
                <w:color w:val="auto"/>
              </w:rPr>
            </w:pPr>
          </w:p>
        </w:tc>
        <w:tc>
          <w:tcPr>
            <w:tcW w:w="6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b w:val="1"/>
                <w:bCs w:val="1"/>
                <w:color w:val="FF0000"/>
              </w:rPr>
              <w:t>Janet K. Cooper</w:t>
            </w:r>
          </w:p>
        </w:tc>
        <w:tc>
          <w:tcPr>
            <w:tcW w:w="6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vMerge w:val="restart"/>
          </w:tcPr>
          <w:p>
            <w:pPr>
              <w:ind w:left="20"/>
              <w:spacing w:after="0"/>
              <w:rPr>
                <w:sz w:val="20"/>
                <w:szCs w:val="20"/>
                <w:color w:val="auto"/>
              </w:rPr>
            </w:pPr>
            <w:r>
              <w:rPr>
                <w:rFonts w:ascii="Arial" w:cs="Arial" w:eastAsia="Arial" w:hAnsi="Arial"/>
                <w:sz w:val="14"/>
                <w:szCs w:val="14"/>
                <w:b w:val="1"/>
                <w:bCs w:val="1"/>
                <w:color w:val="FF0000"/>
              </w:rPr>
              <w:t>C</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140" w:type="dxa"/>
            <w:vAlign w:val="bottom"/>
            <w:gridSpan w:val="4"/>
          </w:tcPr>
          <w:p>
            <w:pPr>
              <w:ind w:left="260"/>
              <w:spacing w:after="0"/>
              <w:rPr>
                <w:sz w:val="20"/>
                <w:szCs w:val="20"/>
                <w:color w:val="auto"/>
              </w:rPr>
            </w:pPr>
            <w:r>
              <w:rPr>
                <w:rFonts w:ascii="Arial" w:cs="Arial" w:eastAsia="Arial" w:hAnsi="Arial"/>
                <w:sz w:val="14"/>
                <w:szCs w:val="14"/>
                <w:color w:val="auto"/>
              </w:rPr>
              <w:t>Retired Senior Vice President and Treasurer,</w:t>
            </w:r>
          </w:p>
        </w:tc>
        <w:tc>
          <w:tcPr>
            <w:tcW w:w="640" w:type="dxa"/>
            <w:vAlign w:val="bottom"/>
          </w:tcPr>
          <w:p>
            <w:pPr>
              <w:jc w:val="right"/>
              <w:ind w:right="269"/>
              <w:spacing w:after="0"/>
              <w:rPr>
                <w:sz w:val="20"/>
                <w:szCs w:val="20"/>
                <w:color w:val="auto"/>
              </w:rPr>
            </w:pPr>
            <w:r>
              <w:rPr>
                <w:rFonts w:ascii="Arial" w:cs="Arial" w:eastAsia="Arial" w:hAnsi="Arial"/>
                <w:sz w:val="14"/>
                <w:szCs w:val="14"/>
                <w:color w:val="auto"/>
              </w:rPr>
              <w:t>67</w:t>
            </w:r>
          </w:p>
        </w:tc>
        <w:tc>
          <w:tcPr>
            <w:tcW w:w="680" w:type="dxa"/>
            <w:vAlign w:val="bottom"/>
          </w:tcPr>
          <w:p>
            <w:pPr>
              <w:jc w:val="center"/>
              <w:ind w:right="49"/>
              <w:spacing w:after="0"/>
              <w:rPr>
                <w:sz w:val="20"/>
                <w:szCs w:val="20"/>
                <w:color w:val="auto"/>
              </w:rPr>
            </w:pPr>
            <w:r>
              <w:rPr>
                <w:rFonts w:ascii="Arial" w:cs="Arial" w:eastAsia="Arial" w:hAnsi="Arial"/>
                <w:sz w:val="14"/>
                <w:szCs w:val="14"/>
                <w:color w:val="auto"/>
              </w:rPr>
              <w:t>1994</w:t>
            </w:r>
          </w:p>
        </w:tc>
        <w:tc>
          <w:tcPr>
            <w:tcW w:w="1420" w:type="dxa"/>
            <w:vAlign w:val="bottom"/>
          </w:tcPr>
          <w:p>
            <w:pPr>
              <w:jc w:val="center"/>
              <w:ind w:right="267"/>
              <w:spacing w:after="0"/>
              <w:rPr>
                <w:sz w:val="20"/>
                <w:szCs w:val="20"/>
                <w:color w:val="auto"/>
              </w:rPr>
            </w:pPr>
            <w:r>
              <w:rPr>
                <w:rFonts w:ascii="Arial" w:cs="Arial" w:eastAsia="Arial" w:hAnsi="Arial"/>
                <w:sz w:val="14"/>
                <w:szCs w:val="14"/>
                <w:color w:val="auto"/>
                <w:w w:val="99"/>
              </w:rPr>
              <w:t>Yes</w:t>
            </w:r>
          </w:p>
        </w:tc>
        <w:tc>
          <w:tcPr>
            <w:tcW w:w="280" w:type="dxa"/>
            <w:vAlign w:val="bottom"/>
            <w:vMerge w:val="continue"/>
          </w:tcPr>
          <w:p>
            <w:pPr>
              <w:spacing w:after="0"/>
              <w:rPr>
                <w:sz w:val="14"/>
                <w:szCs w:val="14"/>
                <w:color w:val="auto"/>
              </w:rPr>
            </w:pPr>
          </w:p>
        </w:tc>
        <w:tc>
          <w:tcPr>
            <w:tcW w:w="880" w:type="dxa"/>
            <w:vAlign w:val="bottom"/>
          </w:tcPr>
          <w:p>
            <w:pPr>
              <w:jc w:val="center"/>
              <w:ind w:left="123"/>
              <w:spacing w:after="0" w:line="161" w:lineRule="exact"/>
              <w:rPr>
                <w:sz w:val="20"/>
                <w:szCs w:val="20"/>
                <w:color w:val="auto"/>
              </w:rPr>
            </w:pPr>
            <w:r>
              <w:rPr>
                <w:rFonts w:ascii="MS PGothic" w:cs="MS PGothic" w:eastAsia="MS PGothic" w:hAnsi="MS PGothic"/>
                <w:sz w:val="16"/>
                <w:szCs w:val="16"/>
                <w:color w:val="auto"/>
                <w:w w:val="74"/>
              </w:rPr>
              <w:t>✓</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209"/>
              <w:spacing w:after="0"/>
              <w:rPr>
                <w:sz w:val="20"/>
                <w:szCs w:val="20"/>
                <w:color w:val="auto"/>
              </w:rPr>
            </w:pPr>
            <w:r>
              <w:rPr>
                <w:rFonts w:ascii="Arial" w:cs="Arial" w:eastAsia="Arial" w:hAnsi="Arial"/>
                <w:sz w:val="14"/>
                <w:szCs w:val="14"/>
                <w:color w:val="FF0000"/>
              </w:rPr>
              <w:t>1</w:t>
            </w:r>
          </w:p>
        </w:tc>
        <w:tc>
          <w:tcPr>
            <w:tcW w:w="8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56"/>
        </w:trPr>
        <w:tc>
          <w:tcPr>
            <w:tcW w:w="4140" w:type="dxa"/>
            <w:vAlign w:val="bottom"/>
            <w:gridSpan w:val="4"/>
          </w:tcPr>
          <w:p>
            <w:pPr>
              <w:ind w:left="260"/>
              <w:spacing w:after="0" w:line="156" w:lineRule="exact"/>
              <w:rPr>
                <w:sz w:val="20"/>
                <w:szCs w:val="20"/>
                <w:color w:val="auto"/>
              </w:rPr>
            </w:pPr>
            <w:r>
              <w:rPr>
                <w:rFonts w:ascii="Arial" w:cs="Arial" w:eastAsia="Arial" w:hAnsi="Arial"/>
                <w:sz w:val="14"/>
                <w:szCs w:val="14"/>
                <w:color w:val="auto"/>
              </w:rPr>
              <w:t>Qwest Communications International Inc.</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ind w:left="20"/>
              <w:spacing w:after="0" w:line="156" w:lineRule="exact"/>
              <w:rPr>
                <w:sz w:val="20"/>
                <w:szCs w:val="20"/>
                <w:color w:val="auto"/>
              </w:rPr>
            </w:pPr>
            <w:r>
              <w:rPr>
                <w:rFonts w:ascii="Arial" w:cs="Arial" w:eastAsia="Arial" w:hAnsi="Arial"/>
                <w:sz w:val="14"/>
                <w:szCs w:val="14"/>
                <w:b w:val="1"/>
                <w:bCs w:val="1"/>
                <w:color w:val="FF0000"/>
              </w:rPr>
              <w:t>E</w:t>
            </w: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000" w:type="dxa"/>
            <w:vAlign w:val="bottom"/>
            <w:gridSpan w:val="3"/>
            <w:shd w:val="clear" w:color="auto" w:fill="D9D9D9"/>
          </w:tcPr>
          <w:p>
            <w:pPr>
              <w:spacing w:after="0"/>
              <w:rPr>
                <w:sz w:val="20"/>
                <w:szCs w:val="20"/>
                <w:color w:val="auto"/>
              </w:rPr>
            </w:pPr>
            <w:r>
              <w:rPr>
                <w:rFonts w:ascii="Arial" w:cs="Arial" w:eastAsia="Arial" w:hAnsi="Arial"/>
                <w:sz w:val="14"/>
                <w:szCs w:val="14"/>
                <w:b w:val="1"/>
                <w:bCs w:val="1"/>
                <w:color w:val="FF0000"/>
              </w:rPr>
              <w:t>Gary L. Ellis - Lead Independent Director</w:t>
            </w:r>
          </w:p>
        </w:tc>
        <w:tc>
          <w:tcPr>
            <w:tcW w:w="140" w:type="dxa"/>
            <w:vAlign w:val="bottom"/>
            <w:shd w:val="clear" w:color="auto" w:fill="D9D9D9"/>
          </w:tcPr>
          <w:p>
            <w:pPr>
              <w:spacing w:after="0"/>
              <w:rPr>
                <w:sz w:val="15"/>
                <w:szCs w:val="15"/>
                <w:color w:val="auto"/>
              </w:rPr>
            </w:pPr>
          </w:p>
        </w:tc>
        <w:tc>
          <w:tcPr>
            <w:tcW w:w="640" w:type="dxa"/>
            <w:vAlign w:val="bottom"/>
            <w:shd w:val="clear" w:color="auto" w:fill="D9D9D9"/>
          </w:tcPr>
          <w:p>
            <w:pPr>
              <w:spacing w:after="0"/>
              <w:rPr>
                <w:sz w:val="15"/>
                <w:szCs w:val="15"/>
                <w:color w:val="auto"/>
              </w:rPr>
            </w:pPr>
          </w:p>
        </w:tc>
        <w:tc>
          <w:tcPr>
            <w:tcW w:w="680" w:type="dxa"/>
            <w:vAlign w:val="bottom"/>
            <w:shd w:val="clear" w:color="auto" w:fill="D9D9D9"/>
          </w:tcPr>
          <w:p>
            <w:pPr>
              <w:spacing w:after="0"/>
              <w:rPr>
                <w:sz w:val="15"/>
                <w:szCs w:val="15"/>
                <w:color w:val="auto"/>
              </w:rPr>
            </w:pPr>
          </w:p>
        </w:tc>
        <w:tc>
          <w:tcPr>
            <w:tcW w:w="1420" w:type="dxa"/>
            <w:vAlign w:val="bottom"/>
            <w:shd w:val="clear" w:color="auto" w:fill="D9D9D9"/>
          </w:tcPr>
          <w:p>
            <w:pPr>
              <w:spacing w:after="0"/>
              <w:rPr>
                <w:sz w:val="15"/>
                <w:szCs w:val="15"/>
                <w:color w:val="auto"/>
              </w:rPr>
            </w:pPr>
          </w:p>
        </w:tc>
        <w:tc>
          <w:tcPr>
            <w:tcW w:w="280" w:type="dxa"/>
            <w:vAlign w:val="bottom"/>
            <w:vMerge w:val="restart"/>
            <w:shd w:val="clear" w:color="auto" w:fill="D9D9D9"/>
          </w:tcPr>
          <w:p>
            <w:pPr>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shd w:val="clear" w:color="auto" w:fill="D9D9D9"/>
          </w:tcPr>
          <w:p>
            <w:pPr>
              <w:spacing w:after="0"/>
              <w:rPr>
                <w:sz w:val="15"/>
                <w:szCs w:val="15"/>
                <w:color w:val="auto"/>
              </w:rPr>
            </w:pPr>
          </w:p>
        </w:tc>
        <w:tc>
          <w:tcPr>
            <w:tcW w:w="1020" w:type="dxa"/>
            <w:vAlign w:val="bottom"/>
            <w:shd w:val="clear" w:color="auto" w:fill="D9D9D9"/>
          </w:tcPr>
          <w:p>
            <w:pPr>
              <w:spacing w:after="0"/>
              <w:rPr>
                <w:sz w:val="15"/>
                <w:szCs w:val="15"/>
                <w:color w:val="auto"/>
              </w:rPr>
            </w:pPr>
          </w:p>
        </w:tc>
        <w:tc>
          <w:tcPr>
            <w:tcW w:w="6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00" w:type="dxa"/>
            <w:vAlign w:val="bottom"/>
            <w:gridSpan w:val="3"/>
            <w:shd w:val="clear" w:color="auto" w:fill="D9D9D9"/>
          </w:tcPr>
          <w:p>
            <w:pPr>
              <w:ind w:left="260"/>
              <w:spacing w:after="0"/>
              <w:rPr>
                <w:sz w:val="20"/>
                <w:szCs w:val="20"/>
                <w:color w:val="auto"/>
              </w:rPr>
            </w:pPr>
            <w:r>
              <w:rPr>
                <w:rFonts w:ascii="Arial" w:cs="Arial" w:eastAsia="Arial" w:hAnsi="Arial"/>
                <w:sz w:val="14"/>
                <w:szCs w:val="14"/>
                <w:color w:val="auto"/>
              </w:rPr>
              <w:t>Retired Executive Vice President and Chief</w:t>
            </w:r>
          </w:p>
        </w:tc>
        <w:tc>
          <w:tcPr>
            <w:tcW w:w="140" w:type="dxa"/>
            <w:vAlign w:val="bottom"/>
            <w:shd w:val="clear" w:color="auto" w:fill="D9D9D9"/>
          </w:tcPr>
          <w:p>
            <w:pPr>
              <w:spacing w:after="0"/>
              <w:rPr>
                <w:sz w:val="15"/>
                <w:szCs w:val="15"/>
                <w:color w:val="auto"/>
              </w:rPr>
            </w:pPr>
          </w:p>
        </w:tc>
        <w:tc>
          <w:tcPr>
            <w:tcW w:w="640" w:type="dxa"/>
            <w:vAlign w:val="bottom"/>
            <w:shd w:val="clear" w:color="auto" w:fill="D9D9D9"/>
          </w:tcPr>
          <w:p>
            <w:pPr>
              <w:jc w:val="right"/>
              <w:ind w:right="269"/>
              <w:spacing w:after="0"/>
              <w:rPr>
                <w:sz w:val="20"/>
                <w:szCs w:val="20"/>
                <w:color w:val="auto"/>
              </w:rPr>
            </w:pPr>
            <w:r>
              <w:rPr>
                <w:rFonts w:ascii="Arial" w:cs="Arial" w:eastAsia="Arial" w:hAnsi="Arial"/>
                <w:sz w:val="14"/>
                <w:szCs w:val="14"/>
                <w:color w:val="auto"/>
              </w:rPr>
              <w:t>64</w:t>
            </w:r>
          </w:p>
        </w:tc>
        <w:tc>
          <w:tcPr>
            <w:tcW w:w="680" w:type="dxa"/>
            <w:vAlign w:val="bottom"/>
            <w:shd w:val="clear" w:color="auto" w:fill="D9D9D9"/>
          </w:tcPr>
          <w:p>
            <w:pPr>
              <w:jc w:val="center"/>
              <w:ind w:right="49"/>
              <w:spacing w:after="0"/>
              <w:rPr>
                <w:sz w:val="20"/>
                <w:szCs w:val="20"/>
                <w:color w:val="auto"/>
              </w:rPr>
            </w:pPr>
            <w:r>
              <w:rPr>
                <w:rFonts w:ascii="Arial" w:cs="Arial" w:eastAsia="Arial" w:hAnsi="Arial"/>
                <w:sz w:val="14"/>
                <w:szCs w:val="14"/>
                <w:color w:val="auto"/>
              </w:rPr>
              <w:t>2006</w:t>
            </w:r>
          </w:p>
        </w:tc>
        <w:tc>
          <w:tcPr>
            <w:tcW w:w="1420" w:type="dxa"/>
            <w:vAlign w:val="bottom"/>
            <w:shd w:val="clear" w:color="auto" w:fill="D9D9D9"/>
          </w:tcPr>
          <w:p>
            <w:pPr>
              <w:jc w:val="center"/>
              <w:ind w:right="267"/>
              <w:spacing w:after="0"/>
              <w:rPr>
                <w:sz w:val="20"/>
                <w:szCs w:val="20"/>
                <w:color w:val="auto"/>
              </w:rPr>
            </w:pPr>
            <w:r>
              <w:rPr>
                <w:rFonts w:ascii="Arial" w:cs="Arial" w:eastAsia="Arial" w:hAnsi="Arial"/>
                <w:sz w:val="14"/>
                <w:szCs w:val="14"/>
                <w:color w:val="auto"/>
                <w:w w:val="99"/>
              </w:rPr>
              <w:t>Yes</w:t>
            </w:r>
          </w:p>
        </w:tc>
        <w:tc>
          <w:tcPr>
            <w:tcW w:w="280" w:type="dxa"/>
            <w:vAlign w:val="bottom"/>
            <w:vMerge w:val="continue"/>
            <w:shd w:val="clear" w:color="auto" w:fill="D9D9D9"/>
          </w:tcPr>
          <w:p>
            <w:pPr>
              <w:spacing w:after="0"/>
              <w:rPr>
                <w:sz w:val="15"/>
                <w:szCs w:val="15"/>
                <w:color w:val="auto"/>
              </w:rPr>
            </w:pPr>
          </w:p>
        </w:tc>
        <w:tc>
          <w:tcPr>
            <w:tcW w:w="880" w:type="dxa"/>
            <w:vAlign w:val="bottom"/>
            <w:vMerge w:val="restart"/>
            <w:shd w:val="clear" w:color="auto" w:fill="D9D9D9"/>
          </w:tcPr>
          <w:p>
            <w:pPr>
              <w:jc w:val="center"/>
              <w:ind w:left="143"/>
              <w:spacing w:after="0"/>
              <w:rPr>
                <w:sz w:val="20"/>
                <w:szCs w:val="20"/>
                <w:color w:val="auto"/>
              </w:rPr>
            </w:pPr>
            <w:r>
              <w:rPr>
                <w:rFonts w:ascii="Arial" w:cs="Arial" w:eastAsia="Arial" w:hAnsi="Arial"/>
                <w:sz w:val="14"/>
                <w:szCs w:val="14"/>
                <w:b w:val="1"/>
                <w:bCs w:val="1"/>
                <w:color w:val="FF0000"/>
                <w:w w:val="98"/>
              </w:rPr>
              <w:t>C</w:t>
            </w:r>
          </w:p>
        </w:tc>
        <w:tc>
          <w:tcPr>
            <w:tcW w:w="1020" w:type="dxa"/>
            <w:vAlign w:val="bottom"/>
            <w:shd w:val="clear" w:color="auto" w:fill="D9D9D9"/>
          </w:tcPr>
          <w:p>
            <w:pPr>
              <w:spacing w:after="0"/>
              <w:rPr>
                <w:sz w:val="15"/>
                <w:szCs w:val="15"/>
                <w:color w:val="auto"/>
              </w:rPr>
            </w:pPr>
          </w:p>
        </w:tc>
        <w:tc>
          <w:tcPr>
            <w:tcW w:w="620" w:type="dxa"/>
            <w:vAlign w:val="bottom"/>
            <w:shd w:val="clear" w:color="auto" w:fill="D9D9D9"/>
          </w:tcPr>
          <w:p>
            <w:pPr>
              <w:spacing w:after="0"/>
              <w:rPr>
                <w:sz w:val="15"/>
                <w:szCs w:val="15"/>
                <w:color w:val="auto"/>
              </w:rPr>
            </w:pPr>
          </w:p>
        </w:tc>
        <w:tc>
          <w:tcPr>
            <w:tcW w:w="740" w:type="dxa"/>
            <w:vAlign w:val="bottom"/>
            <w:shd w:val="clear" w:color="auto" w:fill="D9D9D9"/>
          </w:tcPr>
          <w:p>
            <w:pPr>
              <w:jc w:val="right"/>
              <w:ind w:right="209"/>
              <w:spacing w:after="0"/>
              <w:rPr>
                <w:sz w:val="20"/>
                <w:szCs w:val="20"/>
                <w:color w:val="auto"/>
              </w:rPr>
            </w:pPr>
            <w:r>
              <w:rPr>
                <w:rFonts w:ascii="Arial" w:cs="Arial" w:eastAsia="Arial" w:hAnsi="Arial"/>
                <w:sz w:val="14"/>
                <w:szCs w:val="14"/>
                <w:color w:val="FF0000"/>
              </w:rPr>
              <w:t>2</w:t>
            </w:r>
          </w:p>
        </w:tc>
        <w:tc>
          <w:tcPr>
            <w:tcW w:w="82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000" w:type="dxa"/>
            <w:vAlign w:val="bottom"/>
            <w:gridSpan w:val="3"/>
            <w:vMerge w:val="restart"/>
            <w:shd w:val="clear" w:color="auto" w:fill="D9D9D9"/>
          </w:tcPr>
          <w:p>
            <w:pPr>
              <w:ind w:left="260"/>
              <w:spacing w:after="0"/>
              <w:rPr>
                <w:sz w:val="20"/>
                <w:szCs w:val="20"/>
                <w:color w:val="auto"/>
              </w:rPr>
            </w:pPr>
            <w:r>
              <w:rPr>
                <w:rFonts w:ascii="Arial" w:cs="Arial" w:eastAsia="Arial" w:hAnsi="Arial"/>
                <w:sz w:val="14"/>
                <w:szCs w:val="14"/>
                <w:color w:val="auto"/>
              </w:rPr>
              <w:t>Financial Officer, Medtronic plc</w:t>
            </w:r>
          </w:p>
        </w:tc>
        <w:tc>
          <w:tcPr>
            <w:tcW w:w="140" w:type="dxa"/>
            <w:vAlign w:val="bottom"/>
            <w:shd w:val="clear" w:color="auto" w:fill="D9D9D9"/>
          </w:tcPr>
          <w:p>
            <w:pPr>
              <w:spacing w:after="0"/>
              <w:rPr>
                <w:sz w:val="9"/>
                <w:szCs w:val="9"/>
                <w:color w:val="auto"/>
              </w:rPr>
            </w:pPr>
          </w:p>
        </w:tc>
        <w:tc>
          <w:tcPr>
            <w:tcW w:w="640" w:type="dxa"/>
            <w:vAlign w:val="bottom"/>
            <w:shd w:val="clear" w:color="auto" w:fill="D9D9D9"/>
          </w:tcPr>
          <w:p>
            <w:pPr>
              <w:spacing w:after="0"/>
              <w:rPr>
                <w:sz w:val="9"/>
                <w:szCs w:val="9"/>
                <w:color w:val="auto"/>
              </w:rPr>
            </w:pPr>
          </w:p>
        </w:tc>
        <w:tc>
          <w:tcPr>
            <w:tcW w:w="680" w:type="dxa"/>
            <w:vAlign w:val="bottom"/>
            <w:shd w:val="clear" w:color="auto" w:fill="D9D9D9"/>
          </w:tcPr>
          <w:p>
            <w:pPr>
              <w:spacing w:after="0"/>
              <w:rPr>
                <w:sz w:val="9"/>
                <w:szCs w:val="9"/>
                <w:color w:val="auto"/>
              </w:rPr>
            </w:pPr>
          </w:p>
        </w:tc>
        <w:tc>
          <w:tcPr>
            <w:tcW w:w="1420" w:type="dxa"/>
            <w:vAlign w:val="bottom"/>
            <w:shd w:val="clear" w:color="auto" w:fill="D9D9D9"/>
          </w:tcPr>
          <w:p>
            <w:pPr>
              <w:spacing w:after="0"/>
              <w:rPr>
                <w:sz w:val="9"/>
                <w:szCs w:val="9"/>
                <w:color w:val="auto"/>
              </w:rPr>
            </w:pPr>
          </w:p>
        </w:tc>
        <w:tc>
          <w:tcPr>
            <w:tcW w:w="280" w:type="dxa"/>
            <w:vAlign w:val="bottom"/>
            <w:vMerge w:val="restart"/>
            <w:shd w:val="clear" w:color="auto" w:fill="D9D9D9"/>
          </w:tcPr>
          <w:p>
            <w:pPr>
              <w:ind w:left="20"/>
              <w:spacing w:after="0"/>
              <w:rPr>
                <w:sz w:val="20"/>
                <w:szCs w:val="20"/>
                <w:color w:val="auto"/>
              </w:rPr>
            </w:pPr>
            <w:r>
              <w:rPr>
                <w:rFonts w:ascii="Arial" w:cs="Arial" w:eastAsia="Arial" w:hAnsi="Arial"/>
                <w:sz w:val="14"/>
                <w:szCs w:val="14"/>
                <w:b w:val="1"/>
                <w:bCs w:val="1"/>
                <w:color w:val="FF0000"/>
              </w:rPr>
              <w:t>E</w:t>
            </w:r>
          </w:p>
        </w:tc>
        <w:tc>
          <w:tcPr>
            <w:tcW w:w="880" w:type="dxa"/>
            <w:vAlign w:val="bottom"/>
            <w:vMerge w:val="continue"/>
            <w:shd w:val="clear" w:color="auto" w:fill="D9D9D9"/>
          </w:tcPr>
          <w:p>
            <w:pPr>
              <w:spacing w:after="0"/>
              <w:rPr>
                <w:sz w:val="9"/>
                <w:szCs w:val="9"/>
                <w:color w:val="auto"/>
              </w:rPr>
            </w:pPr>
          </w:p>
        </w:tc>
        <w:tc>
          <w:tcPr>
            <w:tcW w:w="1020" w:type="dxa"/>
            <w:vAlign w:val="bottom"/>
            <w:shd w:val="clear" w:color="auto" w:fill="D9D9D9"/>
          </w:tcPr>
          <w:p>
            <w:pPr>
              <w:spacing w:after="0"/>
              <w:rPr>
                <w:sz w:val="9"/>
                <w:szCs w:val="9"/>
                <w:color w:val="auto"/>
              </w:rPr>
            </w:pPr>
          </w:p>
        </w:tc>
        <w:tc>
          <w:tcPr>
            <w:tcW w:w="620" w:type="dxa"/>
            <w:vAlign w:val="bottom"/>
            <w:shd w:val="clear" w:color="auto" w:fill="D9D9D9"/>
          </w:tcPr>
          <w:p>
            <w:pPr>
              <w:spacing w:after="0"/>
              <w:rPr>
                <w:sz w:val="9"/>
                <w:szCs w:val="9"/>
                <w:color w:val="auto"/>
              </w:rPr>
            </w:pPr>
          </w:p>
        </w:tc>
        <w:tc>
          <w:tcPr>
            <w:tcW w:w="740" w:type="dxa"/>
            <w:vAlign w:val="bottom"/>
            <w:shd w:val="clear" w:color="auto" w:fill="D9D9D9"/>
          </w:tcPr>
          <w:p>
            <w:pPr>
              <w:spacing w:after="0"/>
              <w:rPr>
                <w:sz w:val="9"/>
                <w:szCs w:val="9"/>
                <w:color w:val="auto"/>
              </w:rPr>
            </w:pPr>
          </w:p>
        </w:tc>
        <w:tc>
          <w:tcPr>
            <w:tcW w:w="82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000" w:type="dxa"/>
            <w:vAlign w:val="bottom"/>
            <w:gridSpan w:val="3"/>
            <w:vMerge w:val="continue"/>
            <w:shd w:val="clear" w:color="auto" w:fill="D9D9D9"/>
          </w:tcPr>
          <w:p>
            <w:pPr>
              <w:spacing w:after="0"/>
              <w:rPr>
                <w:sz w:val="8"/>
                <w:szCs w:val="8"/>
                <w:color w:val="auto"/>
              </w:rPr>
            </w:pPr>
          </w:p>
        </w:tc>
        <w:tc>
          <w:tcPr>
            <w:tcW w:w="140" w:type="dxa"/>
            <w:vAlign w:val="bottom"/>
            <w:shd w:val="clear" w:color="auto" w:fill="D9D9D9"/>
          </w:tcPr>
          <w:p>
            <w:pPr>
              <w:spacing w:after="0"/>
              <w:rPr>
                <w:sz w:val="8"/>
                <w:szCs w:val="8"/>
                <w:color w:val="auto"/>
              </w:rPr>
            </w:pPr>
          </w:p>
        </w:tc>
        <w:tc>
          <w:tcPr>
            <w:tcW w:w="640" w:type="dxa"/>
            <w:vAlign w:val="bottom"/>
            <w:shd w:val="clear" w:color="auto" w:fill="D9D9D9"/>
          </w:tcPr>
          <w:p>
            <w:pPr>
              <w:spacing w:after="0"/>
              <w:rPr>
                <w:sz w:val="8"/>
                <w:szCs w:val="8"/>
                <w:color w:val="auto"/>
              </w:rPr>
            </w:pPr>
          </w:p>
        </w:tc>
        <w:tc>
          <w:tcPr>
            <w:tcW w:w="680" w:type="dxa"/>
            <w:vAlign w:val="bottom"/>
            <w:shd w:val="clear" w:color="auto" w:fill="D9D9D9"/>
          </w:tcPr>
          <w:p>
            <w:pPr>
              <w:spacing w:after="0"/>
              <w:rPr>
                <w:sz w:val="8"/>
                <w:szCs w:val="8"/>
                <w:color w:val="auto"/>
              </w:rPr>
            </w:pPr>
          </w:p>
        </w:tc>
        <w:tc>
          <w:tcPr>
            <w:tcW w:w="1420" w:type="dxa"/>
            <w:vAlign w:val="bottom"/>
            <w:shd w:val="clear" w:color="auto" w:fill="D9D9D9"/>
          </w:tcPr>
          <w:p>
            <w:pPr>
              <w:spacing w:after="0"/>
              <w:rPr>
                <w:sz w:val="8"/>
                <w:szCs w:val="8"/>
                <w:color w:val="auto"/>
              </w:rPr>
            </w:pPr>
          </w:p>
        </w:tc>
        <w:tc>
          <w:tcPr>
            <w:tcW w:w="280" w:type="dxa"/>
            <w:vAlign w:val="bottom"/>
            <w:vMerge w:val="continue"/>
            <w:shd w:val="clear" w:color="auto" w:fill="D9D9D9"/>
          </w:tcPr>
          <w:p>
            <w:pPr>
              <w:spacing w:after="0"/>
              <w:rPr>
                <w:sz w:val="8"/>
                <w:szCs w:val="8"/>
                <w:color w:val="auto"/>
              </w:rPr>
            </w:pPr>
          </w:p>
        </w:tc>
        <w:tc>
          <w:tcPr>
            <w:tcW w:w="880" w:type="dxa"/>
            <w:vAlign w:val="bottom"/>
            <w:shd w:val="clear" w:color="auto" w:fill="D9D9D9"/>
          </w:tcPr>
          <w:p>
            <w:pPr>
              <w:spacing w:after="0"/>
              <w:rPr>
                <w:sz w:val="8"/>
                <w:szCs w:val="8"/>
                <w:color w:val="auto"/>
              </w:rPr>
            </w:pPr>
          </w:p>
        </w:tc>
        <w:tc>
          <w:tcPr>
            <w:tcW w:w="1020" w:type="dxa"/>
            <w:vAlign w:val="bottom"/>
            <w:shd w:val="clear" w:color="auto" w:fill="D9D9D9"/>
          </w:tcPr>
          <w:p>
            <w:pPr>
              <w:spacing w:after="0"/>
              <w:rPr>
                <w:sz w:val="8"/>
                <w:szCs w:val="8"/>
                <w:color w:val="auto"/>
              </w:rPr>
            </w:pPr>
          </w:p>
        </w:tc>
        <w:tc>
          <w:tcPr>
            <w:tcW w:w="620" w:type="dxa"/>
            <w:vAlign w:val="bottom"/>
            <w:shd w:val="clear" w:color="auto" w:fill="D9D9D9"/>
          </w:tcPr>
          <w:p>
            <w:pPr>
              <w:spacing w:after="0"/>
              <w:rPr>
                <w:sz w:val="8"/>
                <w:szCs w:val="8"/>
                <w:color w:val="auto"/>
              </w:rPr>
            </w:pPr>
          </w:p>
        </w:tc>
        <w:tc>
          <w:tcPr>
            <w:tcW w:w="740" w:type="dxa"/>
            <w:vAlign w:val="bottom"/>
            <w:shd w:val="clear" w:color="auto" w:fill="D9D9D9"/>
          </w:tcPr>
          <w:p>
            <w:pPr>
              <w:spacing w:after="0"/>
              <w:rPr>
                <w:sz w:val="8"/>
                <w:szCs w:val="8"/>
                <w:color w:val="auto"/>
              </w:rPr>
            </w:pPr>
          </w:p>
        </w:tc>
        <w:tc>
          <w:tcPr>
            <w:tcW w:w="82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20"/>
                <w:szCs w:val="20"/>
                <w:color w:val="auto"/>
              </w:rPr>
            </w:pPr>
            <w:r>
              <w:rPr>
                <w:rFonts w:ascii="Arial" w:cs="Arial" w:eastAsia="Arial" w:hAnsi="Arial"/>
                <w:sz w:val="14"/>
                <w:szCs w:val="14"/>
                <w:b w:val="1"/>
                <w:bCs w:val="1"/>
                <w:color w:val="FF0000"/>
              </w:rPr>
              <w:t>Michael G. Vale, Ph.D.</w:t>
            </w:r>
          </w:p>
        </w:tc>
        <w:tc>
          <w:tcPr>
            <w:tcW w:w="6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140" w:type="dxa"/>
            <w:vAlign w:val="bottom"/>
            <w:gridSpan w:val="4"/>
          </w:tcPr>
          <w:p>
            <w:pPr>
              <w:ind w:left="260"/>
              <w:spacing w:after="0"/>
              <w:rPr>
                <w:sz w:val="20"/>
                <w:szCs w:val="20"/>
                <w:color w:val="auto"/>
              </w:rPr>
            </w:pPr>
            <w:r>
              <w:rPr>
                <w:rFonts w:ascii="Arial" w:cs="Arial" w:eastAsia="Arial" w:hAnsi="Arial"/>
                <w:sz w:val="14"/>
                <w:szCs w:val="14"/>
                <w:color w:val="auto"/>
              </w:rPr>
              <w:t>Executive Vice President, Safety &amp; Industrial Business</w:t>
            </w:r>
          </w:p>
        </w:tc>
        <w:tc>
          <w:tcPr>
            <w:tcW w:w="640" w:type="dxa"/>
            <w:vAlign w:val="bottom"/>
          </w:tcPr>
          <w:p>
            <w:pPr>
              <w:jc w:val="right"/>
              <w:ind w:right="269"/>
              <w:spacing w:after="0"/>
              <w:rPr>
                <w:sz w:val="20"/>
                <w:szCs w:val="20"/>
                <w:color w:val="auto"/>
              </w:rPr>
            </w:pPr>
            <w:r>
              <w:rPr>
                <w:rFonts w:ascii="Arial" w:cs="Arial" w:eastAsia="Arial" w:hAnsi="Arial"/>
                <w:sz w:val="14"/>
                <w:szCs w:val="14"/>
                <w:color w:val="auto"/>
              </w:rPr>
              <w:t>54</w:t>
            </w:r>
          </w:p>
        </w:tc>
        <w:tc>
          <w:tcPr>
            <w:tcW w:w="680" w:type="dxa"/>
            <w:vAlign w:val="bottom"/>
          </w:tcPr>
          <w:p>
            <w:pPr>
              <w:jc w:val="center"/>
              <w:ind w:right="49"/>
              <w:spacing w:after="0"/>
              <w:rPr>
                <w:sz w:val="20"/>
                <w:szCs w:val="20"/>
                <w:color w:val="auto"/>
              </w:rPr>
            </w:pPr>
            <w:r>
              <w:rPr>
                <w:rFonts w:ascii="Arial" w:cs="Arial" w:eastAsia="Arial" w:hAnsi="Arial"/>
                <w:sz w:val="14"/>
                <w:szCs w:val="14"/>
                <w:color w:val="auto"/>
              </w:rPr>
              <w:t>2018</w:t>
            </w:r>
          </w:p>
        </w:tc>
        <w:tc>
          <w:tcPr>
            <w:tcW w:w="1420" w:type="dxa"/>
            <w:vAlign w:val="bottom"/>
          </w:tcPr>
          <w:p>
            <w:pPr>
              <w:jc w:val="center"/>
              <w:ind w:right="267"/>
              <w:spacing w:after="0"/>
              <w:rPr>
                <w:sz w:val="20"/>
                <w:szCs w:val="20"/>
                <w:color w:val="auto"/>
              </w:rPr>
            </w:pPr>
            <w:r>
              <w:rPr>
                <w:rFonts w:ascii="Arial" w:cs="Arial" w:eastAsia="Arial" w:hAnsi="Arial"/>
                <w:sz w:val="14"/>
                <w:szCs w:val="14"/>
                <w:color w:val="auto"/>
                <w:w w:val="99"/>
              </w:rPr>
              <w:t>Yes</w:t>
            </w:r>
          </w:p>
        </w:tc>
        <w:tc>
          <w:tcPr>
            <w:tcW w:w="28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vMerge w:val="restart"/>
          </w:tcPr>
          <w:p>
            <w:pPr>
              <w:jc w:val="center"/>
              <w:ind w:left="123"/>
              <w:spacing w:after="0" w:line="161" w:lineRule="exact"/>
              <w:rPr>
                <w:sz w:val="20"/>
                <w:szCs w:val="20"/>
                <w:color w:val="auto"/>
              </w:rPr>
            </w:pPr>
            <w:r>
              <w:rPr>
                <w:rFonts w:ascii="MS PGothic" w:cs="MS PGothic" w:eastAsia="MS PGothic" w:hAnsi="MS PGothic"/>
                <w:sz w:val="16"/>
                <w:szCs w:val="16"/>
                <w:color w:val="auto"/>
                <w:w w:val="74"/>
              </w:rPr>
              <w:t>✓</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209"/>
              <w:spacing w:after="0"/>
              <w:rPr>
                <w:sz w:val="20"/>
                <w:szCs w:val="20"/>
                <w:color w:val="auto"/>
              </w:rPr>
            </w:pPr>
            <w:r>
              <w:rPr>
                <w:rFonts w:ascii="Arial" w:cs="Arial" w:eastAsia="Arial" w:hAnsi="Arial"/>
                <w:sz w:val="14"/>
                <w:szCs w:val="14"/>
                <w:color w:val="FF0000"/>
              </w:rPr>
              <w:t>0</w:t>
            </w:r>
          </w:p>
        </w:tc>
        <w:tc>
          <w:tcPr>
            <w:tcW w:w="8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01"/>
        </w:trPr>
        <w:tc>
          <w:tcPr>
            <w:tcW w:w="2120" w:type="dxa"/>
            <w:vAlign w:val="bottom"/>
            <w:gridSpan w:val="2"/>
            <w:vMerge w:val="restart"/>
          </w:tcPr>
          <w:p>
            <w:pPr>
              <w:ind w:left="260"/>
              <w:spacing w:after="0" w:line="156" w:lineRule="exact"/>
              <w:rPr>
                <w:sz w:val="20"/>
                <w:szCs w:val="20"/>
                <w:color w:val="auto"/>
              </w:rPr>
            </w:pPr>
            <w:r>
              <w:rPr>
                <w:rFonts w:ascii="Arial" w:cs="Arial" w:eastAsia="Arial" w:hAnsi="Arial"/>
                <w:sz w:val="14"/>
                <w:szCs w:val="14"/>
                <w:color w:val="auto"/>
              </w:rPr>
              <w:t>Group, 3M Company</w:t>
            </w:r>
          </w:p>
        </w:tc>
        <w:tc>
          <w:tcPr>
            <w:tcW w:w="1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120" w:type="dxa"/>
            <w:vAlign w:val="bottom"/>
            <w:gridSpan w:val="2"/>
            <w:vMerge w:val="continue"/>
          </w:tcPr>
          <w:p>
            <w:pPr>
              <w:spacing w:after="0"/>
              <w:rPr>
                <w:sz w:val="4"/>
                <w:szCs w:val="4"/>
                <w:color w:val="auto"/>
              </w:rPr>
            </w:pPr>
          </w:p>
        </w:tc>
        <w:tc>
          <w:tcPr>
            <w:tcW w:w="1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500" w:type="dxa"/>
            <w:vAlign w:val="bottom"/>
            <w:shd w:val="clear" w:color="auto" w:fill="D9D9D9"/>
          </w:tcPr>
          <w:p>
            <w:pPr>
              <w:spacing w:after="0"/>
              <w:rPr>
                <w:sz w:val="20"/>
                <w:szCs w:val="20"/>
                <w:color w:val="auto"/>
              </w:rPr>
            </w:pPr>
            <w:r>
              <w:rPr>
                <w:rFonts w:ascii="Arial" w:cs="Arial" w:eastAsia="Arial" w:hAnsi="Arial"/>
                <w:sz w:val="14"/>
                <w:szCs w:val="14"/>
                <w:b w:val="1"/>
                <w:bCs w:val="1"/>
                <w:color w:val="FF0000"/>
              </w:rPr>
              <w:t>Continuing Directors</w:t>
            </w:r>
          </w:p>
        </w:tc>
        <w:tc>
          <w:tcPr>
            <w:tcW w:w="620" w:type="dxa"/>
            <w:vAlign w:val="bottom"/>
            <w:shd w:val="clear" w:color="auto" w:fill="D9D9D9"/>
          </w:tcPr>
          <w:p>
            <w:pPr>
              <w:spacing w:after="0"/>
              <w:rPr>
                <w:sz w:val="15"/>
                <w:szCs w:val="15"/>
                <w:color w:val="auto"/>
              </w:rPr>
            </w:pPr>
          </w:p>
        </w:tc>
        <w:tc>
          <w:tcPr>
            <w:tcW w:w="188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640" w:type="dxa"/>
            <w:vAlign w:val="bottom"/>
            <w:shd w:val="clear" w:color="auto" w:fill="D9D9D9"/>
          </w:tcPr>
          <w:p>
            <w:pPr>
              <w:spacing w:after="0"/>
              <w:rPr>
                <w:sz w:val="15"/>
                <w:szCs w:val="15"/>
                <w:color w:val="auto"/>
              </w:rPr>
            </w:pPr>
          </w:p>
        </w:tc>
        <w:tc>
          <w:tcPr>
            <w:tcW w:w="680" w:type="dxa"/>
            <w:vAlign w:val="bottom"/>
            <w:shd w:val="clear" w:color="auto" w:fill="D9D9D9"/>
          </w:tcPr>
          <w:p>
            <w:pPr>
              <w:spacing w:after="0"/>
              <w:rPr>
                <w:sz w:val="15"/>
                <w:szCs w:val="15"/>
                <w:color w:val="auto"/>
              </w:rPr>
            </w:pPr>
          </w:p>
        </w:tc>
        <w:tc>
          <w:tcPr>
            <w:tcW w:w="1420" w:type="dxa"/>
            <w:vAlign w:val="bottom"/>
            <w:shd w:val="clear" w:color="auto" w:fill="D9D9D9"/>
          </w:tcPr>
          <w:p>
            <w:pPr>
              <w:spacing w:after="0"/>
              <w:rPr>
                <w:sz w:val="15"/>
                <w:szCs w:val="15"/>
                <w:color w:val="auto"/>
              </w:rPr>
            </w:pPr>
          </w:p>
        </w:tc>
        <w:tc>
          <w:tcPr>
            <w:tcW w:w="28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c>
          <w:tcPr>
            <w:tcW w:w="1020" w:type="dxa"/>
            <w:vAlign w:val="bottom"/>
            <w:shd w:val="clear" w:color="auto" w:fill="D9D9D9"/>
          </w:tcPr>
          <w:p>
            <w:pPr>
              <w:spacing w:after="0"/>
              <w:rPr>
                <w:sz w:val="15"/>
                <w:szCs w:val="15"/>
                <w:color w:val="auto"/>
              </w:rPr>
            </w:pPr>
          </w:p>
        </w:tc>
        <w:tc>
          <w:tcPr>
            <w:tcW w:w="6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20"/>
                <w:szCs w:val="20"/>
                <w:color w:val="auto"/>
              </w:rPr>
            </w:pPr>
            <w:r>
              <w:rPr>
                <w:rFonts w:ascii="Arial" w:cs="Arial" w:eastAsia="Arial" w:hAnsi="Arial"/>
                <w:sz w:val="14"/>
                <w:szCs w:val="14"/>
                <w:b w:val="1"/>
                <w:bCs w:val="1"/>
                <w:color w:val="FF0000"/>
              </w:rPr>
              <w:t>Richard M. Olson</w:t>
            </w:r>
          </w:p>
        </w:tc>
        <w:tc>
          <w:tcPr>
            <w:tcW w:w="6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140" w:type="dxa"/>
            <w:vAlign w:val="bottom"/>
            <w:gridSpan w:val="4"/>
          </w:tcPr>
          <w:p>
            <w:pPr>
              <w:ind w:left="260"/>
              <w:spacing w:after="0"/>
              <w:rPr>
                <w:sz w:val="20"/>
                <w:szCs w:val="20"/>
                <w:color w:val="auto"/>
              </w:rPr>
            </w:pPr>
            <w:r>
              <w:rPr>
                <w:rFonts w:ascii="Arial" w:cs="Arial" w:eastAsia="Arial" w:hAnsi="Arial"/>
                <w:sz w:val="14"/>
                <w:szCs w:val="14"/>
                <w:color w:val="auto"/>
              </w:rPr>
              <w:t>Chairman, President and Chief Executive</w:t>
            </w:r>
          </w:p>
        </w:tc>
        <w:tc>
          <w:tcPr>
            <w:tcW w:w="640" w:type="dxa"/>
            <w:vAlign w:val="bottom"/>
          </w:tcPr>
          <w:p>
            <w:pPr>
              <w:jc w:val="right"/>
              <w:ind w:right="269"/>
              <w:spacing w:after="0"/>
              <w:rPr>
                <w:sz w:val="20"/>
                <w:szCs w:val="20"/>
                <w:color w:val="auto"/>
              </w:rPr>
            </w:pPr>
            <w:r>
              <w:rPr>
                <w:rFonts w:ascii="Arial" w:cs="Arial" w:eastAsia="Arial" w:hAnsi="Arial"/>
                <w:sz w:val="14"/>
                <w:szCs w:val="14"/>
                <w:color w:val="auto"/>
              </w:rPr>
              <w:t>57</w:t>
            </w:r>
          </w:p>
        </w:tc>
        <w:tc>
          <w:tcPr>
            <w:tcW w:w="680" w:type="dxa"/>
            <w:vAlign w:val="bottom"/>
          </w:tcPr>
          <w:p>
            <w:pPr>
              <w:jc w:val="center"/>
              <w:ind w:right="49"/>
              <w:spacing w:after="0"/>
              <w:rPr>
                <w:sz w:val="20"/>
                <w:szCs w:val="20"/>
                <w:color w:val="auto"/>
              </w:rPr>
            </w:pPr>
            <w:r>
              <w:rPr>
                <w:rFonts w:ascii="Arial" w:cs="Arial" w:eastAsia="Arial" w:hAnsi="Arial"/>
                <w:sz w:val="14"/>
                <w:szCs w:val="14"/>
                <w:color w:val="auto"/>
              </w:rPr>
              <w:t>2016</w:t>
            </w:r>
          </w:p>
        </w:tc>
        <w:tc>
          <w:tcPr>
            <w:tcW w:w="1420" w:type="dxa"/>
            <w:vAlign w:val="bottom"/>
          </w:tcPr>
          <w:p>
            <w:pPr>
              <w:jc w:val="center"/>
              <w:ind w:right="247"/>
              <w:spacing w:after="0"/>
              <w:rPr>
                <w:sz w:val="20"/>
                <w:szCs w:val="20"/>
                <w:color w:val="auto"/>
              </w:rPr>
            </w:pPr>
            <w:r>
              <w:rPr>
                <w:rFonts w:ascii="Arial" w:cs="Arial" w:eastAsia="Arial" w:hAnsi="Arial"/>
                <w:sz w:val="14"/>
                <w:szCs w:val="14"/>
                <w:color w:val="auto"/>
              </w:rPr>
              <w:t>No</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209"/>
              <w:spacing w:after="0"/>
              <w:rPr>
                <w:sz w:val="20"/>
                <w:szCs w:val="20"/>
                <w:color w:val="auto"/>
              </w:rPr>
            </w:pPr>
            <w:r>
              <w:rPr>
                <w:rFonts w:ascii="Arial" w:cs="Arial" w:eastAsia="Arial" w:hAnsi="Arial"/>
                <w:sz w:val="14"/>
                <w:szCs w:val="14"/>
                <w:color w:val="FF0000"/>
              </w:rPr>
              <w:t>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20" w:type="dxa"/>
            <w:vAlign w:val="bottom"/>
            <w:gridSpan w:val="2"/>
          </w:tcPr>
          <w:p>
            <w:pPr>
              <w:ind w:left="260"/>
              <w:spacing w:after="0" w:line="156" w:lineRule="exact"/>
              <w:rPr>
                <w:sz w:val="20"/>
                <w:szCs w:val="20"/>
                <w:color w:val="auto"/>
              </w:rPr>
            </w:pPr>
            <w:r>
              <w:rPr>
                <w:rFonts w:ascii="Arial" w:cs="Arial" w:eastAsia="Arial" w:hAnsi="Arial"/>
                <w:sz w:val="14"/>
                <w:szCs w:val="14"/>
                <w:color w:val="auto"/>
              </w:rPr>
              <w:t>Officer, The Toro Company</w:t>
            </w:r>
          </w:p>
        </w:tc>
        <w:tc>
          <w:tcPr>
            <w:tcW w:w="1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500" w:type="dxa"/>
            <w:vAlign w:val="bottom"/>
            <w:shd w:val="clear" w:color="auto" w:fill="D9D9D9"/>
          </w:tcPr>
          <w:p>
            <w:pPr>
              <w:spacing w:after="0"/>
              <w:rPr>
                <w:sz w:val="20"/>
                <w:szCs w:val="20"/>
                <w:color w:val="auto"/>
              </w:rPr>
            </w:pPr>
            <w:r>
              <w:rPr>
                <w:rFonts w:ascii="Arial" w:cs="Arial" w:eastAsia="Arial" w:hAnsi="Arial"/>
                <w:sz w:val="14"/>
                <w:szCs w:val="14"/>
                <w:b w:val="1"/>
                <w:bCs w:val="1"/>
                <w:color w:val="FF0000"/>
              </w:rPr>
              <w:t>James C. O’Rourke</w:t>
            </w:r>
          </w:p>
        </w:tc>
        <w:tc>
          <w:tcPr>
            <w:tcW w:w="620" w:type="dxa"/>
            <w:vAlign w:val="bottom"/>
            <w:shd w:val="clear" w:color="auto" w:fill="D9D9D9"/>
          </w:tcPr>
          <w:p>
            <w:pPr>
              <w:spacing w:after="0"/>
              <w:rPr>
                <w:sz w:val="15"/>
                <w:szCs w:val="15"/>
                <w:color w:val="auto"/>
              </w:rPr>
            </w:pPr>
          </w:p>
        </w:tc>
        <w:tc>
          <w:tcPr>
            <w:tcW w:w="188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640" w:type="dxa"/>
            <w:vAlign w:val="bottom"/>
            <w:shd w:val="clear" w:color="auto" w:fill="D9D9D9"/>
          </w:tcPr>
          <w:p>
            <w:pPr>
              <w:spacing w:after="0"/>
              <w:rPr>
                <w:sz w:val="15"/>
                <w:szCs w:val="15"/>
                <w:color w:val="auto"/>
              </w:rPr>
            </w:pPr>
          </w:p>
        </w:tc>
        <w:tc>
          <w:tcPr>
            <w:tcW w:w="680" w:type="dxa"/>
            <w:vAlign w:val="bottom"/>
            <w:shd w:val="clear" w:color="auto" w:fill="D9D9D9"/>
          </w:tcPr>
          <w:p>
            <w:pPr>
              <w:spacing w:after="0"/>
              <w:rPr>
                <w:sz w:val="15"/>
                <w:szCs w:val="15"/>
                <w:color w:val="auto"/>
              </w:rPr>
            </w:pPr>
          </w:p>
        </w:tc>
        <w:tc>
          <w:tcPr>
            <w:tcW w:w="1420" w:type="dxa"/>
            <w:vAlign w:val="bottom"/>
            <w:shd w:val="clear" w:color="auto" w:fill="D9D9D9"/>
          </w:tcPr>
          <w:p>
            <w:pPr>
              <w:spacing w:after="0"/>
              <w:rPr>
                <w:sz w:val="15"/>
                <w:szCs w:val="15"/>
                <w:color w:val="auto"/>
              </w:rPr>
            </w:pPr>
          </w:p>
        </w:tc>
        <w:tc>
          <w:tcPr>
            <w:tcW w:w="28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c>
          <w:tcPr>
            <w:tcW w:w="1020" w:type="dxa"/>
            <w:vAlign w:val="bottom"/>
            <w:shd w:val="clear" w:color="auto" w:fill="D9D9D9"/>
          </w:tcPr>
          <w:p>
            <w:pPr>
              <w:spacing w:after="0"/>
              <w:rPr>
                <w:sz w:val="15"/>
                <w:szCs w:val="15"/>
                <w:color w:val="auto"/>
              </w:rPr>
            </w:pPr>
          </w:p>
        </w:tc>
        <w:tc>
          <w:tcPr>
            <w:tcW w:w="6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00" w:type="dxa"/>
            <w:vAlign w:val="bottom"/>
            <w:gridSpan w:val="3"/>
            <w:shd w:val="clear" w:color="auto" w:fill="D9D9D9"/>
          </w:tcPr>
          <w:p>
            <w:pPr>
              <w:ind w:left="260"/>
              <w:spacing w:after="0"/>
              <w:rPr>
                <w:sz w:val="20"/>
                <w:szCs w:val="20"/>
                <w:color w:val="auto"/>
              </w:rPr>
            </w:pPr>
            <w:r>
              <w:rPr>
                <w:rFonts w:ascii="Arial" w:cs="Arial" w:eastAsia="Arial" w:hAnsi="Arial"/>
                <w:sz w:val="14"/>
                <w:szCs w:val="14"/>
                <w:color w:val="auto"/>
              </w:rPr>
              <w:t>President and Chief Executive Officer,</w:t>
            </w:r>
          </w:p>
        </w:tc>
        <w:tc>
          <w:tcPr>
            <w:tcW w:w="140" w:type="dxa"/>
            <w:vAlign w:val="bottom"/>
            <w:shd w:val="clear" w:color="auto" w:fill="D9D9D9"/>
          </w:tcPr>
          <w:p>
            <w:pPr>
              <w:spacing w:after="0"/>
              <w:rPr>
                <w:sz w:val="15"/>
                <w:szCs w:val="15"/>
                <w:color w:val="auto"/>
              </w:rPr>
            </w:pPr>
          </w:p>
        </w:tc>
        <w:tc>
          <w:tcPr>
            <w:tcW w:w="640" w:type="dxa"/>
            <w:vAlign w:val="bottom"/>
            <w:shd w:val="clear" w:color="auto" w:fill="D9D9D9"/>
          </w:tcPr>
          <w:p>
            <w:pPr>
              <w:jc w:val="right"/>
              <w:ind w:right="269"/>
              <w:spacing w:after="0"/>
              <w:rPr>
                <w:sz w:val="20"/>
                <w:szCs w:val="20"/>
                <w:color w:val="auto"/>
              </w:rPr>
            </w:pPr>
            <w:r>
              <w:rPr>
                <w:rFonts w:ascii="Arial" w:cs="Arial" w:eastAsia="Arial" w:hAnsi="Arial"/>
                <w:sz w:val="14"/>
                <w:szCs w:val="14"/>
                <w:color w:val="auto"/>
              </w:rPr>
              <w:t>60</w:t>
            </w:r>
          </w:p>
        </w:tc>
        <w:tc>
          <w:tcPr>
            <w:tcW w:w="680" w:type="dxa"/>
            <w:vAlign w:val="bottom"/>
            <w:shd w:val="clear" w:color="auto" w:fill="D9D9D9"/>
          </w:tcPr>
          <w:p>
            <w:pPr>
              <w:jc w:val="center"/>
              <w:ind w:right="49"/>
              <w:spacing w:after="0"/>
              <w:rPr>
                <w:sz w:val="20"/>
                <w:szCs w:val="20"/>
                <w:color w:val="auto"/>
              </w:rPr>
            </w:pPr>
            <w:r>
              <w:rPr>
                <w:rFonts w:ascii="Arial" w:cs="Arial" w:eastAsia="Arial" w:hAnsi="Arial"/>
                <w:sz w:val="14"/>
                <w:szCs w:val="14"/>
                <w:color w:val="auto"/>
              </w:rPr>
              <w:t>2012</w:t>
            </w:r>
          </w:p>
        </w:tc>
        <w:tc>
          <w:tcPr>
            <w:tcW w:w="1420" w:type="dxa"/>
            <w:vAlign w:val="bottom"/>
            <w:shd w:val="clear" w:color="auto" w:fill="D9D9D9"/>
          </w:tcPr>
          <w:p>
            <w:pPr>
              <w:jc w:val="center"/>
              <w:ind w:right="267"/>
              <w:spacing w:after="0"/>
              <w:rPr>
                <w:sz w:val="20"/>
                <w:szCs w:val="20"/>
                <w:color w:val="auto"/>
              </w:rPr>
            </w:pPr>
            <w:r>
              <w:rPr>
                <w:rFonts w:ascii="Arial" w:cs="Arial" w:eastAsia="Arial" w:hAnsi="Arial"/>
                <w:sz w:val="14"/>
                <w:szCs w:val="14"/>
                <w:color w:val="auto"/>
                <w:w w:val="99"/>
              </w:rPr>
              <w:t>Yes</w:t>
            </w:r>
          </w:p>
        </w:tc>
        <w:tc>
          <w:tcPr>
            <w:tcW w:w="28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c>
          <w:tcPr>
            <w:tcW w:w="1020" w:type="dxa"/>
            <w:vAlign w:val="bottom"/>
            <w:vMerge w:val="restart"/>
            <w:shd w:val="clear" w:color="auto" w:fill="D9D9D9"/>
          </w:tcPr>
          <w:p>
            <w:pPr>
              <w:jc w:val="center"/>
              <w:ind w:right="123"/>
              <w:spacing w:after="0" w:line="161" w:lineRule="exact"/>
              <w:rPr>
                <w:sz w:val="20"/>
                <w:szCs w:val="20"/>
                <w:color w:val="auto"/>
              </w:rPr>
            </w:pPr>
            <w:r>
              <w:rPr>
                <w:rFonts w:ascii="MS PGothic" w:cs="MS PGothic" w:eastAsia="MS PGothic" w:hAnsi="MS PGothic"/>
                <w:sz w:val="16"/>
                <w:szCs w:val="16"/>
                <w:color w:val="auto"/>
                <w:w w:val="87"/>
              </w:rPr>
              <w:t>✓</w:t>
            </w:r>
          </w:p>
        </w:tc>
        <w:tc>
          <w:tcPr>
            <w:tcW w:w="620" w:type="dxa"/>
            <w:vAlign w:val="bottom"/>
            <w:vMerge w:val="restart"/>
            <w:shd w:val="clear" w:color="auto" w:fill="D9D9D9"/>
          </w:tcPr>
          <w:p>
            <w:pPr>
              <w:jc w:val="center"/>
              <w:ind w:right="3"/>
              <w:spacing w:after="0"/>
              <w:rPr>
                <w:sz w:val="20"/>
                <w:szCs w:val="20"/>
                <w:color w:val="auto"/>
              </w:rPr>
            </w:pPr>
            <w:r>
              <w:rPr>
                <w:rFonts w:ascii="Arial" w:cs="Arial" w:eastAsia="Arial" w:hAnsi="Arial"/>
                <w:sz w:val="14"/>
                <w:szCs w:val="14"/>
                <w:b w:val="1"/>
                <w:bCs w:val="1"/>
                <w:color w:val="FF0000"/>
                <w:w w:val="98"/>
              </w:rPr>
              <w:t>C</w:t>
            </w:r>
          </w:p>
        </w:tc>
        <w:tc>
          <w:tcPr>
            <w:tcW w:w="740" w:type="dxa"/>
            <w:vAlign w:val="bottom"/>
            <w:shd w:val="clear" w:color="auto" w:fill="D9D9D9"/>
          </w:tcPr>
          <w:p>
            <w:pPr>
              <w:jc w:val="right"/>
              <w:ind w:right="209"/>
              <w:spacing w:after="0"/>
              <w:rPr>
                <w:sz w:val="20"/>
                <w:szCs w:val="20"/>
                <w:color w:val="auto"/>
              </w:rPr>
            </w:pPr>
            <w:r>
              <w:rPr>
                <w:rFonts w:ascii="Arial" w:cs="Arial" w:eastAsia="Arial" w:hAnsi="Arial"/>
                <w:sz w:val="14"/>
                <w:szCs w:val="14"/>
                <w:color w:val="FF0000"/>
              </w:rPr>
              <w:t>1</w:t>
            </w:r>
          </w:p>
        </w:tc>
        <w:tc>
          <w:tcPr>
            <w:tcW w:w="82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120" w:type="dxa"/>
            <w:vAlign w:val="bottom"/>
            <w:tcBorders>
              <w:bottom w:val="single" w:sz="8" w:color="D9D9D9"/>
            </w:tcBorders>
            <w:gridSpan w:val="2"/>
            <w:shd w:val="clear" w:color="auto" w:fill="D9D9D9"/>
          </w:tcPr>
          <w:p>
            <w:pPr>
              <w:ind w:left="260"/>
              <w:spacing w:after="0" w:line="136" w:lineRule="exact"/>
              <w:rPr>
                <w:sz w:val="20"/>
                <w:szCs w:val="20"/>
                <w:color w:val="auto"/>
              </w:rPr>
            </w:pPr>
            <w:r>
              <w:rPr>
                <w:rFonts w:ascii="Arial" w:cs="Arial" w:eastAsia="Arial" w:hAnsi="Arial"/>
                <w:sz w:val="14"/>
                <w:szCs w:val="14"/>
                <w:color w:val="auto"/>
              </w:rPr>
              <w:t>The Mosaic Company</w:t>
            </w:r>
          </w:p>
        </w:tc>
        <w:tc>
          <w:tcPr>
            <w:tcW w:w="1880" w:type="dxa"/>
            <w:vAlign w:val="bottom"/>
            <w:tcBorders>
              <w:bottom w:val="single" w:sz="8" w:color="D9D9D9"/>
            </w:tcBorders>
            <w:shd w:val="clear" w:color="auto" w:fill="D9D9D9"/>
          </w:tcPr>
          <w:p>
            <w:pPr>
              <w:spacing w:after="0"/>
              <w:rPr>
                <w:sz w:val="11"/>
                <w:szCs w:val="11"/>
                <w:color w:val="auto"/>
              </w:rPr>
            </w:pPr>
          </w:p>
        </w:tc>
        <w:tc>
          <w:tcPr>
            <w:tcW w:w="140" w:type="dxa"/>
            <w:vAlign w:val="bottom"/>
            <w:tcBorders>
              <w:bottom w:val="single" w:sz="8" w:color="D9D9D9"/>
            </w:tcBorders>
            <w:shd w:val="clear" w:color="auto" w:fill="D9D9D9"/>
          </w:tcPr>
          <w:p>
            <w:pPr>
              <w:spacing w:after="0"/>
              <w:rPr>
                <w:sz w:val="11"/>
                <w:szCs w:val="11"/>
                <w:color w:val="auto"/>
              </w:rPr>
            </w:pPr>
          </w:p>
        </w:tc>
        <w:tc>
          <w:tcPr>
            <w:tcW w:w="640" w:type="dxa"/>
            <w:vAlign w:val="bottom"/>
            <w:tcBorders>
              <w:bottom w:val="single" w:sz="8" w:color="D9D9D9"/>
            </w:tcBorders>
            <w:shd w:val="clear" w:color="auto" w:fill="D9D9D9"/>
          </w:tcPr>
          <w:p>
            <w:pPr>
              <w:spacing w:after="0"/>
              <w:rPr>
                <w:sz w:val="11"/>
                <w:szCs w:val="11"/>
                <w:color w:val="auto"/>
              </w:rPr>
            </w:pPr>
          </w:p>
        </w:tc>
        <w:tc>
          <w:tcPr>
            <w:tcW w:w="680" w:type="dxa"/>
            <w:vAlign w:val="bottom"/>
            <w:tcBorders>
              <w:bottom w:val="single" w:sz="8" w:color="D9D9D9"/>
            </w:tcBorders>
            <w:shd w:val="clear" w:color="auto" w:fill="D9D9D9"/>
          </w:tcPr>
          <w:p>
            <w:pPr>
              <w:spacing w:after="0"/>
              <w:rPr>
                <w:sz w:val="11"/>
                <w:szCs w:val="11"/>
                <w:color w:val="auto"/>
              </w:rPr>
            </w:pPr>
          </w:p>
        </w:tc>
        <w:tc>
          <w:tcPr>
            <w:tcW w:w="1420" w:type="dxa"/>
            <w:vAlign w:val="bottom"/>
            <w:tcBorders>
              <w:bottom w:val="single" w:sz="8" w:color="D9D9D9"/>
            </w:tcBorders>
            <w:shd w:val="clear" w:color="auto" w:fill="D9D9D9"/>
          </w:tcPr>
          <w:p>
            <w:pPr>
              <w:spacing w:after="0"/>
              <w:rPr>
                <w:sz w:val="11"/>
                <w:szCs w:val="11"/>
                <w:color w:val="auto"/>
              </w:rPr>
            </w:pPr>
          </w:p>
        </w:tc>
        <w:tc>
          <w:tcPr>
            <w:tcW w:w="280" w:type="dxa"/>
            <w:vAlign w:val="bottom"/>
            <w:tcBorders>
              <w:bottom w:val="single" w:sz="8" w:color="D9D9D9"/>
            </w:tcBorders>
            <w:shd w:val="clear" w:color="auto" w:fill="D9D9D9"/>
          </w:tcPr>
          <w:p>
            <w:pPr>
              <w:spacing w:after="0"/>
              <w:rPr>
                <w:sz w:val="11"/>
                <w:szCs w:val="11"/>
                <w:color w:val="auto"/>
              </w:rPr>
            </w:pPr>
          </w:p>
        </w:tc>
        <w:tc>
          <w:tcPr>
            <w:tcW w:w="880" w:type="dxa"/>
            <w:vAlign w:val="bottom"/>
            <w:tcBorders>
              <w:bottom w:val="single" w:sz="8" w:color="D9D9D9"/>
            </w:tcBorders>
            <w:shd w:val="clear" w:color="auto" w:fill="D9D9D9"/>
          </w:tcPr>
          <w:p>
            <w:pPr>
              <w:spacing w:after="0"/>
              <w:rPr>
                <w:sz w:val="11"/>
                <w:szCs w:val="11"/>
                <w:color w:val="auto"/>
              </w:rPr>
            </w:pPr>
          </w:p>
        </w:tc>
        <w:tc>
          <w:tcPr>
            <w:tcW w:w="1020" w:type="dxa"/>
            <w:vAlign w:val="bottom"/>
            <w:tcBorders>
              <w:bottom w:val="single" w:sz="8" w:color="D9D9D9"/>
            </w:tcBorders>
            <w:vMerge w:val="continue"/>
            <w:shd w:val="clear" w:color="auto" w:fill="D9D9D9"/>
          </w:tcPr>
          <w:p>
            <w:pPr>
              <w:spacing w:after="0"/>
              <w:rPr>
                <w:sz w:val="11"/>
                <w:szCs w:val="11"/>
                <w:color w:val="auto"/>
              </w:rPr>
            </w:pPr>
          </w:p>
        </w:tc>
        <w:tc>
          <w:tcPr>
            <w:tcW w:w="620" w:type="dxa"/>
            <w:vAlign w:val="bottom"/>
            <w:tcBorders>
              <w:bottom w:val="single" w:sz="8" w:color="D9D9D9"/>
            </w:tcBorders>
            <w:vMerge w:val="continue"/>
            <w:shd w:val="clear" w:color="auto" w:fill="D9D9D9"/>
          </w:tcPr>
          <w:p>
            <w:pPr>
              <w:spacing w:after="0"/>
              <w:rPr>
                <w:sz w:val="11"/>
                <w:szCs w:val="11"/>
                <w:color w:val="auto"/>
              </w:rPr>
            </w:pPr>
          </w:p>
        </w:tc>
        <w:tc>
          <w:tcPr>
            <w:tcW w:w="740" w:type="dxa"/>
            <w:vAlign w:val="bottom"/>
            <w:tcBorders>
              <w:bottom w:val="single" w:sz="8" w:color="D9D9D9"/>
            </w:tcBorders>
            <w:shd w:val="clear" w:color="auto" w:fill="D9D9D9"/>
          </w:tcPr>
          <w:p>
            <w:pPr>
              <w:spacing w:after="0"/>
              <w:rPr>
                <w:sz w:val="11"/>
                <w:szCs w:val="11"/>
                <w:color w:val="auto"/>
              </w:rPr>
            </w:pPr>
          </w:p>
        </w:tc>
        <w:tc>
          <w:tcPr>
            <w:tcW w:w="820" w:type="dxa"/>
            <w:vAlign w:val="bottom"/>
            <w:tcBorders>
              <w:bottom w:val="single" w:sz="8" w:color="D9D9D9"/>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20"/>
                <w:szCs w:val="20"/>
                <w:color w:val="auto"/>
              </w:rPr>
            </w:pPr>
            <w:r>
              <w:rPr>
                <w:rFonts w:ascii="Arial" w:cs="Arial" w:eastAsia="Arial" w:hAnsi="Arial"/>
                <w:sz w:val="14"/>
                <w:szCs w:val="14"/>
                <w:b w:val="1"/>
                <w:bCs w:val="1"/>
                <w:color w:val="FF0000"/>
              </w:rPr>
              <w:t>Jeffrey M. Ettinger</w:t>
            </w:r>
          </w:p>
        </w:tc>
        <w:tc>
          <w:tcPr>
            <w:tcW w:w="6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140" w:type="dxa"/>
            <w:vAlign w:val="bottom"/>
            <w:gridSpan w:val="4"/>
          </w:tcPr>
          <w:p>
            <w:pPr>
              <w:ind w:left="260"/>
              <w:spacing w:after="0"/>
              <w:rPr>
                <w:sz w:val="20"/>
                <w:szCs w:val="20"/>
                <w:color w:val="auto"/>
              </w:rPr>
            </w:pPr>
            <w:r>
              <w:rPr>
                <w:rFonts w:ascii="Arial" w:cs="Arial" w:eastAsia="Arial" w:hAnsi="Arial"/>
                <w:sz w:val="14"/>
                <w:szCs w:val="14"/>
                <w:color w:val="auto"/>
              </w:rPr>
              <w:t>Retired Chairman and Chief Executive</w:t>
            </w:r>
          </w:p>
        </w:tc>
        <w:tc>
          <w:tcPr>
            <w:tcW w:w="640" w:type="dxa"/>
            <w:vAlign w:val="bottom"/>
          </w:tcPr>
          <w:p>
            <w:pPr>
              <w:jc w:val="right"/>
              <w:ind w:right="269"/>
              <w:spacing w:after="0"/>
              <w:rPr>
                <w:sz w:val="20"/>
                <w:szCs w:val="20"/>
                <w:color w:val="auto"/>
              </w:rPr>
            </w:pPr>
            <w:r>
              <w:rPr>
                <w:rFonts w:ascii="Arial" w:cs="Arial" w:eastAsia="Arial" w:hAnsi="Arial"/>
                <w:sz w:val="14"/>
                <w:szCs w:val="14"/>
                <w:color w:val="auto"/>
              </w:rPr>
              <w:t>62</w:t>
            </w:r>
          </w:p>
        </w:tc>
        <w:tc>
          <w:tcPr>
            <w:tcW w:w="680" w:type="dxa"/>
            <w:vAlign w:val="bottom"/>
          </w:tcPr>
          <w:p>
            <w:pPr>
              <w:jc w:val="center"/>
              <w:ind w:right="49"/>
              <w:spacing w:after="0"/>
              <w:rPr>
                <w:sz w:val="20"/>
                <w:szCs w:val="20"/>
                <w:color w:val="auto"/>
              </w:rPr>
            </w:pPr>
            <w:r>
              <w:rPr>
                <w:rFonts w:ascii="Arial" w:cs="Arial" w:eastAsia="Arial" w:hAnsi="Arial"/>
                <w:sz w:val="14"/>
                <w:szCs w:val="14"/>
                <w:color w:val="auto"/>
              </w:rPr>
              <w:t>2010</w:t>
            </w:r>
          </w:p>
        </w:tc>
        <w:tc>
          <w:tcPr>
            <w:tcW w:w="1420" w:type="dxa"/>
            <w:vAlign w:val="bottom"/>
          </w:tcPr>
          <w:p>
            <w:pPr>
              <w:jc w:val="center"/>
              <w:ind w:right="267"/>
              <w:spacing w:after="0"/>
              <w:rPr>
                <w:sz w:val="20"/>
                <w:szCs w:val="20"/>
                <w:color w:val="auto"/>
              </w:rPr>
            </w:pPr>
            <w:r>
              <w:rPr>
                <w:rFonts w:ascii="Arial" w:cs="Arial" w:eastAsia="Arial" w:hAnsi="Arial"/>
                <w:sz w:val="14"/>
                <w:szCs w:val="14"/>
                <w:color w:val="auto"/>
                <w:w w:val="99"/>
              </w:rPr>
              <w:t>Yes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FF0000"/>
                <w:w w:val="98"/>
              </w:rPr>
              <w:t>C</w:t>
            </w:r>
          </w:p>
        </w:tc>
        <w:tc>
          <w:tcPr>
            <w:tcW w:w="620" w:type="dxa"/>
            <w:vAlign w:val="bottom"/>
            <w:vMerge w:val="restart"/>
          </w:tcPr>
          <w:p>
            <w:pPr>
              <w:jc w:val="center"/>
              <w:ind w:right="3"/>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tcPr>
          <w:p>
            <w:pPr>
              <w:jc w:val="right"/>
              <w:ind w:right="209"/>
              <w:spacing w:after="0"/>
              <w:rPr>
                <w:sz w:val="20"/>
                <w:szCs w:val="20"/>
                <w:color w:val="auto"/>
              </w:rPr>
            </w:pPr>
            <w:r>
              <w:rPr>
                <w:rFonts w:ascii="Arial" w:cs="Arial" w:eastAsia="Arial" w:hAnsi="Arial"/>
                <w:sz w:val="14"/>
                <w:szCs w:val="14"/>
                <w:color w:val="FF0000"/>
              </w:rPr>
              <w:t>1</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4140" w:type="dxa"/>
            <w:vAlign w:val="bottom"/>
            <w:gridSpan w:val="4"/>
            <w:vMerge w:val="restart"/>
          </w:tcPr>
          <w:p>
            <w:pPr>
              <w:ind w:left="260"/>
              <w:spacing w:after="0" w:line="156" w:lineRule="exact"/>
              <w:rPr>
                <w:sz w:val="20"/>
                <w:szCs w:val="20"/>
                <w:color w:val="auto"/>
              </w:rPr>
            </w:pPr>
            <w:r>
              <w:rPr>
                <w:rFonts w:ascii="Arial" w:cs="Arial" w:eastAsia="Arial" w:hAnsi="Arial"/>
                <w:sz w:val="14"/>
                <w:szCs w:val="14"/>
                <w:color w:val="auto"/>
              </w:rPr>
              <w:t>Officer, Hormel Foods Corporation</w:t>
            </w: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4140" w:type="dxa"/>
            <w:vAlign w:val="bottom"/>
            <w:gridSpan w:val="4"/>
            <w:vMerge w:val="continue"/>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500" w:type="dxa"/>
            <w:vAlign w:val="bottom"/>
            <w:shd w:val="clear" w:color="auto" w:fill="D9D9D9"/>
          </w:tcPr>
          <w:p>
            <w:pPr>
              <w:spacing w:after="0"/>
              <w:rPr>
                <w:sz w:val="20"/>
                <w:szCs w:val="20"/>
                <w:color w:val="auto"/>
              </w:rPr>
            </w:pPr>
            <w:r>
              <w:rPr>
                <w:rFonts w:ascii="Arial" w:cs="Arial" w:eastAsia="Arial" w:hAnsi="Arial"/>
                <w:sz w:val="14"/>
                <w:szCs w:val="14"/>
                <w:b w:val="1"/>
                <w:bCs w:val="1"/>
                <w:color w:val="FF0000"/>
              </w:rPr>
              <w:t>Katherine J. Harless</w:t>
            </w:r>
          </w:p>
        </w:tc>
        <w:tc>
          <w:tcPr>
            <w:tcW w:w="620" w:type="dxa"/>
            <w:vAlign w:val="bottom"/>
            <w:shd w:val="clear" w:color="auto" w:fill="D9D9D9"/>
          </w:tcPr>
          <w:p>
            <w:pPr>
              <w:spacing w:after="0"/>
              <w:rPr>
                <w:sz w:val="16"/>
                <w:szCs w:val="16"/>
                <w:color w:val="auto"/>
              </w:rPr>
            </w:pPr>
          </w:p>
        </w:tc>
        <w:tc>
          <w:tcPr>
            <w:tcW w:w="188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640" w:type="dxa"/>
            <w:vAlign w:val="bottom"/>
            <w:shd w:val="clear" w:color="auto" w:fill="D9D9D9"/>
          </w:tcPr>
          <w:p>
            <w:pPr>
              <w:spacing w:after="0"/>
              <w:rPr>
                <w:sz w:val="16"/>
                <w:szCs w:val="16"/>
                <w:color w:val="auto"/>
              </w:rPr>
            </w:pPr>
          </w:p>
        </w:tc>
        <w:tc>
          <w:tcPr>
            <w:tcW w:w="680" w:type="dxa"/>
            <w:vAlign w:val="bottom"/>
            <w:shd w:val="clear" w:color="auto" w:fill="D9D9D9"/>
          </w:tcPr>
          <w:p>
            <w:pPr>
              <w:spacing w:after="0"/>
              <w:rPr>
                <w:sz w:val="16"/>
                <w:szCs w:val="16"/>
                <w:color w:val="auto"/>
              </w:rPr>
            </w:pPr>
          </w:p>
        </w:tc>
        <w:tc>
          <w:tcPr>
            <w:tcW w:w="1420" w:type="dxa"/>
            <w:vAlign w:val="bottom"/>
            <w:shd w:val="clear" w:color="auto" w:fill="D9D9D9"/>
          </w:tcPr>
          <w:p>
            <w:pPr>
              <w:spacing w:after="0"/>
              <w:rPr>
                <w:sz w:val="16"/>
                <w:szCs w:val="16"/>
                <w:color w:val="auto"/>
              </w:rPr>
            </w:pPr>
          </w:p>
        </w:tc>
        <w:tc>
          <w:tcPr>
            <w:tcW w:w="280" w:type="dxa"/>
            <w:vAlign w:val="bottom"/>
            <w:shd w:val="clear" w:color="auto" w:fill="D9D9D9"/>
          </w:tcPr>
          <w:p>
            <w:pPr>
              <w:spacing w:after="0"/>
              <w:rPr>
                <w:sz w:val="16"/>
                <w:szCs w:val="16"/>
                <w:color w:val="auto"/>
              </w:rPr>
            </w:pPr>
          </w:p>
        </w:tc>
        <w:tc>
          <w:tcPr>
            <w:tcW w:w="880" w:type="dxa"/>
            <w:vAlign w:val="bottom"/>
            <w:shd w:val="clear" w:color="auto" w:fill="D9D9D9"/>
          </w:tcPr>
          <w:p>
            <w:pPr>
              <w:spacing w:after="0"/>
              <w:rPr>
                <w:sz w:val="16"/>
                <w:szCs w:val="16"/>
                <w:color w:val="auto"/>
              </w:rPr>
            </w:pPr>
          </w:p>
        </w:tc>
        <w:tc>
          <w:tcPr>
            <w:tcW w:w="1020" w:type="dxa"/>
            <w:vAlign w:val="bottom"/>
            <w:shd w:val="clear" w:color="auto" w:fill="D9D9D9"/>
          </w:tcPr>
          <w:p>
            <w:pPr>
              <w:spacing w:after="0"/>
              <w:rPr>
                <w:sz w:val="16"/>
                <w:szCs w:val="16"/>
                <w:color w:val="auto"/>
              </w:rPr>
            </w:pPr>
          </w:p>
        </w:tc>
        <w:tc>
          <w:tcPr>
            <w:tcW w:w="62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2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00" w:type="dxa"/>
            <w:vAlign w:val="bottom"/>
            <w:gridSpan w:val="3"/>
            <w:shd w:val="clear" w:color="auto" w:fill="D9D9D9"/>
          </w:tcPr>
          <w:p>
            <w:pPr>
              <w:ind w:left="260"/>
              <w:spacing w:after="0"/>
              <w:rPr>
                <w:sz w:val="20"/>
                <w:szCs w:val="20"/>
                <w:color w:val="auto"/>
              </w:rPr>
            </w:pPr>
            <w:r>
              <w:rPr>
                <w:rFonts w:ascii="Arial" w:cs="Arial" w:eastAsia="Arial" w:hAnsi="Arial"/>
                <w:sz w:val="14"/>
                <w:szCs w:val="14"/>
                <w:color w:val="auto"/>
              </w:rPr>
              <w:t>Retired President and Chief Executive</w:t>
            </w:r>
          </w:p>
        </w:tc>
        <w:tc>
          <w:tcPr>
            <w:tcW w:w="140" w:type="dxa"/>
            <w:vAlign w:val="bottom"/>
            <w:shd w:val="clear" w:color="auto" w:fill="D9D9D9"/>
          </w:tcPr>
          <w:p>
            <w:pPr>
              <w:spacing w:after="0"/>
              <w:rPr>
                <w:sz w:val="15"/>
                <w:szCs w:val="15"/>
                <w:color w:val="auto"/>
              </w:rPr>
            </w:pPr>
          </w:p>
        </w:tc>
        <w:tc>
          <w:tcPr>
            <w:tcW w:w="640" w:type="dxa"/>
            <w:vAlign w:val="bottom"/>
            <w:shd w:val="clear" w:color="auto" w:fill="D9D9D9"/>
          </w:tcPr>
          <w:p>
            <w:pPr>
              <w:jc w:val="right"/>
              <w:ind w:right="269"/>
              <w:spacing w:after="0"/>
              <w:rPr>
                <w:sz w:val="20"/>
                <w:szCs w:val="20"/>
                <w:color w:val="auto"/>
              </w:rPr>
            </w:pPr>
            <w:r>
              <w:rPr>
                <w:rFonts w:ascii="Arial" w:cs="Arial" w:eastAsia="Arial" w:hAnsi="Arial"/>
                <w:sz w:val="14"/>
                <w:szCs w:val="14"/>
                <w:color w:val="auto"/>
              </w:rPr>
              <w:t>69</w:t>
            </w:r>
          </w:p>
        </w:tc>
        <w:tc>
          <w:tcPr>
            <w:tcW w:w="680" w:type="dxa"/>
            <w:vAlign w:val="bottom"/>
            <w:shd w:val="clear" w:color="auto" w:fill="D9D9D9"/>
          </w:tcPr>
          <w:p>
            <w:pPr>
              <w:jc w:val="center"/>
              <w:ind w:right="49"/>
              <w:spacing w:after="0"/>
              <w:rPr>
                <w:sz w:val="20"/>
                <w:szCs w:val="20"/>
                <w:color w:val="auto"/>
              </w:rPr>
            </w:pPr>
            <w:r>
              <w:rPr>
                <w:rFonts w:ascii="Arial" w:cs="Arial" w:eastAsia="Arial" w:hAnsi="Arial"/>
                <w:sz w:val="14"/>
                <w:szCs w:val="14"/>
                <w:color w:val="auto"/>
              </w:rPr>
              <w:t>2000</w:t>
            </w:r>
          </w:p>
        </w:tc>
        <w:tc>
          <w:tcPr>
            <w:tcW w:w="1420" w:type="dxa"/>
            <w:vAlign w:val="bottom"/>
            <w:shd w:val="clear" w:color="auto" w:fill="D9D9D9"/>
          </w:tcPr>
          <w:p>
            <w:pPr>
              <w:jc w:val="center"/>
              <w:ind w:right="267"/>
              <w:spacing w:after="0"/>
              <w:rPr>
                <w:sz w:val="20"/>
                <w:szCs w:val="20"/>
                <w:color w:val="auto"/>
              </w:rPr>
            </w:pPr>
            <w:r>
              <w:rPr>
                <w:rFonts w:ascii="Arial" w:cs="Arial" w:eastAsia="Arial" w:hAnsi="Arial"/>
                <w:sz w:val="14"/>
                <w:szCs w:val="14"/>
                <w:color w:val="auto"/>
                <w:w w:val="99"/>
              </w:rPr>
              <w:t>Yes</w:t>
            </w:r>
          </w:p>
        </w:tc>
        <w:tc>
          <w:tcPr>
            <w:tcW w:w="280" w:type="dxa"/>
            <w:vAlign w:val="bottom"/>
            <w:vMerge w:val="restart"/>
            <w:shd w:val="clear" w:color="auto" w:fill="D9D9D9"/>
          </w:tcPr>
          <w:p>
            <w:pPr>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vMerge w:val="restart"/>
            <w:shd w:val="clear" w:color="auto" w:fill="D9D9D9"/>
          </w:tcPr>
          <w:p>
            <w:pPr>
              <w:jc w:val="center"/>
              <w:ind w:left="123"/>
              <w:spacing w:after="0" w:line="161" w:lineRule="exact"/>
              <w:rPr>
                <w:sz w:val="20"/>
                <w:szCs w:val="20"/>
                <w:color w:val="auto"/>
              </w:rPr>
            </w:pPr>
            <w:r>
              <w:rPr>
                <w:rFonts w:ascii="MS PGothic" w:cs="MS PGothic" w:eastAsia="MS PGothic" w:hAnsi="MS PGothic"/>
                <w:sz w:val="16"/>
                <w:szCs w:val="16"/>
                <w:color w:val="auto"/>
                <w:w w:val="74"/>
              </w:rPr>
              <w:t>✓</w:t>
            </w:r>
          </w:p>
        </w:tc>
        <w:tc>
          <w:tcPr>
            <w:tcW w:w="1020" w:type="dxa"/>
            <w:vAlign w:val="bottom"/>
            <w:shd w:val="clear" w:color="auto" w:fill="D9D9D9"/>
          </w:tcPr>
          <w:p>
            <w:pPr>
              <w:spacing w:after="0"/>
              <w:rPr>
                <w:sz w:val="15"/>
                <w:szCs w:val="15"/>
                <w:color w:val="auto"/>
              </w:rPr>
            </w:pPr>
          </w:p>
        </w:tc>
        <w:tc>
          <w:tcPr>
            <w:tcW w:w="620" w:type="dxa"/>
            <w:vAlign w:val="bottom"/>
            <w:shd w:val="clear" w:color="auto" w:fill="D9D9D9"/>
          </w:tcPr>
          <w:p>
            <w:pPr>
              <w:spacing w:after="0"/>
              <w:rPr>
                <w:sz w:val="15"/>
                <w:szCs w:val="15"/>
                <w:color w:val="auto"/>
              </w:rPr>
            </w:pPr>
          </w:p>
        </w:tc>
        <w:tc>
          <w:tcPr>
            <w:tcW w:w="740" w:type="dxa"/>
            <w:vAlign w:val="bottom"/>
            <w:shd w:val="clear" w:color="auto" w:fill="D9D9D9"/>
          </w:tcPr>
          <w:p>
            <w:pPr>
              <w:jc w:val="right"/>
              <w:ind w:right="209"/>
              <w:spacing w:after="0"/>
              <w:rPr>
                <w:sz w:val="20"/>
                <w:szCs w:val="20"/>
                <w:color w:val="auto"/>
              </w:rPr>
            </w:pPr>
            <w:r>
              <w:rPr>
                <w:rFonts w:ascii="Arial" w:cs="Arial" w:eastAsia="Arial" w:hAnsi="Arial"/>
                <w:sz w:val="14"/>
                <w:szCs w:val="14"/>
                <w:color w:val="FF0000"/>
              </w:rPr>
              <w:t>0</w:t>
            </w:r>
          </w:p>
        </w:tc>
        <w:tc>
          <w:tcPr>
            <w:tcW w:w="82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36"/>
        </w:trPr>
        <w:tc>
          <w:tcPr>
            <w:tcW w:w="1500" w:type="dxa"/>
            <w:vAlign w:val="bottom"/>
            <w:tcBorders>
              <w:bottom w:val="single" w:sz="8" w:color="D9D9D9"/>
            </w:tcBorders>
            <w:shd w:val="clear" w:color="auto" w:fill="D9D9D9"/>
          </w:tcPr>
          <w:p>
            <w:pPr>
              <w:ind w:left="260"/>
              <w:spacing w:after="0" w:line="136" w:lineRule="exact"/>
              <w:rPr>
                <w:sz w:val="20"/>
                <w:szCs w:val="20"/>
                <w:color w:val="auto"/>
              </w:rPr>
            </w:pPr>
            <w:r>
              <w:rPr>
                <w:rFonts w:ascii="Arial" w:cs="Arial" w:eastAsia="Arial" w:hAnsi="Arial"/>
                <w:sz w:val="14"/>
                <w:szCs w:val="14"/>
                <w:color w:val="auto"/>
              </w:rPr>
              <w:t>Officer, Idearc Inc.</w:t>
            </w:r>
          </w:p>
        </w:tc>
        <w:tc>
          <w:tcPr>
            <w:tcW w:w="620" w:type="dxa"/>
            <w:vAlign w:val="bottom"/>
            <w:tcBorders>
              <w:bottom w:val="single" w:sz="8" w:color="D9D9D9"/>
            </w:tcBorders>
            <w:shd w:val="clear" w:color="auto" w:fill="D9D9D9"/>
          </w:tcPr>
          <w:p>
            <w:pPr>
              <w:spacing w:after="0"/>
              <w:rPr>
                <w:sz w:val="11"/>
                <w:szCs w:val="11"/>
                <w:color w:val="auto"/>
              </w:rPr>
            </w:pPr>
          </w:p>
        </w:tc>
        <w:tc>
          <w:tcPr>
            <w:tcW w:w="1880" w:type="dxa"/>
            <w:vAlign w:val="bottom"/>
            <w:tcBorders>
              <w:bottom w:val="single" w:sz="8" w:color="D9D9D9"/>
            </w:tcBorders>
            <w:shd w:val="clear" w:color="auto" w:fill="D9D9D9"/>
          </w:tcPr>
          <w:p>
            <w:pPr>
              <w:spacing w:after="0"/>
              <w:rPr>
                <w:sz w:val="11"/>
                <w:szCs w:val="11"/>
                <w:color w:val="auto"/>
              </w:rPr>
            </w:pPr>
          </w:p>
        </w:tc>
        <w:tc>
          <w:tcPr>
            <w:tcW w:w="140" w:type="dxa"/>
            <w:vAlign w:val="bottom"/>
            <w:tcBorders>
              <w:bottom w:val="single" w:sz="8" w:color="D9D9D9"/>
            </w:tcBorders>
            <w:shd w:val="clear" w:color="auto" w:fill="D9D9D9"/>
          </w:tcPr>
          <w:p>
            <w:pPr>
              <w:spacing w:after="0"/>
              <w:rPr>
                <w:sz w:val="11"/>
                <w:szCs w:val="11"/>
                <w:color w:val="auto"/>
              </w:rPr>
            </w:pPr>
          </w:p>
        </w:tc>
        <w:tc>
          <w:tcPr>
            <w:tcW w:w="640" w:type="dxa"/>
            <w:vAlign w:val="bottom"/>
            <w:tcBorders>
              <w:bottom w:val="single" w:sz="8" w:color="D9D9D9"/>
            </w:tcBorders>
            <w:shd w:val="clear" w:color="auto" w:fill="D9D9D9"/>
          </w:tcPr>
          <w:p>
            <w:pPr>
              <w:spacing w:after="0"/>
              <w:rPr>
                <w:sz w:val="11"/>
                <w:szCs w:val="11"/>
                <w:color w:val="auto"/>
              </w:rPr>
            </w:pPr>
          </w:p>
        </w:tc>
        <w:tc>
          <w:tcPr>
            <w:tcW w:w="680" w:type="dxa"/>
            <w:vAlign w:val="bottom"/>
            <w:tcBorders>
              <w:bottom w:val="single" w:sz="8" w:color="D9D9D9"/>
            </w:tcBorders>
            <w:shd w:val="clear" w:color="auto" w:fill="D9D9D9"/>
          </w:tcPr>
          <w:p>
            <w:pPr>
              <w:spacing w:after="0"/>
              <w:rPr>
                <w:sz w:val="11"/>
                <w:szCs w:val="11"/>
                <w:color w:val="auto"/>
              </w:rPr>
            </w:pPr>
          </w:p>
        </w:tc>
        <w:tc>
          <w:tcPr>
            <w:tcW w:w="1420" w:type="dxa"/>
            <w:vAlign w:val="bottom"/>
            <w:tcBorders>
              <w:bottom w:val="single" w:sz="8" w:color="D9D9D9"/>
            </w:tcBorders>
            <w:shd w:val="clear" w:color="auto" w:fill="D9D9D9"/>
          </w:tcPr>
          <w:p>
            <w:pPr>
              <w:spacing w:after="0"/>
              <w:rPr>
                <w:sz w:val="11"/>
                <w:szCs w:val="11"/>
                <w:color w:val="auto"/>
              </w:rPr>
            </w:pPr>
          </w:p>
        </w:tc>
        <w:tc>
          <w:tcPr>
            <w:tcW w:w="280" w:type="dxa"/>
            <w:vAlign w:val="bottom"/>
            <w:tcBorders>
              <w:bottom w:val="single" w:sz="8" w:color="D9D9D9"/>
            </w:tcBorders>
            <w:vMerge w:val="continue"/>
            <w:shd w:val="clear" w:color="auto" w:fill="D9D9D9"/>
          </w:tcPr>
          <w:p>
            <w:pPr>
              <w:spacing w:after="0"/>
              <w:rPr>
                <w:sz w:val="11"/>
                <w:szCs w:val="11"/>
                <w:color w:val="auto"/>
              </w:rPr>
            </w:pPr>
          </w:p>
        </w:tc>
        <w:tc>
          <w:tcPr>
            <w:tcW w:w="880" w:type="dxa"/>
            <w:vAlign w:val="bottom"/>
            <w:tcBorders>
              <w:bottom w:val="single" w:sz="8" w:color="D9D9D9"/>
            </w:tcBorders>
            <w:vMerge w:val="continue"/>
            <w:shd w:val="clear" w:color="auto" w:fill="D9D9D9"/>
          </w:tcPr>
          <w:p>
            <w:pPr>
              <w:spacing w:after="0"/>
              <w:rPr>
                <w:sz w:val="11"/>
                <w:szCs w:val="11"/>
                <w:color w:val="auto"/>
              </w:rPr>
            </w:pPr>
          </w:p>
        </w:tc>
        <w:tc>
          <w:tcPr>
            <w:tcW w:w="1020" w:type="dxa"/>
            <w:vAlign w:val="bottom"/>
            <w:tcBorders>
              <w:bottom w:val="single" w:sz="8" w:color="D9D9D9"/>
            </w:tcBorders>
            <w:shd w:val="clear" w:color="auto" w:fill="D9D9D9"/>
          </w:tcPr>
          <w:p>
            <w:pPr>
              <w:spacing w:after="0"/>
              <w:rPr>
                <w:sz w:val="11"/>
                <w:szCs w:val="11"/>
                <w:color w:val="auto"/>
              </w:rPr>
            </w:pPr>
          </w:p>
        </w:tc>
        <w:tc>
          <w:tcPr>
            <w:tcW w:w="620" w:type="dxa"/>
            <w:vAlign w:val="bottom"/>
            <w:tcBorders>
              <w:bottom w:val="single" w:sz="8" w:color="D9D9D9"/>
            </w:tcBorders>
            <w:shd w:val="clear" w:color="auto" w:fill="D9D9D9"/>
          </w:tcPr>
          <w:p>
            <w:pPr>
              <w:spacing w:after="0"/>
              <w:rPr>
                <w:sz w:val="11"/>
                <w:szCs w:val="11"/>
                <w:color w:val="auto"/>
              </w:rPr>
            </w:pPr>
          </w:p>
        </w:tc>
        <w:tc>
          <w:tcPr>
            <w:tcW w:w="740" w:type="dxa"/>
            <w:vAlign w:val="bottom"/>
            <w:tcBorders>
              <w:bottom w:val="single" w:sz="8" w:color="D9D9D9"/>
            </w:tcBorders>
            <w:shd w:val="clear" w:color="auto" w:fill="D9D9D9"/>
          </w:tcPr>
          <w:p>
            <w:pPr>
              <w:spacing w:after="0"/>
              <w:rPr>
                <w:sz w:val="11"/>
                <w:szCs w:val="11"/>
                <w:color w:val="auto"/>
              </w:rPr>
            </w:pPr>
          </w:p>
        </w:tc>
        <w:tc>
          <w:tcPr>
            <w:tcW w:w="820" w:type="dxa"/>
            <w:vAlign w:val="bottom"/>
            <w:tcBorders>
              <w:bottom w:val="single" w:sz="8" w:color="D9D9D9"/>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b w:val="1"/>
                <w:bCs w:val="1"/>
                <w:color w:val="FF0000"/>
              </w:rPr>
              <w:t>D. Christian Koch</w:t>
            </w:r>
          </w:p>
        </w:tc>
        <w:tc>
          <w:tcPr>
            <w:tcW w:w="6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140" w:type="dxa"/>
            <w:vAlign w:val="bottom"/>
            <w:gridSpan w:val="4"/>
          </w:tcPr>
          <w:p>
            <w:pPr>
              <w:ind w:left="260"/>
              <w:spacing w:after="0"/>
              <w:rPr>
                <w:sz w:val="20"/>
                <w:szCs w:val="20"/>
                <w:color w:val="auto"/>
              </w:rPr>
            </w:pPr>
            <w:r>
              <w:rPr>
                <w:rFonts w:ascii="Arial" w:cs="Arial" w:eastAsia="Arial" w:hAnsi="Arial"/>
                <w:sz w:val="14"/>
                <w:szCs w:val="14"/>
                <w:color w:val="auto"/>
              </w:rPr>
              <w:t>Chairman, President and Chief Executive Officer, Carlisle</w:t>
            </w:r>
          </w:p>
        </w:tc>
        <w:tc>
          <w:tcPr>
            <w:tcW w:w="640" w:type="dxa"/>
            <w:vAlign w:val="bottom"/>
          </w:tcPr>
          <w:p>
            <w:pPr>
              <w:jc w:val="right"/>
              <w:ind w:right="269"/>
              <w:spacing w:after="0"/>
              <w:rPr>
                <w:sz w:val="20"/>
                <w:szCs w:val="20"/>
                <w:color w:val="auto"/>
              </w:rPr>
            </w:pPr>
            <w:r>
              <w:rPr>
                <w:rFonts w:ascii="Arial" w:cs="Arial" w:eastAsia="Arial" w:hAnsi="Arial"/>
                <w:sz w:val="14"/>
                <w:szCs w:val="14"/>
                <w:color w:val="auto"/>
              </w:rPr>
              <w:t>56</w:t>
            </w:r>
          </w:p>
        </w:tc>
        <w:tc>
          <w:tcPr>
            <w:tcW w:w="680" w:type="dxa"/>
            <w:vAlign w:val="bottom"/>
          </w:tcPr>
          <w:p>
            <w:pPr>
              <w:jc w:val="center"/>
              <w:ind w:right="49"/>
              <w:spacing w:after="0"/>
              <w:rPr>
                <w:sz w:val="20"/>
                <w:szCs w:val="20"/>
                <w:color w:val="auto"/>
              </w:rPr>
            </w:pPr>
            <w:r>
              <w:rPr>
                <w:rFonts w:ascii="Arial" w:cs="Arial" w:eastAsia="Arial" w:hAnsi="Arial"/>
                <w:sz w:val="14"/>
                <w:szCs w:val="14"/>
                <w:color w:val="auto"/>
              </w:rPr>
              <w:t>2016</w:t>
            </w:r>
          </w:p>
        </w:tc>
        <w:tc>
          <w:tcPr>
            <w:tcW w:w="1420" w:type="dxa"/>
            <w:vAlign w:val="bottom"/>
          </w:tcPr>
          <w:p>
            <w:pPr>
              <w:jc w:val="center"/>
              <w:ind w:right="267"/>
              <w:spacing w:after="0"/>
              <w:rPr>
                <w:sz w:val="20"/>
                <w:szCs w:val="20"/>
                <w:color w:val="auto"/>
              </w:rPr>
            </w:pPr>
            <w:r>
              <w:rPr>
                <w:rFonts w:ascii="Arial" w:cs="Arial" w:eastAsia="Arial" w:hAnsi="Arial"/>
                <w:sz w:val="14"/>
                <w:szCs w:val="14"/>
                <w:color w:val="auto"/>
                <w:w w:val="99"/>
              </w:rPr>
              <w:t>Yes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vMerge w:val="restart"/>
          </w:tcPr>
          <w:p>
            <w:pPr>
              <w:jc w:val="center"/>
              <w:ind w:right="123"/>
              <w:spacing w:after="0" w:line="161" w:lineRule="exact"/>
              <w:rPr>
                <w:sz w:val="20"/>
                <w:szCs w:val="20"/>
                <w:color w:val="auto"/>
              </w:rPr>
            </w:pPr>
            <w:r>
              <w:rPr>
                <w:rFonts w:ascii="MS PGothic" w:cs="MS PGothic" w:eastAsia="MS PGothic" w:hAnsi="MS PGothic"/>
                <w:sz w:val="16"/>
                <w:szCs w:val="16"/>
                <w:color w:val="auto"/>
                <w:w w:val="87"/>
              </w:rPr>
              <w:t>✓</w:t>
            </w:r>
          </w:p>
        </w:tc>
        <w:tc>
          <w:tcPr>
            <w:tcW w:w="620" w:type="dxa"/>
            <w:vAlign w:val="bottom"/>
            <w:vMerge w:val="restart"/>
          </w:tcPr>
          <w:p>
            <w:pPr>
              <w:jc w:val="center"/>
              <w:ind w:right="3"/>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tcPr>
          <w:p>
            <w:pPr>
              <w:jc w:val="right"/>
              <w:ind w:right="209"/>
              <w:spacing w:after="0"/>
              <w:rPr>
                <w:sz w:val="20"/>
                <w:szCs w:val="20"/>
                <w:color w:val="auto"/>
              </w:rPr>
            </w:pPr>
            <w:r>
              <w:rPr>
                <w:rFonts w:ascii="Arial" w:cs="Arial" w:eastAsia="Arial" w:hAnsi="Arial"/>
                <w:sz w:val="14"/>
                <w:szCs w:val="14"/>
                <w:color w:val="FF0000"/>
              </w:rPr>
              <w:t>1</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120" w:type="dxa"/>
            <w:vAlign w:val="bottom"/>
            <w:gridSpan w:val="2"/>
            <w:vMerge w:val="restart"/>
          </w:tcPr>
          <w:p>
            <w:pPr>
              <w:ind w:left="260"/>
              <w:spacing w:after="0" w:line="156" w:lineRule="exact"/>
              <w:rPr>
                <w:sz w:val="20"/>
                <w:szCs w:val="20"/>
                <w:color w:val="auto"/>
              </w:rPr>
            </w:pPr>
            <w:r>
              <w:rPr>
                <w:rFonts w:ascii="Arial" w:cs="Arial" w:eastAsia="Arial" w:hAnsi="Arial"/>
                <w:sz w:val="14"/>
                <w:szCs w:val="14"/>
                <w:color w:val="auto"/>
              </w:rPr>
              <w:t>Companies Incorporated</w:t>
            </w:r>
          </w:p>
        </w:tc>
        <w:tc>
          <w:tcPr>
            <w:tcW w:w="1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120" w:type="dxa"/>
            <w:vAlign w:val="bottom"/>
            <w:gridSpan w:val="2"/>
            <w:vMerge w:val="continue"/>
          </w:tcPr>
          <w:p>
            <w:pPr>
              <w:spacing w:after="0"/>
              <w:rPr>
                <w:sz w:val="4"/>
                <w:szCs w:val="4"/>
                <w:color w:val="auto"/>
              </w:rPr>
            </w:pPr>
          </w:p>
        </w:tc>
        <w:tc>
          <w:tcPr>
            <w:tcW w:w="1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500" w:type="dxa"/>
            <w:vAlign w:val="bottom"/>
            <w:shd w:val="clear" w:color="auto" w:fill="D9D9D9"/>
          </w:tcPr>
          <w:p>
            <w:pPr>
              <w:spacing w:after="0"/>
              <w:rPr>
                <w:sz w:val="20"/>
                <w:szCs w:val="20"/>
                <w:color w:val="auto"/>
              </w:rPr>
            </w:pPr>
            <w:r>
              <w:rPr>
                <w:rFonts w:ascii="Arial" w:cs="Arial" w:eastAsia="Arial" w:hAnsi="Arial"/>
                <w:sz w:val="14"/>
                <w:szCs w:val="14"/>
                <w:b w:val="1"/>
                <w:bCs w:val="1"/>
                <w:color w:val="FF0000"/>
              </w:rPr>
              <w:t>Jeffrey L. Harmening</w:t>
            </w:r>
          </w:p>
        </w:tc>
        <w:tc>
          <w:tcPr>
            <w:tcW w:w="620" w:type="dxa"/>
            <w:vAlign w:val="bottom"/>
            <w:shd w:val="clear" w:color="auto" w:fill="D9D9D9"/>
          </w:tcPr>
          <w:p>
            <w:pPr>
              <w:spacing w:after="0"/>
              <w:rPr>
                <w:sz w:val="17"/>
                <w:szCs w:val="17"/>
                <w:color w:val="auto"/>
              </w:rPr>
            </w:pPr>
          </w:p>
        </w:tc>
        <w:tc>
          <w:tcPr>
            <w:tcW w:w="18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640" w:type="dxa"/>
            <w:vAlign w:val="bottom"/>
            <w:shd w:val="clear" w:color="auto" w:fill="D9D9D9"/>
          </w:tcPr>
          <w:p>
            <w:pPr>
              <w:spacing w:after="0"/>
              <w:rPr>
                <w:sz w:val="17"/>
                <w:szCs w:val="17"/>
                <w:color w:val="auto"/>
              </w:rPr>
            </w:pPr>
          </w:p>
        </w:tc>
        <w:tc>
          <w:tcPr>
            <w:tcW w:w="680" w:type="dxa"/>
            <w:vAlign w:val="bottom"/>
            <w:shd w:val="clear" w:color="auto" w:fill="D9D9D9"/>
          </w:tcPr>
          <w:p>
            <w:pPr>
              <w:spacing w:after="0"/>
              <w:rPr>
                <w:sz w:val="17"/>
                <w:szCs w:val="17"/>
                <w:color w:val="auto"/>
              </w:rPr>
            </w:pPr>
          </w:p>
        </w:tc>
        <w:tc>
          <w:tcPr>
            <w:tcW w:w="1420" w:type="dxa"/>
            <w:vAlign w:val="bottom"/>
            <w:shd w:val="clear" w:color="auto" w:fill="D9D9D9"/>
          </w:tcPr>
          <w:p>
            <w:pPr>
              <w:spacing w:after="0"/>
              <w:rPr>
                <w:sz w:val="17"/>
                <w:szCs w:val="17"/>
                <w:color w:val="auto"/>
              </w:rPr>
            </w:pPr>
          </w:p>
        </w:tc>
        <w:tc>
          <w:tcPr>
            <w:tcW w:w="28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1020" w:type="dxa"/>
            <w:vAlign w:val="bottom"/>
            <w:shd w:val="clear" w:color="auto" w:fill="D9D9D9"/>
          </w:tcPr>
          <w:p>
            <w:pPr>
              <w:spacing w:after="0"/>
              <w:rPr>
                <w:sz w:val="17"/>
                <w:szCs w:val="17"/>
                <w:color w:val="auto"/>
              </w:rPr>
            </w:pPr>
          </w:p>
        </w:tc>
        <w:tc>
          <w:tcPr>
            <w:tcW w:w="620" w:type="dxa"/>
            <w:vAlign w:val="bottom"/>
            <w:shd w:val="clear" w:color="auto" w:fill="D9D9D9"/>
          </w:tcPr>
          <w:p>
            <w:pPr>
              <w:spacing w:after="0"/>
              <w:rPr>
                <w:sz w:val="17"/>
                <w:szCs w:val="17"/>
                <w:color w:val="auto"/>
              </w:rPr>
            </w:pPr>
          </w:p>
        </w:tc>
        <w:tc>
          <w:tcPr>
            <w:tcW w:w="740" w:type="dxa"/>
            <w:vAlign w:val="bottom"/>
            <w:shd w:val="clear" w:color="auto" w:fill="D9D9D9"/>
          </w:tcPr>
          <w:p>
            <w:pPr>
              <w:spacing w:after="0"/>
              <w:rPr>
                <w:sz w:val="17"/>
                <w:szCs w:val="17"/>
                <w:color w:val="auto"/>
              </w:rPr>
            </w:pPr>
          </w:p>
        </w:tc>
        <w:tc>
          <w:tcPr>
            <w:tcW w:w="82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000" w:type="dxa"/>
            <w:vAlign w:val="bottom"/>
            <w:gridSpan w:val="3"/>
            <w:shd w:val="clear" w:color="auto" w:fill="D9D9D9"/>
          </w:tcPr>
          <w:p>
            <w:pPr>
              <w:ind w:left="120"/>
              <w:spacing w:after="0"/>
              <w:rPr>
                <w:sz w:val="20"/>
                <w:szCs w:val="20"/>
                <w:color w:val="auto"/>
              </w:rPr>
            </w:pPr>
            <w:r>
              <w:rPr>
                <w:rFonts w:ascii="Arial" w:cs="Arial" w:eastAsia="Arial" w:hAnsi="Arial"/>
                <w:sz w:val="14"/>
                <w:szCs w:val="14"/>
                <w:color w:val="auto"/>
              </w:rPr>
              <w:t>Chairman and Chief Executive Officer,</w:t>
            </w:r>
          </w:p>
        </w:tc>
        <w:tc>
          <w:tcPr>
            <w:tcW w:w="140" w:type="dxa"/>
            <w:vAlign w:val="bottom"/>
            <w:shd w:val="clear" w:color="auto" w:fill="D9D9D9"/>
          </w:tcPr>
          <w:p>
            <w:pPr>
              <w:spacing w:after="0"/>
              <w:rPr>
                <w:sz w:val="15"/>
                <w:szCs w:val="15"/>
                <w:color w:val="auto"/>
              </w:rPr>
            </w:pPr>
          </w:p>
        </w:tc>
        <w:tc>
          <w:tcPr>
            <w:tcW w:w="640" w:type="dxa"/>
            <w:vAlign w:val="bottom"/>
            <w:vMerge w:val="restart"/>
            <w:shd w:val="clear" w:color="auto" w:fill="D9D9D9"/>
          </w:tcPr>
          <w:p>
            <w:pPr>
              <w:jc w:val="right"/>
              <w:ind w:right="309"/>
              <w:spacing w:after="0"/>
              <w:rPr>
                <w:sz w:val="20"/>
                <w:szCs w:val="20"/>
                <w:color w:val="auto"/>
              </w:rPr>
            </w:pPr>
            <w:r>
              <w:rPr>
                <w:rFonts w:ascii="Arial" w:cs="Arial" w:eastAsia="Arial" w:hAnsi="Arial"/>
                <w:sz w:val="14"/>
                <w:szCs w:val="14"/>
                <w:color w:val="auto"/>
              </w:rPr>
              <w:t>53</w:t>
            </w:r>
          </w:p>
        </w:tc>
        <w:tc>
          <w:tcPr>
            <w:tcW w:w="680" w:type="dxa"/>
            <w:vAlign w:val="bottom"/>
            <w:vMerge w:val="restart"/>
            <w:shd w:val="clear" w:color="auto" w:fill="D9D9D9"/>
          </w:tcPr>
          <w:p>
            <w:pPr>
              <w:jc w:val="center"/>
              <w:ind w:right="49"/>
              <w:spacing w:after="0"/>
              <w:rPr>
                <w:sz w:val="20"/>
                <w:szCs w:val="20"/>
                <w:color w:val="auto"/>
              </w:rPr>
            </w:pPr>
            <w:r>
              <w:rPr>
                <w:rFonts w:ascii="Arial" w:cs="Arial" w:eastAsia="Arial" w:hAnsi="Arial"/>
                <w:sz w:val="14"/>
                <w:szCs w:val="14"/>
                <w:color w:val="auto"/>
              </w:rPr>
              <w:t>2019</w:t>
            </w:r>
          </w:p>
        </w:tc>
        <w:tc>
          <w:tcPr>
            <w:tcW w:w="1420" w:type="dxa"/>
            <w:vAlign w:val="bottom"/>
            <w:vMerge w:val="restart"/>
            <w:shd w:val="clear" w:color="auto" w:fill="D9D9D9"/>
          </w:tcPr>
          <w:p>
            <w:pPr>
              <w:jc w:val="center"/>
              <w:ind w:right="267"/>
              <w:spacing w:after="0"/>
              <w:rPr>
                <w:sz w:val="20"/>
                <w:szCs w:val="20"/>
                <w:color w:val="auto"/>
              </w:rPr>
            </w:pPr>
            <w:r>
              <w:rPr>
                <w:rFonts w:ascii="Arial" w:cs="Arial" w:eastAsia="Arial" w:hAnsi="Arial"/>
                <w:sz w:val="14"/>
                <w:szCs w:val="14"/>
                <w:color w:val="auto"/>
                <w:w w:val="99"/>
              </w:rPr>
              <w:t>Yes</w:t>
            </w:r>
          </w:p>
        </w:tc>
        <w:tc>
          <w:tcPr>
            <w:tcW w:w="280" w:type="dxa"/>
            <w:vAlign w:val="bottom"/>
            <w:vMerge w:val="restart"/>
            <w:shd w:val="clear" w:color="auto" w:fill="D9D9D9"/>
          </w:tcPr>
          <w:p>
            <w:pPr>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vMerge w:val="restart"/>
            <w:shd w:val="clear" w:color="auto" w:fill="D9D9D9"/>
          </w:tcPr>
          <w:p>
            <w:pPr>
              <w:jc w:val="center"/>
              <w:ind w:left="123"/>
              <w:spacing w:after="0" w:line="161" w:lineRule="exact"/>
              <w:rPr>
                <w:sz w:val="20"/>
                <w:szCs w:val="20"/>
                <w:color w:val="auto"/>
              </w:rPr>
            </w:pPr>
            <w:r>
              <w:rPr>
                <w:rFonts w:ascii="MS PGothic" w:cs="MS PGothic" w:eastAsia="MS PGothic" w:hAnsi="MS PGothic"/>
                <w:sz w:val="16"/>
                <w:szCs w:val="16"/>
                <w:color w:val="auto"/>
                <w:w w:val="74"/>
              </w:rPr>
              <w:t>✓</w:t>
            </w:r>
          </w:p>
        </w:tc>
        <w:tc>
          <w:tcPr>
            <w:tcW w:w="1020" w:type="dxa"/>
            <w:vAlign w:val="bottom"/>
            <w:shd w:val="clear" w:color="auto" w:fill="D9D9D9"/>
          </w:tcPr>
          <w:p>
            <w:pPr>
              <w:spacing w:after="0"/>
              <w:rPr>
                <w:sz w:val="15"/>
                <w:szCs w:val="15"/>
                <w:color w:val="auto"/>
              </w:rPr>
            </w:pPr>
          </w:p>
        </w:tc>
        <w:tc>
          <w:tcPr>
            <w:tcW w:w="620" w:type="dxa"/>
            <w:vAlign w:val="bottom"/>
            <w:shd w:val="clear" w:color="auto" w:fill="D9D9D9"/>
          </w:tcPr>
          <w:p>
            <w:pPr>
              <w:spacing w:after="0"/>
              <w:rPr>
                <w:sz w:val="15"/>
                <w:szCs w:val="15"/>
                <w:color w:val="auto"/>
              </w:rPr>
            </w:pPr>
          </w:p>
        </w:tc>
        <w:tc>
          <w:tcPr>
            <w:tcW w:w="740" w:type="dxa"/>
            <w:vAlign w:val="bottom"/>
            <w:vMerge w:val="restart"/>
            <w:shd w:val="clear" w:color="auto" w:fill="D9D9D9"/>
          </w:tcPr>
          <w:p>
            <w:pPr>
              <w:jc w:val="right"/>
              <w:ind w:right="209"/>
              <w:spacing w:after="0"/>
              <w:rPr>
                <w:sz w:val="20"/>
                <w:szCs w:val="20"/>
                <w:color w:val="auto"/>
              </w:rPr>
            </w:pPr>
            <w:r>
              <w:rPr>
                <w:rFonts w:ascii="Arial" w:cs="Arial" w:eastAsia="Arial" w:hAnsi="Arial"/>
                <w:sz w:val="14"/>
                <w:szCs w:val="14"/>
                <w:color w:val="FF0000"/>
              </w:rPr>
              <w:t>1</w:t>
            </w:r>
          </w:p>
        </w:tc>
        <w:tc>
          <w:tcPr>
            <w:tcW w:w="82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500" w:type="dxa"/>
            <w:vAlign w:val="bottom"/>
            <w:tcBorders>
              <w:bottom w:val="single" w:sz="8" w:color="D9D9D9"/>
            </w:tcBorders>
            <w:shd w:val="clear" w:color="auto" w:fill="D9D9D9"/>
          </w:tcPr>
          <w:p>
            <w:pPr>
              <w:ind w:left="120"/>
              <w:spacing w:after="0" w:line="136" w:lineRule="exact"/>
              <w:rPr>
                <w:sz w:val="20"/>
                <w:szCs w:val="20"/>
                <w:color w:val="auto"/>
              </w:rPr>
            </w:pPr>
            <w:r>
              <w:rPr>
                <w:rFonts w:ascii="Arial" w:cs="Arial" w:eastAsia="Arial" w:hAnsi="Arial"/>
                <w:sz w:val="14"/>
                <w:szCs w:val="14"/>
                <w:color w:val="auto"/>
              </w:rPr>
              <w:t>General Mills, Inc.</w:t>
            </w:r>
          </w:p>
        </w:tc>
        <w:tc>
          <w:tcPr>
            <w:tcW w:w="620" w:type="dxa"/>
            <w:vAlign w:val="bottom"/>
            <w:tcBorders>
              <w:bottom w:val="single" w:sz="8" w:color="D9D9D9"/>
            </w:tcBorders>
            <w:shd w:val="clear" w:color="auto" w:fill="D9D9D9"/>
          </w:tcPr>
          <w:p>
            <w:pPr>
              <w:spacing w:after="0"/>
              <w:rPr>
                <w:sz w:val="11"/>
                <w:szCs w:val="11"/>
                <w:color w:val="auto"/>
              </w:rPr>
            </w:pPr>
          </w:p>
        </w:tc>
        <w:tc>
          <w:tcPr>
            <w:tcW w:w="1880" w:type="dxa"/>
            <w:vAlign w:val="bottom"/>
            <w:tcBorders>
              <w:bottom w:val="single" w:sz="8" w:color="D9D9D9"/>
            </w:tcBorders>
            <w:shd w:val="clear" w:color="auto" w:fill="D9D9D9"/>
          </w:tcPr>
          <w:p>
            <w:pPr>
              <w:spacing w:after="0"/>
              <w:rPr>
                <w:sz w:val="11"/>
                <w:szCs w:val="11"/>
                <w:color w:val="auto"/>
              </w:rPr>
            </w:pPr>
          </w:p>
        </w:tc>
        <w:tc>
          <w:tcPr>
            <w:tcW w:w="140" w:type="dxa"/>
            <w:vAlign w:val="bottom"/>
            <w:tcBorders>
              <w:bottom w:val="single" w:sz="8" w:color="D9D9D9"/>
            </w:tcBorders>
            <w:shd w:val="clear" w:color="auto" w:fill="D9D9D9"/>
          </w:tcPr>
          <w:p>
            <w:pPr>
              <w:spacing w:after="0"/>
              <w:rPr>
                <w:sz w:val="11"/>
                <w:szCs w:val="11"/>
                <w:color w:val="auto"/>
              </w:rPr>
            </w:pPr>
          </w:p>
        </w:tc>
        <w:tc>
          <w:tcPr>
            <w:tcW w:w="640" w:type="dxa"/>
            <w:vAlign w:val="bottom"/>
            <w:tcBorders>
              <w:bottom w:val="single" w:sz="8" w:color="D9D9D9"/>
            </w:tcBorders>
            <w:vMerge w:val="continue"/>
            <w:shd w:val="clear" w:color="auto" w:fill="D9D9D9"/>
          </w:tcPr>
          <w:p>
            <w:pPr>
              <w:spacing w:after="0"/>
              <w:rPr>
                <w:sz w:val="11"/>
                <w:szCs w:val="11"/>
                <w:color w:val="auto"/>
              </w:rPr>
            </w:pPr>
          </w:p>
        </w:tc>
        <w:tc>
          <w:tcPr>
            <w:tcW w:w="680" w:type="dxa"/>
            <w:vAlign w:val="bottom"/>
            <w:tcBorders>
              <w:bottom w:val="single" w:sz="8" w:color="D9D9D9"/>
            </w:tcBorders>
            <w:vMerge w:val="continue"/>
            <w:shd w:val="clear" w:color="auto" w:fill="D9D9D9"/>
          </w:tcPr>
          <w:p>
            <w:pPr>
              <w:spacing w:after="0"/>
              <w:rPr>
                <w:sz w:val="11"/>
                <w:szCs w:val="11"/>
                <w:color w:val="auto"/>
              </w:rPr>
            </w:pPr>
          </w:p>
        </w:tc>
        <w:tc>
          <w:tcPr>
            <w:tcW w:w="1420" w:type="dxa"/>
            <w:vAlign w:val="bottom"/>
            <w:tcBorders>
              <w:bottom w:val="single" w:sz="8" w:color="D9D9D9"/>
            </w:tcBorders>
            <w:vMerge w:val="continue"/>
            <w:shd w:val="clear" w:color="auto" w:fill="D9D9D9"/>
          </w:tcPr>
          <w:p>
            <w:pPr>
              <w:spacing w:after="0"/>
              <w:rPr>
                <w:sz w:val="11"/>
                <w:szCs w:val="11"/>
                <w:color w:val="auto"/>
              </w:rPr>
            </w:pPr>
          </w:p>
        </w:tc>
        <w:tc>
          <w:tcPr>
            <w:tcW w:w="280" w:type="dxa"/>
            <w:vAlign w:val="bottom"/>
            <w:tcBorders>
              <w:bottom w:val="single" w:sz="8" w:color="D9D9D9"/>
            </w:tcBorders>
            <w:vMerge w:val="continue"/>
            <w:shd w:val="clear" w:color="auto" w:fill="D9D9D9"/>
          </w:tcPr>
          <w:p>
            <w:pPr>
              <w:spacing w:after="0"/>
              <w:rPr>
                <w:sz w:val="11"/>
                <w:szCs w:val="11"/>
                <w:color w:val="auto"/>
              </w:rPr>
            </w:pPr>
          </w:p>
        </w:tc>
        <w:tc>
          <w:tcPr>
            <w:tcW w:w="880" w:type="dxa"/>
            <w:vAlign w:val="bottom"/>
            <w:tcBorders>
              <w:bottom w:val="single" w:sz="8" w:color="D9D9D9"/>
            </w:tcBorders>
            <w:vMerge w:val="continue"/>
            <w:shd w:val="clear" w:color="auto" w:fill="D9D9D9"/>
          </w:tcPr>
          <w:p>
            <w:pPr>
              <w:spacing w:after="0"/>
              <w:rPr>
                <w:sz w:val="11"/>
                <w:szCs w:val="11"/>
                <w:color w:val="auto"/>
              </w:rPr>
            </w:pPr>
          </w:p>
        </w:tc>
        <w:tc>
          <w:tcPr>
            <w:tcW w:w="1020" w:type="dxa"/>
            <w:vAlign w:val="bottom"/>
            <w:tcBorders>
              <w:bottom w:val="single" w:sz="8" w:color="D9D9D9"/>
            </w:tcBorders>
            <w:shd w:val="clear" w:color="auto" w:fill="D9D9D9"/>
          </w:tcPr>
          <w:p>
            <w:pPr>
              <w:spacing w:after="0"/>
              <w:rPr>
                <w:sz w:val="11"/>
                <w:szCs w:val="11"/>
                <w:color w:val="auto"/>
              </w:rPr>
            </w:pPr>
          </w:p>
        </w:tc>
        <w:tc>
          <w:tcPr>
            <w:tcW w:w="620" w:type="dxa"/>
            <w:vAlign w:val="bottom"/>
            <w:tcBorders>
              <w:bottom w:val="single" w:sz="8" w:color="D9D9D9"/>
            </w:tcBorders>
            <w:shd w:val="clear" w:color="auto" w:fill="D9D9D9"/>
          </w:tcPr>
          <w:p>
            <w:pPr>
              <w:spacing w:after="0"/>
              <w:rPr>
                <w:sz w:val="11"/>
                <w:szCs w:val="11"/>
                <w:color w:val="auto"/>
              </w:rPr>
            </w:pPr>
          </w:p>
        </w:tc>
        <w:tc>
          <w:tcPr>
            <w:tcW w:w="740" w:type="dxa"/>
            <w:vAlign w:val="bottom"/>
            <w:tcBorders>
              <w:bottom w:val="single" w:sz="8" w:color="D9D9D9"/>
            </w:tcBorders>
            <w:vMerge w:val="continue"/>
            <w:shd w:val="clear" w:color="auto" w:fill="D9D9D9"/>
          </w:tcPr>
          <w:p>
            <w:pPr>
              <w:spacing w:after="0"/>
              <w:rPr>
                <w:sz w:val="11"/>
                <w:szCs w:val="11"/>
                <w:color w:val="auto"/>
              </w:rPr>
            </w:pPr>
          </w:p>
        </w:tc>
        <w:tc>
          <w:tcPr>
            <w:tcW w:w="820" w:type="dxa"/>
            <w:vAlign w:val="bottom"/>
            <w:tcBorders>
              <w:bottom w:val="single" w:sz="8" w:color="D9D9D9"/>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20"/>
                <w:szCs w:val="20"/>
                <w:color w:val="auto"/>
              </w:rPr>
            </w:pPr>
            <w:r>
              <w:rPr>
                <w:rFonts w:ascii="Arial" w:cs="Arial" w:eastAsia="Arial" w:hAnsi="Arial"/>
                <w:sz w:val="14"/>
                <w:szCs w:val="14"/>
                <w:b w:val="1"/>
                <w:bCs w:val="1"/>
                <w:color w:val="FF0000"/>
              </w:rPr>
              <w:t>Joyce A. Mullen</w:t>
            </w:r>
          </w:p>
        </w:tc>
        <w:tc>
          <w:tcPr>
            <w:tcW w:w="6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140" w:type="dxa"/>
            <w:vAlign w:val="bottom"/>
            <w:gridSpan w:val="4"/>
          </w:tcPr>
          <w:p>
            <w:pPr>
              <w:ind w:left="120"/>
              <w:spacing w:after="0"/>
              <w:rPr>
                <w:sz w:val="20"/>
                <w:szCs w:val="20"/>
                <w:color w:val="auto"/>
              </w:rPr>
            </w:pPr>
            <w:r>
              <w:rPr>
                <w:rFonts w:ascii="Arial" w:cs="Arial" w:eastAsia="Arial" w:hAnsi="Arial"/>
                <w:sz w:val="14"/>
                <w:szCs w:val="14"/>
                <w:color w:val="auto"/>
              </w:rPr>
              <w:t>President, North America Businesses,</w:t>
            </w:r>
          </w:p>
        </w:tc>
        <w:tc>
          <w:tcPr>
            <w:tcW w:w="640" w:type="dxa"/>
            <w:vAlign w:val="bottom"/>
            <w:vMerge w:val="restart"/>
          </w:tcPr>
          <w:p>
            <w:pPr>
              <w:jc w:val="right"/>
              <w:ind w:right="309"/>
              <w:spacing w:after="0"/>
              <w:rPr>
                <w:sz w:val="20"/>
                <w:szCs w:val="20"/>
                <w:color w:val="auto"/>
              </w:rPr>
            </w:pPr>
            <w:r>
              <w:rPr>
                <w:rFonts w:ascii="Arial" w:cs="Arial" w:eastAsia="Arial" w:hAnsi="Arial"/>
                <w:sz w:val="14"/>
                <w:szCs w:val="14"/>
                <w:color w:val="auto"/>
              </w:rPr>
              <w:t>58</w:t>
            </w:r>
          </w:p>
        </w:tc>
        <w:tc>
          <w:tcPr>
            <w:tcW w:w="680" w:type="dxa"/>
            <w:vAlign w:val="bottom"/>
            <w:vMerge w:val="restart"/>
          </w:tcPr>
          <w:p>
            <w:pPr>
              <w:jc w:val="center"/>
              <w:ind w:right="49"/>
              <w:spacing w:after="0"/>
              <w:rPr>
                <w:sz w:val="20"/>
                <w:szCs w:val="20"/>
                <w:color w:val="auto"/>
              </w:rPr>
            </w:pPr>
            <w:r>
              <w:rPr>
                <w:rFonts w:ascii="Arial" w:cs="Arial" w:eastAsia="Arial" w:hAnsi="Arial"/>
                <w:sz w:val="14"/>
                <w:szCs w:val="14"/>
                <w:color w:val="auto"/>
              </w:rPr>
              <w:t>2019</w:t>
            </w:r>
          </w:p>
        </w:tc>
        <w:tc>
          <w:tcPr>
            <w:tcW w:w="1420" w:type="dxa"/>
            <w:vAlign w:val="bottom"/>
            <w:vMerge w:val="restart"/>
          </w:tcPr>
          <w:p>
            <w:pPr>
              <w:jc w:val="center"/>
              <w:ind w:right="267"/>
              <w:spacing w:after="0"/>
              <w:rPr>
                <w:sz w:val="20"/>
                <w:szCs w:val="20"/>
                <w:color w:val="auto"/>
              </w:rPr>
            </w:pPr>
            <w:r>
              <w:rPr>
                <w:rFonts w:ascii="Arial" w:cs="Arial" w:eastAsia="Arial" w:hAnsi="Arial"/>
                <w:sz w:val="14"/>
                <w:szCs w:val="14"/>
                <w:color w:val="auto"/>
                <w:w w:val="99"/>
              </w:rPr>
              <w:t>Yes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vMerge w:val="restart"/>
          </w:tcPr>
          <w:p>
            <w:pPr>
              <w:jc w:val="center"/>
              <w:ind w:right="123"/>
              <w:spacing w:after="0" w:line="161" w:lineRule="exact"/>
              <w:rPr>
                <w:sz w:val="20"/>
                <w:szCs w:val="20"/>
                <w:color w:val="auto"/>
              </w:rPr>
            </w:pPr>
            <w:r>
              <w:rPr>
                <w:rFonts w:ascii="MS PGothic" w:cs="MS PGothic" w:eastAsia="MS PGothic" w:hAnsi="MS PGothic"/>
                <w:sz w:val="16"/>
                <w:szCs w:val="16"/>
                <w:color w:val="auto"/>
                <w:w w:val="87"/>
              </w:rPr>
              <w:t>✓</w:t>
            </w:r>
          </w:p>
        </w:tc>
        <w:tc>
          <w:tcPr>
            <w:tcW w:w="620" w:type="dxa"/>
            <w:vAlign w:val="bottom"/>
            <w:vMerge w:val="restart"/>
          </w:tcPr>
          <w:p>
            <w:pPr>
              <w:jc w:val="center"/>
              <w:ind w:right="3"/>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vMerge w:val="restart"/>
          </w:tcPr>
          <w:p>
            <w:pPr>
              <w:jc w:val="right"/>
              <w:ind w:right="209"/>
              <w:spacing w:after="0"/>
              <w:rPr>
                <w:sz w:val="20"/>
                <w:szCs w:val="20"/>
                <w:color w:val="auto"/>
              </w:rPr>
            </w:pPr>
            <w:r>
              <w:rPr>
                <w:rFonts w:ascii="Arial" w:cs="Arial" w:eastAsia="Arial" w:hAnsi="Arial"/>
                <w:sz w:val="14"/>
                <w:szCs w:val="14"/>
                <w:color w:val="FF0000"/>
              </w:rPr>
              <w:t>0</w:t>
            </w:r>
          </w:p>
        </w:tc>
        <w:tc>
          <w:tcPr>
            <w:tcW w:w="8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01"/>
        </w:trPr>
        <w:tc>
          <w:tcPr>
            <w:tcW w:w="2120" w:type="dxa"/>
            <w:vAlign w:val="bottom"/>
            <w:gridSpan w:val="2"/>
            <w:vMerge w:val="restart"/>
          </w:tcPr>
          <w:p>
            <w:pPr>
              <w:ind w:left="120"/>
              <w:spacing w:after="0"/>
              <w:rPr>
                <w:sz w:val="20"/>
                <w:szCs w:val="20"/>
                <w:color w:val="auto"/>
              </w:rPr>
            </w:pPr>
            <w:r>
              <w:rPr>
                <w:rFonts w:ascii="Arial" w:cs="Arial" w:eastAsia="Arial" w:hAnsi="Arial"/>
                <w:sz w:val="14"/>
                <w:szCs w:val="14"/>
                <w:color w:val="auto"/>
              </w:rPr>
              <w:t>Insight Enterprises, Inc.</w:t>
            </w:r>
          </w:p>
        </w:tc>
        <w:tc>
          <w:tcPr>
            <w:tcW w:w="1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120" w:type="dxa"/>
            <w:vAlign w:val="bottom"/>
            <w:gridSpan w:val="2"/>
            <w:vMerge w:val="continue"/>
          </w:tcPr>
          <w:p>
            <w:pPr>
              <w:spacing w:after="0"/>
              <w:rPr>
                <w:sz w:val="6"/>
                <w:szCs w:val="6"/>
                <w:color w:val="auto"/>
              </w:rPr>
            </w:pPr>
          </w:p>
        </w:tc>
        <w:tc>
          <w:tcPr>
            <w:tcW w:w="1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6"/>
        </w:trPr>
        <w:tc>
          <w:tcPr>
            <w:tcW w:w="1500" w:type="dxa"/>
            <w:vAlign w:val="bottom"/>
          </w:tcPr>
          <w:p>
            <w:pPr>
              <w:spacing w:after="0"/>
              <w:rPr>
                <w:sz w:val="20"/>
                <w:szCs w:val="20"/>
                <w:color w:val="auto"/>
              </w:rPr>
            </w:pPr>
            <w:r>
              <w:rPr>
                <w:rFonts w:ascii="Arial" w:cs="Arial" w:eastAsia="Arial" w:hAnsi="Arial"/>
                <w:sz w:val="16"/>
                <w:szCs w:val="16"/>
                <w:b w:val="1"/>
                <w:bCs w:val="1"/>
                <w:color w:val="FF0000"/>
              </w:rPr>
              <w:t xml:space="preserve">A: </w:t>
            </w:r>
            <w:r>
              <w:rPr>
                <w:rFonts w:ascii="Arial" w:cs="Arial" w:eastAsia="Arial" w:hAnsi="Arial"/>
                <w:sz w:val="16"/>
                <w:szCs w:val="16"/>
                <w:color w:val="000000"/>
              </w:rPr>
              <w:t>Audit</w:t>
            </w:r>
          </w:p>
        </w:tc>
        <w:tc>
          <w:tcPr>
            <w:tcW w:w="620" w:type="dxa"/>
            <w:vAlign w:val="bottom"/>
          </w:tcPr>
          <w:p>
            <w:pPr>
              <w:ind w:left="40"/>
              <w:spacing w:after="0"/>
              <w:rPr>
                <w:sz w:val="20"/>
                <w:szCs w:val="20"/>
                <w:color w:val="auto"/>
              </w:rPr>
            </w:pPr>
            <w:r>
              <w:rPr>
                <w:rFonts w:ascii="Arial" w:cs="Arial" w:eastAsia="Arial" w:hAnsi="Arial"/>
                <w:sz w:val="16"/>
                <w:szCs w:val="16"/>
                <w:b w:val="1"/>
                <w:bCs w:val="1"/>
                <w:color w:val="FF0000"/>
              </w:rPr>
              <w:t>N&amp;G:</w:t>
            </w:r>
          </w:p>
        </w:tc>
        <w:tc>
          <w:tcPr>
            <w:tcW w:w="2020" w:type="dxa"/>
            <w:vAlign w:val="bottom"/>
            <w:gridSpan w:val="2"/>
          </w:tcPr>
          <w:p>
            <w:pPr>
              <w:ind w:left="80"/>
              <w:spacing w:after="0"/>
              <w:rPr>
                <w:sz w:val="20"/>
                <w:szCs w:val="20"/>
                <w:color w:val="auto"/>
              </w:rPr>
            </w:pPr>
            <w:r>
              <w:rPr>
                <w:rFonts w:ascii="Arial" w:cs="Arial" w:eastAsia="Arial" w:hAnsi="Arial"/>
                <w:sz w:val="16"/>
                <w:szCs w:val="16"/>
                <w:color w:val="auto"/>
              </w:rPr>
              <w:t>Nominating &amp; Governance</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ind w:left="600"/>
              <w:spacing w:after="0" w:line="184" w:lineRule="exact"/>
              <w:rPr>
                <w:sz w:val="20"/>
                <w:szCs w:val="20"/>
                <w:color w:val="auto"/>
              </w:rPr>
            </w:pPr>
            <w:r>
              <w:rPr>
                <w:rFonts w:ascii="MS PGothic" w:cs="MS PGothic" w:eastAsia="MS PGothic" w:hAnsi="MS PGothic"/>
                <w:sz w:val="16"/>
                <w:szCs w:val="16"/>
                <w:color w:val="000000"/>
                <w:w w:val="94"/>
              </w:rPr>
              <w:t>✓</w:t>
            </w:r>
            <w:r>
              <w:rPr>
                <w:rFonts w:ascii="Arial" w:cs="Arial" w:eastAsia="Arial" w:hAnsi="Arial"/>
                <w:sz w:val="16"/>
                <w:szCs w:val="16"/>
                <w:b w:val="1"/>
                <w:bCs w:val="1"/>
                <w:color w:val="FF0000"/>
                <w:w w:val="94"/>
              </w:rPr>
              <w:t xml:space="preserve">: </w:t>
            </w:r>
            <w:r>
              <w:rPr>
                <w:rFonts w:ascii="Arial" w:cs="Arial" w:eastAsia="Arial" w:hAnsi="Arial"/>
                <w:sz w:val="16"/>
                <w:szCs w:val="16"/>
                <w:color w:val="000000"/>
                <w:w w:val="94"/>
              </w:rPr>
              <w:t>Member</w:t>
            </w:r>
          </w:p>
        </w:tc>
        <w:tc>
          <w:tcPr>
            <w:tcW w:w="280" w:type="dxa"/>
            <w:vAlign w:val="bottom"/>
          </w:tcPr>
          <w:p>
            <w:pPr>
              <w:spacing w:after="0"/>
              <w:rPr>
                <w:sz w:val="24"/>
                <w:szCs w:val="24"/>
                <w:color w:val="auto"/>
              </w:rPr>
            </w:pPr>
          </w:p>
        </w:tc>
        <w:tc>
          <w:tcPr>
            <w:tcW w:w="3260" w:type="dxa"/>
            <w:vAlign w:val="bottom"/>
            <w:gridSpan w:val="4"/>
          </w:tcPr>
          <w:p>
            <w:pPr>
              <w:jc w:val="right"/>
              <w:ind w:right="129"/>
              <w:spacing w:after="0"/>
              <w:rPr>
                <w:sz w:val="20"/>
                <w:szCs w:val="20"/>
                <w:color w:val="auto"/>
              </w:rPr>
            </w:pPr>
            <w:r>
              <w:rPr>
                <w:rFonts w:ascii="Arial" w:cs="Arial" w:eastAsia="Arial" w:hAnsi="Arial"/>
                <w:sz w:val="16"/>
                <w:szCs w:val="16"/>
                <w:b w:val="1"/>
                <w:bCs w:val="1"/>
                <w:color w:val="FF0000"/>
              </w:rPr>
              <w:t xml:space="preserve">E : </w:t>
            </w:r>
            <w:r>
              <w:rPr>
                <w:rFonts w:ascii="Arial" w:cs="Arial" w:eastAsia="Arial" w:hAnsi="Arial"/>
                <w:sz w:val="16"/>
                <w:szCs w:val="16"/>
                <w:color w:val="000000"/>
              </w:rPr>
              <w:t>Audit Committee Financial Expert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0"/>
                <w:szCs w:val="20"/>
                <w:color w:val="auto"/>
              </w:rPr>
            </w:pPr>
            <w:r>
              <w:rPr>
                <w:rFonts w:ascii="Arial" w:cs="Arial" w:eastAsia="Arial" w:hAnsi="Arial"/>
                <w:sz w:val="16"/>
                <w:szCs w:val="16"/>
                <w:b w:val="1"/>
                <w:bCs w:val="1"/>
                <w:color w:val="FF0000"/>
              </w:rPr>
              <w:t xml:space="preserve">F: </w:t>
            </w:r>
            <w:r>
              <w:rPr>
                <w:rFonts w:ascii="Arial" w:cs="Arial" w:eastAsia="Arial" w:hAnsi="Arial"/>
                <w:sz w:val="16"/>
                <w:szCs w:val="16"/>
                <w:color w:val="000000"/>
              </w:rPr>
              <w:t>Finance</w:t>
            </w:r>
          </w:p>
        </w:tc>
        <w:tc>
          <w:tcPr>
            <w:tcW w:w="620" w:type="dxa"/>
            <w:vAlign w:val="bottom"/>
          </w:tcPr>
          <w:p>
            <w:pPr>
              <w:ind w:left="40"/>
              <w:spacing w:after="0"/>
              <w:rPr>
                <w:sz w:val="20"/>
                <w:szCs w:val="20"/>
                <w:color w:val="auto"/>
              </w:rPr>
            </w:pPr>
            <w:r>
              <w:rPr>
                <w:rFonts w:ascii="Arial" w:cs="Arial" w:eastAsia="Arial" w:hAnsi="Arial"/>
                <w:sz w:val="16"/>
                <w:szCs w:val="16"/>
                <w:b w:val="1"/>
                <w:bCs w:val="1"/>
                <w:color w:val="FF0000"/>
              </w:rPr>
              <w:t>C&amp;HR:</w:t>
            </w:r>
          </w:p>
        </w:tc>
        <w:tc>
          <w:tcPr>
            <w:tcW w:w="2660" w:type="dxa"/>
            <w:vAlign w:val="bottom"/>
            <w:gridSpan w:val="3"/>
          </w:tcPr>
          <w:p>
            <w:pPr>
              <w:ind w:left="80"/>
              <w:spacing w:after="0"/>
              <w:rPr>
                <w:sz w:val="20"/>
                <w:szCs w:val="20"/>
                <w:color w:val="auto"/>
              </w:rPr>
            </w:pPr>
            <w:r>
              <w:rPr>
                <w:rFonts w:ascii="Arial" w:cs="Arial" w:eastAsia="Arial" w:hAnsi="Arial"/>
                <w:sz w:val="16"/>
                <w:szCs w:val="16"/>
                <w:color w:val="auto"/>
              </w:rPr>
              <w:t>Compensation &amp; Human Resources</w:t>
            </w:r>
          </w:p>
        </w:tc>
        <w:tc>
          <w:tcPr>
            <w:tcW w:w="680" w:type="dxa"/>
            <w:vAlign w:val="bottom"/>
          </w:tcPr>
          <w:p>
            <w:pPr>
              <w:spacing w:after="0"/>
              <w:rPr>
                <w:sz w:val="21"/>
                <w:szCs w:val="21"/>
                <w:color w:val="auto"/>
              </w:rPr>
            </w:pPr>
          </w:p>
        </w:tc>
        <w:tc>
          <w:tcPr>
            <w:tcW w:w="1420" w:type="dxa"/>
            <w:vAlign w:val="bottom"/>
          </w:tcPr>
          <w:p>
            <w:pPr>
              <w:ind w:left="600"/>
              <w:spacing w:after="0"/>
              <w:rPr>
                <w:sz w:val="20"/>
                <w:szCs w:val="20"/>
                <w:color w:val="auto"/>
              </w:rPr>
            </w:pPr>
            <w:r>
              <w:rPr>
                <w:rFonts w:ascii="Arial" w:cs="Arial" w:eastAsia="Arial" w:hAnsi="Arial"/>
                <w:sz w:val="16"/>
                <w:szCs w:val="16"/>
                <w:b w:val="1"/>
                <w:bCs w:val="1"/>
                <w:color w:val="FF0000"/>
              </w:rPr>
              <w:t xml:space="preserve">C: </w:t>
            </w:r>
            <w:r>
              <w:rPr>
                <w:rFonts w:ascii="Arial" w:cs="Arial" w:eastAsia="Arial" w:hAnsi="Arial"/>
                <w:sz w:val="16"/>
                <w:szCs w:val="16"/>
                <w:color w:val="000000"/>
              </w:rPr>
              <w:t>Chair</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5154295</wp:posOffset>
            </wp:positionH>
            <wp:positionV relativeFrom="paragraph">
              <wp:posOffset>-1774825</wp:posOffset>
            </wp:positionV>
            <wp:extent cx="4343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4340" cy="825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-4209415</wp:posOffset>
            </wp:positionV>
            <wp:extent cx="19405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40560" cy="8255"/>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-3698875</wp:posOffset>
            </wp:positionV>
            <wp:extent cx="57150" cy="584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150" cy="58420"/>
                    </a:xfrm>
                    <a:prstGeom prst="rect">
                      <a:avLst/>
                    </a:prstGeom>
                    <a:noFill/>
                  </pic:spPr>
                </pic:pic>
              </a:graphicData>
            </a:graphic>
          </wp:anchor>
        </w:drawing>
        <w:drawing>
          <wp:anchor simplePos="0" relativeHeight="251657728" behindDoc="1" locked="0" layoutInCell="0" allowOverlap="1">
            <wp:simplePos x="0" y="0"/>
            <wp:positionH relativeFrom="column">
              <wp:posOffset>6859270</wp:posOffset>
            </wp:positionH>
            <wp:positionV relativeFrom="paragraph">
              <wp:posOffset>-3698875</wp:posOffset>
            </wp:positionV>
            <wp:extent cx="57150" cy="584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150" cy="58420"/>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-3409950</wp:posOffset>
            </wp:positionV>
            <wp:extent cx="57150" cy="584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150" cy="58420"/>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-3018155</wp:posOffset>
            </wp:positionV>
            <wp:extent cx="57150" cy="584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150" cy="58420"/>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-3018155</wp:posOffset>
            </wp:positionV>
            <wp:extent cx="57150" cy="584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150" cy="58420"/>
                    </a:xfrm>
                    <a:prstGeom prst="rect">
                      <a:avLst/>
                    </a:prstGeom>
                    <a:noFill/>
                  </pic:spPr>
                </pic:pic>
              </a:graphicData>
            </a:graphic>
          </wp:anchor>
        </w:drawing>
        <w:drawing>
          <wp:anchor simplePos="0" relativeHeight="251657728" behindDoc="1" locked="0" layoutInCell="0" allowOverlap="1">
            <wp:simplePos x="0" y="0"/>
            <wp:positionH relativeFrom="column">
              <wp:posOffset>6859270</wp:posOffset>
            </wp:positionH>
            <wp:positionV relativeFrom="paragraph">
              <wp:posOffset>-3018155</wp:posOffset>
            </wp:positionV>
            <wp:extent cx="57150" cy="584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150" cy="58420"/>
                    </a:xfrm>
                    <a:prstGeom prst="rect">
                      <a:avLst/>
                    </a:prstGeom>
                    <a:noFill/>
                  </pic:spPr>
                </pic:pic>
              </a:graphicData>
            </a:graphic>
          </wp:anchor>
        </w:drawing>
        <w:drawing>
          <wp:anchor simplePos="0" relativeHeight="251657728" behindDoc="1" locked="0" layoutInCell="0" allowOverlap="1">
            <wp:simplePos x="0" y="0"/>
            <wp:positionH relativeFrom="column">
              <wp:posOffset>5340350</wp:posOffset>
            </wp:positionH>
            <wp:positionV relativeFrom="paragraph">
              <wp:posOffset>-2252345</wp:posOffset>
            </wp:positionV>
            <wp:extent cx="57150" cy="584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150" cy="58420"/>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-1920240</wp:posOffset>
            </wp:positionV>
            <wp:extent cx="57150" cy="584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150" cy="58420"/>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-1588135</wp:posOffset>
            </wp:positionV>
            <wp:extent cx="57150" cy="584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150" cy="58420"/>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-1588135</wp:posOffset>
            </wp:positionV>
            <wp:extent cx="57150" cy="584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150" cy="58420"/>
                    </a:xfrm>
                    <a:prstGeom prst="rect">
                      <a:avLst/>
                    </a:prstGeom>
                    <a:noFill/>
                  </pic:spPr>
                </pic:pic>
              </a:graphicData>
            </a:graphic>
          </wp:anchor>
        </w:drawing>
        <w:drawing>
          <wp:anchor simplePos="0" relativeHeight="251657728" behindDoc="1" locked="0" layoutInCell="0" allowOverlap="1">
            <wp:simplePos x="0" y="0"/>
            <wp:positionH relativeFrom="column">
              <wp:posOffset>6859270</wp:posOffset>
            </wp:positionH>
            <wp:positionV relativeFrom="paragraph">
              <wp:posOffset>-1588135</wp:posOffset>
            </wp:positionV>
            <wp:extent cx="57150" cy="584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150" cy="58420"/>
                    </a:xfrm>
                    <a:prstGeom prst="rect">
                      <a:avLst/>
                    </a:prstGeom>
                    <a:noFill/>
                  </pic:spPr>
                </pic:pic>
              </a:graphicData>
            </a:graphic>
          </wp:anchor>
        </w:drawing>
        <w:drawing>
          <wp:anchor simplePos="0" relativeHeight="251657728" behindDoc="1" locked="0" layoutInCell="0" allowOverlap="1">
            <wp:simplePos x="0" y="0"/>
            <wp:positionH relativeFrom="column">
              <wp:posOffset>5340350</wp:posOffset>
            </wp:positionH>
            <wp:positionV relativeFrom="paragraph">
              <wp:posOffset>-1264920</wp:posOffset>
            </wp:positionV>
            <wp:extent cx="57150" cy="584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150" cy="58420"/>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-1264920</wp:posOffset>
            </wp:positionV>
            <wp:extent cx="57150" cy="584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150" cy="58420"/>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-923925</wp:posOffset>
            </wp:positionV>
            <wp:extent cx="57150" cy="584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150" cy="58420"/>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-923925</wp:posOffset>
            </wp:positionV>
            <wp:extent cx="57150" cy="584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150" cy="58420"/>
                    </a:xfrm>
                    <a:prstGeom prst="rect">
                      <a:avLst/>
                    </a:prstGeom>
                    <a:noFill/>
                  </pic:spPr>
                </pic:pic>
              </a:graphicData>
            </a:graphic>
          </wp:anchor>
        </w:drawing>
        <w:drawing>
          <wp:anchor simplePos="0" relativeHeight="251657728" behindDoc="1" locked="0" layoutInCell="0" allowOverlap="1">
            <wp:simplePos x="0" y="0"/>
            <wp:positionH relativeFrom="column">
              <wp:posOffset>5340350</wp:posOffset>
            </wp:positionH>
            <wp:positionV relativeFrom="paragraph">
              <wp:posOffset>-583565</wp:posOffset>
            </wp:positionV>
            <wp:extent cx="57150" cy="584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150" cy="58420"/>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-583565</wp:posOffset>
            </wp:positionV>
            <wp:extent cx="57150" cy="584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150" cy="58420"/>
                    </a:xfrm>
                    <a:prstGeom prst="rect">
                      <a:avLst/>
                    </a:prstGeom>
                    <a:noFill/>
                  </pic:spPr>
                </pic:pic>
              </a:graphicData>
            </a:graphic>
          </wp:anchor>
        </w:drawing>
        <w:drawing>
          <wp:anchor simplePos="0" relativeHeight="251657728" behindDoc="1" locked="0" layoutInCell="0" allowOverlap="1">
            <wp:simplePos x="0" y="0"/>
            <wp:positionH relativeFrom="column">
              <wp:posOffset>6859270</wp:posOffset>
            </wp:positionH>
            <wp:positionV relativeFrom="paragraph">
              <wp:posOffset>-583565</wp:posOffset>
            </wp:positionV>
            <wp:extent cx="57150" cy="584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150" cy="58420"/>
                    </a:xfrm>
                    <a:prstGeom prst="rect">
                      <a:avLst/>
                    </a:prstGeom>
                    <a:noFill/>
                  </pic:spPr>
                </pic:pic>
              </a:graphicData>
            </a:graphic>
          </wp:anchor>
        </w:drawing>
        <w:drawing>
          <wp:anchor simplePos="0" relativeHeight="251657728" behindDoc="1" locked="0" layoutInCell="0" allowOverlap="1">
            <wp:simplePos x="0" y="0"/>
            <wp:positionH relativeFrom="column">
              <wp:posOffset>3858895</wp:posOffset>
            </wp:positionH>
            <wp:positionV relativeFrom="paragraph">
              <wp:posOffset>-268605</wp:posOffset>
            </wp:positionV>
            <wp:extent cx="57150" cy="584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150" cy="5842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84455</wp:posOffset>
            </wp:positionV>
            <wp:extent cx="6060440" cy="502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60440" cy="50228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Executive Compensation Program Objectives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Our executive compensation philosophy is to maintain a program that allows us to attract,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retain, motivate and reward highly qualified and talented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90170</wp:posOffset>
            </wp:positionV>
            <wp:extent cx="6052185" cy="4679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52185" cy="46799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p>
      <w:pPr>
        <w:spacing w:after="0" w:line="187" w:lineRule="exact"/>
        <w:rPr>
          <w:sz w:val="20"/>
          <w:szCs w:val="20"/>
          <w:color w:val="auto"/>
        </w:rPr>
      </w:pPr>
    </w:p>
    <w:p>
      <w:pPr>
        <w:jc w:val="center"/>
        <w:ind w:left="1040"/>
        <w:spacing w:after="0"/>
        <w:rPr>
          <w:sz w:val="20"/>
          <w:szCs w:val="20"/>
          <w:color w:val="auto"/>
        </w:rPr>
      </w:pPr>
      <w:r>
        <w:rPr>
          <w:rFonts w:ascii="Arial" w:cs="Arial" w:eastAsia="Arial" w:hAnsi="Arial"/>
          <w:sz w:val="17"/>
          <w:szCs w:val="17"/>
          <w:b w:val="1"/>
          <w:bCs w:val="1"/>
          <w:color w:val="FF0000"/>
        </w:rPr>
        <w:t>Align interests of executive</w:t>
      </w:r>
    </w:p>
    <w:p>
      <w:pPr>
        <w:spacing w:after="0" w:line="22"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FF0000"/>
        </w:rPr>
        <w:t>officers with shareholder</w:t>
      </w:r>
    </w:p>
    <w:p>
      <w:pPr>
        <w:jc w:val="center"/>
        <w:ind w:left="1040"/>
        <w:spacing w:after="0"/>
        <w:rPr>
          <w:sz w:val="20"/>
          <w:szCs w:val="20"/>
          <w:color w:val="auto"/>
        </w:rPr>
      </w:pPr>
      <w:r>
        <w:rPr>
          <w:rFonts w:ascii="Arial" w:cs="Arial" w:eastAsia="Arial" w:hAnsi="Arial"/>
          <w:sz w:val="18"/>
          <w:szCs w:val="18"/>
          <w:b w:val="1"/>
          <w:bCs w:val="1"/>
          <w:color w:val="FF0000"/>
        </w:rPr>
        <w:t>interests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FF0000"/>
        </w:rPr>
        <w:t>Link pay to</w:t>
      </w:r>
    </w:p>
    <w:p>
      <w:pPr>
        <w:spacing w:after="0" w:line="16" w:lineRule="exact"/>
        <w:rPr>
          <w:sz w:val="20"/>
          <w:szCs w:val="20"/>
          <w:color w:val="auto"/>
        </w:rPr>
      </w:pPr>
    </w:p>
    <w:p>
      <w:pPr>
        <w:jc w:val="center"/>
        <w:ind w:right="520"/>
        <w:spacing w:after="0"/>
        <w:rPr>
          <w:sz w:val="20"/>
          <w:szCs w:val="20"/>
          <w:color w:val="auto"/>
        </w:rPr>
      </w:pPr>
      <w:r>
        <w:rPr>
          <w:rFonts w:ascii="Arial" w:cs="Arial" w:eastAsia="Arial" w:hAnsi="Arial"/>
          <w:sz w:val="17"/>
          <w:szCs w:val="17"/>
          <w:b w:val="1"/>
          <w:bCs w:val="1"/>
          <w:color w:val="FF0000"/>
        </w:rPr>
        <w:t>performance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1600"/>
        <w:spacing w:after="0"/>
        <w:rPr>
          <w:sz w:val="20"/>
          <w:szCs w:val="20"/>
          <w:color w:val="auto"/>
        </w:rPr>
      </w:pPr>
      <w:r>
        <w:rPr>
          <w:rFonts w:ascii="Arial" w:cs="Arial" w:eastAsia="Arial" w:hAnsi="Arial"/>
          <w:sz w:val="17"/>
          <w:szCs w:val="17"/>
          <w:b w:val="1"/>
          <w:bCs w:val="1"/>
          <w:color w:val="FF0000"/>
        </w:rPr>
        <w:t>Provide competitive target</w:t>
      </w:r>
    </w:p>
    <w:p>
      <w:pPr>
        <w:spacing w:after="0" w:line="22" w:lineRule="exact"/>
        <w:rPr>
          <w:sz w:val="20"/>
          <w:szCs w:val="20"/>
          <w:color w:val="auto"/>
        </w:rPr>
      </w:pPr>
    </w:p>
    <w:p>
      <w:pPr>
        <w:jc w:val="center"/>
        <w:ind w:right="1600"/>
        <w:spacing w:after="0"/>
        <w:rPr>
          <w:sz w:val="20"/>
          <w:szCs w:val="20"/>
          <w:color w:val="auto"/>
        </w:rPr>
      </w:pPr>
      <w:r>
        <w:rPr>
          <w:rFonts w:ascii="Arial" w:cs="Arial" w:eastAsia="Arial" w:hAnsi="Arial"/>
          <w:sz w:val="18"/>
          <w:szCs w:val="18"/>
          <w:b w:val="1"/>
          <w:bCs w:val="1"/>
          <w:color w:val="FF0000"/>
        </w:rPr>
        <w:t>total direct compensation</w:t>
      </w:r>
    </w:p>
    <w:p>
      <w:pPr>
        <w:jc w:val="center"/>
        <w:ind w:right="1600"/>
        <w:spacing w:after="0"/>
        <w:rPr>
          <w:sz w:val="20"/>
          <w:szCs w:val="20"/>
          <w:color w:val="auto"/>
        </w:rPr>
      </w:pPr>
      <w:r>
        <w:rPr>
          <w:rFonts w:ascii="Arial" w:cs="Arial" w:eastAsia="Arial" w:hAnsi="Arial"/>
          <w:sz w:val="18"/>
          <w:szCs w:val="18"/>
          <w:b w:val="1"/>
          <w:bCs w:val="1"/>
          <w:color w:val="FF0000"/>
        </w:rPr>
        <w:t>opportunities</w:t>
      </w:r>
    </w:p>
    <w:p>
      <w:pPr>
        <w:spacing w:after="0" w:line="200" w:lineRule="exact"/>
        <w:rPr>
          <w:sz w:val="20"/>
          <w:szCs w:val="20"/>
          <w:color w:val="auto"/>
        </w:rPr>
      </w:pPr>
    </w:p>
    <w:p>
      <w:pPr>
        <w:sectPr>
          <w:pgSz w:w="11900" w:h="16838" w:orient="portrait"/>
          <w:cols w:equalWidth="0" w:num="3">
            <w:col w:w="4380" w:space="720"/>
            <w:col w:w="1600" w:space="720"/>
            <w:col w:w="3840"/>
          </w:cols>
          <w:pgMar w:left="320" w:top="140" w:right="31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2020 Executive Compensation Summary</w:t>
      </w:r>
    </w:p>
    <w:p>
      <w:pPr>
        <w:spacing w:after="0" w:line="118" w:lineRule="exact"/>
        <w:rPr>
          <w:sz w:val="20"/>
          <w:szCs w:val="20"/>
          <w:color w:val="auto"/>
        </w:rPr>
      </w:pPr>
    </w:p>
    <w:p>
      <w:pPr>
        <w:ind w:right="80" w:firstLine="401"/>
        <w:spacing w:after="0" w:line="236" w:lineRule="auto"/>
        <w:rPr>
          <w:sz w:val="20"/>
          <w:szCs w:val="20"/>
          <w:color w:val="auto"/>
        </w:rPr>
      </w:pPr>
      <w:r>
        <w:rPr>
          <w:rFonts w:ascii="Arial" w:cs="Arial" w:eastAsia="Arial" w:hAnsi="Arial"/>
          <w:sz w:val="18"/>
          <w:szCs w:val="18"/>
          <w:color w:val="auto"/>
        </w:rPr>
        <w:t>A significant portion of our executive officers’ target total direct compensation is comprised of short- and long-term variable performance-based, or at risk, compensation to directly link their pay to performance. Short-term variable compensation is in the form of annual cash incentive awards. Long-term variable compensation is in the form of stock options that vest over three years and three-year performance share awards. For fiscal 2020:</w:t>
      </w:r>
    </w:p>
    <w:p>
      <w:pPr>
        <w:spacing w:after="0" w:line="134" w:lineRule="exact"/>
        <w:rPr>
          <w:sz w:val="20"/>
          <w:szCs w:val="20"/>
          <w:color w:val="auto"/>
        </w:rPr>
      </w:pPr>
    </w:p>
    <w:p>
      <w:pPr>
        <w:ind w:left="2140"/>
        <w:spacing w:after="0"/>
        <w:tabs>
          <w:tab w:leader="none" w:pos="6760" w:val="left"/>
        </w:tabs>
        <w:rPr>
          <w:sz w:val="20"/>
          <w:szCs w:val="20"/>
          <w:color w:val="auto"/>
        </w:rPr>
      </w:pPr>
      <w:r>
        <w:rPr>
          <w:rFonts w:ascii="Arial" w:cs="Arial" w:eastAsia="Arial" w:hAnsi="Arial"/>
          <w:sz w:val="16"/>
          <w:szCs w:val="16"/>
          <w:b w:val="1"/>
          <w:bCs w:val="1"/>
          <w:color w:val="FF0000"/>
        </w:rPr>
        <w:t>Chairman and CEO</w:t>
      </w:r>
      <w:r>
        <w:rPr>
          <w:sz w:val="20"/>
          <w:szCs w:val="20"/>
          <w:color w:val="auto"/>
        </w:rPr>
        <w:tab/>
      </w:r>
      <w:r>
        <w:rPr>
          <w:rFonts w:ascii="Arial" w:cs="Arial" w:eastAsia="Arial" w:hAnsi="Arial"/>
          <w:sz w:val="16"/>
          <w:szCs w:val="16"/>
          <w:b w:val="1"/>
          <w:bCs w:val="1"/>
          <w:color w:val="FF0000"/>
        </w:rPr>
        <w:t>Other Named Executive Officers</w:t>
      </w:r>
    </w:p>
    <w:p>
      <w:pPr>
        <w:spacing w:after="0" w:line="24" w:lineRule="exact"/>
        <w:rPr>
          <w:sz w:val="20"/>
          <w:szCs w:val="20"/>
          <w:color w:val="auto"/>
        </w:rPr>
      </w:pPr>
    </w:p>
    <w:p>
      <w:pPr>
        <w:ind w:left="1440"/>
        <w:spacing w:after="0"/>
        <w:tabs>
          <w:tab w:leader="none" w:pos="6540" w:val="left"/>
        </w:tabs>
        <w:rPr>
          <w:sz w:val="20"/>
          <w:szCs w:val="20"/>
          <w:color w:val="auto"/>
        </w:rPr>
      </w:pPr>
      <w:r>
        <w:rPr>
          <w:rFonts w:ascii="Arial" w:cs="Arial" w:eastAsia="Arial" w:hAnsi="Arial"/>
          <w:sz w:val="16"/>
          <w:szCs w:val="16"/>
          <w:b w:val="1"/>
          <w:bCs w:val="1"/>
          <w:color w:val="FF0000"/>
        </w:rPr>
        <w:t>Target Total Direct Compensation Mix</w:t>
      </w:r>
      <w:r>
        <w:rPr>
          <w:sz w:val="20"/>
          <w:szCs w:val="20"/>
          <w:color w:val="auto"/>
        </w:rPr>
        <w:tab/>
      </w:r>
      <w:r>
        <w:rPr>
          <w:rFonts w:ascii="Arial" w:cs="Arial" w:eastAsia="Arial" w:hAnsi="Arial"/>
          <w:sz w:val="15"/>
          <w:szCs w:val="15"/>
          <w:b w:val="1"/>
          <w:bCs w:val="1"/>
          <w:color w:val="FF0000"/>
        </w:rPr>
        <w:t>Target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1270</wp:posOffset>
            </wp:positionV>
            <wp:extent cx="5549900" cy="1787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49900" cy="178752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-696595</wp:posOffset>
            </wp:positionV>
            <wp:extent cx="1038225" cy="17792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38225" cy="177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FFFFFF"/>
        </w:rPr>
        <w:t>What we</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FFFFFF"/>
        </w:rPr>
        <w:t>don’t do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40" w:right="560" w:hanging="230"/>
        <w:spacing w:after="0"/>
        <w:tabs>
          <w:tab w:leader="none" w:pos="24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Link a substantial portion of total executive compensation directly to performance and require that minimum, or threshold, levels of performance be met in order for there to be any payout</w:t>
      </w:r>
    </w:p>
    <w:p>
      <w:pPr>
        <w:spacing w:after="0" w:line="68" w:lineRule="exact"/>
        <w:rPr>
          <w:rFonts w:ascii="MS PGothic" w:cs="MS PGothic" w:eastAsia="MS PGothic" w:hAnsi="MS PGothic"/>
          <w:sz w:val="18"/>
          <w:szCs w:val="18"/>
          <w:color w:val="auto"/>
        </w:rPr>
      </w:pPr>
    </w:p>
    <w:p>
      <w:pPr>
        <w:ind w:left="240" w:right="80" w:hanging="230"/>
        <w:spacing w:after="0"/>
        <w:tabs>
          <w:tab w:leader="none" w:pos="24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Utilize a mix of earnings, revenue and asset-based performance measures for our annual cash incentive awards and long-term performance share awards</w:t>
      </w:r>
    </w:p>
    <w:p>
      <w:pPr>
        <w:spacing w:after="0" w:line="68" w:lineRule="exact"/>
        <w:rPr>
          <w:rFonts w:ascii="MS PGothic" w:cs="MS PGothic" w:eastAsia="MS PGothic" w:hAnsi="MS PGothic"/>
          <w:sz w:val="18"/>
          <w:szCs w:val="18"/>
          <w:color w:val="auto"/>
        </w:rPr>
      </w:pPr>
    </w:p>
    <w:p>
      <w:pPr>
        <w:ind w:left="240" w:right="280" w:hanging="230"/>
        <w:spacing w:after="0"/>
        <w:tabs>
          <w:tab w:leader="none" w:pos="24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Utilize three-year performance share awards, the payouts of which vary based on performance and are contingent upon the achievement of three-year performance goals</w:t>
      </w:r>
    </w:p>
    <w:p>
      <w:pPr>
        <w:ind w:left="240" w:hanging="230"/>
        <w:spacing w:after="0" w:line="227" w:lineRule="auto"/>
        <w:tabs>
          <w:tab w:leader="none" w:pos="240" w:val="left"/>
        </w:tabs>
        <w:numPr>
          <w:ilvl w:val="0"/>
          <w:numId w:val="9"/>
        </w:numPr>
        <w:rPr>
          <w:rFonts w:ascii="MS PGothic" w:cs="MS PGothic" w:eastAsia="MS PGothic" w:hAnsi="MS PGothic"/>
          <w:sz w:val="34"/>
          <w:szCs w:val="34"/>
          <w:color w:val="auto"/>
          <w:vertAlign w:val="superscript"/>
        </w:rPr>
      </w:pPr>
      <w:r>
        <w:rPr>
          <w:rFonts w:ascii="Arial" w:cs="Arial" w:eastAsia="Arial" w:hAnsi="Arial"/>
          <w:sz w:val="17"/>
          <w:szCs w:val="17"/>
          <w:color w:val="auto"/>
        </w:rPr>
        <w:t>Utilize stock options, the value of which is contingent upon long-term stock price performance</w:t>
      </w:r>
    </w:p>
    <w:p>
      <w:pPr>
        <w:spacing w:after="0" w:line="108" w:lineRule="exact"/>
        <w:rPr>
          <w:rFonts w:ascii="MS PGothic" w:cs="MS PGothic" w:eastAsia="MS PGothic" w:hAnsi="MS PGothic"/>
          <w:sz w:val="34"/>
          <w:szCs w:val="34"/>
          <w:color w:val="auto"/>
          <w:vertAlign w:val="superscript"/>
        </w:rPr>
      </w:pPr>
    </w:p>
    <w:p>
      <w:pPr>
        <w:ind w:left="240" w:hanging="230"/>
        <w:spacing w:after="0" w:line="183" w:lineRule="auto"/>
        <w:tabs>
          <w:tab w:leader="none" w:pos="240" w:val="left"/>
        </w:tabs>
        <w:numPr>
          <w:ilvl w:val="0"/>
          <w:numId w:val="9"/>
        </w:numPr>
        <w:rPr>
          <w:rFonts w:ascii="MS PGothic" w:cs="MS PGothic" w:eastAsia="MS PGothic" w:hAnsi="MS PGothic"/>
          <w:sz w:val="28"/>
          <w:szCs w:val="28"/>
          <w:color w:val="auto"/>
          <w:vertAlign w:val="superscript"/>
        </w:rPr>
      </w:pPr>
      <w:r>
        <w:rPr>
          <w:rFonts w:ascii="Arial" w:cs="Arial" w:eastAsia="Arial" w:hAnsi="Arial"/>
          <w:sz w:val="15"/>
          <w:szCs w:val="15"/>
          <w:color w:val="auto"/>
        </w:rPr>
        <w:t>Include clawback provisions within our annual cash incentive and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wp:posOffset>
            </wp:positionV>
            <wp:extent cx="609473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94730" cy="1714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-1257300</wp:posOffset>
            </wp:positionV>
            <wp:extent cx="63500" cy="654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500" cy="6540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-951230</wp:posOffset>
            </wp:positionV>
            <wp:extent cx="63500" cy="654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500" cy="6540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-644525</wp:posOffset>
            </wp:positionV>
            <wp:extent cx="63500" cy="654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500" cy="6540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-338455</wp:posOffset>
            </wp:positionV>
            <wp:extent cx="63500" cy="654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500" cy="6540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-133985</wp:posOffset>
            </wp:positionV>
            <wp:extent cx="63500" cy="654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500" cy="6540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sz w:val="1"/>
          <w:szCs w:val="1"/>
          <w:color w:val="auto"/>
        </w:rPr>
        <w:drawing>
          <wp:inline distT="0" distB="0" distL="0" distR="0">
            <wp:extent cx="110490" cy="10223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0490" cy="102235"/>
                    </a:xfrm>
                    <a:prstGeom prst="rect">
                      <a:avLst/>
                    </a:prstGeom>
                    <a:noFill/>
                    <a:ln>
                      <a:noFill/>
                    </a:ln>
                  </pic:spPr>
                </pic:pic>
              </a:graphicData>
            </a:graphic>
          </wp:inline>
        </w:drawing>
      </w:r>
      <w:r>
        <w:rPr>
          <w:rFonts w:ascii="Arial" w:cs="Arial" w:eastAsia="Arial" w:hAnsi="Arial"/>
          <w:sz w:val="18"/>
          <w:szCs w:val="18"/>
          <w:color w:val="auto"/>
        </w:rPr>
        <w:t xml:space="preserve"> No individual employment agreements with our CEO or any other executive officer</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10490" cy="10223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0490" cy="102235"/>
                    </a:xfrm>
                    <a:prstGeom prst="rect">
                      <a:avLst/>
                    </a:prstGeom>
                    <a:noFill/>
                    <a:ln>
                      <a:noFill/>
                    </a:ln>
                  </pic:spPr>
                </pic:pic>
              </a:graphicData>
            </a:graphic>
          </wp:inline>
        </w:drawing>
      </w:r>
      <w:r>
        <w:rPr>
          <w:rFonts w:ascii="Arial" w:cs="Arial" w:eastAsia="Arial" w:hAnsi="Arial"/>
          <w:sz w:val="18"/>
          <w:szCs w:val="18"/>
          <w:color w:val="auto"/>
        </w:rPr>
        <w:t xml:space="preserve"> No excessive perquisites</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10490" cy="10223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0490" cy="102235"/>
                    </a:xfrm>
                    <a:prstGeom prst="rect">
                      <a:avLst/>
                    </a:prstGeom>
                    <a:noFill/>
                    <a:ln>
                      <a:noFill/>
                    </a:ln>
                  </pic:spPr>
                </pic:pic>
              </a:graphicData>
            </a:graphic>
          </wp:inline>
        </w:drawing>
      </w:r>
      <w:r>
        <w:rPr>
          <w:rFonts w:ascii="Arial" w:cs="Arial" w:eastAsia="Arial" w:hAnsi="Arial"/>
          <w:sz w:val="17"/>
          <w:szCs w:val="17"/>
          <w:color w:val="auto"/>
        </w:rPr>
        <w:t xml:space="preserve"> No gross-up payments to cover personal income taxes or excise taxes that pertain to executive or severance benefits</w:t>
      </w:r>
    </w:p>
    <w:p>
      <w:pPr>
        <w:spacing w:after="0" w:line="170" w:lineRule="exact"/>
        <w:rPr>
          <w:sz w:val="20"/>
          <w:szCs w:val="20"/>
          <w:color w:val="auto"/>
        </w:rPr>
      </w:pPr>
    </w:p>
    <w:p>
      <w:pPr>
        <w:sectPr>
          <w:pgSz w:w="11900" w:h="16838" w:orient="portrait"/>
          <w:cols w:equalWidth="0" w:num="2">
            <w:col w:w="1320" w:space="400"/>
            <w:col w:w="9540"/>
          </w:cols>
          <w:pgMar w:left="320" w:top="140" w:right="31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Our fiscal 2020 financial performance resulted in the following:</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9800" w:type="dxa"/>
            <w:vAlign w:val="bottom"/>
            <w:tcBorders>
              <w:top w:val="single" w:sz="8" w:color="auto"/>
              <w:left w:val="single" w:sz="8" w:color="auto"/>
              <w:bottom w:val="single" w:sz="8" w:color="auto"/>
            </w:tcBorders>
            <w:shd w:val="clear" w:color="auto" w:fill="D9D9D9"/>
          </w:tcPr>
          <w:p>
            <w:pPr>
              <w:ind w:left="60"/>
              <w:spacing w:after="0"/>
              <w:rPr>
                <w:sz w:val="20"/>
                <w:szCs w:val="20"/>
                <w:color w:val="auto"/>
              </w:rPr>
            </w:pPr>
            <w:r>
              <w:rPr>
                <w:rFonts w:ascii="Arial" w:cs="Arial" w:eastAsia="Arial" w:hAnsi="Arial"/>
                <w:sz w:val="18"/>
                <w:szCs w:val="18"/>
                <w:color w:val="auto"/>
              </w:rPr>
              <w:t>Annual cash incentives were paid at 30.7% of target.</w:t>
            </w:r>
          </w:p>
        </w:tc>
        <w:tc>
          <w:tcPr>
            <w:tcW w:w="1460" w:type="dxa"/>
            <w:vAlign w:val="bottom"/>
            <w:tcBorders>
              <w:top w:val="single" w:sz="8" w:color="auto"/>
              <w:bottom w:val="single" w:sz="8" w:color="auto"/>
              <w:right w:val="single" w:sz="8" w:color="auto"/>
            </w:tcBorders>
            <w:shd w:val="clear" w:color="auto" w:fill="D9D9D9"/>
          </w:tcPr>
          <w:p>
            <w:pPr>
              <w:ind w:left="760"/>
              <w:spacing w:after="0"/>
              <w:rPr>
                <w:sz w:val="20"/>
                <w:szCs w:val="20"/>
                <w:color w:val="auto"/>
              </w:rPr>
            </w:pPr>
            <w:r>
              <w:rPr>
                <w:rFonts w:ascii="Arial" w:cs="Arial" w:eastAsia="Arial" w:hAnsi="Arial"/>
                <w:sz w:val="18"/>
                <w:szCs w:val="18"/>
                <w:color w:val="auto"/>
                <w:w w:val="98"/>
              </w:rPr>
              <w:t>Page 31</w:t>
            </w:r>
          </w:p>
        </w:tc>
      </w:tr>
      <w:tr>
        <w:trPr>
          <w:trHeight w:val="80"/>
        </w:trPr>
        <w:tc>
          <w:tcPr>
            <w:tcW w:w="980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261"/>
        </w:trPr>
        <w:tc>
          <w:tcPr>
            <w:tcW w:w="9800" w:type="dxa"/>
            <w:vAlign w:val="bottom"/>
            <w:tcBorders>
              <w:left w:val="single" w:sz="8" w:color="auto"/>
              <w:bottom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Three-year performance awards for the fiscal 2018 to fiscal 2020 performance period were paid at 68.6% of target.</w:t>
            </w:r>
          </w:p>
        </w:tc>
        <w:tc>
          <w:tcPr>
            <w:tcW w:w="1460" w:type="dxa"/>
            <w:vAlign w:val="bottom"/>
            <w:tcBorders>
              <w:bottom w:val="single" w:sz="8" w:color="auto"/>
              <w:right w:val="single" w:sz="8" w:color="auto"/>
            </w:tcBorders>
            <w:shd w:val="clear" w:color="auto" w:fill="D9D9D9"/>
          </w:tcPr>
          <w:p>
            <w:pPr>
              <w:ind w:left="760"/>
              <w:spacing w:after="0"/>
              <w:rPr>
                <w:sz w:val="20"/>
                <w:szCs w:val="20"/>
                <w:color w:val="auto"/>
              </w:rPr>
            </w:pPr>
            <w:r>
              <w:rPr>
                <w:rFonts w:ascii="Arial" w:cs="Arial" w:eastAsia="Arial" w:hAnsi="Arial"/>
                <w:sz w:val="18"/>
                <w:szCs w:val="18"/>
                <w:color w:val="auto"/>
                <w:w w:val="98"/>
              </w:rPr>
              <w:t>Page 31</w:t>
            </w:r>
          </w:p>
        </w:tc>
      </w:tr>
      <w:tr>
        <w:trPr>
          <w:trHeight w:val="770"/>
        </w:trPr>
        <w:tc>
          <w:tcPr>
            <w:tcW w:w="9800" w:type="dxa"/>
            <w:vAlign w:val="bottom"/>
          </w:tcPr>
          <w:p>
            <w:pPr>
              <w:ind w:left="5560"/>
              <w:spacing w:after="0"/>
              <w:rPr>
                <w:sz w:val="20"/>
                <w:szCs w:val="20"/>
                <w:color w:val="auto"/>
              </w:rPr>
            </w:pPr>
            <w:r>
              <w:rPr>
                <w:rFonts w:ascii="Arial" w:cs="Arial" w:eastAsia="Arial" w:hAnsi="Arial"/>
                <w:sz w:val="18"/>
                <w:szCs w:val="18"/>
                <w:color w:val="auto"/>
              </w:rPr>
              <w:t>ix</w:t>
            </w:r>
          </w:p>
        </w:tc>
        <w:tc>
          <w:tcPr>
            <w:tcW w:w="1460" w:type="dxa"/>
            <w:vAlign w:val="bottom"/>
          </w:tcPr>
          <w:p>
            <w:pPr>
              <w:spacing w:after="0"/>
              <w:rPr>
                <w:sz w:val="24"/>
                <w:szCs w:val="24"/>
                <w:color w:val="auto"/>
              </w:rPr>
            </w:pPr>
          </w:p>
        </w:tc>
      </w:tr>
      <w:tr>
        <w:trPr>
          <w:trHeight w:val="102"/>
        </w:trPr>
        <w:tc>
          <w:tcPr>
            <w:tcW w:w="98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center"/>
        <w:ind w:right="-39"/>
        <w:spacing w:after="0"/>
        <w:rPr>
          <w:sz w:val="20"/>
          <w:szCs w:val="20"/>
          <w:color w:val="auto"/>
        </w:rPr>
      </w:pPr>
      <w:r>
        <w:rPr>
          <w:rFonts w:ascii="Arial" w:cs="Arial" w:eastAsia="Arial" w:hAnsi="Arial"/>
          <w:sz w:val="25"/>
          <w:szCs w:val="25"/>
          <w:b w:val="1"/>
          <w:bCs w:val="1"/>
          <w:color w:val="FF0000"/>
        </w:rPr>
        <w:t>THE TORO COMPANY</w:t>
      </w:r>
    </w:p>
    <w:p>
      <w:pPr>
        <w:jc w:val="center"/>
        <w:ind w:right="-39"/>
        <w:spacing w:after="0"/>
        <w:rPr>
          <w:sz w:val="20"/>
          <w:szCs w:val="20"/>
          <w:color w:val="auto"/>
        </w:rPr>
      </w:pPr>
      <w:r>
        <w:rPr>
          <w:rFonts w:ascii="Arial" w:cs="Arial" w:eastAsia="Arial" w:hAnsi="Arial"/>
          <w:sz w:val="18"/>
          <w:szCs w:val="18"/>
          <w:color w:val="auto"/>
        </w:rPr>
        <w:t>8111 Lyndale Avenue South</w:t>
      </w:r>
    </w:p>
    <w:p>
      <w:pPr>
        <w:jc w:val="center"/>
        <w:ind w:right="-39"/>
        <w:spacing w:after="0"/>
        <w:rPr>
          <w:sz w:val="20"/>
          <w:szCs w:val="20"/>
          <w:color w:val="auto"/>
        </w:rPr>
      </w:pPr>
      <w:r>
        <w:rPr>
          <w:rFonts w:ascii="Arial" w:cs="Arial" w:eastAsia="Arial" w:hAnsi="Arial"/>
          <w:sz w:val="18"/>
          <w:szCs w:val="18"/>
          <w:color w:val="auto"/>
        </w:rPr>
        <w:t>Bloomington, Minnesota 55420-1196</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FF0000"/>
        </w:rPr>
        <w:t>PROXY STATEMENT</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2021 ANNUAL MEETING OF SHAREHOLDERS</w:t>
      </w:r>
    </w:p>
    <w:p>
      <w:pPr>
        <w:jc w:val="center"/>
        <w:ind w:right="-39"/>
        <w:spacing w:after="0" w:line="233" w:lineRule="auto"/>
        <w:rPr>
          <w:sz w:val="20"/>
          <w:szCs w:val="20"/>
          <w:color w:val="auto"/>
        </w:rPr>
      </w:pPr>
      <w:r>
        <w:rPr>
          <w:rFonts w:ascii="Arial" w:cs="Arial" w:eastAsia="Arial" w:hAnsi="Arial"/>
          <w:sz w:val="18"/>
          <w:szCs w:val="18"/>
          <w:color w:val="auto"/>
        </w:rPr>
        <w:t>TUESDAY, MARCH 16, 2021</w:t>
      </w:r>
    </w:p>
    <w:p>
      <w:pPr>
        <w:jc w:val="center"/>
        <w:ind w:right="-39"/>
        <w:spacing w:after="0"/>
        <w:rPr>
          <w:sz w:val="20"/>
          <w:szCs w:val="20"/>
          <w:color w:val="auto"/>
        </w:rPr>
      </w:pPr>
      <w:r>
        <w:rPr>
          <w:rFonts w:ascii="Arial" w:cs="Arial" w:eastAsia="Arial" w:hAnsi="Arial"/>
          <w:sz w:val="18"/>
          <w:szCs w:val="18"/>
          <w:color w:val="auto"/>
        </w:rPr>
        <w:t>1:30 p.m. Central Daylight Time</w:t>
      </w:r>
    </w:p>
    <w:p>
      <w:pPr>
        <w:spacing w:after="0" w:line="209" w:lineRule="exact"/>
        <w:rPr>
          <w:sz w:val="20"/>
          <w:szCs w:val="20"/>
          <w:color w:val="auto"/>
        </w:rPr>
      </w:pPr>
    </w:p>
    <w:p>
      <w:pPr>
        <w:ind w:right="80" w:firstLine="401"/>
        <w:spacing w:after="0" w:line="236" w:lineRule="auto"/>
        <w:rPr>
          <w:sz w:val="20"/>
          <w:szCs w:val="20"/>
          <w:color w:val="auto"/>
        </w:rPr>
      </w:pPr>
      <w:r>
        <w:rPr>
          <w:rFonts w:ascii="Arial" w:cs="Arial" w:eastAsia="Arial" w:hAnsi="Arial"/>
          <w:sz w:val="18"/>
          <w:szCs w:val="18"/>
          <w:color w:val="auto"/>
        </w:rPr>
        <w:t>The Toro Company Board of Directors is using this proxy statement to solicit your proxy for use at The Toro Company 2021 Annual Meeting of Shareholders. We intend to send a Notice Regarding the Availability of Proxy Materials for the annual meeting and make proxy materials available to shareholders (or for certain shareholders and for those who request, a paper copy of this proxy statement and the form of proxy) on or about February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7133590" cy="195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3590" cy="195580"/>
                    </a:xfrm>
                    <a:prstGeom prst="rect">
                      <a:avLst/>
                    </a:prstGeom>
                    <a:noFill/>
                  </pic:spPr>
                </pic:pic>
              </a:graphicData>
            </a:graphic>
          </wp:anchor>
        </w:drawing>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FFFFFF"/>
        </w:rPr>
        <w:t>GENERAL INFORMATION ABOUT THE 2021 ANNUAL MEETING AND VOTING</w:t>
      </w:r>
    </w:p>
    <w:p>
      <w:pPr>
        <w:spacing w:after="0" w:line="139" w:lineRule="exact"/>
        <w:rPr>
          <w:sz w:val="20"/>
          <w:szCs w:val="20"/>
          <w:color w:val="auto"/>
        </w:rPr>
      </w:pPr>
    </w:p>
    <w:p>
      <w:pPr>
        <w:ind w:right="520"/>
        <w:spacing w:after="0" w:line="255" w:lineRule="auto"/>
        <w:rPr>
          <w:sz w:val="20"/>
          <w:szCs w:val="20"/>
          <w:color w:val="auto"/>
        </w:rPr>
      </w:pPr>
      <w:r>
        <w:rPr>
          <w:rFonts w:ascii="Arial" w:cs="Arial" w:eastAsia="Arial" w:hAnsi="Arial"/>
          <w:sz w:val="20"/>
          <w:szCs w:val="20"/>
          <w:b w:val="1"/>
          <w:bCs w:val="1"/>
          <w:color w:val="FF0000"/>
        </w:rPr>
        <w:t>Important Notice Regarding the Availability of Proxy Materials for the Shareholder Meeting To Be Held on Tuesday, March 16, 2021.</w:t>
      </w:r>
    </w:p>
    <w:p>
      <w:pPr>
        <w:spacing w:after="0" w:line="74" w:lineRule="exact"/>
        <w:rPr>
          <w:sz w:val="20"/>
          <w:szCs w:val="20"/>
          <w:color w:val="auto"/>
        </w:rPr>
      </w:pPr>
    </w:p>
    <w:p>
      <w:pPr>
        <w:ind w:firstLine="401"/>
        <w:spacing w:after="0"/>
        <w:rPr>
          <w:sz w:val="20"/>
          <w:szCs w:val="20"/>
          <w:color w:val="auto"/>
        </w:rPr>
      </w:pPr>
      <w:r>
        <w:rPr>
          <w:rFonts w:ascii="Arial" w:cs="Arial" w:eastAsia="Arial" w:hAnsi="Arial"/>
          <w:sz w:val="18"/>
          <w:szCs w:val="18"/>
          <w:color w:val="auto"/>
        </w:rPr>
        <w:t>This proxy statement and our 2020 Annual Report, which includes our Annual Report on Form 10-K for the fiscal year ended October 31, 2020, or fiscal 2020, are available at www.thetorocompany.com/proxy.</w:t>
      </w:r>
    </w:p>
    <w:p>
      <w:pPr>
        <w:spacing w:after="0" w:line="95" w:lineRule="exact"/>
        <w:rPr>
          <w:sz w:val="20"/>
          <w:szCs w:val="20"/>
          <w:color w:val="auto"/>
        </w:rPr>
      </w:pPr>
    </w:p>
    <w:p>
      <w:pPr>
        <w:ind w:right="40" w:firstLine="401"/>
        <w:spacing w:after="0" w:line="235" w:lineRule="auto"/>
        <w:rPr>
          <w:sz w:val="20"/>
          <w:szCs w:val="20"/>
          <w:color w:val="auto"/>
        </w:rPr>
      </w:pPr>
      <w:r>
        <w:rPr>
          <w:rFonts w:ascii="Arial" w:cs="Arial" w:eastAsia="Arial" w:hAnsi="Arial"/>
          <w:sz w:val="18"/>
          <w:szCs w:val="18"/>
          <w:color w:val="auto"/>
        </w:rPr>
        <w:t>Pursuant to rules adopted by the SEC, we have elected to provide access to our proxy materials over the Internet. Accordingly, we are sending a Notice Regarding the Availability of Proxy Materials to some of our shareholders. Shareholders have the ability to access our proxy materials on the website referred to in the Notice Regarding the Availability of Proxy Materials (www.proxyvote.com) or request to receive a printed set of our proxy materials. Instructions on how to access our proxy materials over the Internet or request a printed copy of our proxy materials may be found in the Notice Regarding the Availability of Proxy Materials. In addition, shareholders may request to receive proxy materials in printed form by mail or electronically by e-mail on an ongoing basis.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When and Where Will the Annual Meeting Be Held?</w:t>
      </w:r>
    </w:p>
    <w:p>
      <w:pPr>
        <w:spacing w:after="0" w:line="226" w:lineRule="exact"/>
        <w:rPr>
          <w:sz w:val="20"/>
          <w:szCs w:val="20"/>
          <w:color w:val="auto"/>
        </w:rPr>
      </w:pPr>
    </w:p>
    <w:p>
      <w:pPr>
        <w:ind w:right="20" w:firstLine="401"/>
        <w:spacing w:after="0" w:line="236" w:lineRule="auto"/>
        <w:rPr>
          <w:sz w:val="20"/>
          <w:szCs w:val="20"/>
          <w:color w:val="auto"/>
        </w:rPr>
      </w:pPr>
      <w:r>
        <w:rPr>
          <w:rFonts w:ascii="Arial" w:cs="Arial" w:eastAsia="Arial" w:hAnsi="Arial"/>
          <w:sz w:val="18"/>
          <w:szCs w:val="18"/>
          <w:color w:val="auto"/>
        </w:rPr>
        <w:t>The annual meeting will be held virtually, on Tuesday, March 16, 2021 at 1:30 p.m. Central Daylight Time, at www.virtualshareholdermeeting.com/TTC2021. In addition to providing a platform that facilitates the safe execution of the annual meeting in the current COVID-19 environment, the Board believes that holding the annual meeting of stockholders in a virtual format provides the opportunity for participation by a broader group of shareholders, while reducing the costs and environmental impact associated with planning, holding and arranging logistics for an in-person meeting.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How Can I Attend the Virtual Annual Meeting?</w:t>
      </w:r>
    </w:p>
    <w:p>
      <w:pPr>
        <w:spacing w:after="0" w:line="226" w:lineRule="exact"/>
        <w:rPr>
          <w:sz w:val="20"/>
          <w:szCs w:val="20"/>
          <w:color w:val="auto"/>
        </w:rPr>
      </w:pPr>
    </w:p>
    <w:p>
      <w:pPr>
        <w:ind w:right="20" w:firstLine="401"/>
        <w:spacing w:after="0" w:line="234" w:lineRule="auto"/>
        <w:rPr>
          <w:sz w:val="20"/>
          <w:szCs w:val="20"/>
          <w:color w:val="auto"/>
        </w:rPr>
      </w:pPr>
      <w:r>
        <w:rPr>
          <w:rFonts w:ascii="Arial" w:cs="Arial" w:eastAsia="Arial" w:hAnsi="Arial"/>
          <w:sz w:val="18"/>
          <w:szCs w:val="18"/>
          <w:color w:val="auto"/>
        </w:rPr>
        <w:t>Shareholders at the close of business on the record date may attend the annual meeting by visiting www.virtualshareholdermeeting.com/TTC2021 and logging in with the 16-digit control number included on your proxy card, voting instruction form or Notice Regarding the Availability of Proxy Materials. On the day of our annual meeting, we recommend that you log into our virtual meeting at least 15 minutes before the scheduled start time to ensure that you can access the meeting. If you have any questions about accessing the virtual meeting website for the annual meeting, please contact Broadridge VSM support at 844-986-0822 / International: 303-562-9302. If you encounter any technical difficulties with the virtual meeting during the log in or meeting time, please call the technical support number that will be posted on the virtual meeting log in page. Rules governing the conduct of the annual meeting will be posted on the virtual meeting platform along with an agenda.</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What Are the Purposes of the Annual Meeting?</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purposes of the 2021 Annual Meeting of Shareholders are to vote on the following items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73660</wp:posOffset>
            </wp:positionV>
            <wp:extent cx="7133590" cy="161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3590" cy="161925"/>
                    </a:xfrm>
                    <a:prstGeom prst="rect">
                      <a:avLst/>
                    </a:prstGeom>
                    <a:noFill/>
                  </pic:spPr>
                </pic:pic>
              </a:graphicData>
            </a:graphic>
          </wp:anchor>
        </w:drawing>
      </w:r>
    </w:p>
    <w:p>
      <w:pPr>
        <w:spacing w:after="0" w:line="135"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Proposal One</w:t>
      </w:r>
      <w:r>
        <w:rPr>
          <w:sz w:val="20"/>
          <w:szCs w:val="20"/>
          <w:color w:val="auto"/>
        </w:rPr>
        <w:tab/>
      </w:r>
      <w:r>
        <w:rPr>
          <w:rFonts w:ascii="Arial" w:cs="Arial" w:eastAsia="Arial" w:hAnsi="Arial"/>
          <w:sz w:val="17"/>
          <w:szCs w:val="17"/>
          <w:color w:val="auto"/>
        </w:rPr>
        <w:t>Election of Directors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3"/>
        </w:trPr>
        <w:tc>
          <w:tcPr>
            <w:tcW w:w="182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tc>
        <w:tc>
          <w:tcPr>
            <w:tcW w:w="9420" w:type="dxa"/>
            <w:vAlign w:val="bottom"/>
          </w:tcPr>
          <w:p>
            <w:pPr>
              <w:spacing w:after="0"/>
              <w:rPr>
                <w:sz w:val="18"/>
                <w:szCs w:val="18"/>
                <w:color w:val="auto"/>
              </w:rPr>
            </w:pPr>
          </w:p>
        </w:tc>
      </w:tr>
      <w:tr>
        <w:trPr>
          <w:trHeight w:val="235"/>
        </w:trPr>
        <w:tc>
          <w:tcPr>
            <w:tcW w:w="1820" w:type="dxa"/>
            <w:vAlign w:val="bottom"/>
          </w:tcPr>
          <w:p>
            <w:pPr>
              <w:spacing w:after="0"/>
              <w:rPr>
                <w:sz w:val="20"/>
                <w:szCs w:val="20"/>
                <w:color w:val="auto"/>
              </w:rPr>
            </w:pPr>
            <w:r>
              <w:rPr>
                <w:rFonts w:ascii="Arial" w:cs="Arial" w:eastAsia="Arial" w:hAnsi="Arial"/>
                <w:sz w:val="18"/>
                <w:szCs w:val="18"/>
                <w:color w:val="auto"/>
              </w:rPr>
              <w:t>Proposal Two</w:t>
            </w:r>
          </w:p>
        </w:tc>
        <w:tc>
          <w:tcPr>
            <w:tcW w:w="9420" w:type="dxa"/>
            <w:vAlign w:val="bottom"/>
          </w:tcPr>
          <w:p>
            <w:pPr>
              <w:ind w:left="440"/>
              <w:spacing w:after="0"/>
              <w:rPr>
                <w:sz w:val="20"/>
                <w:szCs w:val="20"/>
                <w:color w:val="auto"/>
              </w:rPr>
            </w:pPr>
            <w:r>
              <w:rPr>
                <w:rFonts w:ascii="Arial" w:cs="Arial" w:eastAsia="Arial" w:hAnsi="Arial"/>
                <w:sz w:val="18"/>
                <w:szCs w:val="18"/>
                <w:color w:val="auto"/>
              </w:rPr>
              <w:t>Ratification of Selection of Independent Registered Public Accounting Firm</w:t>
            </w:r>
          </w:p>
        </w:tc>
      </w:tr>
      <w:tr>
        <w:trPr>
          <w:trHeight w:val="234"/>
        </w:trPr>
        <w:tc>
          <w:tcPr>
            <w:tcW w:w="1820" w:type="dxa"/>
            <w:vAlign w:val="bottom"/>
            <w:shd w:val="clear" w:color="auto" w:fill="D9D9D9"/>
          </w:tcPr>
          <w:p>
            <w:pPr>
              <w:spacing w:after="0"/>
              <w:rPr>
                <w:sz w:val="20"/>
                <w:szCs w:val="20"/>
                <w:color w:val="auto"/>
              </w:rPr>
            </w:pPr>
            <w:r>
              <w:rPr>
                <w:rFonts w:ascii="Arial" w:cs="Arial" w:eastAsia="Arial" w:hAnsi="Arial"/>
                <w:sz w:val="18"/>
                <w:szCs w:val="18"/>
                <w:color w:val="auto"/>
              </w:rPr>
              <w:t>Proposal Three</w:t>
            </w:r>
          </w:p>
        </w:tc>
        <w:tc>
          <w:tcPr>
            <w:tcW w:w="9420" w:type="dxa"/>
            <w:vAlign w:val="bottom"/>
            <w:shd w:val="clear" w:color="auto" w:fill="D9D9D9"/>
          </w:tcPr>
          <w:p>
            <w:pPr>
              <w:ind w:left="440"/>
              <w:spacing w:after="0"/>
              <w:rPr>
                <w:sz w:val="20"/>
                <w:szCs w:val="20"/>
                <w:color w:val="auto"/>
              </w:rPr>
            </w:pPr>
            <w:r>
              <w:rPr>
                <w:rFonts w:ascii="Arial" w:cs="Arial" w:eastAsia="Arial" w:hAnsi="Arial"/>
                <w:sz w:val="18"/>
                <w:szCs w:val="18"/>
                <w:color w:val="auto"/>
              </w:rPr>
              <w:t>Advisory Approval of our Executive Compensation</w:t>
            </w:r>
          </w:p>
        </w:tc>
      </w:tr>
      <w:tr>
        <w:trPr>
          <w:trHeight w:val="28"/>
        </w:trPr>
        <w:tc>
          <w:tcPr>
            <w:tcW w:w="1820" w:type="dxa"/>
            <w:vAlign w:val="bottom"/>
            <w:shd w:val="clear" w:color="auto" w:fill="D9D9D9"/>
          </w:tcPr>
          <w:p>
            <w:pPr>
              <w:spacing w:after="0"/>
              <w:rPr>
                <w:sz w:val="2"/>
                <w:szCs w:val="2"/>
                <w:color w:val="auto"/>
              </w:rPr>
            </w:pPr>
          </w:p>
        </w:tc>
        <w:tc>
          <w:tcPr>
            <w:tcW w:w="9420" w:type="dxa"/>
            <w:vAlign w:val="bottom"/>
            <w:shd w:val="clear" w:color="auto" w:fill="D9D9D9"/>
          </w:tcPr>
          <w:p>
            <w:pPr>
              <w:spacing w:after="0"/>
              <w:rPr>
                <w:sz w:val="2"/>
                <w:szCs w:val="2"/>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Are There Any Matters To Be Voted On at the Annual Meeting that Are Not Included in this Proxy Statement?</w:t>
      </w:r>
    </w:p>
    <w:p>
      <w:pPr>
        <w:spacing w:after="0" w:line="118" w:lineRule="exact"/>
        <w:rPr>
          <w:sz w:val="20"/>
          <w:szCs w:val="20"/>
          <w:color w:val="auto"/>
        </w:rPr>
      </w:pPr>
    </w:p>
    <w:p>
      <w:pPr>
        <w:ind w:right="240" w:firstLine="401"/>
        <w:spacing w:after="0" w:line="236" w:lineRule="auto"/>
        <w:rPr>
          <w:sz w:val="20"/>
          <w:szCs w:val="20"/>
          <w:color w:val="auto"/>
        </w:rPr>
      </w:pPr>
      <w:r>
        <w:rPr>
          <w:rFonts w:ascii="Arial" w:cs="Arial" w:eastAsia="Arial" w:hAnsi="Arial"/>
          <w:sz w:val="18"/>
          <w:szCs w:val="18"/>
          <w:color w:val="auto"/>
        </w:rPr>
        <w:t>We currently are not aware of any business to be acted upon at the annual meeting other than as described in this proxy statement. If, however, other matters are properly brought before the annual meeting, or any adjournment or postponement of the annual meeting, your proxy includes discretionary authority on the part of the individuals appointed to vote your shares or act on those matters according to their best judgment.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Who Is Entitled to Vote and How Many Shares Must Be Present to Hold the Annual Meeting?</w:t>
      </w:r>
    </w:p>
    <w:p>
      <w:pPr>
        <w:spacing w:after="0" w:line="118" w:lineRule="exact"/>
        <w:rPr>
          <w:sz w:val="20"/>
          <w:szCs w:val="20"/>
          <w:color w:val="auto"/>
        </w:rPr>
      </w:pPr>
    </w:p>
    <w:p>
      <w:pPr>
        <w:ind w:right="20" w:firstLine="401"/>
        <w:spacing w:after="0" w:line="236" w:lineRule="auto"/>
        <w:rPr>
          <w:sz w:val="20"/>
          <w:szCs w:val="20"/>
          <w:color w:val="auto"/>
        </w:rPr>
      </w:pPr>
      <w:r>
        <w:rPr>
          <w:rFonts w:ascii="Arial" w:cs="Arial" w:eastAsia="Arial" w:hAnsi="Arial"/>
          <w:sz w:val="18"/>
          <w:szCs w:val="18"/>
          <w:color w:val="auto"/>
        </w:rPr>
        <w:t>Shareholders of record at the close of business on January 19, 2021, the record date, will be entitled to vote at the annual meeting or any adjournment or postponement of the annual meeting. As of January 19, 2021, there were 108,023,811 outstanding shares of our common stock. Each share of our common stock is entitled to one vote on each matter to be voted on at the annual meeting. Shares of our common stock that are held by us in our treasury are not counted as outstanding shares and will not be voted.</w:t>
      </w:r>
    </w:p>
    <w:p>
      <w:pPr>
        <w:spacing w:after="0" w:line="97" w:lineRule="exact"/>
        <w:rPr>
          <w:sz w:val="20"/>
          <w:szCs w:val="20"/>
          <w:color w:val="auto"/>
        </w:rPr>
      </w:pPr>
    </w:p>
    <w:p>
      <w:pPr>
        <w:ind w:right="120" w:firstLine="401"/>
        <w:spacing w:after="0" w:line="236" w:lineRule="auto"/>
        <w:rPr>
          <w:sz w:val="20"/>
          <w:szCs w:val="20"/>
          <w:color w:val="auto"/>
        </w:rPr>
      </w:pPr>
      <w:r>
        <w:rPr>
          <w:rFonts w:ascii="Arial" w:cs="Arial" w:eastAsia="Arial" w:hAnsi="Arial"/>
          <w:sz w:val="18"/>
          <w:szCs w:val="18"/>
          <w:color w:val="auto"/>
        </w:rPr>
        <w:t>Shareholders entitled to vote at least a majority of the outstanding shares of our common stock as of the record date must be present at the virtual annual meeting or by proxy in order for us to have a quorum for the transaction of business at the annual meeting. Your shares will be counted toward the quorum if you submit a proxy or vote at the annual meeting. Shares represented by proxies marked “abstain” and “broker non-votes” also are counted in determining whether a quorum is present.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How Do I Vote My Shares?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If your shares are registered in your name, you may vote your shares by one of the four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73660</wp:posOffset>
            </wp:positionV>
            <wp:extent cx="7133590" cy="6642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3590" cy="6642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Vote by Internet</w:t>
      </w:r>
    </w:p>
    <w:p>
      <w:pPr>
        <w:spacing w:after="0" w:line="339" w:lineRule="exact"/>
        <w:rPr>
          <w:sz w:val="20"/>
          <w:szCs w:val="20"/>
          <w:color w:val="auto"/>
        </w:rPr>
      </w:pPr>
    </w:p>
    <w:p>
      <w:pPr>
        <w:ind w:left="60"/>
        <w:spacing w:after="0"/>
        <w:rPr>
          <w:sz w:val="20"/>
          <w:szCs w:val="20"/>
          <w:color w:val="auto"/>
        </w:rPr>
      </w:pPr>
      <w:r>
        <w:rPr>
          <w:rFonts w:ascii="Arial" w:cs="Arial" w:eastAsia="Arial" w:hAnsi="Arial"/>
          <w:sz w:val="16"/>
          <w:szCs w:val="16"/>
          <w:color w:val="auto"/>
        </w:rPr>
        <w:t>Vote by Telephone</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Vote by Mail</w:t>
      </w:r>
    </w:p>
    <w:p>
      <w:pPr>
        <w:spacing w:after="0" w:line="3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Vote by Mobile Device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5"/>
          <w:szCs w:val="15"/>
          <w:color w:val="auto"/>
        </w:rPr>
        <w:t>Vote at the Virtual Meeting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840"/>
        <w:spacing w:after="0" w:line="257" w:lineRule="auto"/>
        <w:rPr>
          <w:sz w:val="20"/>
          <w:szCs w:val="20"/>
          <w:color w:val="auto"/>
        </w:rPr>
      </w:pPr>
      <w:r>
        <w:rPr>
          <w:rFonts w:ascii="Arial" w:cs="Arial" w:eastAsia="Arial" w:hAnsi="Arial"/>
          <w:sz w:val="16"/>
          <w:szCs w:val="16"/>
          <w:color w:val="auto"/>
        </w:rPr>
        <w:t>Go to www.proxyvote.com and follow the instructions for Internet voting shown on your Notice Regarding the Availability of Proxy Materials or proxy card.</w:t>
      </w:r>
    </w:p>
    <w:p>
      <w:pPr>
        <w:spacing w:after="0" w:line="129" w:lineRule="exact"/>
        <w:rPr>
          <w:sz w:val="20"/>
          <w:szCs w:val="20"/>
          <w:color w:val="auto"/>
        </w:rPr>
      </w:pPr>
    </w:p>
    <w:p>
      <w:pPr>
        <w:ind w:right="1860"/>
        <w:spacing w:after="0" w:line="257" w:lineRule="auto"/>
        <w:rPr>
          <w:sz w:val="20"/>
          <w:szCs w:val="20"/>
          <w:color w:val="auto"/>
        </w:rPr>
      </w:pPr>
      <w:r>
        <w:rPr>
          <w:rFonts w:ascii="Arial" w:cs="Arial" w:eastAsia="Arial" w:hAnsi="Arial"/>
          <w:sz w:val="16"/>
          <w:szCs w:val="16"/>
          <w:color w:val="auto"/>
        </w:rPr>
        <w:t>Call 800-690-6903 and follow the instructions for telephone voting shown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12700</wp:posOffset>
            </wp:positionV>
            <wp:extent cx="7133590" cy="3575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3590" cy="357505"/>
                    </a:xfrm>
                    <a:prstGeom prst="rect">
                      <a:avLst/>
                    </a:prstGeom>
                    <a:noFill/>
                  </pic:spPr>
                </pic:pic>
              </a:graphicData>
            </a:graphic>
          </wp:anchor>
        </w:drawing>
      </w:r>
    </w:p>
    <w:p>
      <w:pPr>
        <w:spacing w:after="0" w:line="2" w:lineRule="exact"/>
        <w:rPr>
          <w:sz w:val="20"/>
          <w:szCs w:val="20"/>
          <w:color w:val="auto"/>
        </w:rPr>
      </w:pPr>
    </w:p>
    <w:p>
      <w:pPr>
        <w:ind w:right="1680"/>
        <w:spacing w:after="0" w:line="251" w:lineRule="auto"/>
        <w:rPr>
          <w:sz w:val="20"/>
          <w:szCs w:val="20"/>
          <w:color w:val="auto"/>
        </w:rPr>
      </w:pPr>
      <w:r>
        <w:rPr>
          <w:rFonts w:ascii="Arial" w:cs="Arial" w:eastAsia="Arial" w:hAnsi="Arial"/>
          <w:sz w:val="16"/>
          <w:szCs w:val="16"/>
          <w:color w:val="auto"/>
        </w:rPr>
        <w:t>Complete, sign, date and mail your proxy card in the envelope provided if you received a paper copy of these proxy materials. If you vote by Internet, telephone or mobile device, please do not mail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-9525</wp:posOffset>
            </wp:positionV>
            <wp:extent cx="7133590" cy="10642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3590" cy="1064260"/>
                    </a:xfrm>
                    <a:prstGeom prst="rect">
                      <a:avLst/>
                    </a:prstGeom>
                    <a:noFill/>
                  </pic:spPr>
                </pic:pic>
              </a:graphicData>
            </a:graphic>
          </wp:anchor>
        </w:drawing>
      </w:r>
    </w:p>
    <w:p>
      <w:pPr>
        <w:spacing w:after="0" w:line="46" w:lineRule="exact"/>
        <w:rPr>
          <w:sz w:val="20"/>
          <w:szCs w:val="20"/>
          <w:color w:val="auto"/>
        </w:rPr>
      </w:pPr>
    </w:p>
    <w:p>
      <w:pPr>
        <w:ind w:right="1860"/>
        <w:spacing w:after="0" w:line="257" w:lineRule="auto"/>
        <w:rPr>
          <w:sz w:val="20"/>
          <w:szCs w:val="20"/>
          <w:color w:val="auto"/>
        </w:rPr>
      </w:pPr>
      <w:r>
        <w:rPr>
          <w:rFonts w:ascii="Arial" w:cs="Arial" w:eastAsia="Arial" w:hAnsi="Arial"/>
          <w:sz w:val="16"/>
          <w:szCs w:val="16"/>
          <w:color w:val="auto"/>
        </w:rPr>
        <w:t>Scan the QR code on your Notice Regarding the Availability of Proxy Materials or proxy card and follow the links.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Attend our virtual meeting and vote your shares electronically by</w:t>
      </w:r>
    </w:p>
    <w:p>
      <w:pPr>
        <w:spacing w:after="0" w:line="4"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visiting www.virtualshareholdermeeting.com/TTC2021. This year's meeting will be virtual which makes participation and engagement safe and convenient for all our shareholders. You will need the 16-digit control number included on your proxy card voting instruction form or Notice Regarding the Availability of Proxy Materials to enter the annual meeting.</w:t>
      </w:r>
    </w:p>
    <w:p>
      <w:pPr>
        <w:spacing w:after="0" w:line="102" w:lineRule="exact"/>
        <w:rPr>
          <w:sz w:val="20"/>
          <w:szCs w:val="20"/>
          <w:color w:val="auto"/>
        </w:rPr>
      </w:pPr>
    </w:p>
    <w:p>
      <w:pPr>
        <w:sectPr>
          <w:pgSz w:w="11900" w:h="16838" w:orient="portrait"/>
          <w:cols w:equalWidth="0" w:num="2">
            <w:col w:w="2900" w:space="720"/>
            <w:col w:w="7620"/>
          </w:cols>
          <w:pgMar w:left="320" w:top="140" w:right="339" w:bottom="1440" w:gutter="0" w:footer="0" w:header="0"/>
          <w:type w:val="continuous"/>
        </w:sectPr>
      </w:pPr>
    </w:p>
    <w:p>
      <w:pPr>
        <w:ind w:left="400"/>
        <w:spacing w:after="0"/>
        <w:rPr>
          <w:sz w:val="20"/>
          <w:szCs w:val="20"/>
          <w:color w:val="auto"/>
        </w:rPr>
      </w:pPr>
      <w:r>
        <w:rPr>
          <w:rFonts w:ascii="Arial" w:cs="Arial" w:eastAsia="Arial" w:hAnsi="Arial"/>
          <w:sz w:val="18"/>
          <w:szCs w:val="18"/>
          <w:color w:val="auto"/>
        </w:rPr>
        <w:t>If you hold shares as a participant in certain TTC employee benefit plans, you may vote your shares by one</w:t>
      </w:r>
    </w:p>
    <w:p>
      <w:pPr>
        <w:ind w:right="20"/>
        <w:spacing w:after="0" w:line="236" w:lineRule="auto"/>
        <w:rPr>
          <w:sz w:val="20"/>
          <w:szCs w:val="20"/>
          <w:color w:val="auto"/>
        </w:rPr>
      </w:pPr>
      <w:r>
        <w:rPr>
          <w:rFonts w:ascii="Arial" w:cs="Arial" w:eastAsia="Arial" w:hAnsi="Arial"/>
          <w:sz w:val="18"/>
          <w:szCs w:val="18"/>
          <w:color w:val="auto"/>
        </w:rPr>
        <w:t>of the four methods noted above. If your shares are held in “street name,” you may receive a separate voting instruction form with this proxy statement or you may need to contact your broker, bank or other nominee to determine whether you will be able to vote electronically using the Internet, telephone or mobile device. On the day of the annual meeting, you may go to www.virtualshareholdermeeting.com/TTC2021, and log in by entering the 16-digit control number found on your voting instruction form. If you do not have your control number, you will be able register as a guest; however, you will not be able to vote or submit questions during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How Does the Board Recommend that I Vote and What Vote is Required for Each Proposal?</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0" w:type="dxa"/>
            <w:vAlign w:val="bottom"/>
            <w:shd w:val="clear" w:color="auto" w:fill="C00000"/>
          </w:tcPr>
          <w:p>
            <w:pPr>
              <w:spacing w:after="0"/>
              <w:rPr>
                <w:sz w:val="16"/>
                <w:szCs w:val="16"/>
                <w:color w:val="auto"/>
              </w:rPr>
            </w:pPr>
          </w:p>
        </w:tc>
        <w:tc>
          <w:tcPr>
            <w:tcW w:w="2100" w:type="dxa"/>
            <w:vAlign w:val="bottom"/>
            <w:shd w:val="clear" w:color="auto" w:fill="C00000"/>
          </w:tcPr>
          <w:p>
            <w:pPr>
              <w:spacing w:after="0"/>
              <w:rPr>
                <w:sz w:val="16"/>
                <w:szCs w:val="16"/>
                <w:color w:val="auto"/>
              </w:rPr>
            </w:pPr>
          </w:p>
        </w:tc>
        <w:tc>
          <w:tcPr>
            <w:tcW w:w="1740" w:type="dxa"/>
            <w:vAlign w:val="bottom"/>
            <w:vMerge w:val="restart"/>
            <w:shd w:val="clear" w:color="auto" w:fill="C00000"/>
          </w:tcPr>
          <w:p>
            <w:pPr>
              <w:ind w:left="300"/>
              <w:spacing w:after="0"/>
              <w:rPr>
                <w:sz w:val="20"/>
                <w:szCs w:val="20"/>
                <w:color w:val="auto"/>
              </w:rPr>
            </w:pPr>
            <w:r>
              <w:rPr>
                <w:rFonts w:ascii="Arial" w:cs="Arial" w:eastAsia="Arial" w:hAnsi="Arial"/>
                <w:sz w:val="14"/>
                <w:szCs w:val="14"/>
                <w:b w:val="1"/>
                <w:bCs w:val="1"/>
                <w:color w:val="FFFFFF"/>
              </w:rPr>
              <w:t>Board</w:t>
            </w:r>
          </w:p>
        </w:tc>
        <w:tc>
          <w:tcPr>
            <w:tcW w:w="2160" w:type="dxa"/>
            <w:vAlign w:val="bottom"/>
            <w:vMerge w:val="restart"/>
            <w:shd w:val="clear" w:color="auto" w:fill="C00000"/>
          </w:tcPr>
          <w:p>
            <w:pPr>
              <w:ind w:left="260"/>
              <w:spacing w:after="0"/>
              <w:rPr>
                <w:sz w:val="20"/>
                <w:szCs w:val="20"/>
                <w:color w:val="auto"/>
              </w:rPr>
            </w:pPr>
            <w:r>
              <w:rPr>
                <w:rFonts w:ascii="Arial" w:cs="Arial" w:eastAsia="Arial" w:hAnsi="Arial"/>
                <w:sz w:val="14"/>
                <w:szCs w:val="14"/>
                <w:b w:val="1"/>
                <w:bCs w:val="1"/>
                <w:color w:val="FFFFFF"/>
              </w:rPr>
              <w:t>Available Voting</w:t>
            </w:r>
          </w:p>
        </w:tc>
        <w:tc>
          <w:tcPr>
            <w:tcW w:w="2080" w:type="dxa"/>
            <w:vAlign w:val="bottom"/>
            <w:vMerge w:val="restart"/>
            <w:shd w:val="clear" w:color="auto" w:fill="C00000"/>
          </w:tcPr>
          <w:p>
            <w:pPr>
              <w:ind w:left="280"/>
              <w:spacing w:after="0"/>
              <w:rPr>
                <w:sz w:val="20"/>
                <w:szCs w:val="20"/>
                <w:color w:val="auto"/>
              </w:rPr>
            </w:pPr>
            <w:r>
              <w:rPr>
                <w:rFonts w:ascii="Arial" w:cs="Arial" w:eastAsia="Arial" w:hAnsi="Arial"/>
                <w:sz w:val="14"/>
                <w:szCs w:val="14"/>
                <w:b w:val="1"/>
                <w:bCs w:val="1"/>
                <w:color w:val="FFFFFF"/>
              </w:rPr>
              <w:t>Voting Approval</w:t>
            </w:r>
          </w:p>
        </w:tc>
        <w:tc>
          <w:tcPr>
            <w:tcW w:w="1480" w:type="dxa"/>
            <w:vAlign w:val="bottom"/>
            <w:shd w:val="clear" w:color="auto" w:fill="C00000"/>
          </w:tcPr>
          <w:p>
            <w:pPr>
              <w:ind w:left="300"/>
              <w:spacing w:after="0"/>
              <w:rPr>
                <w:sz w:val="20"/>
                <w:szCs w:val="20"/>
                <w:color w:val="auto"/>
              </w:rPr>
            </w:pPr>
            <w:r>
              <w:rPr>
                <w:rFonts w:ascii="Arial" w:cs="Arial" w:eastAsia="Arial" w:hAnsi="Arial"/>
                <w:sz w:val="14"/>
                <w:szCs w:val="14"/>
                <w:b w:val="1"/>
                <w:bCs w:val="1"/>
                <w:color w:val="FFFFFF"/>
              </w:rPr>
              <w:t>Effect of</w:t>
            </w:r>
          </w:p>
        </w:tc>
        <w:tc>
          <w:tcPr>
            <w:tcW w:w="1440" w:type="dxa"/>
            <w:vAlign w:val="bottom"/>
            <w:shd w:val="clear" w:color="auto" w:fill="C00000"/>
          </w:tcPr>
          <w:p>
            <w:pPr>
              <w:ind w:left="220"/>
              <w:spacing w:after="0"/>
              <w:rPr>
                <w:sz w:val="20"/>
                <w:szCs w:val="20"/>
                <w:color w:val="auto"/>
              </w:rPr>
            </w:pPr>
            <w:r>
              <w:rPr>
                <w:rFonts w:ascii="Arial" w:cs="Arial" w:eastAsia="Arial" w:hAnsi="Arial"/>
                <w:sz w:val="14"/>
                <w:szCs w:val="14"/>
                <w:b w:val="1"/>
                <w:bCs w:val="1"/>
                <w:color w:val="FFFFFF"/>
              </w:rPr>
              <w:t>Effect of</w:t>
            </w:r>
          </w:p>
        </w:tc>
        <w:tc>
          <w:tcPr>
            <w:tcW w:w="0" w:type="dxa"/>
            <w:vAlign w:val="bottom"/>
          </w:tcPr>
          <w:p>
            <w:pPr>
              <w:spacing w:after="0"/>
              <w:rPr>
                <w:sz w:val="1"/>
                <w:szCs w:val="1"/>
                <w:color w:val="auto"/>
              </w:rPr>
            </w:pPr>
          </w:p>
        </w:tc>
      </w:tr>
      <w:tr>
        <w:trPr>
          <w:trHeight w:val="174"/>
        </w:trPr>
        <w:tc>
          <w:tcPr>
            <w:tcW w:w="2340" w:type="dxa"/>
            <w:vAlign w:val="bottom"/>
            <w:gridSpan w:val="2"/>
            <w:vMerge w:val="restart"/>
            <w:shd w:val="clear" w:color="auto" w:fill="C00000"/>
          </w:tcPr>
          <w:p>
            <w:pPr>
              <w:spacing w:after="0"/>
              <w:rPr>
                <w:sz w:val="20"/>
                <w:szCs w:val="20"/>
                <w:color w:val="auto"/>
              </w:rPr>
            </w:pPr>
            <w:r>
              <w:rPr>
                <w:rFonts w:ascii="Arial" w:cs="Arial" w:eastAsia="Arial" w:hAnsi="Arial"/>
                <w:sz w:val="14"/>
                <w:szCs w:val="14"/>
                <w:b w:val="1"/>
                <w:bCs w:val="1"/>
                <w:color w:val="FFFFFF"/>
              </w:rPr>
              <w:t>Proposal</w:t>
            </w:r>
          </w:p>
        </w:tc>
        <w:tc>
          <w:tcPr>
            <w:tcW w:w="1740" w:type="dxa"/>
            <w:vAlign w:val="bottom"/>
            <w:vMerge w:val="continue"/>
            <w:shd w:val="clear" w:color="auto" w:fill="C00000"/>
          </w:tcPr>
          <w:p>
            <w:pPr>
              <w:spacing w:after="0"/>
              <w:rPr>
                <w:sz w:val="15"/>
                <w:szCs w:val="15"/>
                <w:color w:val="auto"/>
              </w:rPr>
            </w:pPr>
          </w:p>
        </w:tc>
        <w:tc>
          <w:tcPr>
            <w:tcW w:w="2160" w:type="dxa"/>
            <w:vAlign w:val="bottom"/>
            <w:vMerge w:val="continue"/>
            <w:shd w:val="clear" w:color="auto" w:fill="C00000"/>
          </w:tcPr>
          <w:p>
            <w:pPr>
              <w:spacing w:after="0"/>
              <w:rPr>
                <w:sz w:val="15"/>
                <w:szCs w:val="15"/>
                <w:color w:val="auto"/>
              </w:rPr>
            </w:pPr>
          </w:p>
        </w:tc>
        <w:tc>
          <w:tcPr>
            <w:tcW w:w="2080" w:type="dxa"/>
            <w:vAlign w:val="bottom"/>
            <w:vMerge w:val="continue"/>
            <w:shd w:val="clear" w:color="auto" w:fill="C00000"/>
          </w:tcPr>
          <w:p>
            <w:pPr>
              <w:spacing w:after="0"/>
              <w:rPr>
                <w:sz w:val="15"/>
                <w:szCs w:val="15"/>
                <w:color w:val="auto"/>
              </w:rPr>
            </w:pPr>
          </w:p>
        </w:tc>
        <w:tc>
          <w:tcPr>
            <w:tcW w:w="1480" w:type="dxa"/>
            <w:vAlign w:val="bottom"/>
            <w:shd w:val="clear" w:color="auto" w:fill="C00000"/>
          </w:tcPr>
          <w:p>
            <w:pPr>
              <w:ind w:left="300"/>
              <w:spacing w:after="0"/>
              <w:rPr>
                <w:sz w:val="20"/>
                <w:szCs w:val="20"/>
                <w:color w:val="auto"/>
              </w:rPr>
            </w:pPr>
            <w:r>
              <w:rPr>
                <w:rFonts w:ascii="Arial" w:cs="Arial" w:eastAsia="Arial" w:hAnsi="Arial"/>
                <w:sz w:val="14"/>
                <w:szCs w:val="14"/>
                <w:b w:val="1"/>
                <w:bCs w:val="1"/>
                <w:color w:val="FFFFFF"/>
              </w:rPr>
              <w:t>Withhold or</w:t>
            </w:r>
          </w:p>
        </w:tc>
        <w:tc>
          <w:tcPr>
            <w:tcW w:w="1440" w:type="dxa"/>
            <w:vAlign w:val="bottom"/>
            <w:shd w:val="clear" w:color="auto" w:fill="C00000"/>
          </w:tcPr>
          <w:p>
            <w:pPr>
              <w:ind w:left="220"/>
              <w:spacing w:after="0"/>
              <w:rPr>
                <w:sz w:val="20"/>
                <w:szCs w:val="20"/>
                <w:color w:val="auto"/>
              </w:rPr>
            </w:pPr>
            <w:r>
              <w:rPr>
                <w:rFonts w:ascii="Arial" w:cs="Arial" w:eastAsia="Arial" w:hAnsi="Arial"/>
                <w:sz w:val="14"/>
                <w:szCs w:val="14"/>
                <w:b w:val="1"/>
                <w:bCs w:val="1"/>
                <w:color w:val="FFFFFF"/>
              </w:rPr>
              <w:t>Broker Non-</w:t>
            </w:r>
          </w:p>
        </w:tc>
        <w:tc>
          <w:tcPr>
            <w:tcW w:w="0" w:type="dxa"/>
            <w:vAlign w:val="bottom"/>
          </w:tcPr>
          <w:p>
            <w:pPr>
              <w:spacing w:after="0"/>
              <w:rPr>
                <w:sz w:val="1"/>
                <w:szCs w:val="1"/>
                <w:color w:val="auto"/>
              </w:rPr>
            </w:pPr>
          </w:p>
        </w:tc>
      </w:tr>
      <w:tr>
        <w:trPr>
          <w:trHeight w:val="188"/>
        </w:trPr>
        <w:tc>
          <w:tcPr>
            <w:tcW w:w="2340" w:type="dxa"/>
            <w:vAlign w:val="bottom"/>
            <w:gridSpan w:val="2"/>
            <w:vMerge w:val="continue"/>
            <w:shd w:val="clear" w:color="auto" w:fill="C00000"/>
          </w:tcPr>
          <w:p>
            <w:pPr>
              <w:spacing w:after="0"/>
              <w:rPr>
                <w:sz w:val="16"/>
                <w:szCs w:val="16"/>
                <w:color w:val="auto"/>
              </w:rPr>
            </w:pPr>
          </w:p>
        </w:tc>
        <w:tc>
          <w:tcPr>
            <w:tcW w:w="1740" w:type="dxa"/>
            <w:vAlign w:val="bottom"/>
            <w:shd w:val="clear" w:color="auto" w:fill="C00000"/>
          </w:tcPr>
          <w:p>
            <w:pPr>
              <w:ind w:left="300"/>
              <w:spacing w:after="0"/>
              <w:rPr>
                <w:sz w:val="20"/>
                <w:szCs w:val="20"/>
                <w:color w:val="auto"/>
              </w:rPr>
            </w:pPr>
            <w:r>
              <w:rPr>
                <w:rFonts w:ascii="Arial" w:cs="Arial" w:eastAsia="Arial" w:hAnsi="Arial"/>
                <w:sz w:val="14"/>
                <w:szCs w:val="14"/>
                <w:b w:val="1"/>
                <w:bCs w:val="1"/>
                <w:color w:val="FFFFFF"/>
              </w:rPr>
              <w:t>Recommendation</w:t>
            </w:r>
          </w:p>
        </w:tc>
        <w:tc>
          <w:tcPr>
            <w:tcW w:w="2160" w:type="dxa"/>
            <w:vAlign w:val="bottom"/>
            <w:shd w:val="clear" w:color="auto" w:fill="C00000"/>
          </w:tcPr>
          <w:p>
            <w:pPr>
              <w:ind w:left="260"/>
              <w:spacing w:after="0"/>
              <w:rPr>
                <w:sz w:val="20"/>
                <w:szCs w:val="20"/>
                <w:color w:val="auto"/>
              </w:rPr>
            </w:pPr>
            <w:r>
              <w:rPr>
                <w:rFonts w:ascii="Arial" w:cs="Arial" w:eastAsia="Arial" w:hAnsi="Arial"/>
                <w:sz w:val="14"/>
                <w:szCs w:val="14"/>
                <w:b w:val="1"/>
                <w:bCs w:val="1"/>
                <w:color w:val="FFFFFF"/>
              </w:rPr>
              <w:t>Selections</w:t>
            </w:r>
          </w:p>
        </w:tc>
        <w:tc>
          <w:tcPr>
            <w:tcW w:w="2080" w:type="dxa"/>
            <w:vAlign w:val="bottom"/>
            <w:shd w:val="clear" w:color="auto" w:fill="C00000"/>
          </w:tcPr>
          <w:p>
            <w:pPr>
              <w:ind w:left="280"/>
              <w:spacing w:after="0"/>
              <w:rPr>
                <w:sz w:val="20"/>
                <w:szCs w:val="20"/>
                <w:color w:val="auto"/>
              </w:rPr>
            </w:pPr>
            <w:r>
              <w:rPr>
                <w:rFonts w:ascii="Arial" w:cs="Arial" w:eastAsia="Arial" w:hAnsi="Arial"/>
                <w:sz w:val="14"/>
                <w:szCs w:val="14"/>
                <w:b w:val="1"/>
                <w:bCs w:val="1"/>
                <w:color w:val="FFFFFF"/>
              </w:rPr>
              <w:t>Standard</w:t>
            </w:r>
          </w:p>
        </w:tc>
        <w:tc>
          <w:tcPr>
            <w:tcW w:w="1480" w:type="dxa"/>
            <w:vAlign w:val="bottom"/>
            <w:shd w:val="clear" w:color="auto" w:fill="C00000"/>
          </w:tcPr>
          <w:p>
            <w:pPr>
              <w:ind w:left="300"/>
              <w:spacing w:after="0"/>
              <w:rPr>
                <w:sz w:val="20"/>
                <w:szCs w:val="20"/>
                <w:color w:val="auto"/>
              </w:rPr>
            </w:pPr>
            <w:r>
              <w:rPr>
                <w:rFonts w:ascii="Arial" w:cs="Arial" w:eastAsia="Arial" w:hAnsi="Arial"/>
                <w:sz w:val="14"/>
                <w:szCs w:val="14"/>
                <w:b w:val="1"/>
                <w:bCs w:val="1"/>
                <w:color w:val="FFFFFF"/>
              </w:rPr>
              <w:t>Abstention</w:t>
            </w:r>
          </w:p>
        </w:tc>
        <w:tc>
          <w:tcPr>
            <w:tcW w:w="1440" w:type="dxa"/>
            <w:vAlign w:val="bottom"/>
            <w:shd w:val="clear" w:color="auto" w:fill="C00000"/>
          </w:tcPr>
          <w:p>
            <w:pPr>
              <w:ind w:left="220"/>
              <w:spacing w:after="0"/>
              <w:rPr>
                <w:sz w:val="20"/>
                <w:szCs w:val="20"/>
                <w:color w:val="auto"/>
              </w:rPr>
            </w:pPr>
            <w:r>
              <w:rPr>
                <w:rFonts w:ascii="Arial" w:cs="Arial" w:eastAsia="Arial" w:hAnsi="Arial"/>
                <w:sz w:val="14"/>
                <w:szCs w:val="14"/>
                <w:b w:val="1"/>
                <w:bCs w:val="1"/>
                <w:color w:val="FFFFFF"/>
              </w:rPr>
              <w:t>Vote</w:t>
            </w:r>
          </w:p>
        </w:tc>
        <w:tc>
          <w:tcPr>
            <w:tcW w:w="0" w:type="dxa"/>
            <w:vAlign w:val="bottom"/>
          </w:tcPr>
          <w:p>
            <w:pPr>
              <w:spacing w:after="0"/>
              <w:rPr>
                <w:sz w:val="1"/>
                <w:szCs w:val="1"/>
                <w:color w:val="auto"/>
              </w:rPr>
            </w:pPr>
          </w:p>
        </w:tc>
      </w:tr>
      <w:tr>
        <w:trPr>
          <w:trHeight w:val="214"/>
        </w:trPr>
        <w:tc>
          <w:tcPr>
            <w:tcW w:w="240" w:type="dxa"/>
            <w:vAlign w:val="bottom"/>
          </w:tcPr>
          <w:p>
            <w:pPr>
              <w:spacing w:after="0"/>
              <w:rPr>
                <w:sz w:val="20"/>
                <w:szCs w:val="20"/>
                <w:color w:val="auto"/>
              </w:rPr>
            </w:pPr>
            <w:r>
              <w:rPr>
                <w:rFonts w:ascii="Arial" w:cs="Arial" w:eastAsia="Arial" w:hAnsi="Arial"/>
                <w:sz w:val="16"/>
                <w:szCs w:val="16"/>
                <w:color w:val="auto"/>
              </w:rPr>
              <w:t>1.</w:t>
            </w:r>
          </w:p>
        </w:tc>
        <w:tc>
          <w:tcPr>
            <w:tcW w:w="2100" w:type="dxa"/>
            <w:vAlign w:val="bottom"/>
          </w:tcPr>
          <w:p>
            <w:pPr>
              <w:ind w:left="80"/>
              <w:spacing w:after="0"/>
              <w:rPr>
                <w:sz w:val="20"/>
                <w:szCs w:val="20"/>
                <w:color w:val="auto"/>
              </w:rPr>
            </w:pPr>
            <w:r>
              <w:rPr>
                <w:rFonts w:ascii="Arial" w:cs="Arial" w:eastAsia="Arial" w:hAnsi="Arial"/>
                <w:sz w:val="16"/>
                <w:szCs w:val="16"/>
                <w:color w:val="auto"/>
              </w:rPr>
              <w:t>Election of three</w:t>
            </w:r>
          </w:p>
        </w:tc>
        <w:tc>
          <w:tcPr>
            <w:tcW w:w="1740" w:type="dxa"/>
            <w:vAlign w:val="bottom"/>
          </w:tcPr>
          <w:p>
            <w:pPr>
              <w:ind w:left="30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all three</w:t>
            </w:r>
          </w:p>
        </w:tc>
        <w:tc>
          <w:tcPr>
            <w:tcW w:w="2160" w:type="dxa"/>
            <w:vAlign w:val="bottom"/>
          </w:tcPr>
          <w:p>
            <w:pPr>
              <w:ind w:left="260"/>
              <w:spacing w:after="0"/>
              <w:rPr>
                <w:sz w:val="20"/>
                <w:szCs w:val="20"/>
                <w:color w:val="auto"/>
              </w:rPr>
            </w:pPr>
            <w:r>
              <w:rPr>
                <w:rFonts w:ascii="Arial" w:cs="Arial" w:eastAsia="Arial" w:hAnsi="Arial"/>
                <w:sz w:val="16"/>
                <w:szCs w:val="16"/>
                <w:color w:val="auto"/>
              </w:rPr>
              <w:t>FOR all three</w:t>
            </w:r>
          </w:p>
        </w:tc>
        <w:tc>
          <w:tcPr>
            <w:tcW w:w="2080" w:type="dxa"/>
            <w:vAlign w:val="bottom"/>
          </w:tcPr>
          <w:p>
            <w:pPr>
              <w:ind w:left="280"/>
              <w:spacing w:after="0"/>
              <w:rPr>
                <w:sz w:val="20"/>
                <w:szCs w:val="20"/>
                <w:color w:val="auto"/>
              </w:rPr>
            </w:pPr>
            <w:r>
              <w:rPr>
                <w:rFonts w:ascii="Arial" w:cs="Arial" w:eastAsia="Arial" w:hAnsi="Arial"/>
                <w:sz w:val="16"/>
                <w:szCs w:val="16"/>
                <w:color w:val="auto"/>
              </w:rPr>
              <w:t>Plurality: the</w:t>
            </w:r>
          </w:p>
        </w:tc>
        <w:tc>
          <w:tcPr>
            <w:tcW w:w="1480" w:type="dxa"/>
            <w:vAlign w:val="bottom"/>
          </w:tcPr>
          <w:p>
            <w:pPr>
              <w:ind w:left="300"/>
              <w:spacing w:after="0"/>
              <w:rPr>
                <w:sz w:val="20"/>
                <w:szCs w:val="20"/>
                <w:color w:val="auto"/>
              </w:rPr>
            </w:pPr>
            <w:r>
              <w:rPr>
                <w:rFonts w:ascii="Arial" w:cs="Arial" w:eastAsia="Arial" w:hAnsi="Arial"/>
                <w:sz w:val="16"/>
                <w:szCs w:val="16"/>
                <w:color w:val="auto"/>
              </w:rPr>
              <w:t>Counted as a</w:t>
            </w:r>
          </w:p>
        </w:tc>
        <w:tc>
          <w:tcPr>
            <w:tcW w:w="1440" w:type="dxa"/>
            <w:vAlign w:val="bottom"/>
          </w:tcPr>
          <w:p>
            <w:pPr>
              <w:ind w:left="22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6"/>
                <w:szCs w:val="16"/>
                <w:color w:val="auto"/>
              </w:rPr>
              <w:t>directors, each to serve</w:t>
            </w:r>
          </w:p>
        </w:tc>
        <w:tc>
          <w:tcPr>
            <w:tcW w:w="1740" w:type="dxa"/>
            <w:vAlign w:val="bottom"/>
          </w:tcPr>
          <w:p>
            <w:pPr>
              <w:ind w:left="300"/>
              <w:spacing w:after="0"/>
              <w:rPr>
                <w:sz w:val="20"/>
                <w:szCs w:val="20"/>
                <w:color w:val="auto"/>
              </w:rPr>
            </w:pPr>
            <w:r>
              <w:rPr>
                <w:rFonts w:ascii="Arial" w:cs="Arial" w:eastAsia="Arial" w:hAnsi="Arial"/>
                <w:sz w:val="16"/>
                <w:szCs w:val="16"/>
                <w:color w:val="auto"/>
              </w:rPr>
              <w:t>nominees</w:t>
            </w:r>
          </w:p>
        </w:tc>
        <w:tc>
          <w:tcPr>
            <w:tcW w:w="2160" w:type="dxa"/>
            <w:vAlign w:val="bottom"/>
          </w:tcPr>
          <w:p>
            <w:pPr>
              <w:ind w:left="260"/>
              <w:spacing w:after="0"/>
              <w:rPr>
                <w:sz w:val="20"/>
                <w:szCs w:val="20"/>
                <w:color w:val="auto"/>
              </w:rPr>
            </w:pPr>
            <w:r>
              <w:rPr>
                <w:rFonts w:ascii="Arial" w:cs="Arial" w:eastAsia="Arial" w:hAnsi="Arial"/>
                <w:sz w:val="16"/>
                <w:szCs w:val="16"/>
                <w:color w:val="auto"/>
              </w:rPr>
              <w:t>nominees;</w:t>
            </w:r>
          </w:p>
        </w:tc>
        <w:tc>
          <w:tcPr>
            <w:tcW w:w="2080" w:type="dxa"/>
            <w:vAlign w:val="bottom"/>
          </w:tcPr>
          <w:p>
            <w:pPr>
              <w:ind w:left="280"/>
              <w:spacing w:after="0"/>
              <w:rPr>
                <w:sz w:val="20"/>
                <w:szCs w:val="20"/>
                <w:color w:val="auto"/>
              </w:rPr>
            </w:pPr>
            <w:r>
              <w:rPr>
                <w:rFonts w:ascii="Arial" w:cs="Arial" w:eastAsia="Arial" w:hAnsi="Arial"/>
                <w:sz w:val="16"/>
                <w:szCs w:val="16"/>
                <w:color w:val="auto"/>
              </w:rPr>
              <w:t>individuals who</w:t>
            </w:r>
          </w:p>
        </w:tc>
        <w:tc>
          <w:tcPr>
            <w:tcW w:w="1480" w:type="dxa"/>
            <w:vAlign w:val="bottom"/>
          </w:tcPr>
          <w:p>
            <w:pPr>
              <w:ind w:left="300"/>
              <w:spacing w:after="0"/>
              <w:rPr>
                <w:sz w:val="20"/>
                <w:szCs w:val="20"/>
                <w:color w:val="auto"/>
              </w:rPr>
            </w:pPr>
            <w:r>
              <w:rPr>
                <w:rFonts w:ascii="Arial" w:cs="Arial" w:eastAsia="Arial" w:hAnsi="Arial"/>
                <w:sz w:val="16"/>
                <w:szCs w:val="16"/>
                <w:color w:val="auto"/>
              </w:rPr>
              <w:t>vote against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40" w:type="dxa"/>
            <w:vAlign w:val="bottom"/>
          </w:tcPr>
          <w:p>
            <w:pPr>
              <w:spacing w:after="0"/>
              <w:rPr>
                <w:sz w:val="17"/>
                <w:szCs w:val="17"/>
                <w:color w:val="auto"/>
              </w:rPr>
            </w:pPr>
          </w:p>
        </w:tc>
        <w:tc>
          <w:tcPr>
            <w:tcW w:w="2100" w:type="dxa"/>
            <w:vAlign w:val="bottom"/>
          </w:tcPr>
          <w:p>
            <w:pPr>
              <w:ind w:left="80"/>
              <w:spacing w:after="0"/>
              <w:rPr>
                <w:sz w:val="20"/>
                <w:szCs w:val="20"/>
                <w:color w:val="auto"/>
              </w:rPr>
            </w:pPr>
            <w:r>
              <w:rPr>
                <w:rFonts w:ascii="Arial" w:cs="Arial" w:eastAsia="Arial" w:hAnsi="Arial"/>
                <w:sz w:val="16"/>
                <w:szCs w:val="16"/>
                <w:color w:val="auto"/>
              </w:rPr>
              <w:t>for a term of three</w:t>
            </w:r>
          </w:p>
        </w:tc>
        <w:tc>
          <w:tcPr>
            <w:tcW w:w="1740" w:type="dxa"/>
            <w:vAlign w:val="bottom"/>
          </w:tcPr>
          <w:p>
            <w:pPr>
              <w:spacing w:after="0"/>
              <w:rPr>
                <w:sz w:val="17"/>
                <w:szCs w:val="17"/>
                <w:color w:val="auto"/>
              </w:rPr>
            </w:pPr>
          </w:p>
        </w:tc>
        <w:tc>
          <w:tcPr>
            <w:tcW w:w="2160" w:type="dxa"/>
            <w:vAlign w:val="bottom"/>
          </w:tcPr>
          <w:p>
            <w:pPr>
              <w:ind w:left="260"/>
              <w:spacing w:after="0"/>
              <w:rPr>
                <w:sz w:val="20"/>
                <w:szCs w:val="20"/>
                <w:color w:val="auto"/>
              </w:rPr>
            </w:pPr>
            <w:r>
              <w:rPr>
                <w:rFonts w:ascii="Arial" w:cs="Arial" w:eastAsia="Arial" w:hAnsi="Arial"/>
                <w:sz w:val="16"/>
                <w:szCs w:val="16"/>
                <w:color w:val="auto"/>
              </w:rPr>
              <w:t>WITHHOLD from all</w:t>
            </w:r>
          </w:p>
        </w:tc>
        <w:tc>
          <w:tcPr>
            <w:tcW w:w="2080" w:type="dxa"/>
            <w:vAlign w:val="bottom"/>
          </w:tcPr>
          <w:p>
            <w:pPr>
              <w:ind w:left="280"/>
              <w:spacing w:after="0"/>
              <w:rPr>
                <w:sz w:val="20"/>
                <w:szCs w:val="20"/>
                <w:color w:val="auto"/>
              </w:rPr>
            </w:pPr>
            <w:r>
              <w:rPr>
                <w:rFonts w:ascii="Arial" w:cs="Arial" w:eastAsia="Arial" w:hAnsi="Arial"/>
                <w:sz w:val="16"/>
                <w:szCs w:val="16"/>
                <w:color w:val="auto"/>
              </w:rPr>
              <w:t>receive the greatest</w:t>
            </w:r>
          </w:p>
        </w:tc>
        <w:tc>
          <w:tcPr>
            <w:tcW w:w="1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0" w:type="dxa"/>
            <w:vAlign w:val="bottom"/>
          </w:tcPr>
          <w:p>
            <w:pPr>
              <w:spacing w:after="0"/>
              <w:rPr>
                <w:sz w:val="17"/>
                <w:szCs w:val="17"/>
                <w:color w:val="auto"/>
              </w:rPr>
            </w:pPr>
          </w:p>
        </w:tc>
        <w:tc>
          <w:tcPr>
            <w:tcW w:w="2100" w:type="dxa"/>
            <w:vAlign w:val="bottom"/>
          </w:tcPr>
          <w:p>
            <w:pPr>
              <w:ind w:left="80"/>
              <w:spacing w:after="0"/>
              <w:rPr>
                <w:sz w:val="20"/>
                <w:szCs w:val="20"/>
                <w:color w:val="auto"/>
              </w:rPr>
            </w:pPr>
            <w:r>
              <w:rPr>
                <w:rFonts w:ascii="Arial" w:cs="Arial" w:eastAsia="Arial" w:hAnsi="Arial"/>
                <w:sz w:val="16"/>
                <w:szCs w:val="16"/>
                <w:color w:val="auto"/>
              </w:rPr>
              <w:t>years ending at the</w:t>
            </w:r>
          </w:p>
        </w:tc>
        <w:tc>
          <w:tcPr>
            <w:tcW w:w="1740" w:type="dxa"/>
            <w:vAlign w:val="bottom"/>
          </w:tcPr>
          <w:p>
            <w:pPr>
              <w:spacing w:after="0"/>
              <w:rPr>
                <w:sz w:val="17"/>
                <w:szCs w:val="17"/>
                <w:color w:val="auto"/>
              </w:rPr>
            </w:pPr>
          </w:p>
        </w:tc>
        <w:tc>
          <w:tcPr>
            <w:tcW w:w="2160" w:type="dxa"/>
            <w:vAlign w:val="bottom"/>
          </w:tcPr>
          <w:p>
            <w:pPr>
              <w:ind w:left="260"/>
              <w:spacing w:after="0"/>
              <w:rPr>
                <w:sz w:val="20"/>
                <w:szCs w:val="20"/>
                <w:color w:val="auto"/>
              </w:rPr>
            </w:pPr>
            <w:r>
              <w:rPr>
                <w:rFonts w:ascii="Arial" w:cs="Arial" w:eastAsia="Arial" w:hAnsi="Arial"/>
                <w:sz w:val="16"/>
                <w:szCs w:val="16"/>
                <w:color w:val="auto"/>
              </w:rPr>
              <w:t>three nominees;</w:t>
            </w:r>
          </w:p>
        </w:tc>
        <w:tc>
          <w:tcPr>
            <w:tcW w:w="2080" w:type="dxa"/>
            <w:vAlign w:val="bottom"/>
          </w:tcPr>
          <w:p>
            <w:pPr>
              <w:ind w:left="280"/>
              <w:spacing w:after="0"/>
              <w:rPr>
                <w:sz w:val="20"/>
                <w:szCs w:val="20"/>
                <w:color w:val="auto"/>
              </w:rPr>
            </w:pPr>
            <w:r>
              <w:rPr>
                <w:rFonts w:ascii="Arial" w:cs="Arial" w:eastAsia="Arial" w:hAnsi="Arial"/>
                <w:sz w:val="16"/>
                <w:szCs w:val="16"/>
                <w:color w:val="auto"/>
              </w:rPr>
              <w:t>number of votes cast</w:t>
            </w:r>
          </w:p>
        </w:tc>
        <w:tc>
          <w:tcPr>
            <w:tcW w:w="1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6"/>
                <w:szCs w:val="16"/>
                <w:color w:val="auto"/>
              </w:rPr>
              <w:t>2024 Annual Meeting of</w:t>
            </w:r>
          </w:p>
        </w:tc>
        <w:tc>
          <w:tcPr>
            <w:tcW w:w="1740" w:type="dxa"/>
            <w:vAlign w:val="bottom"/>
          </w:tcPr>
          <w:p>
            <w:pPr>
              <w:spacing w:after="0"/>
              <w:rPr>
                <w:sz w:val="18"/>
                <w:szCs w:val="18"/>
                <w:color w:val="auto"/>
              </w:rPr>
            </w:pPr>
          </w:p>
        </w:tc>
        <w:tc>
          <w:tcPr>
            <w:tcW w:w="2160" w:type="dxa"/>
            <w:vAlign w:val="bottom"/>
          </w:tcPr>
          <w:p>
            <w:pPr>
              <w:ind w:left="260"/>
              <w:spacing w:after="0"/>
              <w:rPr>
                <w:sz w:val="20"/>
                <w:szCs w:val="20"/>
                <w:color w:val="auto"/>
              </w:rPr>
            </w:pPr>
            <w:r>
              <w:rPr>
                <w:rFonts w:ascii="Arial" w:cs="Arial" w:eastAsia="Arial" w:hAnsi="Arial"/>
                <w:sz w:val="16"/>
                <w:szCs w:val="16"/>
                <w:color w:val="auto"/>
              </w:rPr>
              <w:t>or WITHHOLD from</w:t>
            </w:r>
          </w:p>
        </w:tc>
        <w:tc>
          <w:tcPr>
            <w:tcW w:w="2080" w:type="dxa"/>
            <w:vAlign w:val="bottom"/>
          </w:tcPr>
          <w:p>
            <w:pPr>
              <w:ind w:left="280"/>
              <w:spacing w:after="0"/>
              <w:rPr>
                <w:sz w:val="20"/>
                <w:szCs w:val="20"/>
                <w:color w:val="auto"/>
              </w:rPr>
            </w:pPr>
            <w:r>
              <w:rPr>
                <w:rFonts w:ascii="Arial" w:cs="Arial" w:eastAsia="Arial" w:hAnsi="Arial"/>
                <w:sz w:val="16"/>
                <w:szCs w:val="16"/>
                <w:color w:val="auto"/>
              </w:rPr>
              <w:t>“for” are elected as</w:t>
            </w: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0" w:type="dxa"/>
            <w:vAlign w:val="bottom"/>
          </w:tcPr>
          <w:p>
            <w:pPr>
              <w:spacing w:after="0"/>
              <w:rPr>
                <w:sz w:val="17"/>
                <w:szCs w:val="17"/>
                <w:color w:val="auto"/>
              </w:rPr>
            </w:pPr>
          </w:p>
        </w:tc>
        <w:tc>
          <w:tcPr>
            <w:tcW w:w="2100" w:type="dxa"/>
            <w:vAlign w:val="bottom"/>
          </w:tcPr>
          <w:p>
            <w:pPr>
              <w:ind w:left="80"/>
              <w:spacing w:after="0"/>
              <w:rPr>
                <w:sz w:val="20"/>
                <w:szCs w:val="20"/>
                <w:color w:val="auto"/>
              </w:rPr>
            </w:pPr>
            <w:r>
              <w:rPr>
                <w:rFonts w:ascii="Arial" w:cs="Arial" w:eastAsia="Arial" w:hAnsi="Arial"/>
                <w:sz w:val="16"/>
                <w:szCs w:val="16"/>
                <w:color w:val="auto"/>
              </w:rPr>
              <w:t>Shareholders</w:t>
            </w:r>
          </w:p>
        </w:tc>
        <w:tc>
          <w:tcPr>
            <w:tcW w:w="1740" w:type="dxa"/>
            <w:vAlign w:val="bottom"/>
          </w:tcPr>
          <w:p>
            <w:pPr>
              <w:spacing w:after="0"/>
              <w:rPr>
                <w:sz w:val="17"/>
                <w:szCs w:val="17"/>
                <w:color w:val="auto"/>
              </w:rPr>
            </w:pPr>
          </w:p>
        </w:tc>
        <w:tc>
          <w:tcPr>
            <w:tcW w:w="2160" w:type="dxa"/>
            <w:vAlign w:val="bottom"/>
          </w:tcPr>
          <w:p>
            <w:pPr>
              <w:ind w:left="260"/>
              <w:spacing w:after="0"/>
              <w:rPr>
                <w:sz w:val="20"/>
                <w:szCs w:val="20"/>
                <w:color w:val="auto"/>
              </w:rPr>
            </w:pPr>
            <w:r>
              <w:rPr>
                <w:rFonts w:ascii="Arial" w:cs="Arial" w:eastAsia="Arial" w:hAnsi="Arial"/>
                <w:sz w:val="16"/>
                <w:szCs w:val="16"/>
                <w:color w:val="auto"/>
              </w:rPr>
              <w:t>one or more nominees</w:t>
            </w:r>
          </w:p>
        </w:tc>
        <w:tc>
          <w:tcPr>
            <w:tcW w:w="2080" w:type="dxa"/>
            <w:vAlign w:val="bottom"/>
          </w:tcPr>
          <w:p>
            <w:pPr>
              <w:ind w:left="280"/>
              <w:spacing w:after="0" w:line="207" w:lineRule="exact"/>
              <w:rPr>
                <w:sz w:val="20"/>
                <w:szCs w:val="20"/>
                <w:color w:val="auto"/>
              </w:rPr>
            </w:pPr>
            <w:r>
              <w:rPr>
                <w:rFonts w:ascii="Arial" w:cs="Arial" w:eastAsia="Arial" w:hAnsi="Arial"/>
                <w:sz w:val="14"/>
                <w:szCs w:val="14"/>
                <w:color w:val="auto"/>
              </w:rPr>
              <w:t>directors</w:t>
            </w:r>
            <w:r>
              <w:rPr>
                <w:rFonts w:ascii="Arial" w:cs="Arial" w:eastAsia="Arial" w:hAnsi="Arial"/>
                <w:sz w:val="23"/>
                <w:szCs w:val="23"/>
                <w:color w:val="auto"/>
                <w:vertAlign w:val="superscript"/>
              </w:rPr>
              <w:t>(1)</w:t>
            </w:r>
          </w:p>
        </w:tc>
        <w:tc>
          <w:tcPr>
            <w:tcW w:w="1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0" w:type="dxa"/>
            <w:vAlign w:val="bottom"/>
            <w:shd w:val="clear" w:color="auto" w:fill="D9D9D9"/>
          </w:tcPr>
          <w:p>
            <w:pPr>
              <w:spacing w:after="0"/>
              <w:rPr>
                <w:sz w:val="20"/>
                <w:szCs w:val="20"/>
                <w:color w:val="auto"/>
              </w:rPr>
            </w:pPr>
            <w:r>
              <w:rPr>
                <w:rFonts w:ascii="Arial" w:cs="Arial" w:eastAsia="Arial" w:hAnsi="Arial"/>
                <w:sz w:val="16"/>
                <w:szCs w:val="16"/>
                <w:color w:val="auto"/>
              </w:rPr>
              <w:t>2.</w:t>
            </w:r>
          </w:p>
        </w:tc>
        <w:tc>
          <w:tcPr>
            <w:tcW w:w="2100" w:type="dxa"/>
            <w:vAlign w:val="bottom"/>
            <w:shd w:val="clear" w:color="auto" w:fill="D9D9D9"/>
          </w:tcPr>
          <w:p>
            <w:pPr>
              <w:ind w:left="80"/>
              <w:spacing w:after="0"/>
              <w:rPr>
                <w:sz w:val="20"/>
                <w:szCs w:val="20"/>
                <w:color w:val="auto"/>
              </w:rPr>
            </w:pPr>
            <w:r>
              <w:rPr>
                <w:rFonts w:ascii="Arial" w:cs="Arial" w:eastAsia="Arial" w:hAnsi="Arial"/>
                <w:sz w:val="16"/>
                <w:szCs w:val="16"/>
                <w:color w:val="auto"/>
              </w:rPr>
              <w:t>Ratification of the</w:t>
            </w:r>
          </w:p>
        </w:tc>
        <w:tc>
          <w:tcPr>
            <w:tcW w:w="1740" w:type="dxa"/>
            <w:vAlign w:val="bottom"/>
            <w:shd w:val="clear" w:color="auto" w:fill="D9D9D9"/>
          </w:tcPr>
          <w:p>
            <w:pPr>
              <w:ind w:left="300"/>
              <w:spacing w:after="0"/>
              <w:rPr>
                <w:sz w:val="20"/>
                <w:szCs w:val="20"/>
                <w:color w:val="auto"/>
              </w:rPr>
            </w:pPr>
            <w:r>
              <w:rPr>
                <w:rFonts w:ascii="Arial" w:cs="Arial" w:eastAsia="Arial" w:hAnsi="Arial"/>
                <w:sz w:val="16"/>
                <w:szCs w:val="16"/>
                <w:b w:val="1"/>
                <w:bCs w:val="1"/>
                <w:color w:val="auto"/>
              </w:rPr>
              <w:t>FOR</w:t>
            </w:r>
          </w:p>
        </w:tc>
        <w:tc>
          <w:tcPr>
            <w:tcW w:w="2160" w:type="dxa"/>
            <w:vAlign w:val="bottom"/>
            <w:shd w:val="clear" w:color="auto" w:fill="D9D9D9"/>
          </w:tcPr>
          <w:p>
            <w:pPr>
              <w:ind w:left="260"/>
              <w:spacing w:after="0"/>
              <w:rPr>
                <w:sz w:val="20"/>
                <w:szCs w:val="20"/>
                <w:color w:val="auto"/>
              </w:rPr>
            </w:pPr>
            <w:r>
              <w:rPr>
                <w:rFonts w:ascii="Arial" w:cs="Arial" w:eastAsia="Arial" w:hAnsi="Arial"/>
                <w:sz w:val="16"/>
                <w:szCs w:val="16"/>
                <w:color w:val="auto"/>
              </w:rPr>
              <w:t>FOR; AGAINST;</w:t>
            </w:r>
          </w:p>
        </w:tc>
        <w:tc>
          <w:tcPr>
            <w:tcW w:w="2080" w:type="dxa"/>
            <w:vAlign w:val="bottom"/>
            <w:shd w:val="clear" w:color="auto" w:fill="D9D9D9"/>
          </w:tcPr>
          <w:p>
            <w:pPr>
              <w:ind w:left="280"/>
              <w:spacing w:after="0"/>
              <w:rPr>
                <w:sz w:val="20"/>
                <w:szCs w:val="20"/>
                <w:color w:val="auto"/>
              </w:rPr>
            </w:pPr>
            <w:r>
              <w:rPr>
                <w:rFonts w:ascii="Arial" w:cs="Arial" w:eastAsia="Arial" w:hAnsi="Arial"/>
                <w:sz w:val="16"/>
                <w:szCs w:val="16"/>
                <w:color w:val="auto"/>
              </w:rPr>
              <w:t>Majority of shares</w:t>
            </w:r>
          </w:p>
        </w:tc>
        <w:tc>
          <w:tcPr>
            <w:tcW w:w="1480" w:type="dxa"/>
            <w:vAlign w:val="bottom"/>
            <w:shd w:val="clear" w:color="auto" w:fill="D9D9D9"/>
          </w:tcPr>
          <w:p>
            <w:pPr>
              <w:ind w:left="300"/>
              <w:spacing w:after="0"/>
              <w:rPr>
                <w:sz w:val="20"/>
                <w:szCs w:val="20"/>
                <w:color w:val="auto"/>
              </w:rPr>
            </w:pPr>
            <w:r>
              <w:rPr>
                <w:rFonts w:ascii="Arial" w:cs="Arial" w:eastAsia="Arial" w:hAnsi="Arial"/>
                <w:sz w:val="16"/>
                <w:szCs w:val="16"/>
                <w:color w:val="auto"/>
              </w:rPr>
              <w:t>Counted as a</w:t>
            </w:r>
          </w:p>
        </w:tc>
        <w:tc>
          <w:tcPr>
            <w:tcW w:w="1440" w:type="dxa"/>
            <w:vAlign w:val="bottom"/>
            <w:shd w:val="clear" w:color="auto" w:fill="D9D9D9"/>
          </w:tcPr>
          <w:p>
            <w:pPr>
              <w:ind w:left="2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10"/>
        </w:trPr>
        <w:tc>
          <w:tcPr>
            <w:tcW w:w="240" w:type="dxa"/>
            <w:vAlign w:val="bottom"/>
            <w:shd w:val="clear" w:color="auto" w:fill="D9D9D9"/>
          </w:tcPr>
          <w:p>
            <w:pPr>
              <w:spacing w:after="0"/>
              <w:rPr>
                <w:sz w:val="18"/>
                <w:szCs w:val="18"/>
                <w:color w:val="auto"/>
              </w:rPr>
            </w:pPr>
          </w:p>
        </w:tc>
        <w:tc>
          <w:tcPr>
            <w:tcW w:w="2100" w:type="dxa"/>
            <w:vAlign w:val="bottom"/>
            <w:shd w:val="clear" w:color="auto" w:fill="D9D9D9"/>
          </w:tcPr>
          <w:p>
            <w:pPr>
              <w:ind w:left="80"/>
              <w:spacing w:after="0"/>
              <w:rPr>
                <w:sz w:val="20"/>
                <w:szCs w:val="20"/>
                <w:color w:val="auto"/>
              </w:rPr>
            </w:pPr>
            <w:r>
              <w:rPr>
                <w:rFonts w:ascii="Arial" w:cs="Arial" w:eastAsia="Arial" w:hAnsi="Arial"/>
                <w:sz w:val="16"/>
                <w:szCs w:val="16"/>
                <w:color w:val="auto"/>
              </w:rPr>
              <w:t>selection of KPMG LLP</w:t>
            </w:r>
          </w:p>
        </w:tc>
        <w:tc>
          <w:tcPr>
            <w:tcW w:w="1740" w:type="dxa"/>
            <w:vAlign w:val="bottom"/>
            <w:shd w:val="clear" w:color="auto" w:fill="D9D9D9"/>
          </w:tcPr>
          <w:p>
            <w:pPr>
              <w:spacing w:after="0"/>
              <w:rPr>
                <w:sz w:val="18"/>
                <w:szCs w:val="18"/>
                <w:color w:val="auto"/>
              </w:rPr>
            </w:pPr>
          </w:p>
        </w:tc>
        <w:tc>
          <w:tcPr>
            <w:tcW w:w="2160" w:type="dxa"/>
            <w:vAlign w:val="bottom"/>
            <w:shd w:val="clear" w:color="auto" w:fill="D9D9D9"/>
          </w:tcPr>
          <w:p>
            <w:pPr>
              <w:ind w:left="260"/>
              <w:spacing w:after="0"/>
              <w:rPr>
                <w:sz w:val="20"/>
                <w:szCs w:val="20"/>
                <w:color w:val="auto"/>
              </w:rPr>
            </w:pPr>
            <w:r>
              <w:rPr>
                <w:rFonts w:ascii="Arial" w:cs="Arial" w:eastAsia="Arial" w:hAnsi="Arial"/>
                <w:sz w:val="16"/>
                <w:szCs w:val="16"/>
                <w:color w:val="auto"/>
              </w:rPr>
              <w:t>or ABSTAIN</w:t>
            </w:r>
          </w:p>
        </w:tc>
        <w:tc>
          <w:tcPr>
            <w:tcW w:w="2080" w:type="dxa"/>
            <w:vAlign w:val="bottom"/>
            <w:shd w:val="clear" w:color="auto" w:fill="D9D9D9"/>
          </w:tcPr>
          <w:p>
            <w:pPr>
              <w:ind w:left="280"/>
              <w:spacing w:after="0"/>
              <w:rPr>
                <w:sz w:val="20"/>
                <w:szCs w:val="20"/>
                <w:color w:val="auto"/>
              </w:rPr>
            </w:pPr>
            <w:r>
              <w:rPr>
                <w:rFonts w:ascii="Arial" w:cs="Arial" w:eastAsia="Arial" w:hAnsi="Arial"/>
                <w:sz w:val="16"/>
                <w:szCs w:val="16"/>
                <w:color w:val="auto"/>
              </w:rPr>
              <w:t>present and entitled</w:t>
            </w:r>
          </w:p>
        </w:tc>
        <w:tc>
          <w:tcPr>
            <w:tcW w:w="1480" w:type="dxa"/>
            <w:vAlign w:val="bottom"/>
            <w:shd w:val="clear" w:color="auto" w:fill="D9D9D9"/>
          </w:tcPr>
          <w:p>
            <w:pPr>
              <w:ind w:left="300"/>
              <w:spacing w:after="0"/>
              <w:rPr>
                <w:sz w:val="20"/>
                <w:szCs w:val="20"/>
                <w:color w:val="auto"/>
              </w:rPr>
            </w:pPr>
            <w:r>
              <w:rPr>
                <w:rFonts w:ascii="Arial" w:cs="Arial" w:eastAsia="Arial" w:hAnsi="Arial"/>
                <w:sz w:val="16"/>
                <w:szCs w:val="16"/>
                <w:color w:val="auto"/>
              </w:rPr>
              <w:t>vote against</w:t>
            </w:r>
          </w:p>
        </w:tc>
        <w:tc>
          <w:tcPr>
            <w:tcW w:w="1440" w:type="dxa"/>
            <w:vAlign w:val="bottom"/>
            <w:shd w:val="clear" w:color="auto" w:fill="D9D9D9"/>
          </w:tcPr>
          <w:p>
            <w:pPr>
              <w:ind w:left="220"/>
              <w:spacing w:after="0"/>
              <w:rPr>
                <w:sz w:val="20"/>
                <w:szCs w:val="20"/>
                <w:color w:val="auto"/>
              </w:rPr>
            </w:pPr>
            <w:r>
              <w:rPr>
                <w:rFonts w:ascii="Arial" w:cs="Arial" w:eastAsia="Arial" w:hAnsi="Arial"/>
                <w:sz w:val="16"/>
                <w:szCs w:val="16"/>
                <w:color w:val="auto"/>
              </w:rPr>
              <w:t>applicable</w:t>
            </w:r>
          </w:p>
        </w:tc>
        <w:tc>
          <w:tcPr>
            <w:tcW w:w="0" w:type="dxa"/>
            <w:vAlign w:val="bottom"/>
          </w:tcPr>
          <w:p>
            <w:pPr>
              <w:spacing w:after="0"/>
              <w:rPr>
                <w:sz w:val="1"/>
                <w:szCs w:val="1"/>
                <w:color w:val="auto"/>
              </w:rPr>
            </w:pPr>
          </w:p>
        </w:tc>
      </w:tr>
      <w:tr>
        <w:trPr>
          <w:trHeight w:val="201"/>
        </w:trPr>
        <w:tc>
          <w:tcPr>
            <w:tcW w:w="240" w:type="dxa"/>
            <w:vAlign w:val="bottom"/>
            <w:shd w:val="clear" w:color="auto" w:fill="D9D9D9"/>
          </w:tcPr>
          <w:p>
            <w:pPr>
              <w:spacing w:after="0"/>
              <w:rPr>
                <w:sz w:val="17"/>
                <w:szCs w:val="17"/>
                <w:color w:val="auto"/>
              </w:rPr>
            </w:pPr>
          </w:p>
        </w:tc>
        <w:tc>
          <w:tcPr>
            <w:tcW w:w="2100" w:type="dxa"/>
            <w:vAlign w:val="bottom"/>
            <w:shd w:val="clear" w:color="auto" w:fill="D9D9D9"/>
          </w:tcPr>
          <w:p>
            <w:pPr>
              <w:ind w:left="80"/>
              <w:spacing w:after="0"/>
              <w:rPr>
                <w:sz w:val="20"/>
                <w:szCs w:val="20"/>
                <w:color w:val="auto"/>
              </w:rPr>
            </w:pPr>
            <w:r>
              <w:rPr>
                <w:rFonts w:ascii="Arial" w:cs="Arial" w:eastAsia="Arial" w:hAnsi="Arial"/>
                <w:sz w:val="16"/>
                <w:szCs w:val="16"/>
                <w:color w:val="auto"/>
              </w:rPr>
              <w:t>as our independent</w:t>
            </w:r>
          </w:p>
        </w:tc>
        <w:tc>
          <w:tcPr>
            <w:tcW w:w="1740" w:type="dxa"/>
            <w:vAlign w:val="bottom"/>
            <w:shd w:val="clear" w:color="auto" w:fill="D9D9D9"/>
          </w:tcPr>
          <w:p>
            <w:pPr>
              <w:spacing w:after="0"/>
              <w:rPr>
                <w:sz w:val="17"/>
                <w:szCs w:val="17"/>
                <w:color w:val="auto"/>
              </w:rPr>
            </w:pPr>
          </w:p>
        </w:tc>
        <w:tc>
          <w:tcPr>
            <w:tcW w:w="2160" w:type="dxa"/>
            <w:vAlign w:val="bottom"/>
            <w:shd w:val="clear" w:color="auto" w:fill="D9D9D9"/>
          </w:tcPr>
          <w:p>
            <w:pPr>
              <w:spacing w:after="0"/>
              <w:rPr>
                <w:sz w:val="17"/>
                <w:szCs w:val="17"/>
                <w:color w:val="auto"/>
              </w:rPr>
            </w:pPr>
          </w:p>
        </w:tc>
        <w:tc>
          <w:tcPr>
            <w:tcW w:w="2080" w:type="dxa"/>
            <w:vAlign w:val="bottom"/>
            <w:shd w:val="clear" w:color="auto" w:fill="D9D9D9"/>
          </w:tcPr>
          <w:p>
            <w:pPr>
              <w:ind w:left="280"/>
              <w:spacing w:after="0"/>
              <w:rPr>
                <w:sz w:val="20"/>
                <w:szCs w:val="20"/>
                <w:color w:val="auto"/>
              </w:rPr>
            </w:pPr>
            <w:r>
              <w:rPr>
                <w:rFonts w:ascii="Arial" w:cs="Arial" w:eastAsia="Arial" w:hAnsi="Arial"/>
                <w:sz w:val="16"/>
                <w:szCs w:val="16"/>
                <w:color w:val="auto"/>
              </w:rPr>
              <w:t>to vote</w:t>
            </w:r>
          </w:p>
        </w:tc>
        <w:tc>
          <w:tcPr>
            <w:tcW w:w="1480" w:type="dxa"/>
            <w:vAlign w:val="bottom"/>
            <w:shd w:val="clear" w:color="auto" w:fill="D9D9D9"/>
          </w:tcPr>
          <w:p>
            <w:pPr>
              <w:spacing w:after="0"/>
              <w:rPr>
                <w:sz w:val="17"/>
                <w:szCs w:val="17"/>
                <w:color w:val="auto"/>
              </w:rPr>
            </w:pPr>
          </w:p>
        </w:tc>
        <w:tc>
          <w:tcPr>
            <w:tcW w:w="14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0" w:type="dxa"/>
            <w:vAlign w:val="bottom"/>
            <w:shd w:val="clear" w:color="auto" w:fill="D9D9D9"/>
          </w:tcPr>
          <w:p>
            <w:pPr>
              <w:spacing w:after="0"/>
              <w:rPr>
                <w:sz w:val="17"/>
                <w:szCs w:val="17"/>
                <w:color w:val="auto"/>
              </w:rPr>
            </w:pPr>
          </w:p>
        </w:tc>
        <w:tc>
          <w:tcPr>
            <w:tcW w:w="2100" w:type="dxa"/>
            <w:vAlign w:val="bottom"/>
            <w:shd w:val="clear" w:color="auto" w:fill="D9D9D9"/>
          </w:tcPr>
          <w:p>
            <w:pPr>
              <w:ind w:left="80"/>
              <w:spacing w:after="0"/>
              <w:rPr>
                <w:sz w:val="20"/>
                <w:szCs w:val="20"/>
                <w:color w:val="auto"/>
              </w:rPr>
            </w:pPr>
            <w:r>
              <w:rPr>
                <w:rFonts w:ascii="Arial" w:cs="Arial" w:eastAsia="Arial" w:hAnsi="Arial"/>
                <w:sz w:val="16"/>
                <w:szCs w:val="16"/>
                <w:color w:val="auto"/>
              </w:rPr>
              <w:t>registered public</w:t>
            </w:r>
          </w:p>
        </w:tc>
        <w:tc>
          <w:tcPr>
            <w:tcW w:w="1740" w:type="dxa"/>
            <w:vAlign w:val="bottom"/>
            <w:shd w:val="clear" w:color="auto" w:fill="D9D9D9"/>
          </w:tcPr>
          <w:p>
            <w:pPr>
              <w:spacing w:after="0"/>
              <w:rPr>
                <w:sz w:val="17"/>
                <w:szCs w:val="17"/>
                <w:color w:val="auto"/>
              </w:rPr>
            </w:pPr>
          </w:p>
        </w:tc>
        <w:tc>
          <w:tcPr>
            <w:tcW w:w="2160" w:type="dxa"/>
            <w:vAlign w:val="bottom"/>
            <w:shd w:val="clear" w:color="auto" w:fill="D9D9D9"/>
          </w:tcPr>
          <w:p>
            <w:pPr>
              <w:spacing w:after="0"/>
              <w:rPr>
                <w:sz w:val="17"/>
                <w:szCs w:val="17"/>
                <w:color w:val="auto"/>
              </w:rPr>
            </w:pPr>
          </w:p>
        </w:tc>
        <w:tc>
          <w:tcPr>
            <w:tcW w:w="2080" w:type="dxa"/>
            <w:vAlign w:val="bottom"/>
            <w:shd w:val="clear" w:color="auto" w:fill="D9D9D9"/>
          </w:tcPr>
          <w:p>
            <w:pPr>
              <w:spacing w:after="0"/>
              <w:rPr>
                <w:sz w:val="17"/>
                <w:szCs w:val="17"/>
                <w:color w:val="auto"/>
              </w:rPr>
            </w:pPr>
          </w:p>
        </w:tc>
        <w:tc>
          <w:tcPr>
            <w:tcW w:w="1480" w:type="dxa"/>
            <w:vAlign w:val="bottom"/>
            <w:shd w:val="clear" w:color="auto" w:fill="D9D9D9"/>
          </w:tcPr>
          <w:p>
            <w:pPr>
              <w:spacing w:after="0"/>
              <w:rPr>
                <w:sz w:val="17"/>
                <w:szCs w:val="17"/>
                <w:color w:val="auto"/>
              </w:rPr>
            </w:pPr>
          </w:p>
        </w:tc>
        <w:tc>
          <w:tcPr>
            <w:tcW w:w="14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0" w:type="dxa"/>
            <w:vAlign w:val="bottom"/>
            <w:shd w:val="clear" w:color="auto" w:fill="D9D9D9"/>
          </w:tcPr>
          <w:p>
            <w:pPr>
              <w:spacing w:after="0"/>
              <w:rPr>
                <w:sz w:val="18"/>
                <w:szCs w:val="18"/>
                <w:color w:val="auto"/>
              </w:rPr>
            </w:pPr>
          </w:p>
        </w:tc>
        <w:tc>
          <w:tcPr>
            <w:tcW w:w="2100" w:type="dxa"/>
            <w:vAlign w:val="bottom"/>
            <w:shd w:val="clear" w:color="auto" w:fill="D9D9D9"/>
          </w:tcPr>
          <w:p>
            <w:pPr>
              <w:ind w:left="80"/>
              <w:spacing w:after="0"/>
              <w:rPr>
                <w:sz w:val="20"/>
                <w:szCs w:val="20"/>
                <w:color w:val="auto"/>
              </w:rPr>
            </w:pPr>
            <w:r>
              <w:rPr>
                <w:rFonts w:ascii="Arial" w:cs="Arial" w:eastAsia="Arial" w:hAnsi="Arial"/>
                <w:sz w:val="16"/>
                <w:szCs w:val="16"/>
                <w:color w:val="auto"/>
              </w:rPr>
              <w:t>accounting firm for our</w:t>
            </w:r>
          </w:p>
        </w:tc>
        <w:tc>
          <w:tcPr>
            <w:tcW w:w="1740" w:type="dxa"/>
            <w:vAlign w:val="bottom"/>
            <w:shd w:val="clear" w:color="auto" w:fill="D9D9D9"/>
          </w:tcPr>
          <w:p>
            <w:pPr>
              <w:spacing w:after="0"/>
              <w:rPr>
                <w:sz w:val="18"/>
                <w:szCs w:val="18"/>
                <w:color w:val="auto"/>
              </w:rPr>
            </w:pPr>
          </w:p>
        </w:tc>
        <w:tc>
          <w:tcPr>
            <w:tcW w:w="2160" w:type="dxa"/>
            <w:vAlign w:val="bottom"/>
            <w:shd w:val="clear" w:color="auto" w:fill="D9D9D9"/>
          </w:tcPr>
          <w:p>
            <w:pPr>
              <w:spacing w:after="0"/>
              <w:rPr>
                <w:sz w:val="18"/>
                <w:szCs w:val="18"/>
                <w:color w:val="auto"/>
              </w:rPr>
            </w:pPr>
          </w:p>
        </w:tc>
        <w:tc>
          <w:tcPr>
            <w:tcW w:w="2080" w:type="dxa"/>
            <w:vAlign w:val="bottom"/>
            <w:shd w:val="clear" w:color="auto" w:fill="D9D9D9"/>
          </w:tcPr>
          <w:p>
            <w:pPr>
              <w:spacing w:after="0"/>
              <w:rPr>
                <w:sz w:val="18"/>
                <w:szCs w:val="18"/>
                <w:color w:val="auto"/>
              </w:rPr>
            </w:pPr>
          </w:p>
        </w:tc>
        <w:tc>
          <w:tcPr>
            <w:tcW w:w="1480" w:type="dxa"/>
            <w:vAlign w:val="bottom"/>
            <w:shd w:val="clear" w:color="auto" w:fill="D9D9D9"/>
          </w:tcPr>
          <w:p>
            <w:pPr>
              <w:spacing w:after="0"/>
              <w:rPr>
                <w:sz w:val="18"/>
                <w:szCs w:val="18"/>
                <w:color w:val="auto"/>
              </w:rPr>
            </w:pPr>
          </w:p>
        </w:tc>
        <w:tc>
          <w:tcPr>
            <w:tcW w:w="144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40" w:type="dxa"/>
            <w:vAlign w:val="bottom"/>
            <w:shd w:val="clear" w:color="auto" w:fill="D9D9D9"/>
          </w:tcPr>
          <w:p>
            <w:pPr>
              <w:spacing w:after="0"/>
              <w:rPr>
                <w:sz w:val="17"/>
                <w:szCs w:val="17"/>
                <w:color w:val="auto"/>
              </w:rPr>
            </w:pPr>
          </w:p>
        </w:tc>
        <w:tc>
          <w:tcPr>
            <w:tcW w:w="2100" w:type="dxa"/>
            <w:vAlign w:val="bottom"/>
            <w:shd w:val="clear" w:color="auto" w:fill="D9D9D9"/>
          </w:tcPr>
          <w:p>
            <w:pPr>
              <w:ind w:left="80"/>
              <w:spacing w:after="0"/>
              <w:rPr>
                <w:sz w:val="20"/>
                <w:szCs w:val="20"/>
                <w:color w:val="auto"/>
              </w:rPr>
            </w:pPr>
            <w:r>
              <w:rPr>
                <w:rFonts w:ascii="Arial" w:cs="Arial" w:eastAsia="Arial" w:hAnsi="Arial"/>
                <w:sz w:val="16"/>
                <w:szCs w:val="16"/>
                <w:color w:val="auto"/>
              </w:rPr>
              <w:t>fiscal year ending</w:t>
            </w:r>
          </w:p>
        </w:tc>
        <w:tc>
          <w:tcPr>
            <w:tcW w:w="1740" w:type="dxa"/>
            <w:vAlign w:val="bottom"/>
            <w:shd w:val="clear" w:color="auto" w:fill="D9D9D9"/>
          </w:tcPr>
          <w:p>
            <w:pPr>
              <w:spacing w:after="0"/>
              <w:rPr>
                <w:sz w:val="17"/>
                <w:szCs w:val="17"/>
                <w:color w:val="auto"/>
              </w:rPr>
            </w:pPr>
          </w:p>
        </w:tc>
        <w:tc>
          <w:tcPr>
            <w:tcW w:w="2160" w:type="dxa"/>
            <w:vAlign w:val="bottom"/>
            <w:shd w:val="clear" w:color="auto" w:fill="D9D9D9"/>
          </w:tcPr>
          <w:p>
            <w:pPr>
              <w:spacing w:after="0"/>
              <w:rPr>
                <w:sz w:val="17"/>
                <w:szCs w:val="17"/>
                <w:color w:val="auto"/>
              </w:rPr>
            </w:pPr>
          </w:p>
        </w:tc>
        <w:tc>
          <w:tcPr>
            <w:tcW w:w="2080" w:type="dxa"/>
            <w:vAlign w:val="bottom"/>
            <w:shd w:val="clear" w:color="auto" w:fill="D9D9D9"/>
          </w:tcPr>
          <w:p>
            <w:pPr>
              <w:spacing w:after="0"/>
              <w:rPr>
                <w:sz w:val="17"/>
                <w:szCs w:val="17"/>
                <w:color w:val="auto"/>
              </w:rPr>
            </w:pPr>
          </w:p>
        </w:tc>
        <w:tc>
          <w:tcPr>
            <w:tcW w:w="1480" w:type="dxa"/>
            <w:vAlign w:val="bottom"/>
            <w:shd w:val="clear" w:color="auto" w:fill="D9D9D9"/>
          </w:tcPr>
          <w:p>
            <w:pPr>
              <w:spacing w:after="0"/>
              <w:rPr>
                <w:sz w:val="17"/>
                <w:szCs w:val="17"/>
                <w:color w:val="auto"/>
              </w:rPr>
            </w:pPr>
          </w:p>
        </w:tc>
        <w:tc>
          <w:tcPr>
            <w:tcW w:w="14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40" w:type="dxa"/>
            <w:vAlign w:val="bottom"/>
            <w:shd w:val="clear" w:color="auto" w:fill="D9D9D9"/>
          </w:tcPr>
          <w:p>
            <w:pPr>
              <w:spacing w:after="0"/>
              <w:rPr>
                <w:sz w:val="19"/>
                <w:szCs w:val="19"/>
                <w:color w:val="auto"/>
              </w:rPr>
            </w:pPr>
          </w:p>
        </w:tc>
        <w:tc>
          <w:tcPr>
            <w:tcW w:w="2100" w:type="dxa"/>
            <w:vAlign w:val="bottom"/>
            <w:shd w:val="clear" w:color="auto" w:fill="D9D9D9"/>
          </w:tcPr>
          <w:p>
            <w:pPr>
              <w:ind w:left="80"/>
              <w:spacing w:after="0"/>
              <w:rPr>
                <w:sz w:val="20"/>
                <w:szCs w:val="20"/>
                <w:color w:val="auto"/>
              </w:rPr>
            </w:pPr>
            <w:r>
              <w:rPr>
                <w:rFonts w:ascii="Arial" w:cs="Arial" w:eastAsia="Arial" w:hAnsi="Arial"/>
                <w:sz w:val="16"/>
                <w:szCs w:val="16"/>
                <w:color w:val="auto"/>
              </w:rPr>
              <w:t>October 31, 2021</w:t>
            </w:r>
          </w:p>
        </w:tc>
        <w:tc>
          <w:tcPr>
            <w:tcW w:w="1740" w:type="dxa"/>
            <w:vAlign w:val="bottom"/>
            <w:shd w:val="clear" w:color="auto" w:fill="D9D9D9"/>
          </w:tcPr>
          <w:p>
            <w:pPr>
              <w:spacing w:after="0"/>
              <w:rPr>
                <w:sz w:val="19"/>
                <w:szCs w:val="19"/>
                <w:color w:val="auto"/>
              </w:rPr>
            </w:pPr>
          </w:p>
        </w:tc>
        <w:tc>
          <w:tcPr>
            <w:tcW w:w="2160" w:type="dxa"/>
            <w:vAlign w:val="bottom"/>
            <w:shd w:val="clear" w:color="auto" w:fill="D9D9D9"/>
          </w:tcPr>
          <w:p>
            <w:pPr>
              <w:spacing w:after="0"/>
              <w:rPr>
                <w:sz w:val="19"/>
                <w:szCs w:val="19"/>
                <w:color w:val="auto"/>
              </w:rPr>
            </w:pPr>
          </w:p>
        </w:tc>
        <w:tc>
          <w:tcPr>
            <w:tcW w:w="2080" w:type="dxa"/>
            <w:vAlign w:val="bottom"/>
            <w:shd w:val="clear" w:color="auto" w:fill="D9D9D9"/>
          </w:tcPr>
          <w:p>
            <w:pPr>
              <w:spacing w:after="0"/>
              <w:rPr>
                <w:sz w:val="19"/>
                <w:szCs w:val="19"/>
                <w:color w:val="auto"/>
              </w:rPr>
            </w:pPr>
          </w:p>
        </w:tc>
        <w:tc>
          <w:tcPr>
            <w:tcW w:w="1480" w:type="dxa"/>
            <w:vAlign w:val="bottom"/>
            <w:shd w:val="clear" w:color="auto" w:fill="D9D9D9"/>
          </w:tcPr>
          <w:p>
            <w:pPr>
              <w:spacing w:after="0"/>
              <w:rPr>
                <w:sz w:val="19"/>
                <w:szCs w:val="19"/>
                <w:color w:val="auto"/>
              </w:rPr>
            </w:pPr>
          </w:p>
        </w:tc>
        <w:tc>
          <w:tcPr>
            <w:tcW w:w="144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340" w:type="dxa"/>
            <w:vAlign w:val="bottom"/>
            <w:gridSpan w:val="2"/>
          </w:tcPr>
          <w:p>
            <w:pPr>
              <w:spacing w:after="0"/>
              <w:rPr>
                <w:sz w:val="20"/>
                <w:szCs w:val="20"/>
                <w:color w:val="auto"/>
              </w:rPr>
            </w:pPr>
            <w:r>
              <w:rPr>
                <w:rFonts w:ascii="Arial" w:cs="Arial" w:eastAsia="Arial" w:hAnsi="Arial"/>
                <w:sz w:val="16"/>
                <w:szCs w:val="16"/>
                <w:color w:val="auto"/>
              </w:rPr>
              <w:t>3.  Approval of, on an</w:t>
            </w:r>
          </w:p>
        </w:tc>
        <w:tc>
          <w:tcPr>
            <w:tcW w:w="1740" w:type="dxa"/>
            <w:vAlign w:val="bottom"/>
          </w:tcPr>
          <w:p>
            <w:pPr>
              <w:ind w:left="300"/>
              <w:spacing w:after="0"/>
              <w:rPr>
                <w:sz w:val="20"/>
                <w:szCs w:val="20"/>
                <w:color w:val="auto"/>
              </w:rPr>
            </w:pPr>
            <w:r>
              <w:rPr>
                <w:rFonts w:ascii="Arial" w:cs="Arial" w:eastAsia="Arial" w:hAnsi="Arial"/>
                <w:sz w:val="16"/>
                <w:szCs w:val="16"/>
                <w:b w:val="1"/>
                <w:bCs w:val="1"/>
                <w:color w:val="auto"/>
              </w:rPr>
              <w:t>FOR</w:t>
            </w:r>
          </w:p>
        </w:tc>
        <w:tc>
          <w:tcPr>
            <w:tcW w:w="2160" w:type="dxa"/>
            <w:vAlign w:val="bottom"/>
          </w:tcPr>
          <w:p>
            <w:pPr>
              <w:ind w:left="260"/>
              <w:spacing w:after="0"/>
              <w:rPr>
                <w:sz w:val="20"/>
                <w:szCs w:val="20"/>
                <w:color w:val="auto"/>
              </w:rPr>
            </w:pPr>
            <w:r>
              <w:rPr>
                <w:rFonts w:ascii="Arial" w:cs="Arial" w:eastAsia="Arial" w:hAnsi="Arial"/>
                <w:sz w:val="16"/>
                <w:szCs w:val="16"/>
                <w:color w:val="auto"/>
              </w:rPr>
              <w:t>FOR; AGAINST;</w:t>
            </w:r>
          </w:p>
        </w:tc>
        <w:tc>
          <w:tcPr>
            <w:tcW w:w="2080" w:type="dxa"/>
            <w:vAlign w:val="bottom"/>
          </w:tcPr>
          <w:p>
            <w:pPr>
              <w:ind w:left="280"/>
              <w:spacing w:after="0"/>
              <w:rPr>
                <w:sz w:val="20"/>
                <w:szCs w:val="20"/>
                <w:color w:val="auto"/>
              </w:rPr>
            </w:pPr>
            <w:r>
              <w:rPr>
                <w:rFonts w:ascii="Arial" w:cs="Arial" w:eastAsia="Arial" w:hAnsi="Arial"/>
                <w:sz w:val="16"/>
                <w:szCs w:val="16"/>
                <w:color w:val="auto"/>
              </w:rPr>
              <w:t>Majority of shares</w:t>
            </w:r>
          </w:p>
        </w:tc>
        <w:tc>
          <w:tcPr>
            <w:tcW w:w="1480" w:type="dxa"/>
            <w:vAlign w:val="bottom"/>
          </w:tcPr>
          <w:p>
            <w:pPr>
              <w:ind w:left="300"/>
              <w:spacing w:after="0"/>
              <w:rPr>
                <w:sz w:val="20"/>
                <w:szCs w:val="20"/>
                <w:color w:val="auto"/>
              </w:rPr>
            </w:pPr>
            <w:r>
              <w:rPr>
                <w:rFonts w:ascii="Arial" w:cs="Arial" w:eastAsia="Arial" w:hAnsi="Arial"/>
                <w:sz w:val="16"/>
                <w:szCs w:val="16"/>
                <w:color w:val="auto"/>
              </w:rPr>
              <w:t>Counted as a</w:t>
            </w:r>
          </w:p>
        </w:tc>
        <w:tc>
          <w:tcPr>
            <w:tcW w:w="1440" w:type="dxa"/>
            <w:vAlign w:val="bottom"/>
          </w:tcPr>
          <w:p>
            <w:pPr>
              <w:ind w:left="22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6"/>
                <w:szCs w:val="16"/>
                <w:color w:val="auto"/>
              </w:rPr>
              <w:t>advisory basis, our</w:t>
            </w:r>
          </w:p>
        </w:tc>
        <w:tc>
          <w:tcPr>
            <w:tcW w:w="1740" w:type="dxa"/>
            <w:vAlign w:val="bottom"/>
          </w:tcPr>
          <w:p>
            <w:pPr>
              <w:spacing w:after="0"/>
              <w:rPr>
                <w:sz w:val="18"/>
                <w:szCs w:val="18"/>
                <w:color w:val="auto"/>
              </w:rPr>
            </w:pPr>
          </w:p>
        </w:tc>
        <w:tc>
          <w:tcPr>
            <w:tcW w:w="2160" w:type="dxa"/>
            <w:vAlign w:val="bottom"/>
          </w:tcPr>
          <w:p>
            <w:pPr>
              <w:ind w:left="260"/>
              <w:spacing w:after="0"/>
              <w:rPr>
                <w:sz w:val="20"/>
                <w:szCs w:val="20"/>
                <w:color w:val="auto"/>
              </w:rPr>
            </w:pPr>
            <w:r>
              <w:rPr>
                <w:rFonts w:ascii="Arial" w:cs="Arial" w:eastAsia="Arial" w:hAnsi="Arial"/>
                <w:sz w:val="16"/>
                <w:szCs w:val="16"/>
                <w:color w:val="auto"/>
              </w:rPr>
              <w:t>or ABSTAIN</w:t>
            </w:r>
          </w:p>
        </w:tc>
        <w:tc>
          <w:tcPr>
            <w:tcW w:w="2080" w:type="dxa"/>
            <w:vAlign w:val="bottom"/>
          </w:tcPr>
          <w:p>
            <w:pPr>
              <w:ind w:left="280"/>
              <w:spacing w:after="0"/>
              <w:rPr>
                <w:sz w:val="20"/>
                <w:szCs w:val="20"/>
                <w:color w:val="auto"/>
              </w:rPr>
            </w:pPr>
            <w:r>
              <w:rPr>
                <w:rFonts w:ascii="Arial" w:cs="Arial" w:eastAsia="Arial" w:hAnsi="Arial"/>
                <w:sz w:val="16"/>
                <w:szCs w:val="16"/>
                <w:color w:val="auto"/>
              </w:rPr>
              <w:t>present and entitled</w:t>
            </w:r>
          </w:p>
        </w:tc>
        <w:tc>
          <w:tcPr>
            <w:tcW w:w="1480" w:type="dxa"/>
            <w:vAlign w:val="bottom"/>
          </w:tcPr>
          <w:p>
            <w:pPr>
              <w:ind w:left="300"/>
              <w:spacing w:after="0"/>
              <w:rPr>
                <w:sz w:val="20"/>
                <w:szCs w:val="20"/>
                <w:color w:val="auto"/>
              </w:rPr>
            </w:pPr>
            <w:r>
              <w:rPr>
                <w:rFonts w:ascii="Arial" w:cs="Arial" w:eastAsia="Arial" w:hAnsi="Arial"/>
                <w:sz w:val="16"/>
                <w:szCs w:val="16"/>
                <w:color w:val="auto"/>
              </w:rPr>
              <w:t>vote against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40" w:type="dxa"/>
            <w:vAlign w:val="bottom"/>
          </w:tcPr>
          <w:p>
            <w:pPr>
              <w:spacing w:after="0"/>
              <w:rPr>
                <w:sz w:val="17"/>
                <w:szCs w:val="17"/>
                <w:color w:val="auto"/>
              </w:rPr>
            </w:pPr>
          </w:p>
        </w:tc>
        <w:tc>
          <w:tcPr>
            <w:tcW w:w="2100" w:type="dxa"/>
            <w:vAlign w:val="bottom"/>
          </w:tcPr>
          <w:p>
            <w:pPr>
              <w:ind w:left="80"/>
              <w:spacing w:after="0"/>
              <w:rPr>
                <w:sz w:val="20"/>
                <w:szCs w:val="20"/>
                <w:color w:val="auto"/>
              </w:rPr>
            </w:pPr>
            <w:r>
              <w:rPr>
                <w:rFonts w:ascii="Arial" w:cs="Arial" w:eastAsia="Arial" w:hAnsi="Arial"/>
                <w:sz w:val="16"/>
                <w:szCs w:val="16"/>
                <w:color w:val="auto"/>
              </w:rPr>
              <w:t>executive</w:t>
            </w:r>
          </w:p>
        </w:tc>
        <w:tc>
          <w:tcPr>
            <w:tcW w:w="17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80" w:type="dxa"/>
            <w:vAlign w:val="bottom"/>
          </w:tcPr>
          <w:p>
            <w:pPr>
              <w:ind w:left="280"/>
              <w:spacing w:after="0"/>
              <w:rPr>
                <w:sz w:val="20"/>
                <w:szCs w:val="20"/>
                <w:color w:val="auto"/>
              </w:rPr>
            </w:pPr>
            <w:r>
              <w:rPr>
                <w:rFonts w:ascii="Arial" w:cs="Arial" w:eastAsia="Arial" w:hAnsi="Arial"/>
                <w:sz w:val="16"/>
                <w:szCs w:val="16"/>
                <w:color w:val="auto"/>
              </w:rPr>
              <w:t>to vote</w:t>
            </w:r>
          </w:p>
        </w:tc>
        <w:tc>
          <w:tcPr>
            <w:tcW w:w="1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240" w:type="dxa"/>
            <w:vAlign w:val="bottom"/>
          </w:tcPr>
          <w:p>
            <w:pPr>
              <w:spacing w:after="0"/>
              <w:rPr>
                <w:sz w:val="24"/>
                <w:szCs w:val="24"/>
                <w:color w:val="auto"/>
              </w:rPr>
            </w:pPr>
          </w:p>
        </w:tc>
        <w:tc>
          <w:tcPr>
            <w:tcW w:w="2100" w:type="dxa"/>
            <w:vAlign w:val="bottom"/>
          </w:tcPr>
          <w:p>
            <w:pPr>
              <w:ind w:left="80"/>
              <w:spacing w:after="0"/>
              <w:rPr>
                <w:sz w:val="20"/>
                <w:szCs w:val="20"/>
                <w:color w:val="auto"/>
              </w:rPr>
            </w:pPr>
            <w:r>
              <w:rPr>
                <w:rFonts w:ascii="Arial" w:cs="Arial" w:eastAsia="Arial" w:hAnsi="Arial"/>
                <w:sz w:val="16"/>
                <w:szCs w:val="16"/>
                <w:color w:val="auto"/>
              </w:rPr>
              <w:t>compensation</w:t>
            </w:r>
            <w:r>
              <w:rPr>
                <w:rFonts w:ascii="Arial" w:cs="Arial" w:eastAsia="Arial" w:hAnsi="Arial"/>
                <w:sz w:val="27"/>
                <w:szCs w:val="27"/>
                <w:color w:val="auto"/>
                <w:vertAlign w:val="superscript"/>
              </w:rPr>
              <w:t>(2)</w:t>
            </w:r>
          </w:p>
        </w:tc>
        <w:tc>
          <w:tcPr>
            <w:tcW w:w="1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3920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92045" cy="8255"/>
                    </a:xfrm>
                    <a:prstGeom prst="rect">
                      <a:avLst/>
                    </a:prstGeom>
                    <a:noFill/>
                  </pic:spPr>
                </pic:pic>
              </a:graphicData>
            </a:graphic>
          </wp:anchor>
        </w:drawing>
      </w:r>
    </w:p>
    <w:p>
      <w:pPr>
        <w:spacing w:after="0" w:line="8" w:lineRule="exact"/>
        <w:rPr>
          <w:sz w:val="20"/>
          <w:szCs w:val="20"/>
          <w:color w:val="auto"/>
        </w:rPr>
      </w:pPr>
    </w:p>
    <w:p>
      <w:pPr>
        <w:ind w:left="400" w:right="20" w:hanging="393"/>
        <w:spacing w:after="0" w:line="236" w:lineRule="auto"/>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 our Amended and Restated Bylaws, if any nominee for director in an uncontested election as to whom a majority of the votes of the shares present at the virtual meeting or represented by proxy at the annual meeting and entitled to vote on the election of directors are designated to be “withheld” or are voted “against,” that director must tender his or her resignation for consideration by our Nominating &amp; Governance Committee. Our Nominating &amp; Governance Committee then must evaluate the best interests of our Company and shareholders and recommend the action to be taken by the Board with respect to such tendered resignation.</w:t>
      </w:r>
    </w:p>
    <w:p>
      <w:pPr>
        <w:spacing w:after="0" w:line="41" w:lineRule="exact"/>
        <w:rPr>
          <w:rFonts w:ascii="Arial" w:cs="Arial" w:eastAsia="Arial" w:hAnsi="Arial"/>
          <w:sz w:val="18"/>
          <w:szCs w:val="18"/>
          <w:color w:val="auto"/>
        </w:rPr>
      </w:pPr>
    </w:p>
    <w:p>
      <w:pPr>
        <w:ind w:left="400" w:right="300" w:hanging="393"/>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While an advisory vote, our Compensation &amp; Human Resources Committee and Board expect to take into account the outcome of the vote when considering future executive compensation.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How Will My Shares Be Voted?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shd w:val="clear" w:color="auto" w:fill="C00000"/>
          </w:tcPr>
          <w:p>
            <w:pPr>
              <w:spacing w:after="0"/>
              <w:rPr>
                <w:sz w:val="14"/>
                <w:szCs w:val="14"/>
                <w:color w:val="auto"/>
              </w:rPr>
            </w:pPr>
          </w:p>
        </w:tc>
        <w:tc>
          <w:tcPr>
            <w:tcW w:w="4960" w:type="dxa"/>
            <w:vAlign w:val="bottom"/>
            <w:vMerge w:val="restart"/>
            <w:shd w:val="clear" w:color="auto" w:fill="C00000"/>
          </w:tcPr>
          <w:p>
            <w:pPr>
              <w:ind w:left="1820"/>
              <w:spacing w:after="0"/>
              <w:rPr>
                <w:sz w:val="20"/>
                <w:szCs w:val="20"/>
                <w:color w:val="auto"/>
              </w:rPr>
            </w:pPr>
            <w:r>
              <w:rPr>
                <w:rFonts w:ascii="Arial" w:cs="Arial" w:eastAsia="Arial" w:hAnsi="Arial"/>
                <w:sz w:val="14"/>
                <w:szCs w:val="14"/>
                <w:b w:val="1"/>
                <w:bCs w:val="1"/>
                <w:color w:val="FFFFFF"/>
              </w:rPr>
              <w:t>How Your Shares will be Voted If You</w:t>
            </w:r>
          </w:p>
        </w:tc>
        <w:tc>
          <w:tcPr>
            <w:tcW w:w="2680" w:type="dxa"/>
            <w:vAlign w:val="bottom"/>
            <w:shd w:val="clear" w:color="auto" w:fill="C00000"/>
          </w:tcPr>
          <w:p>
            <w:pPr>
              <w:ind w:left="640"/>
              <w:spacing w:after="0"/>
              <w:rPr>
                <w:sz w:val="20"/>
                <w:szCs w:val="20"/>
                <w:color w:val="auto"/>
              </w:rPr>
            </w:pPr>
            <w:r>
              <w:rPr>
                <w:rFonts w:ascii="Arial" w:cs="Arial" w:eastAsia="Arial" w:hAnsi="Arial"/>
                <w:sz w:val="14"/>
                <w:szCs w:val="14"/>
                <w:b w:val="1"/>
                <w:bCs w:val="1"/>
                <w:color w:val="FFFFFF"/>
              </w:rPr>
              <w:t>How Your Shares will be</w:t>
            </w:r>
          </w:p>
        </w:tc>
        <w:tc>
          <w:tcPr>
            <w:tcW w:w="0" w:type="dxa"/>
            <w:vAlign w:val="bottom"/>
          </w:tcPr>
          <w:p>
            <w:pPr>
              <w:spacing w:after="0"/>
              <w:rPr>
                <w:sz w:val="1"/>
                <w:szCs w:val="1"/>
                <w:color w:val="auto"/>
              </w:rPr>
            </w:pPr>
          </w:p>
        </w:tc>
      </w:tr>
      <w:tr>
        <w:trPr>
          <w:trHeight w:val="94"/>
        </w:trPr>
        <w:tc>
          <w:tcPr>
            <w:tcW w:w="3600" w:type="dxa"/>
            <w:vAlign w:val="bottom"/>
            <w:shd w:val="clear" w:color="auto" w:fill="C00000"/>
          </w:tcPr>
          <w:p>
            <w:pPr>
              <w:spacing w:after="0"/>
              <w:rPr>
                <w:sz w:val="8"/>
                <w:szCs w:val="8"/>
                <w:color w:val="auto"/>
              </w:rPr>
            </w:pPr>
          </w:p>
        </w:tc>
        <w:tc>
          <w:tcPr>
            <w:tcW w:w="4960" w:type="dxa"/>
            <w:vAlign w:val="bottom"/>
            <w:vMerge w:val="continue"/>
            <w:shd w:val="clear" w:color="auto" w:fill="C00000"/>
          </w:tcPr>
          <w:p>
            <w:pPr>
              <w:spacing w:after="0"/>
              <w:rPr>
                <w:sz w:val="8"/>
                <w:szCs w:val="8"/>
                <w:color w:val="auto"/>
              </w:rPr>
            </w:pPr>
          </w:p>
        </w:tc>
        <w:tc>
          <w:tcPr>
            <w:tcW w:w="2680" w:type="dxa"/>
            <w:vAlign w:val="bottom"/>
            <w:vMerge w:val="restart"/>
            <w:shd w:val="clear" w:color="auto" w:fill="C00000"/>
          </w:tcPr>
          <w:p>
            <w:pPr>
              <w:ind w:left="640"/>
              <w:spacing w:after="0"/>
              <w:rPr>
                <w:sz w:val="20"/>
                <w:szCs w:val="20"/>
                <w:color w:val="auto"/>
              </w:rPr>
            </w:pPr>
            <w:r>
              <w:rPr>
                <w:rFonts w:ascii="Arial" w:cs="Arial" w:eastAsia="Arial" w:hAnsi="Arial"/>
                <w:sz w:val="14"/>
                <w:szCs w:val="14"/>
                <w:b w:val="1"/>
                <w:bCs w:val="1"/>
                <w:color w:val="FFFFFF"/>
              </w:rPr>
              <w:t>Voted If You</w:t>
            </w:r>
          </w:p>
        </w:tc>
        <w:tc>
          <w:tcPr>
            <w:tcW w:w="0" w:type="dxa"/>
            <w:vAlign w:val="bottom"/>
          </w:tcPr>
          <w:p>
            <w:pPr>
              <w:spacing w:after="0"/>
              <w:rPr>
                <w:sz w:val="1"/>
                <w:szCs w:val="1"/>
                <w:color w:val="auto"/>
              </w:rPr>
            </w:pPr>
          </w:p>
        </w:tc>
      </w:tr>
      <w:tr>
        <w:trPr>
          <w:trHeight w:val="67"/>
        </w:trPr>
        <w:tc>
          <w:tcPr>
            <w:tcW w:w="3600" w:type="dxa"/>
            <w:vAlign w:val="bottom"/>
            <w:vMerge w:val="restart"/>
            <w:shd w:val="clear" w:color="auto" w:fill="C00000"/>
          </w:tcPr>
          <w:p>
            <w:pPr>
              <w:spacing w:after="0"/>
              <w:rPr>
                <w:sz w:val="20"/>
                <w:szCs w:val="20"/>
                <w:color w:val="auto"/>
              </w:rPr>
            </w:pPr>
            <w:r>
              <w:rPr>
                <w:rFonts w:ascii="Arial" w:cs="Arial" w:eastAsia="Arial" w:hAnsi="Arial"/>
                <w:sz w:val="14"/>
                <w:szCs w:val="14"/>
                <w:b w:val="1"/>
                <w:bCs w:val="1"/>
                <w:color w:val="FFFFFF"/>
              </w:rPr>
              <w:t>How Your Shares are Held</w:t>
            </w:r>
          </w:p>
        </w:tc>
        <w:tc>
          <w:tcPr>
            <w:tcW w:w="4960" w:type="dxa"/>
            <w:vAlign w:val="bottom"/>
            <w:vMerge w:val="restart"/>
            <w:shd w:val="clear" w:color="auto" w:fill="C00000"/>
          </w:tcPr>
          <w:p>
            <w:pPr>
              <w:ind w:left="1820"/>
              <w:spacing w:after="0"/>
              <w:rPr>
                <w:sz w:val="20"/>
                <w:szCs w:val="20"/>
                <w:color w:val="auto"/>
              </w:rPr>
            </w:pPr>
            <w:r>
              <w:rPr>
                <w:rFonts w:ascii="Arial" w:cs="Arial" w:eastAsia="Arial" w:hAnsi="Arial"/>
                <w:sz w:val="14"/>
                <w:szCs w:val="14"/>
                <w:b w:val="1"/>
                <w:bCs w:val="1"/>
                <w:color w:val="FFFFFF"/>
              </w:rPr>
              <w:t>Specify How to Vote</w:t>
            </w:r>
          </w:p>
        </w:tc>
        <w:tc>
          <w:tcPr>
            <w:tcW w:w="2680" w:type="dxa"/>
            <w:vAlign w:val="bottom"/>
            <w:vMerge w:val="continue"/>
            <w:shd w:val="clear" w:color="auto" w:fill="C00000"/>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3600" w:type="dxa"/>
            <w:vAlign w:val="bottom"/>
            <w:vMerge w:val="continue"/>
            <w:shd w:val="clear" w:color="auto" w:fill="C00000"/>
          </w:tcPr>
          <w:p>
            <w:pPr>
              <w:spacing w:after="0"/>
              <w:rPr>
                <w:sz w:val="10"/>
                <w:szCs w:val="10"/>
                <w:color w:val="auto"/>
              </w:rPr>
            </w:pPr>
          </w:p>
        </w:tc>
        <w:tc>
          <w:tcPr>
            <w:tcW w:w="4960" w:type="dxa"/>
            <w:vAlign w:val="bottom"/>
            <w:vMerge w:val="continue"/>
            <w:shd w:val="clear" w:color="auto" w:fill="C00000"/>
          </w:tcPr>
          <w:p>
            <w:pPr>
              <w:spacing w:after="0"/>
              <w:rPr>
                <w:sz w:val="10"/>
                <w:szCs w:val="10"/>
                <w:color w:val="auto"/>
              </w:rPr>
            </w:pPr>
          </w:p>
        </w:tc>
        <w:tc>
          <w:tcPr>
            <w:tcW w:w="2680" w:type="dxa"/>
            <w:vAlign w:val="bottom"/>
            <w:vMerge w:val="restart"/>
            <w:shd w:val="clear" w:color="auto" w:fill="C00000"/>
          </w:tcPr>
          <w:p>
            <w:pPr>
              <w:ind w:left="640"/>
              <w:spacing w:after="0"/>
              <w:rPr>
                <w:sz w:val="20"/>
                <w:szCs w:val="20"/>
                <w:color w:val="auto"/>
              </w:rPr>
            </w:pPr>
            <w:r>
              <w:rPr>
                <w:rFonts w:ascii="Arial" w:cs="Arial" w:eastAsia="Arial" w:hAnsi="Arial"/>
                <w:sz w:val="14"/>
                <w:szCs w:val="14"/>
                <w:b w:val="1"/>
                <w:bCs w:val="1"/>
                <w:color w:val="FFFFFF"/>
              </w:rPr>
              <w:t>Do Not Specify How to Vote</w:t>
            </w:r>
          </w:p>
        </w:tc>
        <w:tc>
          <w:tcPr>
            <w:tcW w:w="0" w:type="dxa"/>
            <w:vAlign w:val="bottom"/>
          </w:tcPr>
          <w:p>
            <w:pPr>
              <w:spacing w:after="0"/>
              <w:rPr>
                <w:sz w:val="1"/>
                <w:szCs w:val="1"/>
                <w:color w:val="auto"/>
              </w:rPr>
            </w:pPr>
          </w:p>
        </w:tc>
      </w:tr>
      <w:tr>
        <w:trPr>
          <w:trHeight w:val="79"/>
        </w:trPr>
        <w:tc>
          <w:tcPr>
            <w:tcW w:w="3600" w:type="dxa"/>
            <w:vAlign w:val="bottom"/>
            <w:shd w:val="clear" w:color="auto" w:fill="C00000"/>
          </w:tcPr>
          <w:p>
            <w:pPr>
              <w:spacing w:after="0"/>
              <w:rPr>
                <w:sz w:val="6"/>
                <w:szCs w:val="6"/>
                <w:color w:val="auto"/>
              </w:rPr>
            </w:pPr>
          </w:p>
        </w:tc>
        <w:tc>
          <w:tcPr>
            <w:tcW w:w="4960" w:type="dxa"/>
            <w:vAlign w:val="bottom"/>
            <w:shd w:val="clear" w:color="auto" w:fill="C00000"/>
          </w:tcPr>
          <w:p>
            <w:pPr>
              <w:spacing w:after="0"/>
              <w:rPr>
                <w:sz w:val="6"/>
                <w:szCs w:val="6"/>
                <w:color w:val="auto"/>
              </w:rPr>
            </w:pPr>
          </w:p>
        </w:tc>
        <w:tc>
          <w:tcPr>
            <w:tcW w:w="2680" w:type="dxa"/>
            <w:vAlign w:val="bottom"/>
            <w:vMerge w:val="continue"/>
            <w:shd w:val="clear" w:color="auto" w:fill="C00000"/>
          </w:tcPr>
          <w:p>
            <w:pPr>
              <w:spacing w:after="0"/>
              <w:rPr>
                <w:sz w:val="6"/>
                <w:szCs w:val="6"/>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tabs>
          <w:tab w:leader="none" w:pos="5400" w:val="left"/>
        </w:tabs>
        <w:rPr>
          <w:sz w:val="20"/>
          <w:szCs w:val="20"/>
          <w:color w:val="auto"/>
        </w:rPr>
      </w:pPr>
      <w:r>
        <w:rPr>
          <w:rFonts w:ascii="Arial" w:cs="Arial" w:eastAsia="Arial" w:hAnsi="Arial"/>
          <w:sz w:val="16"/>
          <w:szCs w:val="16"/>
          <w:color w:val="auto"/>
        </w:rPr>
        <w:t>Shares registered in your name</w:t>
      </w:r>
      <w:r>
        <w:rPr>
          <w:sz w:val="20"/>
          <w:szCs w:val="20"/>
          <w:color w:val="auto"/>
        </w:rPr>
        <w:tab/>
      </w:r>
      <w:r>
        <w:rPr>
          <w:rFonts w:ascii="Arial" w:cs="Arial" w:eastAsia="Arial" w:hAnsi="Arial"/>
          <w:sz w:val="16"/>
          <w:szCs w:val="16"/>
          <w:color w:val="auto"/>
        </w:rPr>
        <w:t>The named proxies will vote your shares</w:t>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as you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7133590" cy="6381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3590" cy="638175"/>
                    </a:xfrm>
                    <a:prstGeom prst="rect">
                      <a:avLst/>
                    </a:prstGeom>
                    <a:noFill/>
                  </pic:spPr>
                </pic:pic>
              </a:graphicData>
            </a:graphic>
          </wp:anchor>
        </w:drawing>
      </w:r>
    </w:p>
    <w:p>
      <w:pPr>
        <w:spacing w:after="0" w:line="198" w:lineRule="exact"/>
        <w:rPr>
          <w:sz w:val="20"/>
          <w:szCs w:val="20"/>
          <w:color w:val="auto"/>
        </w:rPr>
      </w:pPr>
    </w:p>
    <w:p>
      <w:pPr>
        <w:spacing w:after="0"/>
        <w:tabs>
          <w:tab w:leader="none" w:pos="5400" w:val="left"/>
        </w:tabs>
        <w:rPr>
          <w:sz w:val="20"/>
          <w:szCs w:val="20"/>
          <w:color w:val="auto"/>
        </w:rPr>
      </w:pPr>
      <w:r>
        <w:rPr>
          <w:rFonts w:ascii="Arial" w:cs="Arial" w:eastAsia="Arial" w:hAnsi="Arial"/>
          <w:sz w:val="16"/>
          <w:szCs w:val="16"/>
          <w:color w:val="auto"/>
        </w:rPr>
        <w:t>Shares held in street name</w:t>
      </w:r>
      <w:r>
        <w:rPr>
          <w:sz w:val="20"/>
          <w:szCs w:val="20"/>
          <w:color w:val="auto"/>
        </w:rPr>
        <w:tab/>
      </w:r>
      <w:r>
        <w:rPr>
          <w:rFonts w:ascii="Arial" w:cs="Arial" w:eastAsia="Arial" w:hAnsi="Arial"/>
          <w:sz w:val="15"/>
          <w:szCs w:val="15"/>
          <w:color w:val="auto"/>
        </w:rPr>
        <w:t>Your broker will vote your shares as you</w:t>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direct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5400" w:val="left"/>
        </w:tabs>
        <w:rPr>
          <w:sz w:val="20"/>
          <w:szCs w:val="20"/>
          <w:color w:val="auto"/>
        </w:rPr>
      </w:pPr>
      <w:r>
        <w:rPr>
          <w:rFonts w:ascii="Arial" w:cs="Arial" w:eastAsia="Arial" w:hAnsi="Arial"/>
          <w:sz w:val="16"/>
          <w:szCs w:val="16"/>
          <w:color w:val="auto"/>
        </w:rPr>
        <w:t>Shares held in certain TTC employee</w:t>
      </w:r>
      <w:r>
        <w:rPr>
          <w:sz w:val="20"/>
          <w:szCs w:val="20"/>
          <w:color w:val="auto"/>
        </w:rPr>
        <w:tab/>
      </w:r>
      <w:r>
        <w:rPr>
          <w:rFonts w:ascii="Arial" w:cs="Arial" w:eastAsia="Arial" w:hAnsi="Arial"/>
          <w:sz w:val="16"/>
          <w:szCs w:val="16"/>
          <w:color w:val="auto"/>
        </w:rPr>
        <w:t>The plan trustee will vote your shares</w:t>
      </w:r>
    </w:p>
    <w:p>
      <w:pPr>
        <w:spacing w:after="0" w:line="30" w:lineRule="exact"/>
        <w:rPr>
          <w:sz w:val="20"/>
          <w:szCs w:val="20"/>
          <w:color w:val="auto"/>
        </w:rPr>
      </w:pPr>
    </w:p>
    <w:p>
      <w:pPr>
        <w:spacing w:after="0"/>
        <w:tabs>
          <w:tab w:leader="none" w:pos="5400" w:val="left"/>
        </w:tabs>
        <w:rPr>
          <w:sz w:val="20"/>
          <w:szCs w:val="20"/>
          <w:color w:val="auto"/>
        </w:rPr>
      </w:pPr>
      <w:r>
        <w:rPr>
          <w:rFonts w:ascii="Arial" w:cs="Arial" w:eastAsia="Arial" w:hAnsi="Arial"/>
          <w:sz w:val="16"/>
          <w:szCs w:val="16"/>
          <w:color w:val="auto"/>
        </w:rPr>
        <w:t>benefit plans</w:t>
      </w:r>
      <w:r>
        <w:rPr>
          <w:sz w:val="20"/>
          <w:szCs w:val="20"/>
          <w:color w:val="auto"/>
        </w:rPr>
        <w:tab/>
      </w:r>
      <w:r>
        <w:rPr>
          <w:rFonts w:ascii="Arial" w:cs="Arial" w:eastAsia="Arial" w:hAnsi="Arial"/>
          <w:sz w:val="16"/>
          <w:szCs w:val="16"/>
          <w:color w:val="auto"/>
        </w:rPr>
        <w:t>confidentially as you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452120</wp:posOffset>
            </wp:positionV>
            <wp:extent cx="22390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390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57" w:lineRule="auto"/>
        <w:rPr>
          <w:sz w:val="20"/>
          <w:szCs w:val="20"/>
          <w:color w:val="auto"/>
        </w:rPr>
      </w:pPr>
      <w:r>
        <w:rPr>
          <w:rFonts w:ascii="Arial" w:cs="Arial" w:eastAsia="Arial" w:hAnsi="Arial"/>
          <w:sz w:val="16"/>
          <w:szCs w:val="16"/>
          <w:color w:val="auto"/>
        </w:rPr>
        <w:t xml:space="preserve">The named proxies will vote </w:t>
      </w:r>
      <w:r>
        <w:rPr>
          <w:rFonts w:ascii="Arial" w:cs="Arial" w:eastAsia="Arial" w:hAnsi="Arial"/>
          <w:sz w:val="16"/>
          <w:szCs w:val="16"/>
          <w:b w:val="1"/>
          <w:bCs w:val="1"/>
          <w:color w:val="auto"/>
        </w:rPr>
        <w:t xml:space="preserve">FOR </w:t>
      </w:r>
      <w:r>
        <w:rPr>
          <w:rFonts w:ascii="Arial" w:cs="Arial" w:eastAsia="Arial" w:hAnsi="Arial"/>
          <w:sz w:val="16"/>
          <w:szCs w:val="16"/>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proposals</w:t>
      </w:r>
    </w:p>
    <w:p>
      <w:pPr>
        <w:spacing w:after="0" w:line="30"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Your broker may vote only on routine</w:t>
      </w:r>
    </w:p>
    <w:p>
      <w:pPr>
        <w:spacing w:after="0" w:line="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items in the absence of your instruction</w:t>
      </w:r>
    </w:p>
    <w:p>
      <w:pPr>
        <w:spacing w:after="0" w:line="183" w:lineRule="auto"/>
        <w:rPr>
          <w:sz w:val="20"/>
          <w:szCs w:val="20"/>
          <w:color w:val="auto"/>
        </w:rPr>
      </w:pPr>
      <w:r>
        <w:rPr>
          <w:rFonts w:ascii="Arial" w:cs="Arial" w:eastAsia="Arial" w:hAnsi="Arial"/>
          <w:sz w:val="15"/>
          <w:szCs w:val="15"/>
          <w:color w:val="auto"/>
        </w:rPr>
        <w:t>how to vote</w:t>
      </w:r>
      <w:r>
        <w:rPr>
          <w:rFonts w:ascii="Arial" w:cs="Arial" w:eastAsia="Arial" w:hAnsi="Arial"/>
          <w:sz w:val="25"/>
          <w:szCs w:val="25"/>
          <w:color w:val="auto"/>
          <w:vertAlign w:val="superscript"/>
        </w:rPr>
        <w:t>(1)</w:t>
      </w:r>
    </w:p>
    <w:p>
      <w:pPr>
        <w:spacing w:after="0" w:line="1"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The plan trustee will vote your shares in</w:t>
      </w:r>
    </w:p>
    <w:p>
      <w:pPr>
        <w:spacing w:after="0" w:line="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same proportion as the votes actually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cast by participants</w:t>
      </w:r>
    </w:p>
    <w:p>
      <w:pPr>
        <w:spacing w:after="0" w:line="200" w:lineRule="exact"/>
        <w:rPr>
          <w:sz w:val="20"/>
          <w:szCs w:val="20"/>
          <w:color w:val="auto"/>
        </w:rPr>
      </w:pPr>
    </w:p>
    <w:p>
      <w:pPr>
        <w:sectPr>
          <w:pgSz w:w="11900" w:h="16838" w:orient="portrait"/>
          <w:cols w:equalWidth="0" w:num="2">
            <w:col w:w="8480" w:space="720"/>
            <w:col w:w="2040"/>
          </w:cols>
          <w:pgMar w:left="320" w:top="140" w:right="339" w:bottom="1440" w:gutter="0" w:footer="0" w:header="0"/>
          <w:type w:val="continuous"/>
        </w:sectPr>
      </w:pPr>
    </w:p>
    <w:p>
      <w:pPr>
        <w:spacing w:after="0" w:line="2" w:lineRule="exact"/>
        <w:rPr>
          <w:sz w:val="20"/>
          <w:szCs w:val="20"/>
          <w:color w:val="auto"/>
        </w:rPr>
      </w:pPr>
    </w:p>
    <w:p>
      <w:pPr>
        <w:ind w:left="400" w:right="120" w:hanging="393"/>
        <w:spacing w:after="0" w:line="234" w:lineRule="auto"/>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your shares are held in “street name” and you do not indicate how you wish to vote, under the New York Stock Exchange, or NYSE, rules, your broker is permitted to exercise its discretion to vote your shares only on certain “routine” matters. Proposal One—Election of Directors and Proposal Three—Advisory Approval of our Executive Compensation are not “routine” matters. Accordingly, if you do not direct your broker how to vote on those proposals, your broker may not exercise discretionary voting authority and may not vote your shares on these proposals. This is called a “broker non-vote” and although your shares will be considered to be represented by proxy at the annual meeting for purposes of establishing quorum, as discussed on page 2, they are not considered to be shares “entitled to vote” at the annual meeting and will not be counted as having been voted on the applicable proposal. Proposal Two—Ratification of Selection of Independent Registered Public Accounting Firm is a “routine” matter, and your broker is permitted to exercise discretionary voting authority to vote your shares “for” or “against” the proposal in the absence of your instruction.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What Does It Mean If I Receive More Than One Notice or Set of Proxy Materials?</w:t>
      </w:r>
    </w:p>
    <w:p>
      <w:pPr>
        <w:spacing w:after="0" w:line="118" w:lineRule="exact"/>
        <w:rPr>
          <w:sz w:val="20"/>
          <w:szCs w:val="20"/>
          <w:color w:val="auto"/>
        </w:rPr>
      </w:pPr>
    </w:p>
    <w:p>
      <w:pPr>
        <w:ind w:right="100" w:firstLine="401"/>
        <w:spacing w:after="0" w:line="234" w:lineRule="auto"/>
        <w:rPr>
          <w:sz w:val="20"/>
          <w:szCs w:val="20"/>
          <w:color w:val="auto"/>
        </w:rPr>
      </w:pPr>
      <w:r>
        <w:rPr>
          <w:rFonts w:ascii="Arial" w:cs="Arial" w:eastAsia="Arial" w:hAnsi="Arial"/>
          <w:sz w:val="18"/>
          <w:szCs w:val="18"/>
          <w:color w:val="auto"/>
        </w:rPr>
        <w:t>If you hold your shares in more than one account, you may receive multiple copies of the Notice Regarding the Availability of Proxy Materials and/or electronic or paper copies of our proxy materials. If you are a participant in the dividend reinvestment feature of our Direct Stock Purchase Plan, shares registered in your name are combined with shares you hold in that plan. Similarly, where possible, shares registered in your name are combined with shares you hold, if any, as a participant in certain TTC employee benefit plans. However, shares you hold in “street name” (through a broker, bank or other nominee) are not combined with shares registered in your name or held as a participant in TTC employee benefit plans. If you receive more than one Notice Regarding the Availability of Proxy Materials and/or electronic or paper copies of our proxy materials, you must vote separately for each notice, e-mail notification or proxy and/or voting instruction card having a unique control number to ensure that all of your shares are voted.</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How Can I Revoke or Change My Vote?</w:t>
      </w:r>
    </w:p>
    <w:p>
      <w:pPr>
        <w:spacing w:after="0" w:line="118" w:lineRule="exact"/>
        <w:rPr>
          <w:sz w:val="20"/>
          <w:szCs w:val="20"/>
          <w:color w:val="auto"/>
        </w:rPr>
      </w:pPr>
    </w:p>
    <w:p>
      <w:pPr>
        <w:ind w:right="200" w:firstLine="401"/>
        <w:spacing w:after="0"/>
        <w:rPr>
          <w:sz w:val="20"/>
          <w:szCs w:val="20"/>
          <w:color w:val="auto"/>
        </w:rPr>
      </w:pPr>
      <w:r>
        <w:rPr>
          <w:rFonts w:ascii="Arial" w:cs="Arial" w:eastAsia="Arial" w:hAnsi="Arial"/>
          <w:sz w:val="18"/>
          <w:szCs w:val="18"/>
          <w:color w:val="auto"/>
        </w:rPr>
        <w:t>You may revoke your proxy or change your vote at any time before your shares are voted at the annual meeting by one of the following methods: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740" w:type="dxa"/>
            <w:vAlign w:val="bottom"/>
            <w:tcBorders>
              <w:bottom w:val="single" w:sz="8" w:color="C00000"/>
            </w:tcBorders>
            <w:shd w:val="clear" w:color="auto" w:fill="C00000"/>
          </w:tcPr>
          <w:p>
            <w:pPr>
              <w:spacing w:after="0"/>
              <w:rPr>
                <w:sz w:val="20"/>
                <w:szCs w:val="20"/>
                <w:color w:val="auto"/>
              </w:rPr>
            </w:pPr>
            <w:r>
              <w:rPr>
                <w:rFonts w:ascii="Arial" w:cs="Arial" w:eastAsia="Arial" w:hAnsi="Arial"/>
                <w:sz w:val="14"/>
                <w:szCs w:val="14"/>
                <w:b w:val="1"/>
                <w:bCs w:val="1"/>
                <w:color w:val="FFFFFF"/>
              </w:rPr>
              <w:t>How Your Shares are Held</w:t>
            </w:r>
          </w:p>
        </w:tc>
        <w:tc>
          <w:tcPr>
            <w:tcW w:w="8500" w:type="dxa"/>
            <w:vAlign w:val="bottom"/>
            <w:tcBorders>
              <w:bottom w:val="single" w:sz="8" w:color="C00000"/>
            </w:tcBorders>
            <w:shd w:val="clear" w:color="auto" w:fill="C00000"/>
          </w:tcPr>
          <w:p>
            <w:pPr>
              <w:ind w:left="80"/>
              <w:spacing w:after="0"/>
              <w:rPr>
                <w:sz w:val="20"/>
                <w:szCs w:val="20"/>
                <w:color w:val="auto"/>
              </w:rPr>
            </w:pPr>
            <w:r>
              <w:rPr>
                <w:rFonts w:ascii="Arial" w:cs="Arial" w:eastAsia="Arial" w:hAnsi="Arial"/>
                <w:sz w:val="14"/>
                <w:szCs w:val="14"/>
                <w:b w:val="1"/>
                <w:bCs w:val="1"/>
                <w:color w:val="FFFFFF"/>
              </w:rPr>
              <w:t>Method to Revoke or Change Your Vote</w:t>
            </w: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Shares registered in your name</w:t>
            </w:r>
          </w:p>
        </w:tc>
        <w:tc>
          <w:tcPr>
            <w:tcW w:w="850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Submit another proper proxy with a more recent date than that of the proxy first given by following the Internet,</w:t>
            </w:r>
          </w:p>
        </w:tc>
      </w:tr>
      <w:tr>
        <w:trPr>
          <w:trHeight w:val="194"/>
        </w:trPr>
        <w:tc>
          <w:tcPr>
            <w:tcW w:w="2740" w:type="dxa"/>
            <w:vAlign w:val="bottom"/>
          </w:tcPr>
          <w:p>
            <w:pPr>
              <w:spacing w:after="0"/>
              <w:rPr>
                <w:sz w:val="16"/>
                <w:szCs w:val="16"/>
                <w:color w:val="auto"/>
              </w:rPr>
            </w:pPr>
          </w:p>
        </w:tc>
        <w:tc>
          <w:tcPr>
            <w:tcW w:w="8500" w:type="dxa"/>
            <w:vAlign w:val="bottom"/>
          </w:tcPr>
          <w:p>
            <w:pPr>
              <w:ind w:left="240"/>
              <w:spacing w:after="0"/>
              <w:rPr>
                <w:sz w:val="20"/>
                <w:szCs w:val="20"/>
                <w:color w:val="auto"/>
              </w:rPr>
            </w:pPr>
            <w:r>
              <w:rPr>
                <w:rFonts w:ascii="Arial" w:cs="Arial" w:eastAsia="Arial" w:hAnsi="Arial"/>
                <w:sz w:val="16"/>
                <w:szCs w:val="16"/>
                <w:color w:val="auto"/>
              </w:rPr>
              <w:t>telephone or mobile device voting instructions or complete, sign, date and mail a proxy card;</w:t>
            </w:r>
          </w:p>
        </w:tc>
      </w:tr>
      <w:tr>
        <w:trPr>
          <w:trHeight w:val="232"/>
        </w:trPr>
        <w:tc>
          <w:tcPr>
            <w:tcW w:w="2740" w:type="dxa"/>
            <w:vAlign w:val="bottom"/>
          </w:tcPr>
          <w:p>
            <w:pPr>
              <w:spacing w:after="0"/>
              <w:rPr>
                <w:sz w:val="20"/>
                <w:szCs w:val="20"/>
                <w:color w:val="auto"/>
              </w:rPr>
            </w:pPr>
          </w:p>
        </w:tc>
        <w:tc>
          <w:tcPr>
            <w:tcW w:w="850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Attend the annual meeting virtually and vote electronically at the meeting; or</w:t>
            </w:r>
          </w:p>
        </w:tc>
      </w:tr>
      <w:tr>
        <w:trPr>
          <w:trHeight w:val="215"/>
        </w:trPr>
        <w:tc>
          <w:tcPr>
            <w:tcW w:w="2740" w:type="dxa"/>
            <w:vAlign w:val="bottom"/>
          </w:tcPr>
          <w:p>
            <w:pPr>
              <w:spacing w:after="0"/>
              <w:rPr>
                <w:sz w:val="18"/>
                <w:szCs w:val="18"/>
                <w:color w:val="auto"/>
              </w:rPr>
            </w:pPr>
          </w:p>
        </w:tc>
        <w:tc>
          <w:tcPr>
            <w:tcW w:w="850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Send written notice of revocation to our General Counsel.</w:t>
            </w:r>
          </w:p>
        </w:tc>
      </w:tr>
      <w:tr>
        <w:trPr>
          <w:trHeight w:val="236"/>
        </w:trPr>
        <w:tc>
          <w:tcPr>
            <w:tcW w:w="274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6"/>
                <w:szCs w:val="16"/>
                <w:color w:val="auto"/>
              </w:rPr>
              <w:t>Shares held in street name</w:t>
            </w:r>
          </w:p>
        </w:tc>
        <w:tc>
          <w:tcPr>
            <w:tcW w:w="8500" w:type="dxa"/>
            <w:vAlign w:val="bottom"/>
            <w:tcBorders>
              <w:bottom w:val="single" w:sz="8" w:color="D9D9D9"/>
            </w:tcBorders>
            <w:shd w:val="clear" w:color="auto" w:fill="D9D9D9"/>
          </w:tcPr>
          <w:p>
            <w:pPr>
              <w:ind w:left="80"/>
              <w:spacing w:after="0"/>
              <w:rPr>
                <w:sz w:val="20"/>
                <w:szCs w:val="20"/>
                <w:color w:val="auto"/>
              </w:rPr>
            </w:pPr>
            <w:r>
              <w:rPr>
                <w:rFonts w:ascii="Arial" w:cs="Arial" w:eastAsia="Arial" w:hAnsi="Arial"/>
                <w:sz w:val="16"/>
                <w:szCs w:val="16"/>
                <w:color w:val="auto"/>
              </w:rPr>
              <w:t>Follow instructions provided by your broker, bank or other nominee</w:t>
            </w: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Shares held in certain TTC employee</w:t>
            </w:r>
          </w:p>
        </w:tc>
        <w:tc>
          <w:tcPr>
            <w:tcW w:w="8500" w:type="dxa"/>
            <w:vAlign w:val="bottom"/>
          </w:tcPr>
          <w:p>
            <w:pPr>
              <w:ind w:left="80"/>
              <w:spacing w:after="0"/>
              <w:rPr>
                <w:sz w:val="20"/>
                <w:szCs w:val="20"/>
                <w:color w:val="auto"/>
              </w:rPr>
            </w:pPr>
            <w:r>
              <w:rPr>
                <w:rFonts w:ascii="Arial" w:cs="Arial" w:eastAsia="Arial" w:hAnsi="Arial"/>
                <w:sz w:val="16"/>
                <w:szCs w:val="16"/>
                <w:color w:val="auto"/>
              </w:rPr>
              <w:t>Submit another proper proxy with a more recent date than that of the proxy first given by following the Internet,</w:t>
            </w:r>
          </w:p>
        </w:tc>
      </w:tr>
      <w:tr>
        <w:trPr>
          <w:trHeight w:val="194"/>
        </w:trPr>
        <w:tc>
          <w:tcPr>
            <w:tcW w:w="2740" w:type="dxa"/>
            <w:vAlign w:val="bottom"/>
          </w:tcPr>
          <w:p>
            <w:pPr>
              <w:spacing w:after="0"/>
              <w:rPr>
                <w:sz w:val="20"/>
                <w:szCs w:val="20"/>
                <w:color w:val="auto"/>
              </w:rPr>
            </w:pPr>
            <w:r>
              <w:rPr>
                <w:rFonts w:ascii="Arial" w:cs="Arial" w:eastAsia="Arial" w:hAnsi="Arial"/>
                <w:sz w:val="16"/>
                <w:szCs w:val="16"/>
                <w:color w:val="auto"/>
              </w:rPr>
              <w:t>benefit plans</w:t>
            </w:r>
          </w:p>
        </w:tc>
        <w:tc>
          <w:tcPr>
            <w:tcW w:w="8500" w:type="dxa"/>
            <w:vAlign w:val="bottom"/>
          </w:tcPr>
          <w:p>
            <w:pPr>
              <w:ind w:left="80"/>
              <w:spacing w:after="0"/>
              <w:rPr>
                <w:sz w:val="20"/>
                <w:szCs w:val="20"/>
                <w:color w:val="auto"/>
              </w:rPr>
            </w:pPr>
            <w:r>
              <w:rPr>
                <w:rFonts w:ascii="Arial" w:cs="Arial" w:eastAsia="Arial" w:hAnsi="Arial"/>
                <w:sz w:val="16"/>
                <w:szCs w:val="16"/>
                <w:color w:val="auto"/>
              </w:rPr>
              <w:t>telephone or mobile device voting instructions or complete, sign, date and mail a proxy card</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Who Will Count the Votes?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Broadridge Financial Solutions, Inc. has been engaged to tabulate shareholder votes. An agent of Broadridge Financial Solutions, Inc.</w:t>
      </w:r>
    </w:p>
    <w:p>
      <w:pPr>
        <w:spacing w:after="0"/>
        <w:rPr>
          <w:sz w:val="20"/>
          <w:szCs w:val="20"/>
          <w:color w:val="auto"/>
        </w:rPr>
      </w:pPr>
      <w:r>
        <w:rPr>
          <w:rFonts w:ascii="Arial" w:cs="Arial" w:eastAsia="Arial" w:hAnsi="Arial"/>
          <w:sz w:val="18"/>
          <w:szCs w:val="18"/>
          <w:color w:val="auto"/>
        </w:rPr>
        <w:t>will act as our independent inspector of elections for the annual meeting.</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How Will Business Be Conducted at the Annual Meeting?</w:t>
      </w:r>
    </w:p>
    <w:p>
      <w:pPr>
        <w:spacing w:after="0" w:line="118" w:lineRule="exact"/>
        <w:rPr>
          <w:sz w:val="20"/>
          <w:szCs w:val="20"/>
          <w:color w:val="auto"/>
        </w:rPr>
      </w:pPr>
    </w:p>
    <w:p>
      <w:pPr>
        <w:ind w:right="280" w:firstLine="401"/>
        <w:spacing w:after="0" w:line="238" w:lineRule="auto"/>
        <w:rPr>
          <w:sz w:val="20"/>
          <w:szCs w:val="20"/>
          <w:color w:val="auto"/>
        </w:rPr>
      </w:pPr>
      <w:r>
        <w:rPr>
          <w:rFonts w:ascii="Arial" w:cs="Arial" w:eastAsia="Arial" w:hAnsi="Arial"/>
          <w:sz w:val="18"/>
          <w:szCs w:val="18"/>
          <w:color w:val="auto"/>
        </w:rPr>
        <w:t>The presiding officer at the annual meeting will determine how business at the meeting will be conducted. Only nominations and other proposals brought before the annual meeting in accordance with the advance notice and information requirements of our Amended and Restated Bylaws will be considered, and no such nominations or other proposals were received.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How Can I Ask Questions During the Annual Meeting?</w:t>
      </w:r>
    </w:p>
    <w:p>
      <w:pPr>
        <w:spacing w:after="0" w:line="226" w:lineRule="exact"/>
        <w:rPr>
          <w:sz w:val="20"/>
          <w:szCs w:val="20"/>
          <w:color w:val="auto"/>
        </w:rPr>
      </w:pPr>
    </w:p>
    <w:p>
      <w:pPr>
        <w:ind w:right="40" w:firstLine="401"/>
        <w:spacing w:after="0" w:line="236" w:lineRule="auto"/>
        <w:rPr>
          <w:sz w:val="20"/>
          <w:szCs w:val="20"/>
          <w:color w:val="auto"/>
        </w:rPr>
      </w:pPr>
      <w:r>
        <w:rPr>
          <w:rFonts w:ascii="Arial" w:cs="Arial" w:eastAsia="Arial" w:hAnsi="Arial"/>
          <w:sz w:val="18"/>
          <w:szCs w:val="18"/>
          <w:color w:val="auto"/>
        </w:rPr>
        <w:t>Shareholders may submit questions during a portion of the meeting. If you wish to submit a question during the meeting, log into the virtual meeting platform at www.virtualshareholdermeeting.com/TTC2021 using the 16-digit control number included on your proxy card, voting instruction form or Notice Regarding the Availability of Proxy Materials and follow the instructions to submit a question. Questions pertinent to meeting matters will be answered during the meeting, subject to time limitations.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ind w:left="3280"/>
        <w:spacing w:after="0"/>
        <w:rPr>
          <w:sz w:val="20"/>
          <w:szCs w:val="20"/>
          <w:color w:val="auto"/>
        </w:rPr>
      </w:pPr>
      <w:r>
        <w:rPr>
          <w:rFonts w:ascii="Arial" w:cs="Arial" w:eastAsia="Arial" w:hAnsi="Arial"/>
          <w:sz w:val="21"/>
          <w:szCs w:val="21"/>
          <w:b w:val="1"/>
          <w:bCs w:val="1"/>
          <w:color w:val="FFFFFF"/>
        </w:rPr>
        <w:t>PROPOSAL ONE—ELECTION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33590" cy="2044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3590" cy="20447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Number of Directors; Board Structure</w:t>
      </w:r>
    </w:p>
    <w:p>
      <w:pPr>
        <w:spacing w:after="0" w:line="118" w:lineRule="exact"/>
        <w:rPr>
          <w:sz w:val="20"/>
          <w:szCs w:val="20"/>
          <w:color w:val="auto"/>
        </w:rPr>
      </w:pPr>
    </w:p>
    <w:p>
      <w:pPr>
        <w:ind w:right="80" w:firstLine="401"/>
        <w:spacing w:after="0" w:line="236" w:lineRule="auto"/>
        <w:rPr>
          <w:sz w:val="20"/>
          <w:szCs w:val="20"/>
          <w:color w:val="auto"/>
        </w:rPr>
      </w:pPr>
      <w:r>
        <w:rPr>
          <w:rFonts w:ascii="Arial" w:cs="Arial" w:eastAsia="Arial" w:hAnsi="Arial"/>
          <w:sz w:val="18"/>
          <w:szCs w:val="18"/>
          <w:color w:val="auto"/>
        </w:rPr>
        <w:t>Our Restated Certificate of Incorporation provides that our Board of Directors may be comprised of between eight and twelve directors. As provided in our Restated Certificate of Incorporation, our Board is divided into three staggered classes of directors of the same or nearly the same number, with each class elected in a different year for a term of three years. Our current directors and their respective current terms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8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Current Term Ending at</w:t>
            </w:r>
          </w:p>
        </w:tc>
        <w:tc>
          <w:tcPr>
            <w:tcW w:w="450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Current Term Ending at</w:t>
            </w:r>
          </w:p>
        </w:tc>
        <w:tc>
          <w:tcPr>
            <w:tcW w:w="336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rPr>
              <w:t>Current Term Ending at</w:t>
            </w:r>
          </w:p>
        </w:tc>
      </w:tr>
      <w:tr>
        <w:trPr>
          <w:trHeight w:val="227"/>
        </w:trPr>
        <w:tc>
          <w:tcPr>
            <w:tcW w:w="338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6"/>
                <w:szCs w:val="16"/>
                <w:b w:val="1"/>
                <w:bCs w:val="1"/>
                <w:color w:val="FFFFFF"/>
              </w:rPr>
              <w:t>2021 Annual Meeting</w:t>
            </w:r>
          </w:p>
        </w:tc>
        <w:tc>
          <w:tcPr>
            <w:tcW w:w="450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6"/>
                <w:szCs w:val="16"/>
                <w:b w:val="1"/>
                <w:bCs w:val="1"/>
                <w:color w:val="FFFFFF"/>
              </w:rPr>
              <w:t>2022 Annual Meeting</w:t>
            </w:r>
          </w:p>
        </w:tc>
        <w:tc>
          <w:tcPr>
            <w:tcW w:w="336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6"/>
                <w:szCs w:val="16"/>
                <w:b w:val="1"/>
                <w:bCs w:val="1"/>
                <w:color w:val="FFFFFF"/>
              </w:rPr>
              <w:t>2023 Annual Meeting</w:t>
            </w:r>
          </w:p>
        </w:tc>
      </w:tr>
      <w:tr>
        <w:trPr>
          <w:trHeight w:val="236"/>
        </w:trPr>
        <w:tc>
          <w:tcPr>
            <w:tcW w:w="338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Janet K. Cooper</w:t>
            </w:r>
          </w:p>
        </w:tc>
        <w:tc>
          <w:tcPr>
            <w:tcW w:w="4500" w:type="dxa"/>
            <w:vAlign w:val="bottom"/>
          </w:tcPr>
          <w:p>
            <w:pPr>
              <w:jc w:val="center"/>
              <w:spacing w:after="0"/>
              <w:rPr>
                <w:sz w:val="20"/>
                <w:szCs w:val="20"/>
                <w:color w:val="auto"/>
              </w:rPr>
            </w:pPr>
            <w:r>
              <w:rPr>
                <w:rFonts w:ascii="Arial" w:cs="Arial" w:eastAsia="Arial" w:hAnsi="Arial"/>
                <w:sz w:val="16"/>
                <w:szCs w:val="16"/>
                <w:color w:val="auto"/>
              </w:rPr>
              <w:t>Jeffrey L. Harmening</w:t>
            </w:r>
          </w:p>
        </w:tc>
        <w:tc>
          <w:tcPr>
            <w:tcW w:w="336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Jeffrey M. Ettinger</w:t>
            </w:r>
          </w:p>
        </w:tc>
      </w:tr>
      <w:tr>
        <w:trPr>
          <w:trHeight w:val="241"/>
        </w:trPr>
        <w:tc>
          <w:tcPr>
            <w:tcW w:w="338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Gary L. Ellis</w:t>
            </w:r>
          </w:p>
        </w:tc>
        <w:tc>
          <w:tcPr>
            <w:tcW w:w="4500" w:type="dxa"/>
            <w:vAlign w:val="bottom"/>
          </w:tcPr>
          <w:p>
            <w:pPr>
              <w:jc w:val="center"/>
              <w:spacing w:after="0"/>
              <w:rPr>
                <w:sz w:val="20"/>
                <w:szCs w:val="20"/>
                <w:color w:val="auto"/>
              </w:rPr>
            </w:pPr>
            <w:r>
              <w:rPr>
                <w:rFonts w:ascii="Arial" w:cs="Arial" w:eastAsia="Arial" w:hAnsi="Arial"/>
                <w:sz w:val="16"/>
                <w:szCs w:val="16"/>
                <w:color w:val="auto"/>
              </w:rPr>
              <w:t>Joyce A. Mullen</w:t>
            </w:r>
          </w:p>
        </w:tc>
        <w:tc>
          <w:tcPr>
            <w:tcW w:w="336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Katherine J. Harless</w:t>
            </w:r>
          </w:p>
        </w:tc>
      </w:tr>
      <w:tr>
        <w:trPr>
          <w:trHeight w:val="255"/>
        </w:trPr>
        <w:tc>
          <w:tcPr>
            <w:tcW w:w="338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Gregg W. Steinhafel</w:t>
            </w:r>
          </w:p>
        </w:tc>
        <w:tc>
          <w:tcPr>
            <w:tcW w:w="4500" w:type="dxa"/>
            <w:vAlign w:val="bottom"/>
          </w:tcPr>
          <w:p>
            <w:pPr>
              <w:jc w:val="center"/>
              <w:spacing w:after="0"/>
              <w:rPr>
                <w:sz w:val="20"/>
                <w:szCs w:val="20"/>
                <w:color w:val="auto"/>
              </w:rPr>
            </w:pPr>
            <w:r>
              <w:rPr>
                <w:rFonts w:ascii="Arial" w:cs="Arial" w:eastAsia="Arial" w:hAnsi="Arial"/>
                <w:sz w:val="16"/>
                <w:szCs w:val="16"/>
                <w:color w:val="auto"/>
              </w:rPr>
              <w:t>Richard M. Olson</w:t>
            </w:r>
          </w:p>
        </w:tc>
        <w:tc>
          <w:tcPr>
            <w:tcW w:w="336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D. Christian Koch</w:t>
            </w:r>
          </w:p>
        </w:tc>
      </w:tr>
      <w:tr>
        <w:trPr>
          <w:trHeight w:val="255"/>
        </w:trPr>
        <w:tc>
          <w:tcPr>
            <w:tcW w:w="338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Michael G. Vale</w:t>
            </w:r>
          </w:p>
        </w:tc>
        <w:tc>
          <w:tcPr>
            <w:tcW w:w="4500" w:type="dxa"/>
            <w:vAlign w:val="bottom"/>
          </w:tcPr>
          <w:p>
            <w:pPr>
              <w:jc w:val="center"/>
              <w:spacing w:after="0"/>
              <w:rPr>
                <w:sz w:val="20"/>
                <w:szCs w:val="20"/>
                <w:color w:val="auto"/>
              </w:rPr>
            </w:pPr>
            <w:r>
              <w:rPr>
                <w:rFonts w:ascii="Arial" w:cs="Arial" w:eastAsia="Arial" w:hAnsi="Arial"/>
                <w:sz w:val="16"/>
                <w:szCs w:val="16"/>
                <w:color w:val="auto"/>
              </w:rPr>
              <w:t>James C. O’Rourke</w:t>
            </w:r>
          </w:p>
        </w:tc>
        <w:tc>
          <w:tcPr>
            <w:tcW w:w="3360" w:type="dxa"/>
            <w:vAlign w:val="bottom"/>
            <w:shd w:val="clear" w:color="auto" w:fill="D9D9D9"/>
          </w:tcPr>
          <w:p>
            <w:pPr>
              <w:spacing w:after="0"/>
              <w:rPr>
                <w:sz w:val="22"/>
                <w:szCs w:val="22"/>
                <w:color w:val="auto"/>
              </w:rPr>
            </w:pPr>
          </w:p>
        </w:tc>
      </w:tr>
      <w:tr>
        <w:trPr>
          <w:trHeight w:val="32"/>
        </w:trPr>
        <w:tc>
          <w:tcPr>
            <w:tcW w:w="3380" w:type="dxa"/>
            <w:vAlign w:val="bottom"/>
            <w:shd w:val="clear" w:color="auto" w:fill="D9D9D9"/>
          </w:tcPr>
          <w:p>
            <w:pPr>
              <w:spacing w:after="0"/>
              <w:rPr>
                <w:sz w:val="2"/>
                <w:szCs w:val="2"/>
                <w:color w:val="auto"/>
              </w:rPr>
            </w:pPr>
          </w:p>
        </w:tc>
        <w:tc>
          <w:tcPr>
            <w:tcW w:w="4500" w:type="dxa"/>
            <w:vAlign w:val="bottom"/>
          </w:tcPr>
          <w:p>
            <w:pPr>
              <w:spacing w:after="0"/>
              <w:rPr>
                <w:sz w:val="2"/>
                <w:szCs w:val="2"/>
                <w:color w:val="auto"/>
              </w:rPr>
            </w:pPr>
          </w:p>
        </w:tc>
        <w:tc>
          <w:tcPr>
            <w:tcW w:w="3360" w:type="dxa"/>
            <w:vAlign w:val="bottom"/>
            <w:shd w:val="clear" w:color="auto" w:fill="D9D9D9"/>
          </w:tcPr>
          <w:p>
            <w:pPr>
              <w:spacing w:after="0"/>
              <w:rPr>
                <w:sz w:val="2"/>
                <w:szCs w:val="2"/>
                <w:color w:val="auto"/>
              </w:rPr>
            </w:pPr>
          </w:p>
        </w:tc>
      </w:tr>
    </w:tbl>
    <w:p>
      <w:pPr>
        <w:spacing w:after="0" w:line="106" w:lineRule="exact"/>
        <w:rPr>
          <w:sz w:val="20"/>
          <w:szCs w:val="20"/>
          <w:color w:val="auto"/>
        </w:rPr>
      </w:pPr>
    </w:p>
    <w:p>
      <w:pPr>
        <w:ind w:right="260" w:firstLine="401"/>
        <w:spacing w:after="0" w:line="236" w:lineRule="auto"/>
        <w:rPr>
          <w:sz w:val="20"/>
          <w:szCs w:val="20"/>
          <w:color w:val="auto"/>
        </w:rPr>
      </w:pPr>
      <w:r>
        <w:rPr>
          <w:rFonts w:ascii="Arial" w:cs="Arial" w:eastAsia="Arial" w:hAnsi="Arial"/>
          <w:sz w:val="18"/>
          <w:szCs w:val="18"/>
          <w:color w:val="auto"/>
        </w:rPr>
        <w:t>After almost 22-years of distinguished service on our Board, Mr. Steinhafel has decided to retire from the Board at the expiration of his term and not stand for reelection at the annual meeting. The Board thanks Mr. Steinhafel for his many years of dedicated service to the Company. In light of Mr. Steinhafel’s retirement from the Board, the Board has voted to reduce its size from eleven to ten directors effective immediately prior to the annual meeting, and thereafter our Board will be comprised of ten directors.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Nominees for Director</w:t>
      </w:r>
    </w:p>
    <w:p>
      <w:pPr>
        <w:spacing w:after="0" w:line="118" w:lineRule="exact"/>
        <w:rPr>
          <w:sz w:val="20"/>
          <w:szCs w:val="20"/>
          <w:color w:val="auto"/>
        </w:rPr>
      </w:pPr>
    </w:p>
    <w:p>
      <w:pPr>
        <w:jc w:val="both"/>
        <w:ind w:right="140" w:firstLine="401"/>
        <w:spacing w:after="0" w:line="238" w:lineRule="auto"/>
        <w:rPr>
          <w:sz w:val="20"/>
          <w:szCs w:val="20"/>
          <w:color w:val="auto"/>
        </w:rPr>
      </w:pPr>
      <w:r>
        <w:rPr>
          <w:rFonts w:ascii="Arial" w:cs="Arial" w:eastAsia="Arial" w:hAnsi="Arial"/>
          <w:sz w:val="18"/>
          <w:szCs w:val="18"/>
          <w:color w:val="auto"/>
        </w:rPr>
        <w:t>The Board has nominated each of Janet K. Cooper, Gary L. Ellis, and Michael G. Vale for election to the Board to serve for a three-year term ending at the 2024 Annual Meeting of Shareholders. Each of the director nominees has consented to serve if elected. Proxies only can be voted for the number of persons named as nominees in this proxy statement, which is three.</w:t>
      </w:r>
    </w:p>
    <w:p>
      <w:pPr>
        <w:spacing w:after="0" w:line="95" w:lineRule="exact"/>
        <w:rPr>
          <w:sz w:val="20"/>
          <w:szCs w:val="20"/>
          <w:color w:val="auto"/>
        </w:rPr>
      </w:pPr>
    </w:p>
    <w:p>
      <w:pPr>
        <w:ind w:right="120" w:firstLine="401"/>
        <w:spacing w:after="0" w:line="236" w:lineRule="auto"/>
        <w:rPr>
          <w:sz w:val="20"/>
          <w:szCs w:val="20"/>
          <w:color w:val="auto"/>
        </w:rPr>
      </w:pPr>
      <w:r>
        <w:rPr>
          <w:rFonts w:ascii="Arial" w:cs="Arial" w:eastAsia="Arial" w:hAnsi="Arial"/>
          <w:sz w:val="18"/>
          <w:szCs w:val="18"/>
          <w:color w:val="auto"/>
        </w:rPr>
        <w:t>If prior to the annual meeting the Board learns that any nominee will be unable to serve for any reason, the proxies that otherwise would have been voted for that nominee will be voted for a substitute nominee as selected by the Board. Alternatively, at the Board’s discretion, the proxies may be voted for that fewer number of nominees as results from the inability of any nominee to serve. The Board has no reason to believe that any of the nominees will be unable to serve.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500"/>
        </w:trPr>
        <w:tc>
          <w:tcPr>
            <w:tcW w:w="9800" w:type="dxa"/>
            <w:vAlign w:val="bottom"/>
            <w:vMerge w:val="restart"/>
            <w:shd w:val="clear" w:color="auto" w:fill="C00000"/>
          </w:tcPr>
          <w:p>
            <w:pPr>
              <w:ind w:left="1280"/>
              <w:spacing w:after="0"/>
              <w:rPr>
                <w:sz w:val="20"/>
                <w:szCs w:val="20"/>
                <w:color w:val="auto"/>
              </w:rPr>
            </w:pPr>
            <w:r>
              <w:rPr>
                <w:rFonts w:ascii="Arial" w:cs="Arial" w:eastAsia="Arial" w:hAnsi="Arial"/>
                <w:sz w:val="21"/>
                <w:szCs w:val="21"/>
                <w:b w:val="1"/>
                <w:bCs w:val="1"/>
                <w:color w:val="FFFFFF"/>
              </w:rPr>
              <w:t>The Board of Directors Recommends a Vote FOR Each Nominee for Director</w:t>
            </w:r>
          </w:p>
        </w:tc>
        <w:tc>
          <w:tcPr>
            <w:tcW w:w="1440" w:type="dxa"/>
            <w:vAlign w:val="bottom"/>
            <w:shd w:val="clear" w:color="auto" w:fill="C00000"/>
          </w:tcPr>
          <w:p>
            <w:pPr>
              <w:ind w:left="760"/>
              <w:spacing w:after="0" w:line="501" w:lineRule="exact"/>
              <w:rPr>
                <w:sz w:val="20"/>
                <w:szCs w:val="20"/>
                <w:color w:val="auto"/>
              </w:rPr>
            </w:pPr>
            <w:r>
              <w:rPr>
                <w:rFonts w:ascii="MS PGothic" w:cs="MS PGothic" w:eastAsia="MS PGothic" w:hAnsi="MS PGothic"/>
                <w:sz w:val="50"/>
                <w:szCs w:val="50"/>
                <w:color w:val="auto"/>
              </w:rPr>
              <w:t>☑</w:t>
            </w:r>
          </w:p>
        </w:tc>
        <w:tc>
          <w:tcPr>
            <w:tcW w:w="0" w:type="dxa"/>
            <w:vAlign w:val="bottom"/>
          </w:tcPr>
          <w:p>
            <w:pPr>
              <w:spacing w:after="0"/>
              <w:rPr>
                <w:sz w:val="1"/>
                <w:szCs w:val="1"/>
                <w:color w:val="auto"/>
              </w:rPr>
            </w:pPr>
          </w:p>
        </w:tc>
      </w:tr>
      <w:tr>
        <w:trPr>
          <w:trHeight w:val="64"/>
        </w:trPr>
        <w:tc>
          <w:tcPr>
            <w:tcW w:w="9800" w:type="dxa"/>
            <w:vAlign w:val="bottom"/>
            <w:vMerge w:val="continue"/>
            <w:shd w:val="clear" w:color="auto" w:fill="C00000"/>
          </w:tcPr>
          <w:p>
            <w:pPr>
              <w:spacing w:after="0"/>
              <w:rPr>
                <w:sz w:val="5"/>
                <w:szCs w:val="5"/>
                <w:color w:val="auto"/>
              </w:rPr>
            </w:pPr>
          </w:p>
        </w:tc>
        <w:tc>
          <w:tcPr>
            <w:tcW w:w="1440" w:type="dxa"/>
            <w:vAlign w:val="bottom"/>
            <w:shd w:val="clear" w:color="auto" w:fill="C00000"/>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9800" w:type="dxa"/>
            <w:vAlign w:val="bottom"/>
            <w:shd w:val="clear" w:color="auto" w:fill="C00000"/>
          </w:tcPr>
          <w:p>
            <w:pPr>
              <w:spacing w:after="0"/>
              <w:rPr>
                <w:sz w:val="14"/>
                <w:szCs w:val="14"/>
                <w:color w:val="auto"/>
              </w:rPr>
            </w:pPr>
          </w:p>
        </w:tc>
        <w:tc>
          <w:tcPr>
            <w:tcW w:w="1440" w:type="dxa"/>
            <w:vAlign w:val="bottom"/>
            <w:shd w:val="clear" w:color="auto" w:fill="C00000"/>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6733540</wp:posOffset>
            </wp:positionH>
            <wp:positionV relativeFrom="paragraph">
              <wp:posOffset>-320675</wp:posOffset>
            </wp:positionV>
            <wp:extent cx="241300" cy="2451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1300" cy="24511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Information About Director Nominees and Continuing Directors</w:t>
      </w:r>
    </w:p>
    <w:p>
      <w:pPr>
        <w:spacing w:after="0" w:line="11" w:lineRule="exact"/>
        <w:rPr>
          <w:sz w:val="20"/>
          <w:szCs w:val="20"/>
          <w:color w:val="auto"/>
        </w:rPr>
      </w:pPr>
    </w:p>
    <w:p>
      <w:pPr>
        <w:ind w:right="420" w:firstLine="401"/>
        <w:spacing w:after="0"/>
        <w:rPr>
          <w:sz w:val="20"/>
          <w:szCs w:val="20"/>
          <w:color w:val="auto"/>
        </w:rPr>
      </w:pPr>
      <w:r>
        <w:rPr>
          <w:rFonts w:ascii="Arial" w:cs="Arial" w:eastAsia="Arial" w:hAnsi="Arial"/>
          <w:sz w:val="18"/>
          <w:szCs w:val="18"/>
          <w:color w:val="auto"/>
        </w:rPr>
        <w:t>The following pages provide information about each nominee for election to the Board at the annual meeting and each other continuing member of the Board. We believe that all of our director nominees and continuing directors display:</w:t>
      </w:r>
    </w:p>
    <w:p>
      <w:pPr>
        <w:spacing w:after="0" w:line="42" w:lineRule="exact"/>
        <w:rPr>
          <w:sz w:val="20"/>
          <w:szCs w:val="20"/>
          <w:color w:val="auto"/>
        </w:rPr>
      </w:pPr>
    </w:p>
    <w:p>
      <w:pPr>
        <w:ind w:left="660" w:hanging="264"/>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8"/>
          <w:szCs w:val="18"/>
          <w:color w:val="auto"/>
        </w:rPr>
        <w:t>personal and professional integrity;</w:t>
      </w:r>
    </w:p>
    <w:p>
      <w:pPr>
        <w:spacing w:after="0" w:line="47" w:lineRule="exact"/>
        <w:rPr>
          <w:rFonts w:ascii="Arial" w:cs="Arial" w:eastAsia="Arial" w:hAnsi="Arial"/>
          <w:sz w:val="16"/>
          <w:szCs w:val="16"/>
          <w:color w:val="auto"/>
        </w:rPr>
      </w:pPr>
    </w:p>
    <w:p>
      <w:pPr>
        <w:ind w:left="660" w:hanging="264"/>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8"/>
          <w:szCs w:val="18"/>
          <w:color w:val="auto"/>
        </w:rPr>
        <w:t>appropriate levels of education and business experience;</w:t>
      </w:r>
    </w:p>
    <w:p>
      <w:pPr>
        <w:spacing w:after="0" w:line="47" w:lineRule="exact"/>
        <w:rPr>
          <w:rFonts w:ascii="Arial" w:cs="Arial" w:eastAsia="Arial" w:hAnsi="Arial"/>
          <w:sz w:val="16"/>
          <w:szCs w:val="16"/>
          <w:color w:val="auto"/>
        </w:rPr>
      </w:pPr>
    </w:p>
    <w:p>
      <w:pPr>
        <w:ind w:left="660" w:hanging="264"/>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8"/>
          <w:szCs w:val="18"/>
          <w:color w:val="auto"/>
        </w:rPr>
        <w:t>strong business acumen;</w:t>
      </w:r>
    </w:p>
    <w:p>
      <w:pPr>
        <w:spacing w:after="0" w:line="47" w:lineRule="exact"/>
        <w:rPr>
          <w:rFonts w:ascii="Arial" w:cs="Arial" w:eastAsia="Arial" w:hAnsi="Arial"/>
          <w:sz w:val="16"/>
          <w:szCs w:val="16"/>
          <w:color w:val="auto"/>
        </w:rPr>
      </w:pPr>
    </w:p>
    <w:p>
      <w:pPr>
        <w:ind w:left="660" w:hanging="264"/>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8"/>
          <w:szCs w:val="18"/>
          <w:color w:val="auto"/>
        </w:rPr>
        <w:t>an appropriate level of understanding of our business, industries and other industries relevant to our business;</w:t>
      </w:r>
    </w:p>
    <w:p>
      <w:pPr>
        <w:spacing w:after="0" w:line="47" w:lineRule="exact"/>
        <w:rPr>
          <w:rFonts w:ascii="Arial" w:cs="Arial" w:eastAsia="Arial" w:hAnsi="Arial"/>
          <w:sz w:val="16"/>
          <w:szCs w:val="16"/>
          <w:color w:val="auto"/>
        </w:rPr>
      </w:pPr>
    </w:p>
    <w:p>
      <w:pPr>
        <w:ind w:left="660" w:hanging="264"/>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8"/>
          <w:szCs w:val="18"/>
          <w:color w:val="auto"/>
        </w:rPr>
        <w:t>the ability and willingness to devote adequate time to the work of our Board and its committees;</w:t>
      </w:r>
    </w:p>
    <w:p>
      <w:pPr>
        <w:spacing w:after="0" w:line="47" w:lineRule="exact"/>
        <w:rPr>
          <w:rFonts w:ascii="Arial" w:cs="Arial" w:eastAsia="Arial" w:hAnsi="Arial"/>
          <w:sz w:val="16"/>
          <w:szCs w:val="16"/>
          <w:color w:val="auto"/>
        </w:rPr>
      </w:pPr>
    </w:p>
    <w:p>
      <w:pPr>
        <w:ind w:left="660" w:right="180" w:hanging="264"/>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8"/>
          <w:szCs w:val="18"/>
          <w:color w:val="auto"/>
        </w:rPr>
        <w:t>a fit of skills and personality with those of our other directors that helps build a Board that is effective, collegial and responsive to the needs of our Company;</w:t>
      </w:r>
    </w:p>
    <w:p>
      <w:pPr>
        <w:spacing w:after="0" w:line="41" w:lineRule="exact"/>
        <w:rPr>
          <w:rFonts w:ascii="Arial" w:cs="Arial" w:eastAsia="Arial" w:hAnsi="Arial"/>
          <w:sz w:val="16"/>
          <w:szCs w:val="16"/>
          <w:color w:val="auto"/>
        </w:rPr>
      </w:pPr>
    </w:p>
    <w:p>
      <w:pPr>
        <w:ind w:left="660" w:hanging="264"/>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8"/>
          <w:szCs w:val="18"/>
          <w:color w:val="auto"/>
        </w:rPr>
        <w:t>strategic thinking and a willingness to share ideas;</w:t>
      </w:r>
    </w:p>
    <w:p>
      <w:pPr>
        <w:spacing w:after="0" w:line="47" w:lineRule="exact"/>
        <w:rPr>
          <w:rFonts w:ascii="Arial" w:cs="Arial" w:eastAsia="Arial" w:hAnsi="Arial"/>
          <w:sz w:val="16"/>
          <w:szCs w:val="16"/>
          <w:color w:val="auto"/>
        </w:rPr>
      </w:pPr>
    </w:p>
    <w:p>
      <w:pPr>
        <w:ind w:left="660" w:hanging="264"/>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8"/>
          <w:szCs w:val="18"/>
          <w:color w:val="auto"/>
        </w:rPr>
        <w:t>a diversity of experiences, expertise and backgrounds, including but not limited to, racial, ethnic and gender diversity; and</w:t>
      </w:r>
    </w:p>
    <w:p>
      <w:pPr>
        <w:spacing w:after="0" w:line="47" w:lineRule="exact"/>
        <w:rPr>
          <w:rFonts w:ascii="Arial" w:cs="Arial" w:eastAsia="Arial" w:hAnsi="Arial"/>
          <w:sz w:val="16"/>
          <w:szCs w:val="16"/>
          <w:color w:val="auto"/>
        </w:rPr>
      </w:pPr>
    </w:p>
    <w:p>
      <w:pPr>
        <w:ind w:left="660" w:hanging="264"/>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8"/>
          <w:szCs w:val="18"/>
          <w:color w:val="auto"/>
        </w:rPr>
        <w:t>the ability to represent the interests of all of our shareholders.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00" w:lineRule="exact"/>
        <w:rPr>
          <w:sz w:val="20"/>
          <w:szCs w:val="20"/>
          <w:color w:val="auto"/>
        </w:rPr>
      </w:pPr>
    </w:p>
    <w:p>
      <w:pPr>
        <w:ind w:right="80" w:firstLine="401"/>
        <w:spacing w:after="0" w:line="238" w:lineRule="auto"/>
        <w:rPr>
          <w:sz w:val="20"/>
          <w:szCs w:val="20"/>
          <w:color w:val="auto"/>
        </w:rPr>
      </w:pPr>
      <w:r>
        <w:rPr>
          <w:rFonts w:ascii="Arial" w:cs="Arial" w:eastAsia="Arial" w:hAnsi="Arial"/>
          <w:sz w:val="18"/>
          <w:szCs w:val="18"/>
          <w:color w:val="auto"/>
        </w:rPr>
        <w:t>All of our continuing directors and director nominees bring to our Board a wealth of executive leadership experience, particularly at companies with international manufacturing operations. The following chart summarizes each continuing director and director nominee’s key experience, qualifications and other attributes.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424"/>
        </w:trPr>
        <w:tc>
          <w:tcPr>
            <w:tcW w:w="3400" w:type="dxa"/>
            <w:vAlign w:val="bottom"/>
            <w:vMerge w:val="restart"/>
            <w:shd w:val="clear" w:color="auto" w:fill="C00000"/>
          </w:tcPr>
          <w:p>
            <w:pPr>
              <w:jc w:val="center"/>
              <w:ind w:left="2540"/>
              <w:spacing w:after="0"/>
              <w:rPr>
                <w:sz w:val="20"/>
                <w:szCs w:val="20"/>
                <w:color w:val="auto"/>
              </w:rPr>
            </w:pPr>
            <w:r>
              <w:rPr>
                <w:rFonts w:ascii="Arial" w:cs="Arial" w:eastAsia="Arial" w:hAnsi="Arial"/>
                <w:sz w:val="16"/>
                <w:szCs w:val="16"/>
                <w:b w:val="1"/>
                <w:bCs w:val="1"/>
                <w:color w:val="FFFFFF"/>
              </w:rPr>
              <w:t>Janet</w:t>
            </w:r>
          </w:p>
        </w:tc>
        <w:tc>
          <w:tcPr>
            <w:tcW w:w="580" w:type="dxa"/>
            <w:vAlign w:val="bottom"/>
            <w:vMerge w:val="restart"/>
            <w:shd w:val="clear" w:color="auto" w:fill="C00000"/>
          </w:tcPr>
          <w:p>
            <w:pPr>
              <w:ind w:left="120"/>
              <w:spacing w:after="0"/>
              <w:rPr>
                <w:sz w:val="20"/>
                <w:szCs w:val="20"/>
                <w:color w:val="auto"/>
              </w:rPr>
            </w:pPr>
            <w:r>
              <w:rPr>
                <w:rFonts w:ascii="Arial" w:cs="Arial" w:eastAsia="Arial" w:hAnsi="Arial"/>
                <w:sz w:val="16"/>
                <w:szCs w:val="16"/>
                <w:b w:val="1"/>
                <w:bCs w:val="1"/>
                <w:color w:val="FFFFFF"/>
              </w:rPr>
              <w:t>Gary</w:t>
            </w:r>
          </w:p>
        </w:tc>
        <w:tc>
          <w:tcPr>
            <w:tcW w:w="80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Jeffrey</w:t>
            </w:r>
          </w:p>
        </w:tc>
        <w:tc>
          <w:tcPr>
            <w:tcW w:w="90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Katherine</w:t>
            </w:r>
          </w:p>
        </w:tc>
        <w:tc>
          <w:tcPr>
            <w:tcW w:w="100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Jeffrey</w:t>
            </w:r>
          </w:p>
        </w:tc>
        <w:tc>
          <w:tcPr>
            <w:tcW w:w="86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D.</w:t>
            </w:r>
          </w:p>
        </w:tc>
        <w:tc>
          <w:tcPr>
            <w:tcW w:w="66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Joyce</w:t>
            </w:r>
          </w:p>
        </w:tc>
        <w:tc>
          <w:tcPr>
            <w:tcW w:w="76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Richard</w:t>
            </w:r>
          </w:p>
        </w:tc>
        <w:tc>
          <w:tcPr>
            <w:tcW w:w="90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James</w:t>
            </w:r>
          </w:p>
        </w:tc>
        <w:tc>
          <w:tcPr>
            <w:tcW w:w="70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w w:val="98"/>
              </w:rPr>
              <w:t>Michael</w:t>
            </w:r>
          </w:p>
        </w:tc>
        <w:tc>
          <w:tcPr>
            <w:tcW w:w="0" w:type="dxa"/>
            <w:vAlign w:val="bottom"/>
          </w:tcPr>
          <w:p>
            <w:pPr>
              <w:spacing w:after="0"/>
              <w:rPr>
                <w:sz w:val="1"/>
                <w:szCs w:val="1"/>
                <w:color w:val="auto"/>
              </w:rPr>
            </w:pPr>
          </w:p>
        </w:tc>
      </w:tr>
      <w:tr>
        <w:trPr>
          <w:trHeight w:val="94"/>
        </w:trPr>
        <w:tc>
          <w:tcPr>
            <w:tcW w:w="3400" w:type="dxa"/>
            <w:vAlign w:val="bottom"/>
            <w:vMerge w:val="continue"/>
            <w:shd w:val="clear" w:color="auto" w:fill="C00000"/>
          </w:tcPr>
          <w:p>
            <w:pPr>
              <w:spacing w:after="0"/>
              <w:rPr>
                <w:sz w:val="8"/>
                <w:szCs w:val="8"/>
                <w:color w:val="auto"/>
              </w:rPr>
            </w:pPr>
          </w:p>
        </w:tc>
        <w:tc>
          <w:tcPr>
            <w:tcW w:w="580" w:type="dxa"/>
            <w:vAlign w:val="bottom"/>
            <w:vMerge w:val="continue"/>
            <w:shd w:val="clear" w:color="auto" w:fill="C00000"/>
          </w:tcPr>
          <w:p>
            <w:pPr>
              <w:spacing w:after="0"/>
              <w:rPr>
                <w:sz w:val="8"/>
                <w:szCs w:val="8"/>
                <w:color w:val="auto"/>
              </w:rPr>
            </w:pPr>
          </w:p>
        </w:tc>
        <w:tc>
          <w:tcPr>
            <w:tcW w:w="800" w:type="dxa"/>
            <w:vAlign w:val="bottom"/>
            <w:vMerge w:val="continue"/>
            <w:shd w:val="clear" w:color="auto" w:fill="C00000"/>
          </w:tcPr>
          <w:p>
            <w:pPr>
              <w:spacing w:after="0"/>
              <w:rPr>
                <w:sz w:val="8"/>
                <w:szCs w:val="8"/>
                <w:color w:val="auto"/>
              </w:rPr>
            </w:pPr>
          </w:p>
        </w:tc>
        <w:tc>
          <w:tcPr>
            <w:tcW w:w="900" w:type="dxa"/>
            <w:vAlign w:val="bottom"/>
            <w:vMerge w:val="continue"/>
            <w:shd w:val="clear" w:color="auto" w:fill="C00000"/>
          </w:tcPr>
          <w:p>
            <w:pPr>
              <w:spacing w:after="0"/>
              <w:rPr>
                <w:sz w:val="8"/>
                <w:szCs w:val="8"/>
                <w:color w:val="auto"/>
              </w:rPr>
            </w:pPr>
          </w:p>
        </w:tc>
        <w:tc>
          <w:tcPr>
            <w:tcW w:w="1000" w:type="dxa"/>
            <w:vAlign w:val="bottom"/>
            <w:vMerge w:val="continue"/>
            <w:shd w:val="clear" w:color="auto" w:fill="C00000"/>
          </w:tcPr>
          <w:p>
            <w:pPr>
              <w:spacing w:after="0"/>
              <w:rPr>
                <w:sz w:val="8"/>
                <w:szCs w:val="8"/>
                <w:color w:val="auto"/>
              </w:rPr>
            </w:pPr>
          </w:p>
        </w:tc>
        <w:tc>
          <w:tcPr>
            <w:tcW w:w="86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Christian</w:t>
            </w:r>
          </w:p>
        </w:tc>
        <w:tc>
          <w:tcPr>
            <w:tcW w:w="660" w:type="dxa"/>
            <w:vAlign w:val="bottom"/>
            <w:vMerge w:val="continue"/>
            <w:shd w:val="clear" w:color="auto" w:fill="C00000"/>
          </w:tcPr>
          <w:p>
            <w:pPr>
              <w:spacing w:after="0"/>
              <w:rPr>
                <w:sz w:val="8"/>
                <w:szCs w:val="8"/>
                <w:color w:val="auto"/>
              </w:rPr>
            </w:pPr>
          </w:p>
        </w:tc>
        <w:tc>
          <w:tcPr>
            <w:tcW w:w="760" w:type="dxa"/>
            <w:vAlign w:val="bottom"/>
            <w:vMerge w:val="continue"/>
            <w:shd w:val="clear" w:color="auto" w:fill="C00000"/>
          </w:tcPr>
          <w:p>
            <w:pPr>
              <w:spacing w:after="0"/>
              <w:rPr>
                <w:sz w:val="8"/>
                <w:szCs w:val="8"/>
                <w:color w:val="auto"/>
              </w:rPr>
            </w:pPr>
          </w:p>
        </w:tc>
        <w:tc>
          <w:tcPr>
            <w:tcW w:w="900" w:type="dxa"/>
            <w:vAlign w:val="bottom"/>
            <w:vMerge w:val="continue"/>
            <w:shd w:val="clear" w:color="auto" w:fill="C00000"/>
          </w:tcPr>
          <w:p>
            <w:pPr>
              <w:spacing w:after="0"/>
              <w:rPr>
                <w:sz w:val="8"/>
                <w:szCs w:val="8"/>
                <w:color w:val="auto"/>
              </w:rPr>
            </w:pPr>
          </w:p>
        </w:tc>
        <w:tc>
          <w:tcPr>
            <w:tcW w:w="700" w:type="dxa"/>
            <w:vAlign w:val="bottom"/>
            <w:vMerge w:val="continue"/>
            <w:shd w:val="clear" w:color="auto" w:fill="C00000"/>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3400" w:type="dxa"/>
            <w:vAlign w:val="bottom"/>
            <w:shd w:val="clear" w:color="auto" w:fill="C00000"/>
          </w:tcPr>
          <w:p>
            <w:pPr>
              <w:jc w:val="center"/>
              <w:ind w:left="2560"/>
              <w:spacing w:after="0" w:line="165" w:lineRule="exact"/>
              <w:rPr>
                <w:sz w:val="20"/>
                <w:szCs w:val="20"/>
                <w:color w:val="auto"/>
              </w:rPr>
            </w:pPr>
            <w:r>
              <w:rPr>
                <w:rFonts w:ascii="Arial" w:cs="Arial" w:eastAsia="Arial" w:hAnsi="Arial"/>
                <w:sz w:val="16"/>
                <w:szCs w:val="16"/>
                <w:b w:val="1"/>
                <w:bCs w:val="1"/>
                <w:color w:val="FFFFFF"/>
                <w:w w:val="99"/>
              </w:rPr>
              <w:t>Cooper</w:t>
            </w:r>
          </w:p>
        </w:tc>
        <w:tc>
          <w:tcPr>
            <w:tcW w:w="580" w:type="dxa"/>
            <w:vAlign w:val="bottom"/>
            <w:shd w:val="clear" w:color="auto" w:fill="C00000"/>
          </w:tcPr>
          <w:p>
            <w:pPr>
              <w:ind w:left="120"/>
              <w:spacing w:after="0" w:line="165" w:lineRule="exact"/>
              <w:rPr>
                <w:sz w:val="20"/>
                <w:szCs w:val="20"/>
                <w:color w:val="auto"/>
              </w:rPr>
            </w:pPr>
            <w:r>
              <w:rPr>
                <w:rFonts w:ascii="Arial" w:cs="Arial" w:eastAsia="Arial" w:hAnsi="Arial"/>
                <w:sz w:val="16"/>
                <w:szCs w:val="16"/>
                <w:b w:val="1"/>
                <w:bCs w:val="1"/>
                <w:color w:val="FFFFFF"/>
              </w:rPr>
              <w:t>Ellis</w:t>
            </w:r>
          </w:p>
        </w:tc>
        <w:tc>
          <w:tcPr>
            <w:tcW w:w="800" w:type="dxa"/>
            <w:vAlign w:val="bottom"/>
            <w:shd w:val="clear" w:color="auto" w:fill="C00000"/>
          </w:tcPr>
          <w:p>
            <w:pPr>
              <w:jc w:val="center"/>
              <w:spacing w:after="0" w:line="165" w:lineRule="exact"/>
              <w:rPr>
                <w:sz w:val="20"/>
                <w:szCs w:val="20"/>
                <w:color w:val="auto"/>
              </w:rPr>
            </w:pPr>
            <w:r>
              <w:rPr>
                <w:rFonts w:ascii="Arial" w:cs="Arial" w:eastAsia="Arial" w:hAnsi="Arial"/>
                <w:sz w:val="16"/>
                <w:szCs w:val="16"/>
                <w:b w:val="1"/>
                <w:bCs w:val="1"/>
                <w:color w:val="FFFFFF"/>
                <w:w w:val="99"/>
              </w:rPr>
              <w:t>Ettinger</w:t>
            </w:r>
          </w:p>
        </w:tc>
        <w:tc>
          <w:tcPr>
            <w:tcW w:w="900" w:type="dxa"/>
            <w:vAlign w:val="bottom"/>
            <w:shd w:val="clear" w:color="auto" w:fill="C00000"/>
          </w:tcPr>
          <w:p>
            <w:pPr>
              <w:jc w:val="center"/>
              <w:spacing w:after="0" w:line="165" w:lineRule="exact"/>
              <w:rPr>
                <w:sz w:val="20"/>
                <w:szCs w:val="20"/>
                <w:color w:val="auto"/>
              </w:rPr>
            </w:pPr>
            <w:r>
              <w:rPr>
                <w:rFonts w:ascii="Arial" w:cs="Arial" w:eastAsia="Arial" w:hAnsi="Arial"/>
                <w:sz w:val="16"/>
                <w:szCs w:val="16"/>
                <w:b w:val="1"/>
                <w:bCs w:val="1"/>
                <w:color w:val="FFFFFF"/>
              </w:rPr>
              <w:t>Harless</w:t>
            </w:r>
          </w:p>
        </w:tc>
        <w:tc>
          <w:tcPr>
            <w:tcW w:w="1000" w:type="dxa"/>
            <w:vAlign w:val="bottom"/>
            <w:shd w:val="clear" w:color="auto" w:fill="C00000"/>
          </w:tcPr>
          <w:p>
            <w:pPr>
              <w:jc w:val="center"/>
              <w:spacing w:after="0" w:line="165" w:lineRule="exact"/>
              <w:rPr>
                <w:sz w:val="20"/>
                <w:szCs w:val="20"/>
                <w:color w:val="auto"/>
              </w:rPr>
            </w:pPr>
            <w:r>
              <w:rPr>
                <w:rFonts w:ascii="Arial" w:cs="Arial" w:eastAsia="Arial" w:hAnsi="Arial"/>
                <w:sz w:val="16"/>
                <w:szCs w:val="16"/>
                <w:b w:val="1"/>
                <w:bCs w:val="1"/>
                <w:color w:val="FFFFFF"/>
              </w:rPr>
              <w:t>Harmening</w:t>
            </w:r>
          </w:p>
        </w:tc>
        <w:tc>
          <w:tcPr>
            <w:tcW w:w="860" w:type="dxa"/>
            <w:vAlign w:val="bottom"/>
            <w:vMerge w:val="continue"/>
            <w:shd w:val="clear" w:color="auto" w:fill="C00000"/>
          </w:tcPr>
          <w:p>
            <w:pPr>
              <w:spacing w:after="0"/>
              <w:rPr>
                <w:sz w:val="14"/>
                <w:szCs w:val="14"/>
                <w:color w:val="auto"/>
              </w:rPr>
            </w:pPr>
          </w:p>
        </w:tc>
        <w:tc>
          <w:tcPr>
            <w:tcW w:w="660" w:type="dxa"/>
            <w:vAlign w:val="bottom"/>
            <w:shd w:val="clear" w:color="auto" w:fill="C00000"/>
          </w:tcPr>
          <w:p>
            <w:pPr>
              <w:jc w:val="center"/>
              <w:spacing w:after="0" w:line="165" w:lineRule="exact"/>
              <w:rPr>
                <w:sz w:val="20"/>
                <w:szCs w:val="20"/>
                <w:color w:val="auto"/>
              </w:rPr>
            </w:pPr>
            <w:r>
              <w:rPr>
                <w:rFonts w:ascii="Arial" w:cs="Arial" w:eastAsia="Arial" w:hAnsi="Arial"/>
                <w:sz w:val="16"/>
                <w:szCs w:val="16"/>
                <w:b w:val="1"/>
                <w:bCs w:val="1"/>
                <w:color w:val="FFFFFF"/>
                <w:w w:val="98"/>
              </w:rPr>
              <w:t>Mullen</w:t>
            </w:r>
          </w:p>
        </w:tc>
        <w:tc>
          <w:tcPr>
            <w:tcW w:w="760" w:type="dxa"/>
            <w:vAlign w:val="bottom"/>
            <w:shd w:val="clear" w:color="auto" w:fill="C00000"/>
          </w:tcPr>
          <w:p>
            <w:pPr>
              <w:jc w:val="center"/>
              <w:spacing w:after="0" w:line="165" w:lineRule="exact"/>
              <w:rPr>
                <w:sz w:val="20"/>
                <w:szCs w:val="20"/>
                <w:color w:val="auto"/>
              </w:rPr>
            </w:pPr>
            <w:r>
              <w:rPr>
                <w:rFonts w:ascii="Arial" w:cs="Arial" w:eastAsia="Arial" w:hAnsi="Arial"/>
                <w:sz w:val="16"/>
                <w:szCs w:val="16"/>
                <w:b w:val="1"/>
                <w:bCs w:val="1"/>
                <w:color w:val="FFFFFF"/>
              </w:rPr>
              <w:t>Olson</w:t>
            </w:r>
          </w:p>
        </w:tc>
        <w:tc>
          <w:tcPr>
            <w:tcW w:w="900" w:type="dxa"/>
            <w:vAlign w:val="bottom"/>
            <w:shd w:val="clear" w:color="auto" w:fill="C00000"/>
          </w:tcPr>
          <w:p>
            <w:pPr>
              <w:jc w:val="center"/>
              <w:spacing w:after="0" w:line="165" w:lineRule="exact"/>
              <w:rPr>
                <w:sz w:val="20"/>
                <w:szCs w:val="20"/>
                <w:color w:val="auto"/>
              </w:rPr>
            </w:pPr>
            <w:r>
              <w:rPr>
                <w:rFonts w:ascii="Arial" w:cs="Arial" w:eastAsia="Arial" w:hAnsi="Arial"/>
                <w:sz w:val="16"/>
                <w:szCs w:val="16"/>
                <w:b w:val="1"/>
                <w:bCs w:val="1"/>
                <w:color w:val="FFFFFF"/>
              </w:rPr>
              <w:t>O'Rourke</w:t>
            </w:r>
          </w:p>
        </w:tc>
        <w:tc>
          <w:tcPr>
            <w:tcW w:w="700" w:type="dxa"/>
            <w:vAlign w:val="bottom"/>
            <w:shd w:val="clear" w:color="auto" w:fill="C00000"/>
          </w:tcPr>
          <w:p>
            <w:pPr>
              <w:jc w:val="center"/>
              <w:spacing w:after="0" w:line="165" w:lineRule="exact"/>
              <w:rPr>
                <w:sz w:val="20"/>
                <w:szCs w:val="20"/>
                <w:color w:val="auto"/>
              </w:rPr>
            </w:pPr>
            <w:r>
              <w:rPr>
                <w:rFonts w:ascii="Arial" w:cs="Arial" w:eastAsia="Arial" w:hAnsi="Arial"/>
                <w:sz w:val="16"/>
                <w:szCs w:val="16"/>
                <w:b w:val="1"/>
                <w:bCs w:val="1"/>
                <w:color w:val="FFFFFF"/>
              </w:rPr>
              <w:t>Vale</w:t>
            </w:r>
          </w:p>
        </w:tc>
        <w:tc>
          <w:tcPr>
            <w:tcW w:w="0" w:type="dxa"/>
            <w:vAlign w:val="bottom"/>
          </w:tcPr>
          <w:p>
            <w:pPr>
              <w:spacing w:after="0"/>
              <w:rPr>
                <w:sz w:val="1"/>
                <w:szCs w:val="1"/>
                <w:color w:val="auto"/>
              </w:rPr>
            </w:pPr>
          </w:p>
        </w:tc>
      </w:tr>
      <w:tr>
        <w:trPr>
          <w:trHeight w:val="183"/>
        </w:trPr>
        <w:tc>
          <w:tcPr>
            <w:tcW w:w="3400" w:type="dxa"/>
            <w:vAlign w:val="bottom"/>
            <w:shd w:val="clear" w:color="auto" w:fill="C00000"/>
          </w:tcPr>
          <w:p>
            <w:pPr>
              <w:spacing w:after="0"/>
              <w:rPr>
                <w:sz w:val="15"/>
                <w:szCs w:val="15"/>
                <w:color w:val="auto"/>
              </w:rPr>
            </w:pPr>
          </w:p>
        </w:tc>
        <w:tc>
          <w:tcPr>
            <w:tcW w:w="580" w:type="dxa"/>
            <w:vAlign w:val="bottom"/>
            <w:shd w:val="clear" w:color="auto" w:fill="C00000"/>
          </w:tcPr>
          <w:p>
            <w:pPr>
              <w:spacing w:after="0"/>
              <w:rPr>
                <w:sz w:val="15"/>
                <w:szCs w:val="15"/>
                <w:color w:val="auto"/>
              </w:rPr>
            </w:pPr>
          </w:p>
        </w:tc>
        <w:tc>
          <w:tcPr>
            <w:tcW w:w="800" w:type="dxa"/>
            <w:vAlign w:val="bottom"/>
            <w:shd w:val="clear" w:color="auto" w:fill="C00000"/>
          </w:tcPr>
          <w:p>
            <w:pPr>
              <w:spacing w:after="0"/>
              <w:rPr>
                <w:sz w:val="15"/>
                <w:szCs w:val="15"/>
                <w:color w:val="auto"/>
              </w:rPr>
            </w:pPr>
          </w:p>
        </w:tc>
        <w:tc>
          <w:tcPr>
            <w:tcW w:w="900" w:type="dxa"/>
            <w:vAlign w:val="bottom"/>
            <w:shd w:val="clear" w:color="auto" w:fill="C00000"/>
          </w:tcPr>
          <w:p>
            <w:pPr>
              <w:spacing w:after="0"/>
              <w:rPr>
                <w:sz w:val="15"/>
                <w:szCs w:val="15"/>
                <w:color w:val="auto"/>
              </w:rPr>
            </w:pPr>
          </w:p>
        </w:tc>
        <w:tc>
          <w:tcPr>
            <w:tcW w:w="1000" w:type="dxa"/>
            <w:vAlign w:val="bottom"/>
            <w:shd w:val="clear" w:color="auto" w:fill="C00000"/>
          </w:tcPr>
          <w:p>
            <w:pPr>
              <w:spacing w:after="0"/>
              <w:rPr>
                <w:sz w:val="15"/>
                <w:szCs w:val="15"/>
                <w:color w:val="auto"/>
              </w:rPr>
            </w:pPr>
          </w:p>
        </w:tc>
        <w:tc>
          <w:tcPr>
            <w:tcW w:w="860" w:type="dxa"/>
            <w:vAlign w:val="bottom"/>
            <w:shd w:val="clear" w:color="auto" w:fill="C00000"/>
          </w:tcPr>
          <w:p>
            <w:pPr>
              <w:jc w:val="center"/>
              <w:spacing w:after="0" w:line="183" w:lineRule="exact"/>
              <w:rPr>
                <w:sz w:val="20"/>
                <w:szCs w:val="20"/>
                <w:color w:val="auto"/>
              </w:rPr>
            </w:pPr>
            <w:r>
              <w:rPr>
                <w:rFonts w:ascii="Arial" w:cs="Arial" w:eastAsia="Arial" w:hAnsi="Arial"/>
                <w:sz w:val="16"/>
                <w:szCs w:val="16"/>
                <w:b w:val="1"/>
                <w:bCs w:val="1"/>
                <w:color w:val="FFFFFF"/>
                <w:w w:val="99"/>
              </w:rPr>
              <w:t>Koch</w:t>
            </w:r>
          </w:p>
        </w:tc>
        <w:tc>
          <w:tcPr>
            <w:tcW w:w="660" w:type="dxa"/>
            <w:vAlign w:val="bottom"/>
            <w:shd w:val="clear" w:color="auto" w:fill="C00000"/>
          </w:tcPr>
          <w:p>
            <w:pPr>
              <w:spacing w:after="0"/>
              <w:rPr>
                <w:sz w:val="15"/>
                <w:szCs w:val="15"/>
                <w:color w:val="auto"/>
              </w:rPr>
            </w:pPr>
          </w:p>
        </w:tc>
        <w:tc>
          <w:tcPr>
            <w:tcW w:w="760" w:type="dxa"/>
            <w:vAlign w:val="bottom"/>
            <w:shd w:val="clear" w:color="auto" w:fill="C00000"/>
          </w:tcPr>
          <w:p>
            <w:pPr>
              <w:spacing w:after="0"/>
              <w:rPr>
                <w:sz w:val="15"/>
                <w:szCs w:val="15"/>
                <w:color w:val="auto"/>
              </w:rPr>
            </w:pPr>
          </w:p>
        </w:tc>
        <w:tc>
          <w:tcPr>
            <w:tcW w:w="900" w:type="dxa"/>
            <w:vAlign w:val="bottom"/>
            <w:shd w:val="clear" w:color="auto" w:fill="C00000"/>
          </w:tcPr>
          <w:p>
            <w:pPr>
              <w:spacing w:after="0"/>
              <w:rPr>
                <w:sz w:val="15"/>
                <w:szCs w:val="15"/>
                <w:color w:val="auto"/>
              </w:rPr>
            </w:pPr>
          </w:p>
        </w:tc>
        <w:tc>
          <w:tcPr>
            <w:tcW w:w="700" w:type="dxa"/>
            <w:vAlign w:val="bottom"/>
            <w:shd w:val="clear" w:color="auto" w:fill="C00000"/>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400" w:type="dxa"/>
            <w:vAlign w:val="bottom"/>
            <w:shd w:val="clear" w:color="auto" w:fill="C00000"/>
          </w:tcPr>
          <w:p>
            <w:pPr>
              <w:ind w:left="40"/>
              <w:spacing w:after="0"/>
              <w:rPr>
                <w:sz w:val="20"/>
                <w:szCs w:val="20"/>
                <w:color w:val="auto"/>
              </w:rPr>
            </w:pPr>
            <w:r>
              <w:rPr>
                <w:rFonts w:ascii="Arial" w:cs="Arial" w:eastAsia="Arial" w:hAnsi="Arial"/>
                <w:sz w:val="16"/>
                <w:szCs w:val="16"/>
                <w:b w:val="1"/>
                <w:bCs w:val="1"/>
                <w:color w:val="FFFFFF"/>
              </w:rPr>
              <w:t>Experience and Attributes</w:t>
            </w:r>
          </w:p>
        </w:tc>
        <w:tc>
          <w:tcPr>
            <w:tcW w:w="580" w:type="dxa"/>
            <w:vAlign w:val="bottom"/>
            <w:shd w:val="clear" w:color="auto" w:fill="C00000"/>
          </w:tcPr>
          <w:p>
            <w:pPr>
              <w:spacing w:after="0"/>
              <w:rPr>
                <w:sz w:val="17"/>
                <w:szCs w:val="17"/>
                <w:color w:val="auto"/>
              </w:rPr>
            </w:pPr>
          </w:p>
        </w:tc>
        <w:tc>
          <w:tcPr>
            <w:tcW w:w="800" w:type="dxa"/>
            <w:vAlign w:val="bottom"/>
            <w:shd w:val="clear" w:color="auto" w:fill="C00000"/>
          </w:tcPr>
          <w:p>
            <w:pPr>
              <w:spacing w:after="0"/>
              <w:rPr>
                <w:sz w:val="17"/>
                <w:szCs w:val="17"/>
                <w:color w:val="auto"/>
              </w:rPr>
            </w:pPr>
          </w:p>
        </w:tc>
        <w:tc>
          <w:tcPr>
            <w:tcW w:w="900" w:type="dxa"/>
            <w:vAlign w:val="bottom"/>
            <w:shd w:val="clear" w:color="auto" w:fill="C00000"/>
          </w:tcPr>
          <w:p>
            <w:pPr>
              <w:spacing w:after="0"/>
              <w:rPr>
                <w:sz w:val="17"/>
                <w:szCs w:val="17"/>
                <w:color w:val="auto"/>
              </w:rPr>
            </w:pPr>
          </w:p>
        </w:tc>
        <w:tc>
          <w:tcPr>
            <w:tcW w:w="1000" w:type="dxa"/>
            <w:vAlign w:val="bottom"/>
            <w:shd w:val="clear" w:color="auto" w:fill="C00000"/>
          </w:tcPr>
          <w:p>
            <w:pPr>
              <w:spacing w:after="0"/>
              <w:rPr>
                <w:sz w:val="17"/>
                <w:szCs w:val="17"/>
                <w:color w:val="auto"/>
              </w:rPr>
            </w:pPr>
          </w:p>
        </w:tc>
        <w:tc>
          <w:tcPr>
            <w:tcW w:w="860" w:type="dxa"/>
            <w:vAlign w:val="bottom"/>
            <w:shd w:val="clear" w:color="auto" w:fill="C00000"/>
          </w:tcPr>
          <w:p>
            <w:pPr>
              <w:spacing w:after="0"/>
              <w:rPr>
                <w:sz w:val="17"/>
                <w:szCs w:val="17"/>
                <w:color w:val="auto"/>
              </w:rPr>
            </w:pPr>
          </w:p>
        </w:tc>
        <w:tc>
          <w:tcPr>
            <w:tcW w:w="660" w:type="dxa"/>
            <w:vAlign w:val="bottom"/>
            <w:shd w:val="clear" w:color="auto" w:fill="C00000"/>
          </w:tcPr>
          <w:p>
            <w:pPr>
              <w:spacing w:after="0"/>
              <w:rPr>
                <w:sz w:val="17"/>
                <w:szCs w:val="17"/>
                <w:color w:val="auto"/>
              </w:rPr>
            </w:pPr>
          </w:p>
        </w:tc>
        <w:tc>
          <w:tcPr>
            <w:tcW w:w="760" w:type="dxa"/>
            <w:vAlign w:val="bottom"/>
            <w:shd w:val="clear" w:color="auto" w:fill="C00000"/>
          </w:tcPr>
          <w:p>
            <w:pPr>
              <w:spacing w:after="0"/>
              <w:rPr>
                <w:sz w:val="17"/>
                <w:szCs w:val="17"/>
                <w:color w:val="auto"/>
              </w:rPr>
            </w:pPr>
          </w:p>
        </w:tc>
        <w:tc>
          <w:tcPr>
            <w:tcW w:w="900" w:type="dxa"/>
            <w:vAlign w:val="bottom"/>
            <w:shd w:val="clear" w:color="auto" w:fill="C00000"/>
          </w:tcPr>
          <w:p>
            <w:pPr>
              <w:spacing w:after="0"/>
              <w:rPr>
                <w:sz w:val="17"/>
                <w:szCs w:val="17"/>
                <w:color w:val="auto"/>
              </w:rPr>
            </w:pPr>
          </w:p>
        </w:tc>
        <w:tc>
          <w:tcPr>
            <w:tcW w:w="700" w:type="dxa"/>
            <w:vAlign w:val="bottom"/>
            <w:shd w:val="clear" w:color="auto" w:fill="C00000"/>
          </w:tcPr>
          <w:p>
            <w:pPr>
              <w:spacing w:after="0"/>
              <w:rPr>
                <w:sz w:val="17"/>
                <w:szCs w:val="1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1140"/>
          </w:cols>
          <w:pgMar w:left="320" w:top="140" w:right="439" w:bottom="1440" w:gutter="0" w:footer="0" w:header="0"/>
        </w:sectPr>
      </w:pPr>
    </w:p>
    <w:p>
      <w:pPr>
        <w:spacing w:after="0" w:line="40" w:lineRule="exact"/>
        <w:rPr>
          <w:sz w:val="20"/>
          <w:szCs w:val="20"/>
          <w:color w:val="auto"/>
        </w:rPr>
      </w:pPr>
    </w:p>
    <w:p>
      <w:pPr>
        <w:ind w:left="40" w:right="280"/>
        <w:spacing w:after="0" w:line="419" w:lineRule="auto"/>
        <w:rPr>
          <w:sz w:val="20"/>
          <w:szCs w:val="20"/>
          <w:color w:val="auto"/>
        </w:rPr>
      </w:pPr>
      <w:r>
        <w:rPr>
          <w:rFonts w:ascii="Arial" w:cs="Arial" w:eastAsia="Arial" w:hAnsi="Arial"/>
          <w:sz w:val="17"/>
          <w:szCs w:val="17"/>
          <w:color w:val="auto"/>
        </w:rPr>
        <w:t>Current/Former CEO Finance/Financial Oversight</w:t>
      </w:r>
    </w:p>
    <w:p>
      <w:pPr>
        <w:spacing w:after="0" w:line="1" w:lineRule="exact"/>
        <w:rPr>
          <w:sz w:val="20"/>
          <w:szCs w:val="20"/>
          <w:color w:val="auto"/>
        </w:rPr>
      </w:pPr>
    </w:p>
    <w:p>
      <w:pPr>
        <w:ind w:left="40" w:right="660"/>
        <w:spacing w:after="0" w:line="255" w:lineRule="auto"/>
        <w:rPr>
          <w:sz w:val="20"/>
          <w:szCs w:val="20"/>
          <w:color w:val="auto"/>
        </w:rPr>
      </w:pPr>
      <w:r>
        <w:rPr>
          <w:rFonts w:ascii="Arial" w:cs="Arial" w:eastAsia="Arial" w:hAnsi="Arial"/>
          <w:sz w:val="17"/>
          <w:szCs w:val="17"/>
          <w:color w:val="auto"/>
        </w:rPr>
        <w:t>Public Company Board (other than TTC)</w:t>
      </w:r>
    </w:p>
    <w:p>
      <w:pPr>
        <w:ind w:left="40" w:right="760"/>
        <w:spacing w:after="0" w:line="269" w:lineRule="auto"/>
        <w:rPr>
          <w:sz w:val="20"/>
          <w:szCs w:val="20"/>
          <w:color w:val="auto"/>
        </w:rPr>
      </w:pPr>
      <w:r>
        <w:rPr>
          <w:rFonts w:ascii="Arial" w:cs="Arial" w:eastAsia="Arial" w:hAnsi="Arial"/>
          <w:sz w:val="17"/>
          <w:szCs w:val="17"/>
          <w:color w:val="auto"/>
        </w:rPr>
        <w:t>Manufacturing/Supply Chain/Operations</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Distribution Channel</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Strategic Planning</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Regulatory/Government</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Health and Safety</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Mergers &amp; Acquisitions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International Operations</w:t>
      </w:r>
    </w:p>
    <w:p>
      <w:pPr>
        <w:spacing w:after="0" w:line="88" w:lineRule="exact"/>
        <w:rPr>
          <w:sz w:val="20"/>
          <w:szCs w:val="20"/>
          <w:color w:val="auto"/>
        </w:rPr>
      </w:pPr>
    </w:p>
    <w:p>
      <w:pPr>
        <w:ind w:left="40" w:right="800"/>
        <w:spacing w:after="0" w:line="255" w:lineRule="auto"/>
        <w:rPr>
          <w:sz w:val="20"/>
          <w:szCs w:val="20"/>
          <w:color w:val="auto"/>
        </w:rPr>
      </w:pPr>
      <w:r>
        <w:rPr>
          <w:rFonts w:ascii="Arial" w:cs="Arial" w:eastAsia="Arial" w:hAnsi="Arial"/>
          <w:sz w:val="17"/>
          <w:szCs w:val="17"/>
          <w:color w:val="auto"/>
        </w:rPr>
        <w:t>Information Systems/ Cybersecurity</w:t>
      </w:r>
    </w:p>
    <w:p>
      <w:pPr>
        <w:ind w:left="40"/>
        <w:spacing w:after="0"/>
        <w:rPr>
          <w:sz w:val="20"/>
          <w:szCs w:val="20"/>
          <w:color w:val="auto"/>
        </w:rPr>
      </w:pPr>
      <w:r>
        <w:rPr>
          <w:rFonts w:ascii="Arial" w:cs="Arial" w:eastAsia="Arial" w:hAnsi="Arial"/>
          <w:sz w:val="18"/>
          <w:szCs w:val="18"/>
          <w:color w:val="auto"/>
        </w:rPr>
        <w:t>Previously Resided Outside the United States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Female</w:t>
      </w:r>
    </w:p>
    <w:p>
      <w:pPr>
        <w:spacing w:after="0" w:line="101" w:lineRule="exact"/>
        <w:rPr>
          <w:sz w:val="20"/>
          <w:szCs w:val="20"/>
          <w:color w:val="auto"/>
        </w:rPr>
      </w:pPr>
    </w:p>
    <w:p>
      <w:pPr>
        <w:ind w:left="40" w:right="500"/>
        <w:spacing w:after="0"/>
        <w:rPr>
          <w:sz w:val="20"/>
          <w:szCs w:val="20"/>
          <w:color w:val="auto"/>
        </w:rPr>
      </w:pPr>
      <w:r>
        <w:rPr>
          <w:rFonts w:ascii="Arial" w:cs="Arial" w:eastAsia="Arial" w:hAnsi="Arial"/>
          <w:sz w:val="18"/>
          <w:szCs w:val="18"/>
          <w:color w:val="auto"/>
        </w:rPr>
        <w:t>Racially and/or Ethnically Diverse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8"/>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8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94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86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740" w:type="dxa"/>
            <w:vAlign w:val="bottom"/>
          </w:tcPr>
          <w:p>
            <w:pPr>
              <w:spacing w:after="0"/>
              <w:rPr>
                <w:sz w:val="24"/>
                <w:szCs w:val="24"/>
                <w:color w:val="auto"/>
              </w:rPr>
            </w:pPr>
          </w:p>
        </w:tc>
        <w:tc>
          <w:tcPr>
            <w:tcW w:w="76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20" w:type="dxa"/>
            <w:vAlign w:val="bottom"/>
          </w:tcPr>
          <w:p>
            <w:pPr>
              <w:ind w:left="340"/>
              <w:spacing w:after="0" w:line="201" w:lineRule="exact"/>
              <w:rPr>
                <w:sz w:val="20"/>
                <w:szCs w:val="20"/>
                <w:color w:val="auto"/>
              </w:rPr>
            </w:pPr>
            <w:r>
              <w:rPr>
                <w:rFonts w:ascii="MS PGothic" w:cs="MS PGothic" w:eastAsia="MS PGothic" w:hAnsi="MS PGothic"/>
                <w:sz w:val="20"/>
                <w:szCs w:val="20"/>
                <w:color w:val="auto"/>
              </w:rPr>
              <w:t>✓</w:t>
            </w:r>
          </w:p>
        </w:tc>
        <w:tc>
          <w:tcPr>
            <w:tcW w:w="500" w:type="dxa"/>
            <w:vAlign w:val="bottom"/>
          </w:tcPr>
          <w:p>
            <w:pPr>
              <w:spacing w:after="0"/>
              <w:rPr>
                <w:sz w:val="24"/>
                <w:szCs w:val="24"/>
                <w:color w:val="auto"/>
              </w:rPr>
            </w:pPr>
          </w:p>
        </w:tc>
      </w:tr>
      <w:tr>
        <w:trPr>
          <w:trHeight w:val="389"/>
        </w:trPr>
        <w:tc>
          <w:tcPr>
            <w:tcW w:w="420" w:type="dxa"/>
            <w:vAlign w:val="bottom"/>
          </w:tcPr>
          <w:p>
            <w:pPr>
              <w:spacing w:after="0" w:line="201" w:lineRule="exact"/>
              <w:rPr>
                <w:sz w:val="20"/>
                <w:szCs w:val="20"/>
                <w:color w:val="auto"/>
              </w:rPr>
            </w:pPr>
            <w:r>
              <w:rPr>
                <w:rFonts w:ascii="MS PGothic" w:cs="MS PGothic" w:eastAsia="MS PGothic" w:hAnsi="MS PGothic"/>
                <w:sz w:val="20"/>
                <w:szCs w:val="20"/>
                <w:color w:val="auto"/>
              </w:rPr>
              <w:t>✓</w:t>
            </w:r>
          </w:p>
        </w:tc>
        <w:tc>
          <w:tcPr>
            <w:tcW w:w="7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76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8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94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86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740" w:type="dxa"/>
            <w:vAlign w:val="bottom"/>
          </w:tcPr>
          <w:p>
            <w:pPr>
              <w:spacing w:after="0"/>
              <w:rPr>
                <w:sz w:val="24"/>
                <w:szCs w:val="24"/>
                <w:color w:val="auto"/>
              </w:rPr>
            </w:pPr>
          </w:p>
        </w:tc>
        <w:tc>
          <w:tcPr>
            <w:tcW w:w="76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20" w:type="dxa"/>
            <w:vAlign w:val="bottom"/>
          </w:tcPr>
          <w:p>
            <w:pPr>
              <w:ind w:left="340"/>
              <w:spacing w:after="0" w:line="201" w:lineRule="exact"/>
              <w:rPr>
                <w:sz w:val="20"/>
                <w:szCs w:val="20"/>
                <w:color w:val="auto"/>
              </w:rPr>
            </w:pPr>
            <w:r>
              <w:rPr>
                <w:rFonts w:ascii="MS PGothic" w:cs="MS PGothic" w:eastAsia="MS PGothic" w:hAnsi="MS PGothic"/>
                <w:sz w:val="20"/>
                <w:szCs w:val="20"/>
                <w:color w:val="auto"/>
              </w:rPr>
              <w:t>✓</w:t>
            </w:r>
          </w:p>
        </w:tc>
        <w:tc>
          <w:tcPr>
            <w:tcW w:w="500" w:type="dxa"/>
            <w:vAlign w:val="bottom"/>
          </w:tcPr>
          <w:p>
            <w:pPr>
              <w:ind w:left="34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89"/>
        </w:trPr>
        <w:tc>
          <w:tcPr>
            <w:tcW w:w="420" w:type="dxa"/>
            <w:vAlign w:val="bottom"/>
          </w:tcPr>
          <w:p>
            <w:pPr>
              <w:spacing w:after="0" w:line="201" w:lineRule="exact"/>
              <w:rPr>
                <w:sz w:val="20"/>
                <w:szCs w:val="20"/>
                <w:color w:val="auto"/>
              </w:rPr>
            </w:pPr>
            <w:r>
              <w:rPr>
                <w:rFonts w:ascii="MS PGothic" w:cs="MS PGothic" w:eastAsia="MS PGothic" w:hAnsi="MS PGothic"/>
                <w:sz w:val="20"/>
                <w:szCs w:val="20"/>
                <w:color w:val="auto"/>
              </w:rPr>
              <w:t>✓</w:t>
            </w:r>
          </w:p>
        </w:tc>
        <w:tc>
          <w:tcPr>
            <w:tcW w:w="7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76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80" w:type="dxa"/>
            <w:vAlign w:val="bottom"/>
          </w:tcPr>
          <w:p>
            <w:pPr>
              <w:spacing w:after="0"/>
              <w:rPr>
                <w:sz w:val="24"/>
                <w:szCs w:val="24"/>
                <w:color w:val="auto"/>
              </w:rPr>
            </w:pPr>
          </w:p>
        </w:tc>
        <w:tc>
          <w:tcPr>
            <w:tcW w:w="94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86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ind w:left="340"/>
              <w:spacing w:after="0" w:line="201" w:lineRule="exact"/>
              <w:rPr>
                <w:sz w:val="20"/>
                <w:szCs w:val="20"/>
                <w:color w:val="auto"/>
              </w:rPr>
            </w:pPr>
            <w:r>
              <w:rPr>
                <w:rFonts w:ascii="MS PGothic" w:cs="MS PGothic" w:eastAsia="MS PGothic" w:hAnsi="MS PGothic"/>
                <w:sz w:val="20"/>
                <w:szCs w:val="20"/>
                <w:color w:val="auto"/>
              </w:rPr>
              <w:t>✓</w:t>
            </w:r>
          </w:p>
        </w:tc>
        <w:tc>
          <w:tcPr>
            <w:tcW w:w="500" w:type="dxa"/>
            <w:vAlign w:val="bottom"/>
          </w:tcPr>
          <w:p>
            <w:pPr>
              <w:spacing w:after="0"/>
              <w:rPr>
                <w:sz w:val="24"/>
                <w:szCs w:val="24"/>
                <w:color w:val="auto"/>
              </w:rPr>
            </w:pPr>
          </w:p>
        </w:tc>
      </w:tr>
      <w:tr>
        <w:trPr>
          <w:trHeight w:val="416"/>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80" w:type="dxa"/>
            <w:vAlign w:val="bottom"/>
          </w:tcPr>
          <w:p>
            <w:pPr>
              <w:spacing w:after="0"/>
              <w:rPr>
                <w:sz w:val="24"/>
                <w:szCs w:val="24"/>
                <w:color w:val="auto"/>
              </w:rPr>
            </w:pPr>
          </w:p>
        </w:tc>
        <w:tc>
          <w:tcPr>
            <w:tcW w:w="94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86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74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76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20" w:type="dxa"/>
            <w:vAlign w:val="bottom"/>
          </w:tcPr>
          <w:p>
            <w:pPr>
              <w:ind w:left="340"/>
              <w:spacing w:after="0" w:line="201" w:lineRule="exact"/>
              <w:rPr>
                <w:sz w:val="20"/>
                <w:szCs w:val="20"/>
                <w:color w:val="auto"/>
              </w:rPr>
            </w:pPr>
            <w:r>
              <w:rPr>
                <w:rFonts w:ascii="MS PGothic" w:cs="MS PGothic" w:eastAsia="MS PGothic" w:hAnsi="MS PGothic"/>
                <w:sz w:val="20"/>
                <w:szCs w:val="20"/>
                <w:color w:val="auto"/>
              </w:rPr>
              <w:t>✓</w:t>
            </w:r>
          </w:p>
        </w:tc>
        <w:tc>
          <w:tcPr>
            <w:tcW w:w="500" w:type="dxa"/>
            <w:vAlign w:val="bottom"/>
          </w:tcPr>
          <w:p>
            <w:pPr>
              <w:ind w:left="34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416"/>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8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94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86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74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76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20" w:type="dxa"/>
            <w:vAlign w:val="bottom"/>
          </w:tcPr>
          <w:p>
            <w:pPr>
              <w:spacing w:after="0"/>
              <w:rPr>
                <w:sz w:val="24"/>
                <w:szCs w:val="24"/>
                <w:color w:val="auto"/>
              </w:rPr>
            </w:pPr>
          </w:p>
        </w:tc>
        <w:tc>
          <w:tcPr>
            <w:tcW w:w="500" w:type="dxa"/>
            <w:vAlign w:val="bottom"/>
          </w:tcPr>
          <w:p>
            <w:pPr>
              <w:ind w:left="34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89"/>
        </w:trPr>
        <w:tc>
          <w:tcPr>
            <w:tcW w:w="420" w:type="dxa"/>
            <w:vAlign w:val="bottom"/>
          </w:tcPr>
          <w:p>
            <w:pPr>
              <w:spacing w:after="0" w:line="201" w:lineRule="exact"/>
              <w:rPr>
                <w:sz w:val="20"/>
                <w:szCs w:val="20"/>
                <w:color w:val="auto"/>
              </w:rPr>
            </w:pPr>
            <w:r>
              <w:rPr>
                <w:rFonts w:ascii="MS PGothic" w:cs="MS PGothic" w:eastAsia="MS PGothic" w:hAnsi="MS PGothic"/>
                <w:sz w:val="20"/>
                <w:szCs w:val="20"/>
                <w:color w:val="auto"/>
              </w:rPr>
              <w:t>✓</w:t>
            </w:r>
          </w:p>
        </w:tc>
        <w:tc>
          <w:tcPr>
            <w:tcW w:w="7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76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8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94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86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74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76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20" w:type="dxa"/>
            <w:vAlign w:val="bottom"/>
          </w:tcPr>
          <w:p>
            <w:pPr>
              <w:ind w:left="340"/>
              <w:spacing w:after="0" w:line="201" w:lineRule="exact"/>
              <w:rPr>
                <w:sz w:val="20"/>
                <w:szCs w:val="20"/>
                <w:color w:val="auto"/>
              </w:rPr>
            </w:pPr>
            <w:r>
              <w:rPr>
                <w:rFonts w:ascii="MS PGothic" w:cs="MS PGothic" w:eastAsia="MS PGothic" w:hAnsi="MS PGothic"/>
                <w:sz w:val="20"/>
                <w:szCs w:val="20"/>
                <w:color w:val="auto"/>
              </w:rPr>
              <w:t>✓</w:t>
            </w:r>
          </w:p>
        </w:tc>
        <w:tc>
          <w:tcPr>
            <w:tcW w:w="500" w:type="dxa"/>
            <w:vAlign w:val="bottom"/>
          </w:tcPr>
          <w:p>
            <w:pPr>
              <w:ind w:left="34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89"/>
        </w:trPr>
        <w:tc>
          <w:tcPr>
            <w:tcW w:w="420" w:type="dxa"/>
            <w:vAlign w:val="bottom"/>
          </w:tcPr>
          <w:p>
            <w:pPr>
              <w:spacing w:after="0"/>
              <w:rPr>
                <w:sz w:val="24"/>
                <w:szCs w:val="24"/>
                <w:color w:val="auto"/>
              </w:rPr>
            </w:pPr>
          </w:p>
        </w:tc>
        <w:tc>
          <w:tcPr>
            <w:tcW w:w="7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76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8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94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860" w:type="dxa"/>
            <w:vAlign w:val="bottom"/>
          </w:tcPr>
          <w:p>
            <w:pPr>
              <w:spacing w:after="0"/>
              <w:rPr>
                <w:sz w:val="24"/>
                <w:szCs w:val="24"/>
                <w:color w:val="auto"/>
              </w:rPr>
            </w:pPr>
          </w:p>
        </w:tc>
        <w:tc>
          <w:tcPr>
            <w:tcW w:w="74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76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20" w:type="dxa"/>
            <w:vAlign w:val="bottom"/>
          </w:tcPr>
          <w:p>
            <w:pPr>
              <w:ind w:left="340"/>
              <w:spacing w:after="0" w:line="201" w:lineRule="exact"/>
              <w:rPr>
                <w:sz w:val="20"/>
                <w:szCs w:val="20"/>
                <w:color w:val="auto"/>
              </w:rPr>
            </w:pPr>
            <w:r>
              <w:rPr>
                <w:rFonts w:ascii="MS PGothic" w:cs="MS PGothic" w:eastAsia="MS PGothic" w:hAnsi="MS PGothic"/>
                <w:sz w:val="20"/>
                <w:szCs w:val="20"/>
                <w:color w:val="auto"/>
              </w:rPr>
              <w:t>✓</w:t>
            </w:r>
          </w:p>
        </w:tc>
        <w:tc>
          <w:tcPr>
            <w:tcW w:w="500" w:type="dxa"/>
            <w:vAlign w:val="bottom"/>
          </w:tcPr>
          <w:p>
            <w:pPr>
              <w:ind w:left="34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89"/>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8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94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86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740" w:type="dxa"/>
            <w:vAlign w:val="bottom"/>
          </w:tcPr>
          <w:p>
            <w:pPr>
              <w:spacing w:after="0"/>
              <w:rPr>
                <w:sz w:val="24"/>
                <w:szCs w:val="24"/>
                <w:color w:val="auto"/>
              </w:rPr>
            </w:pPr>
          </w:p>
        </w:tc>
        <w:tc>
          <w:tcPr>
            <w:tcW w:w="76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20" w:type="dxa"/>
            <w:vAlign w:val="bottom"/>
          </w:tcPr>
          <w:p>
            <w:pPr>
              <w:ind w:left="340"/>
              <w:spacing w:after="0" w:line="201" w:lineRule="exact"/>
              <w:rPr>
                <w:sz w:val="20"/>
                <w:szCs w:val="20"/>
                <w:color w:val="auto"/>
              </w:rPr>
            </w:pPr>
            <w:r>
              <w:rPr>
                <w:rFonts w:ascii="MS PGothic" w:cs="MS PGothic" w:eastAsia="MS PGothic" w:hAnsi="MS PGothic"/>
                <w:sz w:val="20"/>
                <w:szCs w:val="20"/>
                <w:color w:val="auto"/>
              </w:rPr>
              <w:t>✓</w:t>
            </w:r>
          </w:p>
        </w:tc>
        <w:tc>
          <w:tcPr>
            <w:tcW w:w="500" w:type="dxa"/>
            <w:vAlign w:val="bottom"/>
          </w:tcPr>
          <w:p>
            <w:pPr>
              <w:ind w:left="34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89"/>
        </w:trPr>
        <w:tc>
          <w:tcPr>
            <w:tcW w:w="420" w:type="dxa"/>
            <w:vAlign w:val="bottom"/>
          </w:tcPr>
          <w:p>
            <w:pPr>
              <w:spacing w:after="0" w:line="201" w:lineRule="exact"/>
              <w:rPr>
                <w:sz w:val="20"/>
                <w:szCs w:val="20"/>
                <w:color w:val="auto"/>
              </w:rPr>
            </w:pPr>
            <w:r>
              <w:rPr>
                <w:rFonts w:ascii="MS PGothic" w:cs="MS PGothic" w:eastAsia="MS PGothic" w:hAnsi="MS PGothic"/>
                <w:sz w:val="20"/>
                <w:szCs w:val="20"/>
                <w:color w:val="auto"/>
              </w:rPr>
              <w:t>✓</w:t>
            </w:r>
          </w:p>
        </w:tc>
        <w:tc>
          <w:tcPr>
            <w:tcW w:w="7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76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8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94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86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74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76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20" w:type="dxa"/>
            <w:vAlign w:val="bottom"/>
          </w:tcPr>
          <w:p>
            <w:pPr>
              <w:ind w:left="340"/>
              <w:spacing w:after="0" w:line="201" w:lineRule="exact"/>
              <w:rPr>
                <w:sz w:val="20"/>
                <w:szCs w:val="20"/>
                <w:color w:val="auto"/>
              </w:rPr>
            </w:pPr>
            <w:r>
              <w:rPr>
                <w:rFonts w:ascii="MS PGothic" w:cs="MS PGothic" w:eastAsia="MS PGothic" w:hAnsi="MS PGothic"/>
                <w:sz w:val="20"/>
                <w:szCs w:val="20"/>
                <w:color w:val="auto"/>
              </w:rPr>
              <w:t>✓</w:t>
            </w:r>
          </w:p>
        </w:tc>
        <w:tc>
          <w:tcPr>
            <w:tcW w:w="500" w:type="dxa"/>
            <w:vAlign w:val="bottom"/>
          </w:tcPr>
          <w:p>
            <w:pPr>
              <w:ind w:left="34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89"/>
        </w:trPr>
        <w:tc>
          <w:tcPr>
            <w:tcW w:w="420" w:type="dxa"/>
            <w:vAlign w:val="bottom"/>
          </w:tcPr>
          <w:p>
            <w:pPr>
              <w:spacing w:after="0"/>
              <w:rPr>
                <w:sz w:val="24"/>
                <w:szCs w:val="24"/>
                <w:color w:val="auto"/>
              </w:rPr>
            </w:pPr>
          </w:p>
        </w:tc>
        <w:tc>
          <w:tcPr>
            <w:tcW w:w="7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76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80" w:type="dxa"/>
            <w:vAlign w:val="bottom"/>
          </w:tcPr>
          <w:p>
            <w:pPr>
              <w:spacing w:after="0"/>
              <w:rPr>
                <w:sz w:val="24"/>
                <w:szCs w:val="24"/>
                <w:color w:val="auto"/>
              </w:rPr>
            </w:pPr>
          </w:p>
        </w:tc>
        <w:tc>
          <w:tcPr>
            <w:tcW w:w="94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86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74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76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20" w:type="dxa"/>
            <w:vAlign w:val="bottom"/>
          </w:tcPr>
          <w:p>
            <w:pPr>
              <w:ind w:left="340"/>
              <w:spacing w:after="0" w:line="201" w:lineRule="exact"/>
              <w:rPr>
                <w:sz w:val="20"/>
                <w:szCs w:val="20"/>
                <w:color w:val="auto"/>
              </w:rPr>
            </w:pPr>
            <w:r>
              <w:rPr>
                <w:rFonts w:ascii="MS PGothic" w:cs="MS PGothic" w:eastAsia="MS PGothic" w:hAnsi="MS PGothic"/>
                <w:sz w:val="20"/>
                <w:szCs w:val="20"/>
                <w:color w:val="auto"/>
              </w:rPr>
              <w:t>✓</w:t>
            </w:r>
          </w:p>
        </w:tc>
        <w:tc>
          <w:tcPr>
            <w:tcW w:w="500" w:type="dxa"/>
            <w:vAlign w:val="bottom"/>
          </w:tcPr>
          <w:p>
            <w:pPr>
              <w:ind w:left="34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402"/>
        </w:trPr>
        <w:tc>
          <w:tcPr>
            <w:tcW w:w="420" w:type="dxa"/>
            <w:vAlign w:val="bottom"/>
          </w:tcPr>
          <w:p>
            <w:pPr>
              <w:spacing w:after="0" w:line="201" w:lineRule="exact"/>
              <w:rPr>
                <w:sz w:val="20"/>
                <w:szCs w:val="20"/>
                <w:color w:val="auto"/>
              </w:rPr>
            </w:pPr>
            <w:r>
              <w:rPr>
                <w:rFonts w:ascii="MS PGothic" w:cs="MS PGothic" w:eastAsia="MS PGothic" w:hAnsi="MS PGothic"/>
                <w:sz w:val="20"/>
                <w:szCs w:val="20"/>
                <w:color w:val="auto"/>
              </w:rPr>
              <w:t>✓</w:t>
            </w:r>
          </w:p>
        </w:tc>
        <w:tc>
          <w:tcPr>
            <w:tcW w:w="7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86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74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76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20" w:type="dxa"/>
            <w:vAlign w:val="bottom"/>
          </w:tcPr>
          <w:p>
            <w:pPr>
              <w:ind w:left="340"/>
              <w:spacing w:after="0" w:line="201" w:lineRule="exact"/>
              <w:rPr>
                <w:sz w:val="20"/>
                <w:szCs w:val="20"/>
                <w:color w:val="auto"/>
              </w:rPr>
            </w:pPr>
            <w:r>
              <w:rPr>
                <w:rFonts w:ascii="MS PGothic" w:cs="MS PGothic" w:eastAsia="MS PGothic" w:hAnsi="MS PGothic"/>
                <w:sz w:val="20"/>
                <w:szCs w:val="20"/>
                <w:color w:val="auto"/>
              </w:rPr>
              <w:t>✓</w:t>
            </w:r>
          </w:p>
        </w:tc>
        <w:tc>
          <w:tcPr>
            <w:tcW w:w="500" w:type="dxa"/>
            <w:vAlign w:val="bottom"/>
          </w:tcPr>
          <w:p>
            <w:pPr>
              <w:spacing w:after="0"/>
              <w:rPr>
                <w:sz w:val="24"/>
                <w:szCs w:val="24"/>
                <w:color w:val="auto"/>
              </w:rPr>
            </w:pPr>
          </w:p>
        </w:tc>
      </w:tr>
      <w:tr>
        <w:trPr>
          <w:trHeight w:val="416"/>
        </w:trPr>
        <w:tc>
          <w:tcPr>
            <w:tcW w:w="420" w:type="dxa"/>
            <w:vAlign w:val="bottom"/>
          </w:tcPr>
          <w:p>
            <w:pPr>
              <w:spacing w:after="0"/>
              <w:rPr>
                <w:sz w:val="24"/>
                <w:szCs w:val="24"/>
                <w:color w:val="auto"/>
              </w:rPr>
            </w:pPr>
          </w:p>
        </w:tc>
        <w:tc>
          <w:tcPr>
            <w:tcW w:w="7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86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74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760" w:type="dxa"/>
            <w:vAlign w:val="bottom"/>
          </w:tcPr>
          <w:p>
            <w:pPr>
              <w:spacing w:after="0"/>
              <w:rPr>
                <w:sz w:val="24"/>
                <w:szCs w:val="24"/>
                <w:color w:val="auto"/>
              </w:rPr>
            </w:pPr>
          </w:p>
        </w:tc>
        <w:tc>
          <w:tcPr>
            <w:tcW w:w="820" w:type="dxa"/>
            <w:vAlign w:val="bottom"/>
          </w:tcPr>
          <w:p>
            <w:pPr>
              <w:ind w:left="340"/>
              <w:spacing w:after="0" w:line="201" w:lineRule="exact"/>
              <w:rPr>
                <w:sz w:val="20"/>
                <w:szCs w:val="20"/>
                <w:color w:val="auto"/>
              </w:rPr>
            </w:pPr>
            <w:r>
              <w:rPr>
                <w:rFonts w:ascii="MS PGothic" w:cs="MS PGothic" w:eastAsia="MS PGothic" w:hAnsi="MS PGothic"/>
                <w:sz w:val="20"/>
                <w:szCs w:val="20"/>
                <w:color w:val="auto"/>
              </w:rPr>
              <w:t>✓</w:t>
            </w:r>
          </w:p>
        </w:tc>
        <w:tc>
          <w:tcPr>
            <w:tcW w:w="500" w:type="dxa"/>
            <w:vAlign w:val="bottom"/>
          </w:tcPr>
          <w:p>
            <w:pPr>
              <w:ind w:left="34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416"/>
        </w:trPr>
        <w:tc>
          <w:tcPr>
            <w:tcW w:w="420" w:type="dxa"/>
            <w:vAlign w:val="bottom"/>
          </w:tcPr>
          <w:p>
            <w:pPr>
              <w:spacing w:after="0" w:line="201" w:lineRule="exact"/>
              <w:rPr>
                <w:sz w:val="20"/>
                <w:szCs w:val="20"/>
                <w:color w:val="auto"/>
              </w:rPr>
            </w:pPr>
            <w:r>
              <w:rPr>
                <w:rFonts w:ascii="MS PGothic" w:cs="MS PGothic" w:eastAsia="MS PGothic" w:hAnsi="MS PGothic"/>
                <w:sz w:val="20"/>
                <w:szCs w:val="20"/>
                <w:color w:val="auto"/>
              </w:rPr>
              <w:t>✓</w:t>
            </w: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02"/>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ind w:left="34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-3428365</wp:posOffset>
            </wp:positionV>
            <wp:extent cx="69850" cy="717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-3428365</wp:posOffset>
            </wp:positionV>
            <wp:extent cx="69850" cy="717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-3428365</wp:posOffset>
            </wp:positionV>
            <wp:extent cx="69850" cy="717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-3428365</wp:posOffset>
            </wp:positionV>
            <wp:extent cx="69850" cy="717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-3428365</wp:posOffset>
            </wp:positionV>
            <wp:extent cx="69850" cy="717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-3428365</wp:posOffset>
            </wp:positionV>
            <wp:extent cx="69850" cy="717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-3276600</wp:posOffset>
            </wp:positionV>
            <wp:extent cx="6699250" cy="2470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99250" cy="24701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-2934335</wp:posOffset>
            </wp:positionV>
            <wp:extent cx="69850" cy="717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-2934335</wp:posOffset>
            </wp:positionV>
            <wp:extent cx="69850" cy="717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892810</wp:posOffset>
            </wp:positionH>
            <wp:positionV relativeFrom="paragraph">
              <wp:posOffset>-2934335</wp:posOffset>
            </wp:positionV>
            <wp:extent cx="69850" cy="717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-2934335</wp:posOffset>
            </wp:positionV>
            <wp:extent cx="69850" cy="717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-2934335</wp:posOffset>
            </wp:positionV>
            <wp:extent cx="69850" cy="717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-2934335</wp:posOffset>
            </wp:positionV>
            <wp:extent cx="69850" cy="717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-2774315</wp:posOffset>
            </wp:positionV>
            <wp:extent cx="6699250" cy="272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99250" cy="272415"/>
                    </a:xfrm>
                    <a:prstGeom prst="rect">
                      <a:avLst/>
                    </a:prstGeom>
                    <a:noFill/>
                  </pic:spPr>
                </pic:pic>
              </a:graphicData>
            </a:graphic>
          </wp:anchor>
        </w:drawing>
        <w:drawing>
          <wp:anchor simplePos="0" relativeHeight="251657728" behindDoc="1" locked="0" layoutInCell="0" allowOverlap="1">
            <wp:simplePos x="0" y="0"/>
            <wp:positionH relativeFrom="column">
              <wp:posOffset>892810</wp:posOffset>
            </wp:positionH>
            <wp:positionV relativeFrom="paragraph">
              <wp:posOffset>-2406650</wp:posOffset>
            </wp:positionV>
            <wp:extent cx="69850" cy="717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-2406650</wp:posOffset>
            </wp:positionV>
            <wp:extent cx="69850" cy="717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-2406650</wp:posOffset>
            </wp:positionV>
            <wp:extent cx="69850" cy="717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-2406650</wp:posOffset>
            </wp:positionV>
            <wp:extent cx="69850" cy="717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3101975</wp:posOffset>
            </wp:positionH>
            <wp:positionV relativeFrom="paragraph">
              <wp:posOffset>-2406650</wp:posOffset>
            </wp:positionV>
            <wp:extent cx="69850" cy="717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-2406650</wp:posOffset>
            </wp:positionV>
            <wp:extent cx="69850" cy="717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-2406650</wp:posOffset>
            </wp:positionV>
            <wp:extent cx="69850" cy="717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-2254885</wp:posOffset>
            </wp:positionV>
            <wp:extent cx="6699250" cy="247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99250" cy="24701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-1913255</wp:posOffset>
            </wp:positionV>
            <wp:extent cx="69850" cy="717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892810</wp:posOffset>
            </wp:positionH>
            <wp:positionV relativeFrom="paragraph">
              <wp:posOffset>-1913255</wp:posOffset>
            </wp:positionV>
            <wp:extent cx="69850" cy="717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-1913255</wp:posOffset>
            </wp:positionV>
            <wp:extent cx="69850" cy="717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-1913255</wp:posOffset>
            </wp:positionV>
            <wp:extent cx="69850" cy="717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3101975</wp:posOffset>
            </wp:positionH>
            <wp:positionV relativeFrom="paragraph">
              <wp:posOffset>-1913255</wp:posOffset>
            </wp:positionV>
            <wp:extent cx="69850" cy="717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-1913255</wp:posOffset>
            </wp:positionV>
            <wp:extent cx="69850" cy="717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-1913255</wp:posOffset>
            </wp:positionV>
            <wp:extent cx="69850" cy="717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-1913255</wp:posOffset>
            </wp:positionV>
            <wp:extent cx="69850" cy="717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-1760855</wp:posOffset>
            </wp:positionV>
            <wp:extent cx="6699250" cy="247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99250" cy="24701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-1419225</wp:posOffset>
            </wp:positionV>
            <wp:extent cx="69850" cy="717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-1419225</wp:posOffset>
            </wp:positionV>
            <wp:extent cx="69850" cy="717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892810</wp:posOffset>
            </wp:positionH>
            <wp:positionV relativeFrom="paragraph">
              <wp:posOffset>-1419225</wp:posOffset>
            </wp:positionV>
            <wp:extent cx="69850" cy="717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-1419225</wp:posOffset>
            </wp:positionV>
            <wp:extent cx="69850" cy="717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-1419225</wp:posOffset>
            </wp:positionV>
            <wp:extent cx="69850" cy="717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-1419225</wp:posOffset>
            </wp:positionV>
            <wp:extent cx="69850" cy="717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3101975</wp:posOffset>
            </wp:positionH>
            <wp:positionV relativeFrom="paragraph">
              <wp:posOffset>-1419225</wp:posOffset>
            </wp:positionV>
            <wp:extent cx="69850" cy="717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-1419225</wp:posOffset>
            </wp:positionV>
            <wp:extent cx="69850" cy="717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-1419225</wp:posOffset>
            </wp:positionV>
            <wp:extent cx="69850" cy="717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-1419225</wp:posOffset>
            </wp:positionV>
            <wp:extent cx="69850" cy="717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-1267460</wp:posOffset>
            </wp:positionV>
            <wp:extent cx="6699250" cy="247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99250" cy="24701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-916940</wp:posOffset>
            </wp:positionV>
            <wp:extent cx="69850" cy="717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-916940</wp:posOffset>
            </wp:positionV>
            <wp:extent cx="69850" cy="717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-916940</wp:posOffset>
            </wp:positionV>
            <wp:extent cx="69850" cy="717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-916940</wp:posOffset>
            </wp:positionV>
            <wp:extent cx="69850" cy="717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3101975</wp:posOffset>
            </wp:positionH>
            <wp:positionV relativeFrom="paragraph">
              <wp:posOffset>-916940</wp:posOffset>
            </wp:positionV>
            <wp:extent cx="69850" cy="717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-916940</wp:posOffset>
            </wp:positionV>
            <wp:extent cx="69850" cy="717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-916940</wp:posOffset>
            </wp:positionV>
            <wp:extent cx="69850" cy="717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-756920</wp:posOffset>
            </wp:positionV>
            <wp:extent cx="6699250" cy="264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99250" cy="26416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-389255</wp:posOffset>
            </wp:positionV>
            <wp:extent cx="69850" cy="717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-389255</wp:posOffset>
            </wp:positionV>
            <wp:extent cx="69850" cy="717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3101975</wp:posOffset>
            </wp:positionH>
            <wp:positionV relativeFrom="paragraph">
              <wp:posOffset>-389255</wp:posOffset>
            </wp:positionV>
            <wp:extent cx="69850" cy="717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850" cy="71755"/>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-229235</wp:posOffset>
            </wp:positionV>
            <wp:extent cx="6699250" cy="2552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99250" cy="25527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2520" w:space="360"/>
            <w:col w:w="8260"/>
          </w:cols>
          <w:pgMar w:left="320" w:top="140" w:right="439" w:bottom="1440" w:gutter="0" w:footer="0" w:header="0"/>
          <w:type w:val="continuous"/>
        </w:sectPr>
      </w:pPr>
    </w:p>
    <w:p>
      <w:pPr>
        <w:ind w:firstLine="401"/>
        <w:spacing w:after="0" w:line="238" w:lineRule="auto"/>
        <w:rPr>
          <w:sz w:val="20"/>
          <w:szCs w:val="20"/>
          <w:color w:val="auto"/>
        </w:rPr>
      </w:pPr>
      <w:r>
        <w:rPr>
          <w:rFonts w:ascii="Arial" w:cs="Arial" w:eastAsia="Arial" w:hAnsi="Arial"/>
          <w:sz w:val="18"/>
          <w:szCs w:val="18"/>
          <w:color w:val="auto"/>
        </w:rPr>
        <w:t>The information presented on the following pages regarding each director nominee or continuing director also sets forth specific experience, qualifications, attributes and skills that led our Board to conclude that he or she should serve as a director in light of our business and structure.</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center"/>
        <w:ind w:right="-19"/>
        <w:spacing w:after="0"/>
        <w:rPr>
          <w:sz w:val="20"/>
          <w:szCs w:val="20"/>
          <w:color w:val="auto"/>
        </w:rPr>
      </w:pPr>
      <w:r>
        <w:rPr>
          <w:rFonts w:ascii="Arial" w:cs="Arial" w:eastAsia="Arial" w:hAnsi="Arial"/>
          <w:sz w:val="18"/>
          <w:szCs w:val="18"/>
          <w:b w:val="1"/>
          <w:bCs w:val="1"/>
          <w:color w:val="FF0000"/>
        </w:rPr>
        <w:t>Director Nominees for Election to the Board for a Term Ending at the 2024 Annual Meeting</w:t>
      </w:r>
    </w:p>
    <w:p>
      <w:pPr>
        <w:spacing w:after="0" w:line="18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FF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7150100" cy="128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100" cy="1285240"/>
                    </a:xfrm>
                    <a:prstGeom prst="rect">
                      <a:avLst/>
                    </a:prstGeom>
                    <a:noFill/>
                  </pic:spPr>
                </pic:pic>
              </a:graphicData>
            </a:graphic>
          </wp:anchor>
        </w:drawing>
      </w:r>
    </w:p>
    <w:p>
      <w:pPr>
        <w:spacing w:after="0" w:line="63" w:lineRule="exact"/>
        <w:rPr>
          <w:sz w:val="20"/>
          <w:szCs w:val="20"/>
          <w:color w:val="auto"/>
        </w:rPr>
      </w:pPr>
    </w:p>
    <w:p>
      <w:pPr>
        <w:ind w:left="2520" w:right="680"/>
        <w:spacing w:after="0" w:line="233" w:lineRule="auto"/>
        <w:rPr>
          <w:sz w:val="20"/>
          <w:szCs w:val="20"/>
          <w:color w:val="auto"/>
        </w:rPr>
      </w:pPr>
      <w:r>
        <w:rPr>
          <w:rFonts w:ascii="Arial" w:cs="Arial" w:eastAsia="Arial" w:hAnsi="Arial"/>
          <w:sz w:val="18"/>
          <w:szCs w:val="18"/>
          <w:color w:val="auto"/>
        </w:rPr>
        <w:t>Janet K. Cooper retired from Qwest Communications International Inc., Denver, Colorado (a U.S. telecommunications company that merged with and now does business as CenturyLink). She held the following positions:</w:t>
      </w:r>
    </w:p>
    <w:p>
      <w:pPr>
        <w:ind w:left="25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Senior Vice President and Treasurer, Qwest (September 2002 – June 2008)</w:t>
      </w:r>
    </w:p>
    <w:p>
      <w:pPr>
        <w:spacing w:after="0" w:line="1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Chief Financial Officer and Senior Vice President, McDATA Corporation (January 2001 – June 2002)</w:t>
      </w:r>
    </w:p>
    <w:p>
      <w:pPr>
        <w:spacing w:after="0" w:line="1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Senior Vice President, Finance, Qwest (July 2000 – January 2001)</w:t>
      </w:r>
    </w:p>
    <w:p>
      <w:pPr>
        <w:spacing w:after="0" w:line="19" w:lineRule="exact"/>
        <w:rPr>
          <w:sz w:val="20"/>
          <w:szCs w:val="20"/>
          <w:color w:val="auto"/>
        </w:rPr>
      </w:pPr>
    </w:p>
    <w:p>
      <w:pPr>
        <w:ind w:left="2680" w:right="480" w:hanging="16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Prior positions at U.S. West Inc. include Vice President, Finance and Controller, and Vice President and</w:t>
      </w:r>
      <w:r>
        <w:rPr>
          <w:rFonts w:ascii="Arial" w:cs="Arial" w:eastAsia="Arial" w:hAnsi="Arial"/>
          <w:sz w:val="16"/>
          <w:szCs w:val="16"/>
          <w:color w:val="auto"/>
        </w:rPr>
        <w:t xml:space="preserve"> </w:t>
      </w:r>
      <w:r>
        <w:rPr>
          <w:rFonts w:ascii="Arial" w:cs="Arial" w:eastAsia="Arial" w:hAnsi="Arial"/>
          <w:sz w:val="17"/>
          <w:szCs w:val="17"/>
          <w:color w:val="auto"/>
        </w:rPr>
        <w:t>Treasurer</w:t>
      </w:r>
    </w:p>
    <w:p>
      <w:pPr>
        <w:ind w:left="2520"/>
        <w:spacing w:after="0" w:line="233" w:lineRule="auto"/>
        <w:rPr>
          <w:sz w:val="20"/>
          <w:szCs w:val="20"/>
          <w:color w:val="auto"/>
        </w:rPr>
      </w:pPr>
      <w:r>
        <w:rPr>
          <w:rFonts w:ascii="Arial" w:cs="Arial" w:eastAsia="Arial" w:hAnsi="Arial"/>
          <w:sz w:val="18"/>
          <w:szCs w:val="18"/>
          <w:color w:val="auto"/>
        </w:rPr>
        <w:t>Ms. Cooper is a National Association of Corporate Directors (“NACD”) Board Leadership Fellow.</w:t>
      </w:r>
    </w:p>
    <w:p>
      <w:pPr>
        <w:ind w:left="100"/>
        <w:spacing w:after="0"/>
        <w:rPr>
          <w:sz w:val="20"/>
          <w:szCs w:val="20"/>
          <w:color w:val="auto"/>
        </w:rPr>
      </w:pPr>
      <w:r>
        <w:rPr>
          <w:rFonts w:ascii="Arial" w:cs="Arial" w:eastAsia="Arial" w:hAnsi="Arial"/>
          <w:sz w:val="18"/>
          <w:szCs w:val="18"/>
          <w:b w:val="1"/>
          <w:bCs w:val="1"/>
          <w:color w:val="FF0000"/>
        </w:rPr>
        <w:t>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14725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p>
      <w:pPr>
        <w:spacing w:after="0" w:line="115"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4725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41"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Director since 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4725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Independent</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14725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15"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Audit (Chair)</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1025525</wp:posOffset>
            </wp:positionV>
            <wp:extent cx="1080770" cy="128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80770" cy="128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Gary 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wp:posOffset>
            </wp:positionV>
            <wp:extent cx="14725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4725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14725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14" w:lineRule="exact"/>
        <w:rPr>
          <w:sz w:val="20"/>
          <w:szCs w:val="20"/>
          <w:color w:val="auto"/>
        </w:rPr>
      </w:pPr>
    </w:p>
    <w:p>
      <w:pPr>
        <w:ind w:left="80"/>
        <w:spacing w:after="0"/>
        <w:rPr>
          <w:sz w:val="20"/>
          <w:szCs w:val="20"/>
          <w:color w:val="auto"/>
        </w:rPr>
      </w:pPr>
      <w:r>
        <w:rPr>
          <w:rFonts w:ascii="Arial" w:cs="Arial" w:eastAsia="Arial" w:hAnsi="Arial"/>
          <w:sz w:val="17"/>
          <w:szCs w:val="17"/>
          <w:color w:val="auto"/>
        </w:rPr>
        <w:t>Lead Independent Director</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14725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36"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Finance (Chair)</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Audit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56013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01335" cy="8255"/>
                    </a:xfrm>
                    <a:prstGeom prst="rect">
                      <a:avLst/>
                    </a:prstGeom>
                    <a:noFill/>
                  </pic:spPr>
                </pic:pic>
              </a:graphicData>
            </a:graphic>
          </wp:anchor>
        </w:drawing>
      </w:r>
    </w:p>
    <w:p>
      <w:pPr>
        <w:spacing w:after="0" w:line="6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Ms. Cooper brings to our Board substantial financial and accounting knowledge and expertise. Ms. Cooper’s experience as a public company director and audit committee member, financial expertise and acumen in capital markets, audit, tax, accounting, treasury and risk-management, including related to information systems and cybersecurity, and her commitment to diversity, equity and inclusion assists our Board in providing oversight to Management on these matters. Ms. Cooper’s senior leadership experience also enables her to provide strategic input to our Board, in addition to her financial expertise, discipline and oversight.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78740</wp:posOffset>
            </wp:positionV>
            <wp:extent cx="56013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01335" cy="8255"/>
                    </a:xfrm>
                    <a:prstGeom prst="rect">
                      <a:avLst/>
                    </a:prstGeom>
                    <a:noFill/>
                  </pic:spPr>
                </pic:pic>
              </a:graphicData>
            </a:graphic>
          </wp:anchor>
        </w:drawing>
      </w:r>
    </w:p>
    <w:p>
      <w:pPr>
        <w:spacing w:after="0" w:line="148" w:lineRule="exact"/>
        <w:rPr>
          <w:sz w:val="20"/>
          <w:szCs w:val="20"/>
          <w:color w:val="auto"/>
        </w:rPr>
      </w:pPr>
    </w:p>
    <w:p>
      <w:pPr>
        <w:ind w:left="1820"/>
        <w:spacing w:after="0"/>
        <w:tabs>
          <w:tab w:leader="none" w:pos="600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0" w:lineRule="exact"/>
        <w:rPr>
          <w:sz w:val="20"/>
          <w:szCs w:val="20"/>
          <w:color w:val="auto"/>
        </w:rPr>
      </w:pPr>
    </w:p>
    <w:p>
      <w:pPr>
        <w:ind w:left="1160"/>
        <w:spacing w:after="0"/>
        <w:tabs>
          <w:tab w:leader="none" w:pos="5980" w:val="left"/>
        </w:tabs>
        <w:rPr>
          <w:sz w:val="20"/>
          <w:szCs w:val="20"/>
          <w:color w:val="auto"/>
        </w:rPr>
      </w:pPr>
      <w:r>
        <w:rPr>
          <w:rFonts w:ascii="Arial" w:cs="Arial" w:eastAsia="Arial" w:hAnsi="Arial"/>
          <w:sz w:val="18"/>
          <w:szCs w:val="18"/>
          <w:color w:val="auto"/>
        </w:rPr>
        <w:t>Lennox International Inc.</w:t>
      </w:r>
      <w:r>
        <w:rPr>
          <w:sz w:val="20"/>
          <w:szCs w:val="20"/>
          <w:color w:val="auto"/>
        </w:rPr>
        <w:tab/>
      </w:r>
      <w:r>
        <w:rPr>
          <w:rFonts w:ascii="Arial" w:cs="Arial" w:eastAsia="Arial" w:hAnsi="Arial"/>
          <w:sz w:val="17"/>
          <w:szCs w:val="17"/>
          <w:color w:val="auto"/>
        </w:rPr>
        <w:t>Resonant Inc.</w:t>
      </w:r>
    </w:p>
    <w:p>
      <w:pPr>
        <w:ind w:left="5600"/>
        <w:spacing w:after="0"/>
        <w:rPr>
          <w:sz w:val="20"/>
          <w:szCs w:val="20"/>
          <w:color w:val="auto"/>
        </w:rPr>
      </w:pPr>
      <w:r>
        <w:rPr>
          <w:rFonts w:ascii="Arial" w:cs="Arial" w:eastAsia="Arial" w:hAnsi="Arial"/>
          <w:sz w:val="18"/>
          <w:szCs w:val="18"/>
          <w:color w:val="auto"/>
        </w:rPr>
        <w:t>CPI Aerostructures,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10795</wp:posOffset>
            </wp:positionV>
            <wp:extent cx="55924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63" w:lineRule="exact"/>
        <w:rPr>
          <w:sz w:val="20"/>
          <w:szCs w:val="20"/>
          <w:color w:val="auto"/>
        </w:rPr>
      </w:pPr>
    </w:p>
    <w:p>
      <w:pPr>
        <w:ind w:right="660"/>
        <w:spacing w:after="0" w:line="233" w:lineRule="auto"/>
        <w:rPr>
          <w:sz w:val="20"/>
          <w:szCs w:val="20"/>
          <w:color w:val="auto"/>
        </w:rPr>
      </w:pPr>
      <w:r>
        <w:rPr>
          <w:rFonts w:ascii="Arial" w:cs="Arial" w:eastAsia="Arial" w:hAnsi="Arial"/>
          <w:sz w:val="18"/>
          <w:szCs w:val="18"/>
          <w:color w:val="auto"/>
        </w:rPr>
        <w:t>Gary L. Ellis retired from Medtronic plc, Dublin, Ireland (a global medical technology company). He held the following positions:</w:t>
      </w:r>
    </w:p>
    <w:p>
      <w:pPr>
        <w:ind w:left="160" w:right="220" w:hanging="16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Executive Vice President, Global Operations, Information Technology and Facilities &amp; Real Estate, Medtronic plc</w:t>
      </w:r>
      <w:r>
        <w:rPr>
          <w:rFonts w:ascii="Arial" w:cs="Arial" w:eastAsia="Arial" w:hAnsi="Arial"/>
          <w:sz w:val="16"/>
          <w:szCs w:val="16"/>
          <w:color w:val="auto"/>
        </w:rPr>
        <w:t xml:space="preserve"> </w:t>
      </w:r>
      <w:r>
        <w:rPr>
          <w:rFonts w:ascii="Arial" w:cs="Arial" w:eastAsia="Arial" w:hAnsi="Arial"/>
          <w:sz w:val="17"/>
          <w:szCs w:val="17"/>
          <w:color w:val="auto"/>
        </w:rPr>
        <w:t>(June 2016 – December 2016)</w:t>
      </w:r>
    </w:p>
    <w:p>
      <w:pPr>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Executive Vice President and Chief Financial Officer, Medtronic, Inc. (April 2014 – June 2016)</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Senior Vice President and Chief Financial Officer, Medtronic, Inc. (May 2005 – April 2014)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Vice President, Corporate Controller and Treasurer, Medtronic, Inc. (October 1999 – May 2005)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10795</wp:posOffset>
            </wp:positionV>
            <wp:extent cx="55924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63"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Mr. Ellis brings extensive financial leadership experience and expertise to the lead independent director role and generally to our Board which provides oversight regarding capital structure, financial condition and policies, long-range financial objectives, tax strategies, financing requirements and arrangements, capital budgets and expenditures, risk-management, insurance coverage, and strategic planning matters. As a former executive of a public company and an experienced public company director, Mr. Ellis contributes enhanced knowledge of public company requirements and issues. Additionally, Mr. Ellis contributes his experience managing worldwide financial operations and analyzing financial implications of merger and acquisition transactions, as well as aligning business strategies and financial decisions.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19050</wp:posOffset>
            </wp:positionV>
            <wp:extent cx="55924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55" w:lineRule="exact"/>
        <w:rPr>
          <w:sz w:val="20"/>
          <w:szCs w:val="20"/>
          <w:color w:val="auto"/>
        </w:rPr>
      </w:pPr>
    </w:p>
    <w:p>
      <w:pPr>
        <w:ind w:left="1780"/>
        <w:spacing w:after="0"/>
        <w:tabs>
          <w:tab w:leader="none" w:pos="596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0" w:lineRule="exact"/>
        <w:rPr>
          <w:sz w:val="20"/>
          <w:szCs w:val="20"/>
          <w:color w:val="auto"/>
        </w:rPr>
      </w:pPr>
    </w:p>
    <w:p>
      <w:pPr>
        <w:ind w:left="1200"/>
        <w:spacing w:after="0"/>
        <w:tabs>
          <w:tab w:leader="none" w:pos="6280" w:val="left"/>
        </w:tabs>
        <w:rPr>
          <w:sz w:val="20"/>
          <w:szCs w:val="20"/>
          <w:color w:val="auto"/>
        </w:rPr>
      </w:pPr>
      <w:r>
        <w:rPr>
          <w:rFonts w:ascii="Arial" w:cs="Arial" w:eastAsia="Arial" w:hAnsi="Arial"/>
          <w:sz w:val="18"/>
          <w:szCs w:val="18"/>
          <w:color w:val="auto"/>
        </w:rPr>
        <w:t>Hill-Rom Holdings, Inc.</w:t>
      </w:r>
      <w:r>
        <w:rPr>
          <w:sz w:val="20"/>
          <w:szCs w:val="20"/>
          <w:color w:val="auto"/>
        </w:rPr>
        <w:tab/>
      </w:r>
      <w:r>
        <w:rPr>
          <w:rFonts w:ascii="Arial" w:cs="Arial" w:eastAsia="Arial" w:hAnsi="Arial"/>
          <w:sz w:val="17"/>
          <w:szCs w:val="17"/>
          <w:color w:val="auto"/>
        </w:rPr>
        <w:t>None</w:t>
      </w:r>
    </w:p>
    <w:p>
      <w:pPr>
        <w:ind w:left="960"/>
        <w:spacing w:after="0"/>
        <w:rPr>
          <w:sz w:val="20"/>
          <w:szCs w:val="20"/>
          <w:color w:val="auto"/>
        </w:rPr>
      </w:pPr>
      <w:r>
        <w:rPr>
          <w:rFonts w:ascii="Arial" w:cs="Arial" w:eastAsia="Arial" w:hAnsi="Arial"/>
          <w:sz w:val="18"/>
          <w:szCs w:val="18"/>
          <w:color w:val="auto"/>
        </w:rPr>
        <w:t>Inspire Medical Systems, Inc.</w:t>
      </w:r>
    </w:p>
    <w:p>
      <w:pPr>
        <w:spacing w:after="0" w:line="22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-1595120</wp:posOffset>
            </wp:positionH>
            <wp:positionV relativeFrom="paragraph">
              <wp:posOffset>64770</wp:posOffset>
            </wp:positionV>
            <wp:extent cx="715010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2">
            <w:col w:w="2200" w:space="320"/>
            <w:col w:w="8720"/>
          </w:cols>
          <w:pgMar w:left="320" w:top="133"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FF0000"/>
        </w:rPr>
        <w:t>Michael G. Vale,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14725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14725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28"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14725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4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Independent</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14725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Audit</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Finance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10795</wp:posOffset>
            </wp:positionV>
            <wp:extent cx="55924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63"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Michael G. Vale, Ph.D., is the Executive Vice President, Safety &amp; Industrial Business Group of 3M Company, St. Paul, Minnesota (a global diversified technology company). He holds or has held the following positions, all at 3M:</w:t>
      </w:r>
    </w:p>
    <w:p>
      <w:pPr>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Executive Vice President, Safety &amp; Industrial Business Group (since May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Executive Vice President, Health Care Business Group (July 2016 – April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Executive Vice President, Consumer Business Group (August 2011 – July 2016)</w:t>
      </w:r>
    </w:p>
    <w:p>
      <w:pPr>
        <w:spacing w:after="0" w:line="19" w:lineRule="exact"/>
        <w:rPr>
          <w:sz w:val="20"/>
          <w:szCs w:val="20"/>
          <w:color w:val="auto"/>
        </w:rPr>
      </w:pPr>
    </w:p>
    <w:p>
      <w:pPr>
        <w:ind w:left="160" w:right="180" w:hanging="1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Prior positions include product development engineer; manufacturing director; managing director, 3M Spain;</w:t>
      </w:r>
      <w:r>
        <w:rPr>
          <w:rFonts w:ascii="Arial" w:cs="Arial" w:eastAsia="Arial" w:hAnsi="Arial"/>
          <w:sz w:val="16"/>
          <w:szCs w:val="16"/>
          <w:color w:val="auto"/>
        </w:rPr>
        <w:t xml:space="preserve"> </w:t>
      </w:r>
      <w:r>
        <w:rPr>
          <w:rFonts w:ascii="Arial" w:cs="Arial" w:eastAsia="Arial" w:hAnsi="Arial"/>
          <w:sz w:val="17"/>
          <w:szCs w:val="17"/>
          <w:color w:val="auto"/>
        </w:rPr>
        <w:t>and managing director, 3M Brazil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10795</wp:posOffset>
            </wp:positionV>
            <wp:extent cx="55924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63"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Dr. Vale brings to our Board extensive global business experience and expertise in research and development, technology and manufacturing. Dr. Vale also contributes substantial knowledge of consumer marketing, distribution channels, supply chain, mergers and acquisitions and managing customer relationships, all of which provide valuable management insight with respect to our strategic planning and assist our Board in providing oversight to our businesses. Born and raised in South Texas and of Mexican-American descent, Dr. Vale champions diversity and inclusion initiatives as the Executive Sponsor of 3M’s Latino Resource Network and as a member of our Board.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10795</wp:posOffset>
            </wp:positionV>
            <wp:extent cx="55924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41" w:lineRule="exact"/>
        <w:rPr>
          <w:sz w:val="20"/>
          <w:szCs w:val="20"/>
          <w:color w:val="auto"/>
        </w:rPr>
      </w:pPr>
    </w:p>
    <w:p>
      <w:pPr>
        <w:ind w:left="1800"/>
        <w:spacing w:after="0"/>
        <w:tabs>
          <w:tab w:leader="none" w:pos="598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6" w:lineRule="exact"/>
        <w:rPr>
          <w:sz w:val="20"/>
          <w:szCs w:val="20"/>
          <w:color w:val="auto"/>
        </w:rPr>
      </w:pPr>
    </w:p>
    <w:p>
      <w:pPr>
        <w:ind w:left="1900"/>
        <w:spacing w:after="0"/>
        <w:tabs>
          <w:tab w:leader="none" w:pos="628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1940" w:space="580"/>
            <w:col w:w="8740"/>
          </w:cols>
          <w:pgMar w:left="320" w:top="1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FF0000"/>
        </w:rPr>
        <w:t>Continuing Members of the Board – Current Term Ending at the 2022 Annual Meeting</w:t>
      </w:r>
    </w:p>
    <w:p>
      <w:pPr>
        <w:spacing w:after="0" w:line="22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FF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7133590" cy="128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3590" cy="1285240"/>
                    </a:xfrm>
                    <a:prstGeom prst="rect">
                      <a:avLst/>
                    </a:prstGeom>
                    <a:noFill/>
                  </pic:spPr>
                </pic:pic>
              </a:graphicData>
            </a:graphic>
          </wp:anchor>
        </w:drawing>
      </w:r>
    </w:p>
    <w:p>
      <w:pPr>
        <w:spacing w:after="0" w:line="63" w:lineRule="exact"/>
        <w:rPr>
          <w:sz w:val="20"/>
          <w:szCs w:val="20"/>
          <w:color w:val="auto"/>
        </w:rPr>
      </w:pPr>
    </w:p>
    <w:p>
      <w:pPr>
        <w:ind w:left="2520" w:right="100"/>
        <w:spacing w:after="0" w:line="233" w:lineRule="auto"/>
        <w:rPr>
          <w:sz w:val="20"/>
          <w:szCs w:val="20"/>
          <w:color w:val="auto"/>
        </w:rPr>
      </w:pPr>
      <w:r>
        <w:rPr>
          <w:rFonts w:ascii="Arial" w:cs="Arial" w:eastAsia="Arial" w:hAnsi="Arial"/>
          <w:sz w:val="18"/>
          <w:szCs w:val="18"/>
          <w:color w:val="auto"/>
        </w:rPr>
        <w:t>Jeffrey L. Harmening is the Chairman and Chief Executive Officer of General Mills, Inc., Minneapolis, Minnesota (a global manufacturer, marketer and supplier of food products). He holds or has held the following positions, all at General Mills:</w:t>
      </w:r>
    </w:p>
    <w:p>
      <w:pPr>
        <w:ind w:left="25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Chairman and Chief Executive Officer (since January 2018)</w:t>
      </w:r>
    </w:p>
    <w:p>
      <w:pPr>
        <w:spacing w:after="0" w:line="1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Chief Executive Officer (June 2017 – January 2018)</w:t>
      </w:r>
    </w:p>
    <w:p>
      <w:pPr>
        <w:spacing w:after="0" w:line="1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and Chief Operating Officer (July 2016 – May 2017)</w:t>
      </w:r>
    </w:p>
    <w:p>
      <w:pPr>
        <w:spacing w:after="0" w:line="1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Executive Vice President, Chief Operating Officer, U.S. Retail (May 2014 – June 2016)</w:t>
      </w:r>
    </w:p>
    <w:p>
      <w:pPr>
        <w:spacing w:after="0" w:line="1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Senior Vice President, Chief Executive Officer, Cereal Partners Worldwide (July 2012 – April 2014)</w:t>
      </w:r>
    </w:p>
    <w:p>
      <w:pPr>
        <w:sectPr>
          <w:pgSz w:w="11900" w:h="16838" w:orient="portrait"/>
          <w:cols w:equalWidth="0" w:num="1">
            <w:col w:w="11260"/>
          </w:cols>
          <w:pgMar w:left="320" w:top="140" w:right="319" w:bottom="1440" w:gutter="0" w:footer="0" w:header="0"/>
          <w:type w:val="continuous"/>
        </w:sectPr>
      </w:pPr>
    </w:p>
    <w:p>
      <w:pPr>
        <w:spacing w:after="0" w:line="27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FF0000"/>
        </w:rPr>
        <w:t>Jeffrey L. Harmening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14725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4725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14725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Independent</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14725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36"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Audit</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19050</wp:posOffset>
            </wp:positionV>
            <wp:extent cx="55924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77" w:lineRule="exact"/>
        <w:rPr>
          <w:sz w:val="20"/>
          <w:szCs w:val="20"/>
          <w:color w:val="auto"/>
        </w:rPr>
      </w:pPr>
    </w:p>
    <w:p>
      <w:pPr>
        <w:jc w:val="both"/>
        <w:ind w:right="100"/>
        <w:spacing w:after="0" w:line="246" w:lineRule="auto"/>
        <w:rPr>
          <w:sz w:val="20"/>
          <w:szCs w:val="20"/>
          <w:color w:val="auto"/>
        </w:rPr>
      </w:pPr>
      <w:r>
        <w:rPr>
          <w:rFonts w:ascii="Arial" w:cs="Arial" w:eastAsia="Arial" w:hAnsi="Arial"/>
          <w:sz w:val="17"/>
          <w:szCs w:val="17"/>
          <w:color w:val="auto"/>
        </w:rPr>
        <w:t>With over 20 years of service at General Mills in a variety of senior leadership roles across several business categories, including as its current Chairman and Chief Executive Officer, Mr. Harmening brings to our Board experience as a seasoned executive with strong business acumen and experience implementing the strategic direction for a publicly traded company with extensive distribution channels and supply chain operations.</w:t>
      </w:r>
    </w:p>
    <w:p>
      <w:pPr>
        <w:spacing w:after="0" w:line="3"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Furthermore, he brings experience in driving growth through customer-valued products and acquisitions and advancing diversity, equity and inclusion matters. In addition, he has significant experience managing operations around the world, including having lived in Europe for six years during his tenure at General Mills.</w:t>
      </w:r>
    </w:p>
    <w:p>
      <w:pPr>
        <w:spacing w:after="0" w:line="4" w:lineRule="exact"/>
        <w:rPr>
          <w:sz w:val="20"/>
          <w:szCs w:val="20"/>
          <w:color w:val="auto"/>
        </w:rPr>
      </w:pPr>
    </w:p>
    <w:p>
      <w:pPr>
        <w:sectPr>
          <w:pgSz w:w="11900" w:h="16838" w:orient="portrait"/>
          <w:cols w:equalWidth="0" w:num="2">
            <w:col w:w="1860" w:space="660"/>
            <w:col w:w="8740"/>
          </w:cols>
          <w:pgMar w:left="320" w:top="140" w:right="319" w:bottom="1440" w:gutter="0" w:footer="0" w:header="0"/>
          <w:type w:val="continuous"/>
        </w:sectPr>
      </w:pPr>
    </w:p>
    <w:p>
      <w:pPr>
        <w:ind w:left="2520"/>
        <w:spacing w:after="0"/>
        <w:rPr>
          <w:sz w:val="20"/>
          <w:szCs w:val="20"/>
          <w:color w:val="auto"/>
        </w:rPr>
      </w:pPr>
      <w:r>
        <w:rPr>
          <w:rFonts w:ascii="Arial" w:cs="Arial" w:eastAsia="Arial" w:hAnsi="Arial"/>
          <w:sz w:val="18"/>
          <w:szCs w:val="18"/>
          <w:b w:val="1"/>
          <w:bCs w:val="1"/>
          <w:color w:val="FF0000"/>
        </w:rPr>
        <w:t>Other Public Company Boards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18"/>
                <w:szCs w:val="18"/>
                <w:color w:val="auto"/>
              </w:rPr>
            </w:pPr>
          </w:p>
        </w:tc>
        <w:tc>
          <w:tcPr>
            <w:tcW w:w="3020" w:type="dxa"/>
            <w:vAlign w:val="bottom"/>
            <w:tcBorders>
              <w:top w:val="single" w:sz="8" w:color="C00000"/>
            </w:tcBorders>
          </w:tcPr>
          <w:p>
            <w:pPr>
              <w:jc w:val="center"/>
              <w:ind w:left="1271"/>
              <w:spacing w:after="0"/>
              <w:rPr>
                <w:sz w:val="20"/>
                <w:szCs w:val="20"/>
                <w:color w:val="auto"/>
              </w:rPr>
            </w:pPr>
            <w:r>
              <w:rPr>
                <w:rFonts w:ascii="Arial" w:cs="Arial" w:eastAsia="Arial" w:hAnsi="Arial"/>
                <w:sz w:val="18"/>
                <w:szCs w:val="18"/>
                <w:b w:val="1"/>
                <w:bCs w:val="1"/>
                <w:color w:val="auto"/>
              </w:rPr>
              <w:t>Current</w:t>
            </w:r>
          </w:p>
        </w:tc>
        <w:tc>
          <w:tcPr>
            <w:tcW w:w="5780" w:type="dxa"/>
            <w:vAlign w:val="bottom"/>
            <w:tcBorders>
              <w:top w:val="single" w:sz="8" w:color="C00000"/>
            </w:tcBorders>
          </w:tcPr>
          <w:p>
            <w:pPr>
              <w:jc w:val="center"/>
              <w:ind w:left="1271"/>
              <w:spacing w:after="0"/>
              <w:rPr>
                <w:sz w:val="20"/>
                <w:szCs w:val="20"/>
                <w:color w:val="auto"/>
              </w:rPr>
            </w:pPr>
            <w:r>
              <w:rPr>
                <w:rFonts w:ascii="Arial" w:cs="Arial" w:eastAsia="Arial" w:hAnsi="Arial"/>
                <w:sz w:val="18"/>
                <w:szCs w:val="18"/>
                <w:b w:val="1"/>
                <w:bCs w:val="1"/>
                <w:color w:val="auto"/>
                <w:w w:val="98"/>
              </w:rPr>
              <w:t>Past 5 Years</w:t>
            </w:r>
          </w:p>
        </w:tc>
        <w:tc>
          <w:tcPr>
            <w:tcW w:w="20" w:type="dxa"/>
            <w:vAlign w:val="bottom"/>
          </w:tcPr>
          <w:p>
            <w:pPr>
              <w:spacing w:after="0"/>
              <w:rPr>
                <w:sz w:val="18"/>
                <w:szCs w:val="18"/>
                <w:color w:val="auto"/>
              </w:rPr>
            </w:pPr>
          </w:p>
        </w:tc>
      </w:tr>
      <w:tr>
        <w:trPr>
          <w:trHeight w:val="214"/>
        </w:trPr>
        <w:tc>
          <w:tcPr>
            <w:tcW w:w="2440" w:type="dxa"/>
            <w:vAlign w:val="bottom"/>
          </w:tcPr>
          <w:p>
            <w:pPr>
              <w:spacing w:after="0"/>
              <w:rPr>
                <w:sz w:val="18"/>
                <w:szCs w:val="18"/>
                <w:color w:val="auto"/>
              </w:rPr>
            </w:pPr>
          </w:p>
        </w:tc>
        <w:tc>
          <w:tcPr>
            <w:tcW w:w="3020" w:type="dxa"/>
            <w:vAlign w:val="bottom"/>
          </w:tcPr>
          <w:p>
            <w:pPr>
              <w:jc w:val="center"/>
              <w:ind w:left="1271"/>
              <w:spacing w:after="0"/>
              <w:rPr>
                <w:sz w:val="20"/>
                <w:szCs w:val="20"/>
                <w:color w:val="auto"/>
              </w:rPr>
            </w:pPr>
            <w:r>
              <w:rPr>
                <w:rFonts w:ascii="Arial" w:cs="Arial" w:eastAsia="Arial" w:hAnsi="Arial"/>
                <w:sz w:val="18"/>
                <w:szCs w:val="18"/>
                <w:color w:val="auto"/>
                <w:w w:val="98"/>
              </w:rPr>
              <w:t>General Mills, Inc.</w:t>
            </w:r>
          </w:p>
        </w:tc>
        <w:tc>
          <w:tcPr>
            <w:tcW w:w="5780" w:type="dxa"/>
            <w:vAlign w:val="bottom"/>
          </w:tcPr>
          <w:p>
            <w:pPr>
              <w:jc w:val="center"/>
              <w:ind w:left="1271"/>
              <w:spacing w:after="0"/>
              <w:rPr>
                <w:sz w:val="20"/>
                <w:szCs w:val="20"/>
                <w:color w:val="auto"/>
              </w:rPr>
            </w:pPr>
            <w:r>
              <w:rPr>
                <w:rFonts w:ascii="Arial" w:cs="Arial" w:eastAsia="Arial" w:hAnsi="Arial"/>
                <w:sz w:val="18"/>
                <w:szCs w:val="18"/>
                <w:color w:val="auto"/>
                <w:w w:val="97"/>
              </w:rPr>
              <w:t>None</w:t>
            </w:r>
          </w:p>
        </w:tc>
        <w:tc>
          <w:tcPr>
            <w:tcW w:w="20" w:type="dxa"/>
            <w:vAlign w:val="bottom"/>
          </w:tcPr>
          <w:p>
            <w:pPr>
              <w:spacing w:after="0"/>
              <w:rPr>
                <w:sz w:val="18"/>
                <w:szCs w:val="18"/>
                <w:color w:val="auto"/>
              </w:rPr>
            </w:pPr>
          </w:p>
        </w:tc>
      </w:tr>
      <w:tr>
        <w:trPr>
          <w:trHeight w:val="858"/>
        </w:trPr>
        <w:tc>
          <w:tcPr>
            <w:tcW w:w="24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780" w:type="dxa"/>
            <w:vAlign w:val="bottom"/>
          </w:tcPr>
          <w:p>
            <w:pPr>
              <w:jc w:val="right"/>
              <w:ind w:right="5471"/>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r>
      <w:tr>
        <w:trPr>
          <w:trHeight w:val="102"/>
        </w:trPr>
        <w:tc>
          <w:tcPr>
            <w:tcW w:w="2440" w:type="dxa"/>
            <w:vAlign w:val="bottom"/>
            <w:tcBorders>
              <w:bottom w:val="single" w:sz="8" w:color="9A9A9A"/>
            </w:tcBorders>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57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1080770" cy="128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80770" cy="128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0000"/>
        </w:rPr>
        <w:t>Joyce A. 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47256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4725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4725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Independent</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14725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2" w:lineRule="exact"/>
        <w:rPr>
          <w:sz w:val="20"/>
          <w:szCs w:val="20"/>
          <w:color w:val="auto"/>
        </w:rPr>
      </w:pPr>
    </w:p>
    <w:p>
      <w:pPr>
        <w:ind w:left="240" w:right="520" w:hanging="16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Compensation &amp;</w:t>
      </w:r>
      <w:r>
        <w:rPr>
          <w:rFonts w:ascii="Arial" w:cs="Arial" w:eastAsia="Arial" w:hAnsi="Arial"/>
          <w:sz w:val="16"/>
          <w:szCs w:val="16"/>
          <w:color w:val="auto"/>
        </w:rPr>
        <w:t xml:space="preserve"> </w:t>
      </w:r>
      <w:r>
        <w:rPr>
          <w:rFonts w:ascii="Arial" w:cs="Arial" w:eastAsia="Arial" w:hAnsi="Arial"/>
          <w:sz w:val="17"/>
          <w:szCs w:val="17"/>
          <w:color w:val="auto"/>
        </w:rPr>
        <w:t>Human Resources</w:t>
      </w: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Nominating &amp;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753110</wp:posOffset>
            </wp:positionV>
            <wp:extent cx="1080770" cy="128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80770" cy="128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0000"/>
        </w:rPr>
        <w:t>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14725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10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14725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95"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Director since 2016</w:t>
      </w:r>
    </w:p>
    <w:p>
      <w:pPr>
        <w:spacing w:after="0" w:line="200" w:lineRule="exact"/>
        <w:rPr>
          <w:sz w:val="20"/>
          <w:szCs w:val="20"/>
          <w:color w:val="auto"/>
        </w:rPr>
      </w:pPr>
    </w:p>
    <w:p>
      <w:pPr>
        <w:spacing w:after="0" w:line="20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14725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55924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197" w:lineRule="exact"/>
        <w:rPr>
          <w:sz w:val="20"/>
          <w:szCs w:val="20"/>
          <w:color w:val="auto"/>
        </w:rPr>
      </w:pPr>
    </w:p>
    <w:p>
      <w:pPr>
        <w:ind w:left="80" w:right="220"/>
        <w:spacing w:after="0"/>
        <w:rPr>
          <w:sz w:val="20"/>
          <w:szCs w:val="20"/>
          <w:color w:val="auto"/>
        </w:rPr>
      </w:pPr>
      <w:r>
        <w:rPr>
          <w:rFonts w:ascii="Arial" w:cs="Arial" w:eastAsia="Arial" w:hAnsi="Arial"/>
          <w:sz w:val="18"/>
          <w:szCs w:val="18"/>
          <w:color w:val="auto"/>
        </w:rPr>
        <w:t>Joyce A. Mullen is the President, North America Businesses of Insight Enterprises, Inc., Tempe, Arizona (an information technology company), a role she has held since October 2020.</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Previously, she held the following positions at Dell Technologies (a digital technology solutions company):</w:t>
      </w: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Global Channel, OEM and IoT (November 2017-August 2020)</w:t>
      </w:r>
    </w:p>
    <w:p>
      <w:pPr>
        <w:spacing w:after="0" w:line="19" w:lineRule="exact"/>
        <w:rPr>
          <w:sz w:val="20"/>
          <w:szCs w:val="20"/>
          <w:color w:val="auto"/>
        </w:rPr>
      </w:pPr>
    </w:p>
    <w:p>
      <w:pPr>
        <w:ind w:left="240" w:right="380" w:hanging="16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Senior Vice President and General Manager, Global OEM and IoT Solutions (February 2015 – November</w:t>
      </w:r>
      <w:r>
        <w:rPr>
          <w:rFonts w:ascii="Arial" w:cs="Arial" w:eastAsia="Arial" w:hAnsi="Arial"/>
          <w:sz w:val="16"/>
          <w:szCs w:val="16"/>
          <w:color w:val="auto"/>
        </w:rPr>
        <w:t xml:space="preserve"> </w:t>
      </w:r>
      <w:r>
        <w:rPr>
          <w:rFonts w:ascii="Arial" w:cs="Arial" w:eastAsia="Arial" w:hAnsi="Arial"/>
          <w:sz w:val="17"/>
          <w:szCs w:val="17"/>
          <w:color w:val="auto"/>
        </w:rPr>
        <w:t>2017)</w:t>
      </w: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Vice President and General Manager, Global OEM Solutions (February 2012 – February 2015)</w:t>
      </w:r>
    </w:p>
    <w:p>
      <w:pPr>
        <w:spacing w:after="0" w:line="19" w:lineRule="exact"/>
        <w:rPr>
          <w:sz w:val="20"/>
          <w:szCs w:val="20"/>
          <w:color w:val="auto"/>
        </w:rPr>
      </w:pPr>
    </w:p>
    <w:p>
      <w:pPr>
        <w:ind w:left="240" w:right="440" w:hanging="16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Prior positions include vice president–level leadership for sales operations, global strategy and planning,</w:t>
      </w:r>
      <w:r>
        <w:rPr>
          <w:rFonts w:ascii="Arial" w:cs="Arial" w:eastAsia="Arial" w:hAnsi="Arial"/>
          <w:sz w:val="16"/>
          <w:szCs w:val="16"/>
          <w:color w:val="auto"/>
        </w:rPr>
        <w:t xml:space="preserve"> </w:t>
      </w:r>
      <w:r>
        <w:rPr>
          <w:rFonts w:ascii="Arial" w:cs="Arial" w:eastAsia="Arial" w:hAnsi="Arial"/>
          <w:sz w:val="17"/>
          <w:szCs w:val="17"/>
          <w:color w:val="auto"/>
        </w:rPr>
        <w:t>global alliances and services solutions</w:t>
      </w:r>
    </w:p>
    <w:p>
      <w:pPr>
        <w:ind w:left="80" w:right="600" w:hanging="3"/>
        <w:spacing w:after="0"/>
        <w:rPr>
          <w:sz w:val="20"/>
          <w:szCs w:val="20"/>
          <w:color w:val="auto"/>
        </w:rPr>
      </w:pPr>
      <w:r>
        <w:rPr>
          <w:rFonts w:ascii="Arial" w:cs="Arial" w:eastAsia="Arial" w:hAnsi="Arial"/>
          <w:sz w:val="18"/>
          <w:szCs w:val="18"/>
          <w:color w:val="auto"/>
        </w:rPr>
        <w:t>Ms. Mullen also spent 10 years in various leadership positions at Cummins Engine Company, including distribution, manufacturing and international business development.</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5924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130" w:lineRule="exact"/>
        <w:rPr>
          <w:sz w:val="20"/>
          <w:szCs w:val="20"/>
          <w:color w:val="auto"/>
        </w:rPr>
      </w:pPr>
    </w:p>
    <w:p>
      <w:pPr>
        <w:ind w:left="80" w:right="240"/>
        <w:spacing w:after="0" w:line="236" w:lineRule="auto"/>
        <w:rPr>
          <w:sz w:val="20"/>
          <w:szCs w:val="20"/>
          <w:color w:val="auto"/>
        </w:rPr>
      </w:pPr>
      <w:r>
        <w:rPr>
          <w:rFonts w:ascii="Arial" w:cs="Arial" w:eastAsia="Arial" w:hAnsi="Arial"/>
          <w:sz w:val="18"/>
          <w:szCs w:val="18"/>
          <w:color w:val="auto"/>
        </w:rPr>
        <w:t>Ms. Mullen brings to our Board significant executive leadership skills, technology and smart-connected products expertise, strategic and innovative thinking and strong international business experience. She also contributes substantial knowledge of worldwide manufacturing, distribution channels, and supply chain strategies, including improving efficiencies in manufacturing operations using Six Sigma, Kaizen, and Lean techniques.</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55924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41" w:lineRule="exact"/>
        <w:rPr>
          <w:sz w:val="20"/>
          <w:szCs w:val="20"/>
          <w:color w:val="auto"/>
        </w:rPr>
      </w:pPr>
    </w:p>
    <w:p>
      <w:pPr>
        <w:ind w:left="1860"/>
        <w:spacing w:after="0"/>
        <w:tabs>
          <w:tab w:leader="none" w:pos="604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6" w:lineRule="exact"/>
        <w:rPr>
          <w:sz w:val="20"/>
          <w:szCs w:val="20"/>
          <w:color w:val="auto"/>
        </w:rPr>
      </w:pPr>
    </w:p>
    <w:p>
      <w:pPr>
        <w:ind w:left="1980"/>
        <w:spacing w:after="0"/>
        <w:tabs>
          <w:tab w:leader="none" w:pos="636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55924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8"/>
          <w:szCs w:val="18"/>
          <w:color w:val="auto"/>
        </w:rPr>
        <w:t>Richard M. Olson is our Chairman of the Board, President and Chief Executive Officer. He holds or has held</w:t>
      </w:r>
    </w:p>
    <w:p>
      <w:pPr>
        <w:ind w:left="80"/>
        <w:spacing w:after="0" w:line="233" w:lineRule="auto"/>
        <w:rPr>
          <w:sz w:val="20"/>
          <w:szCs w:val="20"/>
          <w:color w:val="auto"/>
        </w:rPr>
      </w:pPr>
      <w:r>
        <w:rPr>
          <w:rFonts w:ascii="Arial" w:cs="Arial" w:eastAsia="Arial" w:hAnsi="Arial"/>
          <w:sz w:val="18"/>
          <w:szCs w:val="18"/>
          <w:color w:val="auto"/>
        </w:rPr>
        <w:t>the following positions, all at The Toro Company:</w:t>
      </w: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Chairman (since November 2017)</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Chief Executive Officer (since November 2016)</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(since September 2015)</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Chief Operating Officer (September 2015 – October 2016)</w:t>
      </w:r>
    </w:p>
    <w:p>
      <w:pPr>
        <w:spacing w:after="0" w:line="19" w:lineRule="exact"/>
        <w:rPr>
          <w:sz w:val="20"/>
          <w:szCs w:val="20"/>
          <w:color w:val="auto"/>
        </w:rPr>
      </w:pPr>
    </w:p>
    <w:p>
      <w:pPr>
        <w:ind w:left="240" w:right="260" w:hanging="16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Group Vice President, International Business, Micro Irrigation Business and Distributor Development (June</w:t>
      </w:r>
      <w:r>
        <w:rPr>
          <w:rFonts w:ascii="Arial" w:cs="Arial" w:eastAsia="Arial" w:hAnsi="Arial"/>
          <w:sz w:val="16"/>
          <w:szCs w:val="16"/>
          <w:color w:val="auto"/>
        </w:rPr>
        <w:t xml:space="preserve"> </w:t>
      </w:r>
      <w:r>
        <w:rPr>
          <w:rFonts w:ascii="Arial" w:cs="Arial" w:eastAsia="Arial" w:hAnsi="Arial"/>
          <w:sz w:val="17"/>
          <w:szCs w:val="17"/>
          <w:color w:val="auto"/>
        </w:rPr>
        <w:t>2014 – September 2015)</w:t>
      </w: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Vice President, International Business (March 2013 – June 2014)</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Vice President, Exmark (March 2012 – March 2013)</w:t>
      </w:r>
    </w:p>
    <w:p>
      <w:pPr>
        <w:spacing w:after="0" w:line="11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55924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63" w:lineRule="exact"/>
        <w:rPr>
          <w:sz w:val="20"/>
          <w:szCs w:val="20"/>
          <w:color w:val="auto"/>
        </w:rPr>
      </w:pPr>
    </w:p>
    <w:p>
      <w:pPr>
        <w:ind w:left="80"/>
        <w:spacing w:after="0" w:line="234" w:lineRule="auto"/>
        <w:rPr>
          <w:sz w:val="20"/>
          <w:szCs w:val="20"/>
          <w:color w:val="auto"/>
        </w:rPr>
      </w:pPr>
      <w:r>
        <w:rPr>
          <w:rFonts w:ascii="Arial" w:cs="Arial" w:eastAsia="Arial" w:hAnsi="Arial"/>
          <w:sz w:val="18"/>
          <w:szCs w:val="18"/>
          <w:color w:val="auto"/>
        </w:rPr>
        <w:t>In his more than 34 years with our Company, Mr. Olson has developed and brings to our Board rich knowledge of the Company, including, in particular, our global businesses and operations, manufacturing processes, supply chain, distribution and channel development, and product development strategies. In addition, the broad experience he has gained through his past leadership of our various businesses and manufacturing operations provides him with a unique perspective regarding our growth initiatives and strategic direction. He contributes a deep commitment to quality, technological advancements, innovation, sustainability, diversity, ethical values and business conduct, and focus on customer service. As a result of his dual role as Chairman and CEO, Mr. Olson provides unique insight into our Company’s future strategies, opportunities and challenges and serves as a unifying element between our Board and Management.</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0000"/>
        </w:rPr>
        <w:t>Other Public Company Boards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top w:val="single" w:sz="8" w:color="C00000"/>
            </w:tcBorders>
          </w:tcPr>
          <w:p>
            <w:pPr>
              <w:jc w:val="center"/>
              <w:ind w:left="1471"/>
              <w:spacing w:after="0"/>
              <w:rPr>
                <w:sz w:val="20"/>
                <w:szCs w:val="20"/>
                <w:color w:val="auto"/>
              </w:rPr>
            </w:pPr>
            <w:r>
              <w:rPr>
                <w:rFonts w:ascii="Arial" w:cs="Arial" w:eastAsia="Arial" w:hAnsi="Arial"/>
                <w:sz w:val="18"/>
                <w:szCs w:val="18"/>
                <w:b w:val="1"/>
                <w:bCs w:val="1"/>
                <w:color w:val="auto"/>
              </w:rPr>
              <w:t>Current</w:t>
            </w:r>
          </w:p>
        </w:tc>
        <w:tc>
          <w:tcPr>
            <w:tcW w:w="5980" w:type="dxa"/>
            <w:vAlign w:val="bottom"/>
            <w:tcBorders>
              <w:top w:val="single" w:sz="8" w:color="C00000"/>
            </w:tcBorders>
          </w:tcPr>
          <w:p>
            <w:pPr>
              <w:jc w:val="center"/>
              <w:ind w:left="1471"/>
              <w:spacing w:after="0"/>
              <w:rPr>
                <w:sz w:val="20"/>
                <w:szCs w:val="20"/>
                <w:color w:val="auto"/>
              </w:rPr>
            </w:pPr>
            <w:r>
              <w:rPr>
                <w:rFonts w:ascii="Arial" w:cs="Arial" w:eastAsia="Arial" w:hAnsi="Arial"/>
                <w:sz w:val="18"/>
                <w:szCs w:val="18"/>
                <w:b w:val="1"/>
                <w:bCs w:val="1"/>
                <w:color w:val="auto"/>
                <w:w w:val="98"/>
              </w:rPr>
              <w:t>Past 5 Years</w:t>
            </w:r>
          </w:p>
        </w:tc>
      </w:tr>
      <w:tr>
        <w:trPr>
          <w:trHeight w:val="214"/>
        </w:trPr>
        <w:tc>
          <w:tcPr>
            <w:tcW w:w="2820" w:type="dxa"/>
            <w:vAlign w:val="bottom"/>
          </w:tcPr>
          <w:p>
            <w:pPr>
              <w:jc w:val="center"/>
              <w:ind w:left="1471"/>
              <w:spacing w:after="0"/>
              <w:rPr>
                <w:sz w:val="20"/>
                <w:szCs w:val="20"/>
                <w:color w:val="auto"/>
              </w:rPr>
            </w:pPr>
            <w:r>
              <w:rPr>
                <w:rFonts w:ascii="Arial" w:cs="Arial" w:eastAsia="Arial" w:hAnsi="Arial"/>
                <w:sz w:val="18"/>
                <w:szCs w:val="18"/>
                <w:color w:val="auto"/>
                <w:w w:val="97"/>
              </w:rPr>
              <w:t>None</w:t>
            </w:r>
          </w:p>
        </w:tc>
        <w:tc>
          <w:tcPr>
            <w:tcW w:w="5980" w:type="dxa"/>
            <w:vAlign w:val="bottom"/>
          </w:tcPr>
          <w:p>
            <w:pPr>
              <w:jc w:val="center"/>
              <w:ind w:left="1471"/>
              <w:spacing w:after="0"/>
              <w:rPr>
                <w:sz w:val="20"/>
                <w:szCs w:val="20"/>
                <w:color w:val="auto"/>
              </w:rPr>
            </w:pPr>
            <w:r>
              <w:rPr>
                <w:rFonts w:ascii="Arial" w:cs="Arial" w:eastAsia="Arial" w:hAnsi="Arial"/>
                <w:sz w:val="18"/>
                <w:szCs w:val="18"/>
                <w:color w:val="auto"/>
                <w:w w:val="97"/>
              </w:rPr>
              <w:t>None</w:t>
            </w:r>
          </w:p>
        </w:tc>
      </w:tr>
      <w:tr>
        <w:trPr>
          <w:trHeight w:val="858"/>
        </w:trPr>
        <w:tc>
          <w:tcPr>
            <w:tcW w:w="2820" w:type="dxa"/>
            <w:vAlign w:val="bottom"/>
          </w:tcPr>
          <w:p>
            <w:pPr>
              <w:spacing w:after="0"/>
              <w:rPr>
                <w:sz w:val="24"/>
                <w:szCs w:val="24"/>
                <w:color w:val="auto"/>
              </w:rPr>
            </w:pPr>
          </w:p>
        </w:tc>
        <w:tc>
          <w:tcPr>
            <w:tcW w:w="5980" w:type="dxa"/>
            <w:vAlign w:val="bottom"/>
          </w:tcPr>
          <w:p>
            <w:pPr>
              <w:jc w:val="right"/>
              <w:ind w:right="5471"/>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-1544320</wp:posOffset>
            </wp:positionH>
            <wp:positionV relativeFrom="paragraph">
              <wp:posOffset>60325</wp:posOffset>
            </wp:positionV>
            <wp:extent cx="715010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2">
            <w:col w:w="2240" w:space="200"/>
            <w:col w:w="880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1080770" cy="128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80770" cy="128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0000"/>
        </w:rPr>
        <w:t>James C. O’Rourke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4725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4725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Director since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4725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Independent</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14725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15"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Compensation &amp;</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Human Resources (Chair)</w:t>
      </w:r>
    </w:p>
    <w:p>
      <w:pPr>
        <w:spacing w:after="0" w:line="6" w:lineRule="exact"/>
        <w:rPr>
          <w:sz w:val="20"/>
          <w:szCs w:val="20"/>
          <w:color w:val="auto"/>
        </w:rPr>
      </w:pPr>
    </w:p>
    <w:p>
      <w:pPr>
        <w:jc w:val="right"/>
        <w:ind w:right="110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Nominating &amp;</w:t>
      </w:r>
    </w:p>
    <w:p>
      <w:pPr>
        <w:spacing w:after="0" w:line="19"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55924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63" w:lineRule="exact"/>
        <w:rPr>
          <w:sz w:val="20"/>
          <w:szCs w:val="20"/>
          <w:color w:val="auto"/>
        </w:rPr>
      </w:pPr>
    </w:p>
    <w:p>
      <w:pPr>
        <w:ind w:left="80" w:right="220"/>
        <w:spacing w:after="0" w:line="236" w:lineRule="auto"/>
        <w:rPr>
          <w:sz w:val="20"/>
          <w:szCs w:val="20"/>
          <w:color w:val="auto"/>
        </w:rPr>
      </w:pPr>
      <w:r>
        <w:rPr>
          <w:rFonts w:ascii="Arial" w:cs="Arial" w:eastAsia="Arial" w:hAnsi="Arial"/>
          <w:sz w:val="18"/>
          <w:szCs w:val="18"/>
          <w:color w:val="auto"/>
        </w:rPr>
        <w:t xml:space="preserve">James C. O’Rourke is the President and Chief Executive Officer of The Mosaic Company, Tampa, Florida (a global producer and marketer of combined concentrated phosphate and potash crop nutrients for the global agriculture industry). He holds or has held the following positions, all at The Mosaic Company: </w:t>
      </w:r>
      <w:r>
        <w:rPr>
          <w:rFonts w:ascii="Arial" w:cs="Arial" w:eastAsia="Arial" w:hAnsi="Arial"/>
          <w:sz w:val="16"/>
          <w:szCs w:val="16"/>
          <w:color w:val="auto"/>
        </w:rPr>
        <w:t>•</w:t>
      </w:r>
      <w:r>
        <w:rPr>
          <w:rFonts w:ascii="Arial" w:cs="Arial" w:eastAsia="Arial" w:hAnsi="Arial"/>
          <w:sz w:val="17"/>
          <w:szCs w:val="17"/>
          <w:color w:val="auto"/>
        </w:rPr>
        <w:t>President and Chief Executive Officer (since August 2015)</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Executive Vice President—Operations and Chief Operating Officer (August 2012 – August 2015)</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Executive Vice President—Operations (January 2009 – August 2012)</w:t>
      </w:r>
    </w:p>
    <w:p>
      <w:pPr>
        <w:spacing w:after="0" w:line="5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155575</wp:posOffset>
            </wp:positionV>
            <wp:extent cx="55924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291" w:lineRule="exact"/>
        <w:rPr>
          <w:sz w:val="20"/>
          <w:szCs w:val="20"/>
          <w:color w:val="auto"/>
        </w:rPr>
      </w:pPr>
    </w:p>
    <w:p>
      <w:pPr>
        <w:ind w:left="80" w:right="140"/>
        <w:spacing w:after="0" w:line="236" w:lineRule="auto"/>
        <w:rPr>
          <w:sz w:val="20"/>
          <w:szCs w:val="20"/>
          <w:color w:val="auto"/>
        </w:rPr>
      </w:pPr>
      <w:r>
        <w:rPr>
          <w:rFonts w:ascii="Arial" w:cs="Arial" w:eastAsia="Arial" w:hAnsi="Arial"/>
          <w:sz w:val="18"/>
          <w:szCs w:val="18"/>
          <w:color w:val="auto"/>
        </w:rPr>
        <w:t>Mr. O’Rourke brings to our Board significant leadership skills, strategic and innovative thinking and strong international business expertise. He also contributes substantial knowledge of worldwide manufacturing, distribution and supply chain strategies and environmental, health and safety matters. In addition, as a public company director and executive, Mr. O’Rourke contributes a solid understanding of executive compensation and corporate governance matters.</w:t>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0000"/>
        </w:rPr>
        <w:t>Other Public Company Boards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80" w:type="dxa"/>
            <w:vAlign w:val="bottom"/>
            <w:tcBorders>
              <w:top w:val="single" w:sz="8" w:color="C00000"/>
            </w:tcBorders>
          </w:tcPr>
          <w:p>
            <w:pPr>
              <w:ind w:left="1900"/>
              <w:spacing w:after="0"/>
              <w:rPr>
                <w:sz w:val="20"/>
                <w:szCs w:val="20"/>
                <w:color w:val="auto"/>
              </w:rPr>
            </w:pPr>
            <w:r>
              <w:rPr>
                <w:rFonts w:ascii="Arial" w:cs="Arial" w:eastAsia="Arial" w:hAnsi="Arial"/>
                <w:sz w:val="18"/>
                <w:szCs w:val="18"/>
                <w:b w:val="1"/>
                <w:bCs w:val="1"/>
                <w:color w:val="auto"/>
              </w:rPr>
              <w:t>Current</w:t>
            </w:r>
          </w:p>
        </w:tc>
        <w:tc>
          <w:tcPr>
            <w:tcW w:w="4220" w:type="dxa"/>
            <w:vAlign w:val="bottom"/>
            <w:tcBorders>
              <w:top w:val="single" w:sz="8" w:color="C00000"/>
            </w:tcBorders>
          </w:tcPr>
          <w:p>
            <w:pPr>
              <w:ind w:left="1520"/>
              <w:spacing w:after="0"/>
              <w:rPr>
                <w:sz w:val="20"/>
                <w:szCs w:val="20"/>
                <w:color w:val="auto"/>
              </w:rPr>
            </w:pPr>
            <w:r>
              <w:rPr>
                <w:rFonts w:ascii="Arial" w:cs="Arial" w:eastAsia="Arial" w:hAnsi="Arial"/>
                <w:sz w:val="18"/>
                <w:szCs w:val="18"/>
                <w:b w:val="1"/>
                <w:bCs w:val="1"/>
                <w:color w:val="auto"/>
              </w:rPr>
              <w:t>Past 5 Years</w:t>
            </w:r>
          </w:p>
        </w:tc>
      </w:tr>
      <w:tr>
        <w:trPr>
          <w:trHeight w:val="214"/>
        </w:trPr>
        <w:tc>
          <w:tcPr>
            <w:tcW w:w="4580" w:type="dxa"/>
            <w:vAlign w:val="bottom"/>
          </w:tcPr>
          <w:p>
            <w:pPr>
              <w:ind w:left="1320"/>
              <w:spacing w:after="0"/>
              <w:rPr>
                <w:sz w:val="20"/>
                <w:szCs w:val="20"/>
                <w:color w:val="auto"/>
              </w:rPr>
            </w:pPr>
            <w:r>
              <w:rPr>
                <w:rFonts w:ascii="Arial" w:cs="Arial" w:eastAsia="Arial" w:hAnsi="Arial"/>
                <w:sz w:val="18"/>
                <w:szCs w:val="18"/>
                <w:color w:val="auto"/>
              </w:rPr>
              <w:t>The Mosaic Company</w:t>
            </w:r>
          </w:p>
        </w:tc>
        <w:tc>
          <w:tcPr>
            <w:tcW w:w="4220" w:type="dxa"/>
            <w:vAlign w:val="bottom"/>
          </w:tcPr>
          <w:p>
            <w:pPr>
              <w:ind w:left="1800"/>
              <w:spacing w:after="0"/>
              <w:rPr>
                <w:sz w:val="20"/>
                <w:szCs w:val="20"/>
                <w:color w:val="auto"/>
              </w:rPr>
            </w:pPr>
            <w:r>
              <w:rPr>
                <w:rFonts w:ascii="Arial" w:cs="Arial" w:eastAsia="Arial" w:hAnsi="Arial"/>
                <w:sz w:val="18"/>
                <w:szCs w:val="18"/>
                <w:color w:val="auto"/>
              </w:rPr>
              <w:t>None</w:t>
            </w:r>
          </w:p>
        </w:tc>
      </w:tr>
    </w:tbl>
    <w:p>
      <w:pPr>
        <w:spacing w:after="0" w:line="200" w:lineRule="exact"/>
        <w:rPr>
          <w:sz w:val="20"/>
          <w:szCs w:val="20"/>
          <w:color w:val="auto"/>
        </w:rPr>
      </w:pPr>
    </w:p>
    <w:p>
      <w:pPr>
        <w:sectPr>
          <w:pgSz w:w="11900" w:h="16838" w:orient="portrait"/>
          <w:cols w:equalWidth="0" w:num="2">
            <w:col w:w="2320" w:space="120"/>
            <w:col w:w="8800"/>
          </w:cols>
          <w:pgMar w:left="320" w:top="140" w:right="339" w:bottom="1440" w:gutter="0" w:footer="0" w:header="0"/>
        </w:sectPr>
      </w:pP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0000"/>
        </w:rPr>
        <w:t>Continuing Members of the Board – Current Term Ending at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290195</wp:posOffset>
            </wp:positionV>
            <wp:extent cx="1080770" cy="128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80770" cy="128524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0000"/>
        </w:rPr>
        <w:t>Jeffrey M. Ettinger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14725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4725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Director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4725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Independent</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14725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ind w:left="240" w:hanging="16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Nominating &amp;</w:t>
      </w:r>
      <w:r>
        <w:rPr>
          <w:rFonts w:ascii="Arial" w:cs="Arial" w:eastAsia="Arial" w:hAnsi="Arial"/>
          <w:sz w:val="16"/>
          <w:szCs w:val="16"/>
          <w:color w:val="auto"/>
        </w:rPr>
        <w:t xml:space="preserve"> </w:t>
      </w:r>
      <w:r>
        <w:rPr>
          <w:rFonts w:ascii="Arial" w:cs="Arial" w:eastAsia="Arial" w:hAnsi="Arial"/>
          <w:sz w:val="17"/>
          <w:szCs w:val="17"/>
          <w:color w:val="auto"/>
        </w:rPr>
        <w:t>Governance (Chair)</w:t>
      </w:r>
    </w:p>
    <w:p>
      <w:pPr>
        <w:ind w:left="240" w:right="100" w:hanging="1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Compensation &amp;</w:t>
      </w:r>
      <w:r>
        <w:rPr>
          <w:rFonts w:ascii="Arial" w:cs="Arial" w:eastAsia="Arial" w:hAnsi="Arial"/>
          <w:sz w:val="16"/>
          <w:szCs w:val="16"/>
          <w:color w:val="auto"/>
        </w:rPr>
        <w:t xml:space="preserve"> </w:t>
      </w:r>
      <w:r>
        <w:rPr>
          <w:rFonts w:ascii="Arial" w:cs="Arial" w:eastAsia="Arial" w:hAnsi="Arial"/>
          <w:sz w:val="17"/>
          <w:szCs w:val="17"/>
          <w:color w:val="auto"/>
        </w:rPr>
        <w:t>Human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10795</wp:posOffset>
            </wp:positionV>
            <wp:extent cx="55924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63" w:lineRule="exact"/>
        <w:rPr>
          <w:sz w:val="20"/>
          <w:szCs w:val="20"/>
          <w:color w:val="auto"/>
        </w:rPr>
      </w:pPr>
    </w:p>
    <w:p>
      <w:pPr>
        <w:jc w:val="both"/>
        <w:ind w:right="280"/>
        <w:spacing w:after="0" w:line="233" w:lineRule="auto"/>
        <w:rPr>
          <w:sz w:val="20"/>
          <w:szCs w:val="20"/>
          <w:color w:val="auto"/>
        </w:rPr>
      </w:pPr>
      <w:r>
        <w:rPr>
          <w:rFonts w:ascii="Arial" w:cs="Arial" w:eastAsia="Arial" w:hAnsi="Arial"/>
          <w:sz w:val="18"/>
          <w:szCs w:val="18"/>
          <w:color w:val="auto"/>
        </w:rPr>
        <w:t>Jeffrey M. Ettinger retired from Hormel Foods Corporation, Austin, Minnesota (a multinational manufacturer and marketer of consumer-branded food and meat products). He held the following positions, all at Hormel Foods:</w:t>
      </w:r>
    </w:p>
    <w:p>
      <w:pPr>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Chairman of the Board (October 2016 – November 2017)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Chairman of the Board and Chief Executive Officer (November 2006 – October 2016)</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(July 2004 – October 2015)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10795</wp:posOffset>
            </wp:positionV>
            <wp:extent cx="55924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63" w:lineRule="exact"/>
        <w:rPr>
          <w:sz w:val="20"/>
          <w:szCs w:val="20"/>
          <w:color w:val="auto"/>
        </w:rPr>
      </w:pPr>
    </w:p>
    <w:p>
      <w:pPr>
        <w:ind w:left="20" w:right="260"/>
        <w:spacing w:after="0" w:line="234" w:lineRule="auto"/>
        <w:rPr>
          <w:sz w:val="20"/>
          <w:szCs w:val="20"/>
          <w:color w:val="auto"/>
        </w:rPr>
      </w:pPr>
      <w:r>
        <w:rPr>
          <w:rFonts w:ascii="Arial" w:cs="Arial" w:eastAsia="Arial" w:hAnsi="Arial"/>
          <w:sz w:val="18"/>
          <w:szCs w:val="18"/>
          <w:color w:val="auto"/>
        </w:rPr>
        <w:t>Mr. Ettinger brings to our Board strong business acumen, significant executive leadership attributes and relevant experience of driving growth through innovation and strategic acquisitions. Mr. Ettinger provides relevant insight and guidance with respect to numerous issues important to our Company, including, in particular, our strategy of driving growth in our business through the development of innovative, customer-valued products, expansion of our global presence through targeted acquisitions, and sustainability. Additionally, as an experienced public company director and former executive, he contributes knowledge of public company requirements and issues, including those related to corporate governance and executive compensation matters.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19050</wp:posOffset>
            </wp:positionV>
            <wp:extent cx="55924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55" w:lineRule="exact"/>
        <w:rPr>
          <w:sz w:val="20"/>
          <w:szCs w:val="20"/>
          <w:color w:val="auto"/>
        </w:rPr>
      </w:pPr>
    </w:p>
    <w:p>
      <w:pPr>
        <w:ind w:left="1780"/>
        <w:spacing w:after="0"/>
        <w:tabs>
          <w:tab w:leader="none" w:pos="596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6" w:lineRule="exact"/>
        <w:rPr>
          <w:sz w:val="20"/>
          <w:szCs w:val="20"/>
          <w:color w:val="auto"/>
        </w:rPr>
      </w:pPr>
    </w:p>
    <w:p>
      <w:pPr>
        <w:ind w:left="1040"/>
        <w:spacing w:after="0"/>
        <w:tabs>
          <w:tab w:leader="none" w:pos="5440" w:val="left"/>
        </w:tabs>
        <w:rPr>
          <w:sz w:val="20"/>
          <w:szCs w:val="20"/>
          <w:color w:val="auto"/>
        </w:rPr>
      </w:pPr>
      <w:r>
        <w:rPr>
          <w:rFonts w:ascii="Arial" w:cs="Arial" w:eastAsia="Arial" w:hAnsi="Arial"/>
          <w:sz w:val="18"/>
          <w:szCs w:val="18"/>
          <w:color w:val="auto"/>
        </w:rPr>
        <w:t>Ecolab Inc. (Lead Director)</w:t>
      </w:r>
      <w:r>
        <w:rPr>
          <w:sz w:val="20"/>
          <w:szCs w:val="20"/>
          <w:color w:val="auto"/>
        </w:rPr>
        <w:tab/>
      </w:r>
      <w:r>
        <w:rPr>
          <w:rFonts w:ascii="Arial" w:cs="Arial" w:eastAsia="Arial" w:hAnsi="Arial"/>
          <w:sz w:val="17"/>
          <w:szCs w:val="17"/>
          <w:color w:val="auto"/>
        </w:rPr>
        <w:t>Hormel Foods Corporation</w:t>
      </w:r>
    </w:p>
    <w:p>
      <w:pPr>
        <w:spacing w:after="0" w:line="200" w:lineRule="exact"/>
        <w:rPr>
          <w:sz w:val="20"/>
          <w:szCs w:val="20"/>
          <w:color w:val="auto"/>
        </w:rPr>
      </w:pPr>
    </w:p>
    <w:p>
      <w:pPr>
        <w:sectPr>
          <w:pgSz w:w="11900" w:h="16838" w:orient="portrait"/>
          <w:cols w:equalWidth="0" w:num="2">
            <w:col w:w="1820" w:space="700"/>
            <w:col w:w="872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715010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1080770" cy="128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80770" cy="128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FF0000"/>
        </w:rPr>
        <w:t>Katherine J. Harless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14725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34"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4725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Director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4725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Independent</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14725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Audit</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727710</wp:posOffset>
            </wp:positionV>
            <wp:extent cx="1080770" cy="128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80770" cy="128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0000"/>
        </w:rPr>
        <w:t>D. Christian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4725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4725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4725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Independent</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14725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2" w:lineRule="exact"/>
        <w:rPr>
          <w:sz w:val="20"/>
          <w:szCs w:val="20"/>
          <w:color w:val="auto"/>
        </w:rPr>
      </w:pPr>
    </w:p>
    <w:p>
      <w:pPr>
        <w:ind w:left="240" w:right="80" w:hanging="16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Compensation &amp;</w:t>
      </w:r>
      <w:r>
        <w:rPr>
          <w:rFonts w:ascii="Arial" w:cs="Arial" w:eastAsia="Arial" w:hAnsi="Arial"/>
          <w:sz w:val="16"/>
          <w:szCs w:val="16"/>
          <w:color w:val="auto"/>
        </w:rPr>
        <w:t xml:space="preserve"> </w:t>
      </w:r>
      <w:r>
        <w:rPr>
          <w:rFonts w:ascii="Arial" w:cs="Arial" w:eastAsia="Arial" w:hAnsi="Arial"/>
          <w:sz w:val="17"/>
          <w:szCs w:val="17"/>
          <w:color w:val="auto"/>
        </w:rPr>
        <w:t>Human Resources</w:t>
      </w:r>
    </w:p>
    <w:p>
      <w:pPr>
        <w:jc w:val="right"/>
        <w:ind w:right="5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Nominating &amp;</w:t>
      </w:r>
    </w:p>
    <w:p>
      <w:pPr>
        <w:spacing w:after="0" w:line="19"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55924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63" w:lineRule="exact"/>
        <w:rPr>
          <w:sz w:val="20"/>
          <w:szCs w:val="20"/>
          <w:color w:val="auto"/>
        </w:rPr>
      </w:pPr>
    </w:p>
    <w:p>
      <w:pPr>
        <w:ind w:left="100" w:right="400"/>
        <w:spacing w:after="0" w:line="238" w:lineRule="auto"/>
        <w:rPr>
          <w:sz w:val="20"/>
          <w:szCs w:val="20"/>
          <w:color w:val="auto"/>
        </w:rPr>
      </w:pPr>
      <w:r>
        <w:rPr>
          <w:rFonts w:ascii="Arial" w:cs="Arial" w:eastAsia="Arial" w:hAnsi="Arial"/>
          <w:sz w:val="18"/>
          <w:szCs w:val="18"/>
          <w:color w:val="auto"/>
        </w:rPr>
        <w:t xml:space="preserve">Katherine J. Harless retired from Idearc Inc., Dallas/Fort Worth, Texas (a provider of sales, publishing and related services including Verizon Yellow Pages and SuperPages.com). She held the following positions: </w:t>
      </w:r>
      <w:r>
        <w:rPr>
          <w:rFonts w:ascii="Arial" w:cs="Arial" w:eastAsia="Arial" w:hAnsi="Arial"/>
          <w:sz w:val="16"/>
          <w:szCs w:val="16"/>
          <w:color w:val="auto"/>
        </w:rPr>
        <w:t>•</w:t>
      </w:r>
      <w:r>
        <w:rPr>
          <w:rFonts w:ascii="Arial" w:cs="Arial" w:eastAsia="Arial" w:hAnsi="Arial"/>
          <w:sz w:val="17"/>
          <w:szCs w:val="17"/>
          <w:color w:val="auto"/>
        </w:rPr>
        <w:t>Director, Idearc (November 2006 – May 2008)</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and Chief Executive Officer, Idearc (November 2006 – February 2008)</w:t>
      </w:r>
    </w:p>
    <w:p>
      <w:pPr>
        <w:spacing w:after="0" w:line="19" w:lineRule="exact"/>
        <w:rPr>
          <w:sz w:val="20"/>
          <w:szCs w:val="20"/>
          <w:color w:val="auto"/>
        </w:rPr>
      </w:pPr>
    </w:p>
    <w:p>
      <w:pPr>
        <w:ind w:left="260" w:right="380" w:hanging="16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Verizon Information Services Inc. (spun off by Verizon Communications, Inc. to become Idearc</w:t>
      </w:r>
      <w:r>
        <w:rPr>
          <w:rFonts w:ascii="Arial" w:cs="Arial" w:eastAsia="Arial" w:hAnsi="Arial"/>
          <w:sz w:val="16"/>
          <w:szCs w:val="16"/>
          <w:color w:val="auto"/>
        </w:rPr>
        <w:t xml:space="preserve"> </w:t>
      </w:r>
      <w:r>
        <w:rPr>
          <w:rFonts w:ascii="Arial" w:cs="Arial" w:eastAsia="Arial" w:hAnsi="Arial"/>
          <w:sz w:val="17"/>
          <w:szCs w:val="17"/>
          <w:color w:val="auto"/>
        </w:rPr>
        <w:t>Inc., June 2000 – November 2006)</w:t>
      </w:r>
    </w:p>
    <w:p>
      <w:pPr>
        <w:ind w:left="120" w:right="300"/>
        <w:spacing w:after="0"/>
        <w:rPr>
          <w:sz w:val="20"/>
          <w:szCs w:val="20"/>
          <w:color w:val="auto"/>
        </w:rPr>
      </w:pPr>
      <w:r>
        <w:rPr>
          <w:rFonts w:ascii="Arial" w:cs="Arial" w:eastAsia="Arial" w:hAnsi="Arial"/>
          <w:sz w:val="18"/>
          <w:szCs w:val="18"/>
          <w:color w:val="auto"/>
        </w:rPr>
        <w:t>Ms. Harless retired as a director of the North Texas Chapter of the NACD (in 2020) and is an NACD Board Leadership Fellow.</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wp:posOffset>
            </wp:positionV>
            <wp:extent cx="55924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77" w:lineRule="exact"/>
        <w:rPr>
          <w:sz w:val="20"/>
          <w:szCs w:val="20"/>
          <w:color w:val="auto"/>
        </w:rPr>
      </w:pPr>
    </w:p>
    <w:p>
      <w:pPr>
        <w:ind w:left="100" w:right="160"/>
        <w:spacing w:after="0" w:line="236" w:lineRule="auto"/>
        <w:rPr>
          <w:sz w:val="20"/>
          <w:szCs w:val="20"/>
          <w:color w:val="auto"/>
        </w:rPr>
      </w:pPr>
      <w:r>
        <w:rPr>
          <w:rFonts w:ascii="Arial" w:cs="Arial" w:eastAsia="Arial" w:hAnsi="Arial"/>
          <w:sz w:val="18"/>
          <w:szCs w:val="18"/>
          <w:color w:val="auto"/>
        </w:rPr>
        <w:t>Ms. Harless brings to our Board executive leadership experience, management skills and knowledge of financial, executive compensation, corporate governance and other issues applicable to public companies. She provides a seasoned business perspective and valuable business, leadership and management insights with respect to our strategic direction.</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wp:posOffset>
            </wp:positionV>
            <wp:extent cx="55924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55" w:lineRule="exact"/>
        <w:rPr>
          <w:sz w:val="20"/>
          <w:szCs w:val="20"/>
          <w:color w:val="auto"/>
        </w:rPr>
      </w:pPr>
    </w:p>
    <w:p>
      <w:pPr>
        <w:ind w:left="1880"/>
        <w:spacing w:after="0"/>
        <w:tabs>
          <w:tab w:leader="none" w:pos="606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6" w:lineRule="exact"/>
        <w:rPr>
          <w:sz w:val="20"/>
          <w:szCs w:val="20"/>
          <w:color w:val="auto"/>
        </w:rPr>
      </w:pPr>
    </w:p>
    <w:p>
      <w:pPr>
        <w:ind w:left="2000"/>
        <w:spacing w:after="0"/>
        <w:tabs>
          <w:tab w:leader="none" w:pos="638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6013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01335" cy="8255"/>
                    </a:xfrm>
                    <a:prstGeom prst="rect">
                      <a:avLst/>
                    </a:prstGeom>
                    <a:noFill/>
                  </pic:spPr>
                </pic:pic>
              </a:graphicData>
            </a:graphic>
          </wp:anchor>
        </w:drawing>
      </w:r>
    </w:p>
    <w:p>
      <w:pPr>
        <w:spacing w:after="0" w:line="63" w:lineRule="exact"/>
        <w:rPr>
          <w:sz w:val="20"/>
          <w:szCs w:val="20"/>
          <w:color w:val="auto"/>
        </w:rPr>
      </w:pPr>
    </w:p>
    <w:p>
      <w:pPr>
        <w:ind w:left="80" w:right="80"/>
        <w:spacing w:after="0" w:line="233" w:lineRule="auto"/>
        <w:rPr>
          <w:sz w:val="20"/>
          <w:szCs w:val="20"/>
          <w:color w:val="auto"/>
        </w:rPr>
      </w:pPr>
      <w:r>
        <w:rPr>
          <w:rFonts w:ascii="Arial" w:cs="Arial" w:eastAsia="Arial" w:hAnsi="Arial"/>
          <w:sz w:val="18"/>
          <w:szCs w:val="18"/>
          <w:color w:val="auto"/>
        </w:rPr>
        <w:t>D. Christian Koch is the Chairman, President and Chief Executive Officer of Carlisle Companies Incorporated, Scottsdale, Arizona (a diversified manufacturing company that produces and distributes a broad range of products). He holds or has held the following positions, all at Carlisle:</w:t>
      </w: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and Chief Executive Officer (since January 2016) and Chairman (since May 2020)</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and Chief Operating Officer (May 2014 – January 2016)</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Group President, Carlisle Diversified Products (June 2012 – May 2014)</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Carlisle Brake &amp; Friction (January 2009 – June 2012)</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Carlisle Asia-Pacific (February 2008 – January 2009)</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6013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01335" cy="8255"/>
                    </a:xfrm>
                    <a:prstGeom prst="rect">
                      <a:avLst/>
                    </a:prstGeom>
                    <a:noFill/>
                  </pic:spPr>
                </pic:pic>
              </a:graphicData>
            </a:graphic>
          </wp:anchor>
        </w:drawing>
      </w:r>
    </w:p>
    <w:p>
      <w:pPr>
        <w:spacing w:after="0" w:line="63" w:lineRule="exact"/>
        <w:rPr>
          <w:sz w:val="20"/>
          <w:szCs w:val="20"/>
          <w:color w:val="auto"/>
        </w:rPr>
      </w:pPr>
    </w:p>
    <w:p>
      <w:pPr>
        <w:ind w:left="80" w:right="120"/>
        <w:spacing w:after="0" w:line="236" w:lineRule="auto"/>
        <w:rPr>
          <w:sz w:val="20"/>
          <w:szCs w:val="20"/>
          <w:color w:val="auto"/>
        </w:rPr>
      </w:pPr>
      <w:r>
        <w:rPr>
          <w:rFonts w:ascii="Arial" w:cs="Arial" w:eastAsia="Arial" w:hAnsi="Arial"/>
          <w:sz w:val="18"/>
          <w:szCs w:val="18"/>
          <w:color w:val="auto"/>
        </w:rPr>
        <w:t>Mr. Koch brings to our Board his experience as a seasoned executive with strong business acumen and significant experience managing distribution, supply chain, manufacturing and sales operations around the world as well as with mergers and acquisitions. In addition, as a public company director and executive, Mr. Koch contributes a solid understanding of financial oversight, strategic planning, executive compensation and corporate governance.</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FF0000"/>
        </w:rPr>
        <w:t>Other Public Company Boards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Borders>
              <w:top w:val="single" w:sz="8" w:color="C00000"/>
            </w:tcBorders>
          </w:tcPr>
          <w:p>
            <w:pPr>
              <w:jc w:val="center"/>
              <w:ind w:right="171"/>
              <w:spacing w:after="0"/>
              <w:rPr>
                <w:sz w:val="20"/>
                <w:szCs w:val="20"/>
                <w:color w:val="auto"/>
              </w:rPr>
            </w:pPr>
            <w:r>
              <w:rPr>
                <w:rFonts w:ascii="Arial" w:cs="Arial" w:eastAsia="Arial" w:hAnsi="Arial"/>
                <w:sz w:val="18"/>
                <w:szCs w:val="18"/>
                <w:b w:val="1"/>
                <w:bCs w:val="1"/>
                <w:color w:val="auto"/>
              </w:rPr>
              <w:t>Current</w:t>
            </w:r>
          </w:p>
        </w:tc>
        <w:tc>
          <w:tcPr>
            <w:tcW w:w="4140" w:type="dxa"/>
            <w:vAlign w:val="bottom"/>
            <w:tcBorders>
              <w:top w:val="single" w:sz="8" w:color="C00000"/>
            </w:tcBorders>
          </w:tcPr>
          <w:p>
            <w:pPr>
              <w:jc w:val="center"/>
              <w:ind w:right="171"/>
              <w:spacing w:after="0"/>
              <w:rPr>
                <w:sz w:val="20"/>
                <w:szCs w:val="20"/>
                <w:color w:val="auto"/>
              </w:rPr>
            </w:pPr>
            <w:r>
              <w:rPr>
                <w:rFonts w:ascii="Arial" w:cs="Arial" w:eastAsia="Arial" w:hAnsi="Arial"/>
                <w:sz w:val="18"/>
                <w:szCs w:val="18"/>
                <w:b w:val="1"/>
                <w:bCs w:val="1"/>
                <w:color w:val="auto"/>
                <w:w w:val="97"/>
              </w:rPr>
              <w:t>Past 5 Years</w:t>
            </w:r>
          </w:p>
        </w:tc>
      </w:tr>
      <w:tr>
        <w:trPr>
          <w:trHeight w:val="214"/>
        </w:trPr>
        <w:tc>
          <w:tcPr>
            <w:tcW w:w="4680" w:type="dxa"/>
            <w:vAlign w:val="bottom"/>
          </w:tcPr>
          <w:p>
            <w:pPr>
              <w:jc w:val="center"/>
              <w:ind w:right="171"/>
              <w:spacing w:after="0"/>
              <w:rPr>
                <w:sz w:val="20"/>
                <w:szCs w:val="20"/>
                <w:color w:val="auto"/>
              </w:rPr>
            </w:pPr>
            <w:r>
              <w:rPr>
                <w:rFonts w:ascii="Arial" w:cs="Arial" w:eastAsia="Arial" w:hAnsi="Arial"/>
                <w:sz w:val="18"/>
                <w:szCs w:val="18"/>
                <w:color w:val="auto"/>
                <w:w w:val="99"/>
              </w:rPr>
              <w:t>Carlisle Companies Inc.</w:t>
            </w:r>
          </w:p>
        </w:tc>
        <w:tc>
          <w:tcPr>
            <w:tcW w:w="4140" w:type="dxa"/>
            <w:vAlign w:val="bottom"/>
          </w:tcPr>
          <w:p>
            <w:pPr>
              <w:jc w:val="center"/>
              <w:ind w:right="171"/>
              <w:spacing w:after="0"/>
              <w:rPr>
                <w:sz w:val="20"/>
                <w:szCs w:val="20"/>
                <w:color w:val="auto"/>
              </w:rPr>
            </w:pPr>
            <w:r>
              <w:rPr>
                <w:rFonts w:ascii="Arial" w:cs="Arial" w:eastAsia="Arial" w:hAnsi="Arial"/>
                <w:sz w:val="18"/>
                <w:szCs w:val="18"/>
                <w:color w:val="auto"/>
                <w:w w:val="99"/>
              </w:rPr>
              <w:t>Arctic Cat Inc.</w:t>
            </w:r>
          </w:p>
        </w:tc>
      </w:tr>
      <w:tr>
        <w:trPr>
          <w:trHeight w:val="871"/>
        </w:trPr>
        <w:tc>
          <w:tcPr>
            <w:tcW w:w="4680" w:type="dxa"/>
            <w:vAlign w:val="bottom"/>
          </w:tcPr>
          <w:p>
            <w:pPr>
              <w:jc w:val="right"/>
              <w:ind w:right="1291"/>
              <w:spacing w:after="0"/>
              <w:rPr>
                <w:sz w:val="20"/>
                <w:szCs w:val="20"/>
                <w:color w:val="auto"/>
              </w:rPr>
            </w:pPr>
            <w:r>
              <w:rPr>
                <w:rFonts w:ascii="Arial" w:cs="Arial" w:eastAsia="Arial" w:hAnsi="Arial"/>
                <w:sz w:val="18"/>
                <w:szCs w:val="18"/>
                <w:color w:val="auto"/>
              </w:rPr>
              <w:t>11</w:t>
            </w:r>
          </w:p>
        </w:tc>
        <w:tc>
          <w:tcPr>
            <w:tcW w:w="4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60325</wp:posOffset>
            </wp:positionV>
            <wp:extent cx="715010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2">
            <w:col w:w="1800" w:space="620"/>
            <w:col w:w="882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3590" cy="2044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3590" cy="20447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1"/>
          <w:szCs w:val="21"/>
          <w:b w:val="1"/>
          <w:bCs w:val="1"/>
          <w:color w:val="FFFFFF"/>
        </w:rPr>
        <w:t>CORPORATE GOVERNANCE</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Corporate Governance Guidelines</w:t>
      </w:r>
    </w:p>
    <w:p>
      <w:pPr>
        <w:spacing w:after="0" w:line="118" w:lineRule="exact"/>
        <w:rPr>
          <w:sz w:val="20"/>
          <w:szCs w:val="20"/>
          <w:color w:val="auto"/>
        </w:rPr>
      </w:pPr>
    </w:p>
    <w:p>
      <w:pPr>
        <w:ind w:right="80" w:firstLine="401"/>
        <w:spacing w:after="0" w:line="236" w:lineRule="auto"/>
        <w:rPr>
          <w:sz w:val="20"/>
          <w:szCs w:val="20"/>
          <w:color w:val="auto"/>
        </w:rPr>
      </w:pPr>
      <w:r>
        <w:rPr>
          <w:rFonts w:ascii="Arial" w:cs="Arial" w:eastAsia="Arial" w:hAnsi="Arial"/>
          <w:sz w:val="18"/>
          <w:szCs w:val="18"/>
          <w:color w:val="auto"/>
        </w:rPr>
        <w:t>The Board has adopted Corporate Governance Guidelines, which describe our corporate governance practices and policies and provide a framework for our Board governance. The topics addressed in our Corporate Governance Guidelines include: director qualifications and responsibilities; Board committees; director board limits; director access to officers and employees; director compensation; director independence; related party transactions; director orientation and continuing education; CEO evaluation and management succession; and Board annual self-evaluation. Our Corporate Governance Guidelines provide, among other things, that:</w:t>
      </w:r>
    </w:p>
    <w:p>
      <w:pPr>
        <w:spacing w:after="0" w:line="202" w:lineRule="exact"/>
        <w:rPr>
          <w:sz w:val="20"/>
          <w:szCs w:val="20"/>
          <w:color w:val="auto"/>
        </w:rPr>
      </w:pPr>
    </w:p>
    <w:p>
      <w:pPr>
        <w:ind w:left="780" w:right="280" w:hanging="384"/>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8"/>
          <w:szCs w:val="18"/>
          <w:color w:val="auto"/>
        </w:rPr>
        <w:t>The Board will have a majority of directors who meet the criteria for independence required by law, the SEC and the NYSE listing standards;</w:t>
      </w:r>
    </w:p>
    <w:p>
      <w:pPr>
        <w:spacing w:after="0" w:line="95" w:lineRule="exact"/>
        <w:rPr>
          <w:rFonts w:ascii="Arial" w:cs="Arial" w:eastAsia="Arial" w:hAnsi="Arial"/>
          <w:sz w:val="16"/>
          <w:szCs w:val="16"/>
          <w:color w:val="auto"/>
        </w:rPr>
      </w:pPr>
    </w:p>
    <w:p>
      <w:pPr>
        <w:jc w:val="both"/>
        <w:ind w:left="780" w:right="80" w:hanging="384"/>
        <w:spacing w:after="0" w:line="238"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8"/>
          <w:szCs w:val="18"/>
          <w:color w:val="auto"/>
        </w:rPr>
        <w:t>No director that is either a CEO or other executive officer of another public company shall sit on the board of directors of more than two publicly held companies and no other director shall sit on the board of more than four publicly held companies, each without the approval of the Nominating &amp; Governance Committee;</w:t>
      </w:r>
    </w:p>
    <w:p>
      <w:pPr>
        <w:spacing w:after="0" w:line="94" w:lineRule="exact"/>
        <w:rPr>
          <w:rFonts w:ascii="Arial" w:cs="Arial" w:eastAsia="Arial" w:hAnsi="Arial"/>
          <w:sz w:val="16"/>
          <w:szCs w:val="16"/>
          <w:color w:val="auto"/>
        </w:rPr>
      </w:pPr>
    </w:p>
    <w:p>
      <w:pPr>
        <w:ind w:left="780" w:right="180" w:hanging="384"/>
        <w:spacing w:after="0" w:line="269" w:lineRule="auto"/>
        <w:tabs>
          <w:tab w:leader="none" w:pos="780" w:val="left"/>
        </w:tabs>
        <w:numPr>
          <w:ilvl w:val="0"/>
          <w:numId w:val="13"/>
        </w:numPr>
        <w:rPr>
          <w:rFonts w:ascii="Arial" w:cs="Arial" w:eastAsia="Arial" w:hAnsi="Arial"/>
          <w:sz w:val="15"/>
          <w:szCs w:val="15"/>
          <w:color w:val="auto"/>
        </w:rPr>
      </w:pPr>
      <w:r>
        <w:rPr>
          <w:rFonts w:ascii="Arial" w:cs="Arial" w:eastAsia="Arial" w:hAnsi="Arial"/>
          <w:sz w:val="17"/>
          <w:szCs w:val="17"/>
          <w:color w:val="auto"/>
        </w:rPr>
        <w:t>No director who is an active, full-time employee of our Company shall serve as a director of more than one other publicly held company and there shall be no interlocking board memberships without the approval of the Nominating &amp; Governance Committee;</w:t>
      </w:r>
    </w:p>
    <w:p>
      <w:pPr>
        <w:spacing w:after="0" w:line="71" w:lineRule="exact"/>
        <w:rPr>
          <w:rFonts w:ascii="Arial" w:cs="Arial" w:eastAsia="Arial" w:hAnsi="Arial"/>
          <w:sz w:val="15"/>
          <w:szCs w:val="15"/>
          <w:color w:val="auto"/>
        </w:rPr>
      </w:pPr>
    </w:p>
    <w:p>
      <w:pPr>
        <w:ind w:left="780" w:right="180" w:hanging="384"/>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8"/>
          <w:szCs w:val="18"/>
          <w:color w:val="auto"/>
        </w:rPr>
        <w:t>While the Board does not believe it should establish age limits, any director who has attained the age of 70 should volunteer not to stand for re-election;</w:t>
      </w:r>
    </w:p>
    <w:p>
      <w:pPr>
        <w:spacing w:after="0" w:line="95" w:lineRule="exact"/>
        <w:rPr>
          <w:rFonts w:ascii="Arial" w:cs="Arial" w:eastAsia="Arial" w:hAnsi="Arial"/>
          <w:sz w:val="16"/>
          <w:szCs w:val="16"/>
          <w:color w:val="auto"/>
        </w:rPr>
      </w:pPr>
    </w:p>
    <w:p>
      <w:pPr>
        <w:ind w:left="780" w:right="40" w:hanging="384"/>
        <w:spacing w:after="0" w:line="238"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8"/>
          <w:szCs w:val="18"/>
          <w:color w:val="auto"/>
        </w:rPr>
        <w:t>The CEO will annually review with the Board top management succession plans, including development plans for succession candidates, and will periodically review with the Board an emergency leadership preparedness plan applicable in the event the CEO unexpectedly becomes incapacitated or otherwise is unable to serve; and</w:t>
      </w:r>
    </w:p>
    <w:p>
      <w:pPr>
        <w:spacing w:after="0" w:line="94" w:lineRule="exact"/>
        <w:rPr>
          <w:rFonts w:ascii="Arial" w:cs="Arial" w:eastAsia="Arial" w:hAnsi="Arial"/>
          <w:sz w:val="16"/>
          <w:szCs w:val="16"/>
          <w:color w:val="auto"/>
        </w:rPr>
      </w:pPr>
    </w:p>
    <w:p>
      <w:pPr>
        <w:ind w:left="780" w:hanging="384"/>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8"/>
          <w:szCs w:val="18"/>
          <w:color w:val="auto"/>
        </w:rPr>
        <w:t>The Board will conduct an annual self-evaluation to determine whether it and its committees are functioning effectively.</w:t>
      </w:r>
    </w:p>
    <w:p>
      <w:pPr>
        <w:spacing w:after="0" w:line="101" w:lineRule="exact"/>
        <w:rPr>
          <w:sz w:val="20"/>
          <w:szCs w:val="20"/>
          <w:color w:val="auto"/>
        </w:rPr>
      </w:pPr>
    </w:p>
    <w:p>
      <w:pPr>
        <w:ind w:right="300" w:firstLine="401"/>
        <w:spacing w:after="0" w:line="238" w:lineRule="auto"/>
        <w:rPr>
          <w:sz w:val="20"/>
          <w:szCs w:val="20"/>
          <w:color w:val="auto"/>
        </w:rPr>
      </w:pPr>
      <w:r>
        <w:rPr>
          <w:rFonts w:ascii="Arial" w:cs="Arial" w:eastAsia="Arial" w:hAnsi="Arial"/>
          <w:sz w:val="18"/>
          <w:szCs w:val="18"/>
          <w:color w:val="auto"/>
        </w:rPr>
        <w:t>From time to time the Board, upon recommendation of the Nominating &amp; Governance Committee, reviews and updates our Corporate Governance Guidelines as it deems necessary and appropriate. Our Corporate Governance Guidelines can be found on our website at www.thetorocompany.com/corporategovernance.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Board Leadership Structure</w:t>
      </w:r>
    </w:p>
    <w:p>
      <w:pPr>
        <w:spacing w:after="0" w:line="118" w:lineRule="exact"/>
        <w:rPr>
          <w:sz w:val="20"/>
          <w:szCs w:val="20"/>
          <w:color w:val="auto"/>
        </w:rPr>
      </w:pPr>
    </w:p>
    <w:p>
      <w:pPr>
        <w:ind w:right="220" w:firstLine="401"/>
        <w:spacing w:after="0" w:line="246" w:lineRule="auto"/>
        <w:rPr>
          <w:sz w:val="20"/>
          <w:szCs w:val="20"/>
          <w:color w:val="auto"/>
        </w:rPr>
      </w:pPr>
      <w:r>
        <w:rPr>
          <w:rFonts w:ascii="Arial" w:cs="Arial" w:eastAsia="Arial" w:hAnsi="Arial"/>
          <w:sz w:val="17"/>
          <w:szCs w:val="17"/>
          <w:color w:val="auto"/>
        </w:rPr>
        <w:t>Our Corporate Governance Guidelines provide that (i) our Board has no policy with respect to the separation of the offices of the Chairman and the CEO; (ii) our Board believes that this issue is part of the succession planning process and will be reviewed as the Nominating &amp; Governance Committee deems it appropriate; and (iii) (a) if the offices of Chairman and CEO are held by the same person, or</w:t>
      </w:r>
    </w:p>
    <w:p>
      <w:pPr>
        <w:spacing w:after="0" w:line="2" w:lineRule="exact"/>
        <w:rPr>
          <w:sz w:val="20"/>
          <w:szCs w:val="20"/>
          <w:color w:val="auto"/>
        </w:rPr>
      </w:pPr>
    </w:p>
    <w:p>
      <w:pPr>
        <w:ind w:right="20" w:firstLine="7"/>
        <w:spacing w:after="0" w:line="235" w:lineRule="auto"/>
        <w:tabs>
          <w:tab w:leader="none" w:pos="2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Chairman does not meet the criteria for “independence” as established by applicable law, the rules and regulations of the SEC or the NYSE listing standards, then the Board, upon recommendation of the Nominating &amp; Governance Committee, shall appoint a Lead Independent Director, who shall have such duties as are described in the Corporate Governance Guidelines or otherwise determined by the Board. The Board believes it is appropriate not to have a policy requiring the separation of the offices of the Chairman and the CEO so that the Board may make this determination based on what it believes is best under the current circumstances. However, the Board endorses the concept of an independent, non-employee director being in a position of leadership and, thus, our Corporate Governance Guidelines require a Lead Independent Director when the Chairman is not independent.</w:t>
      </w:r>
    </w:p>
    <w:p>
      <w:pPr>
        <w:spacing w:after="0" w:line="96" w:lineRule="exact"/>
        <w:rPr>
          <w:sz w:val="20"/>
          <w:szCs w:val="20"/>
          <w:color w:val="auto"/>
        </w:rPr>
      </w:pPr>
    </w:p>
    <w:p>
      <w:pPr>
        <w:ind w:right="40" w:firstLine="401"/>
        <w:spacing w:after="0" w:line="246" w:lineRule="auto"/>
        <w:rPr>
          <w:sz w:val="20"/>
          <w:szCs w:val="20"/>
          <w:color w:val="auto"/>
        </w:rPr>
      </w:pPr>
      <w:r>
        <w:rPr>
          <w:rFonts w:ascii="Arial" w:cs="Arial" w:eastAsia="Arial" w:hAnsi="Arial"/>
          <w:sz w:val="17"/>
          <w:szCs w:val="17"/>
          <w:color w:val="auto"/>
        </w:rPr>
        <w:t>Our Board is currently chaired by Richard M. Olson, our Chairman and CEO. Our Lead Independent Director, selected by the Board, is Gary L. Ellis. Our Nominating &amp; Governance Committee and Board believe that our current Board leadership structure ensures a strong and independent Board of Directors, provides effective governance, creates appropriate oversight for the long-term benefit of our shareholders and is appropriate for several reasons, including: (i) Mr. Olson’s extensive knowledge of our Company, our business, operations and industry, obtained through his more than 34 years of service to our Company, which benefit Board leadership and the Board’s decision-making process through his active role as Chairman; (ii) unification of Board leadership and strategic direction as implemented by our Management; and</w:t>
      </w:r>
    </w:p>
    <w:p>
      <w:pPr>
        <w:spacing w:after="0" w:line="4" w:lineRule="exact"/>
        <w:rPr>
          <w:sz w:val="20"/>
          <w:szCs w:val="20"/>
          <w:color w:val="auto"/>
        </w:rPr>
      </w:pPr>
    </w:p>
    <w:p>
      <w:pPr>
        <w:ind w:firstLine="7"/>
        <w:spacing w:after="0"/>
        <w:tabs>
          <w:tab w:leader="none" w:pos="2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appropriate balance of risks relating to concentration of authority through the oversight of our independent and engaged Lead Independent Director and Board.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00" w:lineRule="exact"/>
        <w:rPr>
          <w:sz w:val="20"/>
          <w:szCs w:val="20"/>
          <w:color w:val="auto"/>
        </w:rPr>
      </w:pPr>
    </w:p>
    <w:p>
      <w:pPr>
        <w:ind w:firstLine="401"/>
        <w:spacing w:after="0" w:line="235" w:lineRule="auto"/>
        <w:rPr>
          <w:sz w:val="20"/>
          <w:szCs w:val="20"/>
          <w:color w:val="auto"/>
        </w:rPr>
      </w:pPr>
      <w:r>
        <w:rPr>
          <w:rFonts w:ascii="Arial" w:cs="Arial" w:eastAsia="Arial" w:hAnsi="Arial"/>
          <w:sz w:val="18"/>
          <w:szCs w:val="18"/>
          <w:color w:val="auto"/>
        </w:rPr>
        <w:t>As our Lead Independent Director, Mr. Ellis (i) assists Mr. Olson in establishing the agendas for Board meetings and the schedule of agenda subjects to be discussed during the year, to the extent such subjects can be foreseen; (ii) presides at regularly scheduled executive sessions of the non-employee directors without Management present; (iii) together with the Chair of the Compensation &amp; Human Resources Committee, communicates to Mr. Olson the results of his annual performance review and compensation; and (iv) together with the Chair of the Nominating &amp; Governance Committee, leads the Board’s annual self-evaluation. With more than 14 years of continuous service on our Board, Mr. Ellis has developed considerable knowledge of our Company, our business and our industry. Mr. Ellis also has significant public company experience. In addition to serving as our Lead Independent Director, Mr. Ellis serves as the Chair of our Finance Committee.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Director Independence</w:t>
      </w:r>
    </w:p>
    <w:p>
      <w:pPr>
        <w:spacing w:after="0" w:line="118" w:lineRule="exact"/>
        <w:rPr>
          <w:sz w:val="20"/>
          <w:szCs w:val="20"/>
          <w:color w:val="auto"/>
        </w:rPr>
      </w:pPr>
    </w:p>
    <w:p>
      <w:pPr>
        <w:jc w:val="both"/>
        <w:ind w:right="200" w:firstLine="401"/>
        <w:spacing w:after="0" w:line="246" w:lineRule="auto"/>
        <w:rPr>
          <w:sz w:val="20"/>
          <w:szCs w:val="20"/>
          <w:color w:val="auto"/>
        </w:rPr>
      </w:pPr>
      <w:r>
        <w:rPr>
          <w:rFonts w:ascii="Arial" w:cs="Arial" w:eastAsia="Arial" w:hAnsi="Arial"/>
          <w:sz w:val="17"/>
          <w:szCs w:val="17"/>
          <w:color w:val="auto"/>
        </w:rPr>
        <w:t>The Board, following consideration of all relevant facts and circumstances and upon recommendation of the Nominating &amp; Governance Committee, has affirmatively determined that each director who served as a member of our Board during fiscal 2020 (Janet K. Cooper, Gary L. Ellis, Jeffrey M. Ettinger, Katherine J. Harless, Jeffrey L. Harmening, D. Christian Koch, Joyce A. Mullen, James C. O’Rourke, Gregg W.</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Steinhafel and Michael G. Vale) other than Richard M. Olson, our Chairman and CEO, is independent. These determinations were made because each such person has no material relationship with our Company, our Management, our independent registered public accounting firm, or external auditor, our independent external compensation consultant or our external compensation legal advisers, and otherwise meets the independence requirements as established by applicable law, the rules and regulations of the SEC and the NYSE listing standards. The Board based its independence determinations, in part, upon a review by the Nominating &amp; Governance Committee and the Board of certain transactions between us and the employers of certain of our directors, each of which was deemed to be pre-approved under our Corporate Governance Guidelines in that each such transaction was made in the ordinary course of business, at arm’s length, at prices and on terms customarily available to unrelated third party vendors or customers generally, in amounts that are not material to us or such unaffiliated corporation, and in which the director had no direct or indirect personal interest, nor received any personal benefit.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Director Attendance; Executive Sessions</w:t>
      </w:r>
    </w:p>
    <w:p>
      <w:pPr>
        <w:spacing w:after="0" w:line="118" w:lineRule="exact"/>
        <w:rPr>
          <w:sz w:val="20"/>
          <w:szCs w:val="20"/>
          <w:color w:val="auto"/>
        </w:rPr>
      </w:pPr>
    </w:p>
    <w:p>
      <w:pPr>
        <w:ind w:right="20" w:firstLine="401"/>
        <w:spacing w:after="0" w:line="236" w:lineRule="auto"/>
        <w:rPr>
          <w:sz w:val="20"/>
          <w:szCs w:val="20"/>
          <w:color w:val="auto"/>
        </w:rPr>
      </w:pPr>
      <w:r>
        <w:rPr>
          <w:rFonts w:ascii="Arial" w:cs="Arial" w:eastAsia="Arial" w:hAnsi="Arial"/>
          <w:sz w:val="18"/>
          <w:szCs w:val="18"/>
          <w:color w:val="auto"/>
        </w:rPr>
        <w:t>The Board held nine meetings during fiscal 2020. Each incumbent director attended at least 75% of the aggregate total number of meetings held by the Board and all committees on which he or she served. Our Corporate Governance Guidelines provide that the non-employee directors will meet in regularly scheduled executive sessions without Management. At each regular Board meeting held during fiscal 2020 our non-employee directors met in executive session without Management present and such meetings were presided over by our Lead Independent Director.</w:t>
      </w:r>
    </w:p>
    <w:p>
      <w:pPr>
        <w:spacing w:after="0" w:line="95" w:lineRule="exact"/>
        <w:rPr>
          <w:sz w:val="20"/>
          <w:szCs w:val="20"/>
          <w:color w:val="auto"/>
        </w:rPr>
      </w:pPr>
    </w:p>
    <w:p>
      <w:pPr>
        <w:ind w:right="300" w:firstLine="401"/>
        <w:spacing w:after="0" w:line="238" w:lineRule="auto"/>
        <w:rPr>
          <w:sz w:val="20"/>
          <w:szCs w:val="20"/>
          <w:color w:val="auto"/>
        </w:rPr>
      </w:pPr>
      <w:r>
        <w:rPr>
          <w:rFonts w:ascii="Arial" w:cs="Arial" w:eastAsia="Arial" w:hAnsi="Arial"/>
          <w:sz w:val="18"/>
          <w:szCs w:val="18"/>
          <w:color w:val="auto"/>
        </w:rPr>
        <w:t>We expect all of our directors and our director nominees to attend our annual meeting of shareholders and we customarily schedule a regular Board meeting on the same day as our annual meeting. Seven of the ten non-employee directors serving at the time of our 2020 Annual Meeting of Shareholders held on March 17, 2020 were in attendance.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Board Committees</w:t>
      </w:r>
    </w:p>
    <w:p>
      <w:pPr>
        <w:spacing w:after="0" w:line="118" w:lineRule="exact"/>
        <w:rPr>
          <w:sz w:val="20"/>
          <w:szCs w:val="20"/>
          <w:color w:val="auto"/>
        </w:rPr>
      </w:pPr>
    </w:p>
    <w:p>
      <w:pPr>
        <w:ind w:right="100" w:firstLine="401"/>
        <w:spacing w:after="0" w:line="234" w:lineRule="auto"/>
        <w:rPr>
          <w:sz w:val="20"/>
          <w:szCs w:val="20"/>
          <w:color w:val="auto"/>
        </w:rPr>
      </w:pPr>
      <w:r>
        <w:rPr>
          <w:rFonts w:ascii="Arial" w:cs="Arial" w:eastAsia="Arial" w:hAnsi="Arial"/>
          <w:sz w:val="18"/>
          <w:szCs w:val="18"/>
          <w:color w:val="auto"/>
        </w:rPr>
        <w:t>The Board has four committees, the Audit Committee, Compensation &amp; Human Resources Committee, Nominating &amp; Governance Committee, and Finance Committee. Each committee has a charter that is posted on our website at www.thetorocompany.com/corporategovernance. The charter of each committee describes the principal functions of the committee. As provided in their respective charters, each of the Compensation &amp; Human Resources Committee, Nominating &amp; Governance Committee, and Finance Committee may form and delegate authority to subcommittees when appropriate. Additionally, the Compensation &amp; Human Resources Committee may delegate to one or more executive officers of the Company the authority to approve equity compensation awards under established equity compensation plans of the Company to employees other than the executive officers of the Company. On an annual basis the Audit Committee, Nominating &amp; Governance Committee and Compensation &amp; Human Resources Committee review the adequacy of their charter and their performance. The Finance Committee periodically reviews its charter and performance, with such review historically conducted on an annual basis. The Chair of each Board committee provides a summary of the matters discussed in their committee meeting to the full Board.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00" w:lineRule="exact"/>
        <w:rPr>
          <w:sz w:val="20"/>
          <w:szCs w:val="20"/>
          <w:color w:val="auto"/>
        </w:rPr>
      </w:pPr>
    </w:p>
    <w:p>
      <w:pPr>
        <w:ind w:right="520" w:firstLine="401"/>
        <w:spacing w:after="0" w:line="238" w:lineRule="auto"/>
        <w:rPr>
          <w:sz w:val="20"/>
          <w:szCs w:val="20"/>
          <w:color w:val="auto"/>
        </w:rPr>
      </w:pPr>
      <w:r>
        <w:rPr>
          <w:rFonts w:ascii="Arial" w:cs="Arial" w:eastAsia="Arial" w:hAnsi="Arial"/>
          <w:sz w:val="18"/>
          <w:szCs w:val="18"/>
          <w:color w:val="auto"/>
        </w:rPr>
        <w:t>The Board has determined that each of the members of the Audit Committee, Compensation &amp; Human Resources Committee and Nominating &amp; Governance Committee meets the independence and other requirements established by applicable law, the rules and regulations of the SEC, the NYSE listing standards and the Internal Revenue Code of 1986, as amended, or Code, as applicable.</w:t>
      </w:r>
    </w:p>
    <w:p>
      <w:pPr>
        <w:spacing w:after="0" w:line="95" w:lineRule="exact"/>
        <w:rPr>
          <w:sz w:val="20"/>
          <w:szCs w:val="20"/>
          <w:color w:val="auto"/>
        </w:rPr>
      </w:pPr>
    </w:p>
    <w:p>
      <w:pPr>
        <w:ind w:firstLine="401"/>
        <w:spacing w:after="0" w:line="236" w:lineRule="auto"/>
        <w:rPr>
          <w:sz w:val="20"/>
          <w:szCs w:val="20"/>
          <w:color w:val="auto"/>
        </w:rPr>
      </w:pPr>
      <w:r>
        <w:rPr>
          <w:rFonts w:ascii="Arial" w:cs="Arial" w:eastAsia="Arial" w:hAnsi="Arial"/>
          <w:sz w:val="18"/>
          <w:szCs w:val="18"/>
          <w:color w:val="auto"/>
        </w:rPr>
        <w:t>The current membership of each committee, the number of times each committee met, including by executive session, during fiscal 2020 and key functions of each committee are noted in the following table. Mr. Olson is not a member of any Board committee. In fiscal 2020 Mr. Olson attended, and currently may attend, various committee meetings, or portions of such meetings as appropriate, as a member of Management at the invitation of such Board committees.</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FFFFFF"/>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-865505</wp:posOffset>
            </wp:positionV>
            <wp:extent cx="1174750" cy="17792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74750" cy="177927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7"/>
          <w:szCs w:val="17"/>
          <w:b w:val="1"/>
          <w:bCs w:val="1"/>
          <w:color w:val="FFFFFF"/>
        </w:rPr>
        <w:t>Committee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FF0000"/>
        </w:rPr>
        <w:t>Key Committee Functions</w:t>
      </w:r>
    </w:p>
    <w:p>
      <w:pPr>
        <w:spacing w:after="0" w:line="50" w:lineRule="exact"/>
        <w:rPr>
          <w:sz w:val="20"/>
          <w:szCs w:val="20"/>
          <w:color w:val="auto"/>
        </w:rPr>
      </w:pPr>
    </w:p>
    <w:p>
      <w:pPr>
        <w:ind w:left="140" w:hanging="131"/>
        <w:spacing w:after="0" w:line="233" w:lineRule="auto"/>
        <w:tabs>
          <w:tab w:leader="none" w:pos="117"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Oversees the accounting and financial reporting processes, audits of consolidated financial statements and internal controls over financial reporting</w:t>
      </w:r>
    </w:p>
    <w:p>
      <w:pPr>
        <w:spacing w:after="0" w:line="9" w:lineRule="exact"/>
        <w:rPr>
          <w:rFonts w:ascii="Arial" w:cs="Arial" w:eastAsia="Arial" w:hAnsi="Arial"/>
          <w:sz w:val="16"/>
          <w:szCs w:val="16"/>
          <w:color w:val="auto"/>
        </w:rPr>
      </w:pPr>
    </w:p>
    <w:p>
      <w:pPr>
        <w:ind w:left="140" w:right="460" w:hanging="131"/>
        <w:spacing w:after="0" w:line="239" w:lineRule="auto"/>
        <w:tabs>
          <w:tab w:leader="none" w:pos="117"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Selects, compensates and evaluates independent external auditor</w:t>
      </w:r>
    </w:p>
    <w:p>
      <w:pPr>
        <w:spacing w:after="0" w:line="8" w:lineRule="exact"/>
        <w:rPr>
          <w:rFonts w:ascii="Arial" w:cs="Arial" w:eastAsia="Arial" w:hAnsi="Arial"/>
          <w:sz w:val="16"/>
          <w:szCs w:val="16"/>
          <w:color w:val="auto"/>
        </w:rPr>
      </w:pPr>
    </w:p>
    <w:p>
      <w:pPr>
        <w:ind w:left="140" w:right="240" w:hanging="131"/>
        <w:spacing w:after="0" w:line="233" w:lineRule="auto"/>
        <w:tabs>
          <w:tab w:leader="none" w:pos="117"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Reviews with Management and external auditor Annual Reports on Form 10-K, Quarterly Reports on Form 10-Q and earnings releases</w:t>
      </w:r>
    </w:p>
    <w:p>
      <w:pPr>
        <w:spacing w:after="0" w:line="22" w:lineRule="exact"/>
        <w:rPr>
          <w:rFonts w:ascii="Arial" w:cs="Arial" w:eastAsia="Arial" w:hAnsi="Arial"/>
          <w:sz w:val="16"/>
          <w:szCs w:val="16"/>
          <w:color w:val="auto"/>
        </w:rPr>
      </w:pPr>
    </w:p>
    <w:p>
      <w:pPr>
        <w:ind w:left="140" w:right="160" w:hanging="131"/>
        <w:spacing w:after="0" w:line="233" w:lineRule="auto"/>
        <w:tabs>
          <w:tab w:leader="none" w:pos="117"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Reviews general policies and procedures with respect to accounting and financial matters, internal controls and disclosure controls and procedures</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131" w:hanging="131"/>
        <w:spacing w:after="0" w:line="235" w:lineRule="auto"/>
        <w:tabs>
          <w:tab w:leader="none" w:pos="108"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Reviews internal audit’s annual audit plans, performance, audit recommendations and applicable responses from Management</w:t>
      </w:r>
    </w:p>
    <w:p>
      <w:pPr>
        <w:spacing w:after="0" w:line="9" w:lineRule="exact"/>
        <w:rPr>
          <w:rFonts w:ascii="Arial" w:cs="Arial" w:eastAsia="Arial" w:hAnsi="Arial"/>
          <w:sz w:val="16"/>
          <w:szCs w:val="16"/>
          <w:color w:val="auto"/>
        </w:rPr>
      </w:pPr>
    </w:p>
    <w:p>
      <w:pPr>
        <w:ind w:left="131" w:hanging="131"/>
        <w:spacing w:after="0" w:line="230" w:lineRule="auto"/>
        <w:tabs>
          <w:tab w:leader="none" w:pos="108"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Reviews Code of Conduct and Code of Ethics for CEO and Senior Financial Personnel, and policies and procedures for the receipt, retention and treatment of complaints from employees on accounting, internal accounting controls or auditing matters</w:t>
      </w:r>
    </w:p>
    <w:p>
      <w:pPr>
        <w:spacing w:after="0" w:line="12" w:lineRule="exact"/>
        <w:rPr>
          <w:rFonts w:ascii="Arial" w:cs="Arial" w:eastAsia="Arial" w:hAnsi="Arial"/>
          <w:sz w:val="16"/>
          <w:szCs w:val="16"/>
          <w:color w:val="auto"/>
        </w:rPr>
      </w:pPr>
    </w:p>
    <w:p>
      <w:pPr>
        <w:ind w:left="131" w:right="120" w:hanging="131"/>
        <w:spacing w:after="0" w:line="239" w:lineRule="auto"/>
        <w:tabs>
          <w:tab w:leader="none" w:pos="108"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Provides oversight for the Enterprise Risk Management, or ERM, process</w:t>
      </w:r>
    </w:p>
    <w:p>
      <w:pPr>
        <w:spacing w:after="0" w:line="22" w:lineRule="exact"/>
        <w:rPr>
          <w:rFonts w:ascii="Arial" w:cs="Arial" w:eastAsia="Arial" w:hAnsi="Arial"/>
          <w:sz w:val="16"/>
          <w:szCs w:val="16"/>
          <w:color w:val="auto"/>
        </w:rPr>
      </w:pPr>
    </w:p>
    <w:p>
      <w:pPr>
        <w:ind w:left="131" w:right="40" w:hanging="131"/>
        <w:spacing w:after="0" w:line="239" w:lineRule="auto"/>
        <w:tabs>
          <w:tab w:leader="none" w:pos="108"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Reviews Information Services strategy and security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12700</wp:posOffset>
            </wp:positionV>
            <wp:extent cx="59588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58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0000"/>
        </w:rPr>
        <w:t>Committee Members</w:t>
      </w:r>
      <w:r>
        <w:rPr>
          <w:rFonts w:ascii="Arial" w:cs="Arial" w:eastAsia="Arial" w:hAnsi="Arial"/>
          <w:sz w:val="27"/>
          <w:szCs w:val="27"/>
          <w:b w:val="1"/>
          <w:bCs w:val="1"/>
          <w:color w:val="FF0000"/>
          <w:vertAlign w:val="superscript"/>
        </w:rPr>
        <w:t>(1)</w:t>
      </w:r>
    </w:p>
    <w:p>
      <w:pPr>
        <w:spacing w:after="0"/>
        <w:rPr>
          <w:sz w:val="20"/>
          <w:szCs w:val="20"/>
          <w:color w:val="auto"/>
        </w:rPr>
      </w:pPr>
      <w:r>
        <w:rPr>
          <w:rFonts w:ascii="Arial" w:cs="Arial" w:eastAsia="Arial" w:hAnsi="Arial"/>
          <w:sz w:val="16"/>
          <w:szCs w:val="16"/>
          <w:color w:val="auto"/>
        </w:rPr>
        <w:t>Ms. Cooper (Chair)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Mr. Ellis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Ms. Harless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Mr. Harmening</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Dr. Vale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FF0000"/>
        </w:rPr>
        <w:t>During Fiscal 2020</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11</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Number of Executive Sessions:</w:t>
      </w:r>
    </w:p>
    <w:p>
      <w:pPr>
        <w:spacing w:after="0" w:line="4" w:lineRule="exact"/>
        <w:rPr>
          <w:sz w:val="20"/>
          <w:szCs w:val="20"/>
          <w:color w:val="auto"/>
        </w:rPr>
      </w:pPr>
    </w:p>
    <w:p>
      <w:pPr>
        <w:ind w:right="700"/>
        <w:spacing w:after="0" w:line="248" w:lineRule="auto"/>
        <w:rPr>
          <w:sz w:val="20"/>
          <w:szCs w:val="20"/>
          <w:color w:val="auto"/>
        </w:rPr>
      </w:pPr>
      <w:r>
        <w:rPr>
          <w:rFonts w:ascii="Arial" w:cs="Arial" w:eastAsia="Arial" w:hAnsi="Arial"/>
          <w:sz w:val="16"/>
          <w:szCs w:val="16"/>
          <w:color w:val="auto"/>
        </w:rPr>
        <w:t>with Committee – 6 with Management – 7 with internal auditor – 5 with external auditor – 5</w:t>
      </w:r>
    </w:p>
    <w:p>
      <w:pPr>
        <w:spacing w:after="0" w:line="60" w:lineRule="exact"/>
        <w:rPr>
          <w:sz w:val="20"/>
          <w:szCs w:val="20"/>
          <w:color w:val="auto"/>
        </w:rPr>
      </w:pPr>
    </w:p>
    <w:p>
      <w:pPr>
        <w:sectPr>
          <w:pgSz w:w="11900" w:h="16838" w:orient="portrait"/>
          <w:cols w:equalWidth="0" w:num="4">
            <w:col w:w="1400" w:space="500"/>
            <w:col w:w="3200" w:space="229"/>
            <w:col w:w="3191" w:space="280"/>
            <w:col w:w="2400"/>
          </w:cols>
          <w:pgMar w:left="320" w:top="140" w:right="379" w:bottom="1440" w:gutter="0" w:footer="0" w:header="0"/>
          <w:type w:val="continuous"/>
        </w:sectPr>
      </w:pPr>
    </w:p>
    <w:p>
      <w:pPr>
        <w:ind w:left="320" w:right="220" w:hanging="321"/>
        <w:spacing w:after="0" w:line="245" w:lineRule="auto"/>
        <w:rPr>
          <w:sz w:val="20"/>
          <w:szCs w:val="20"/>
          <w:color w:val="auto"/>
        </w:rPr>
      </w:pPr>
      <w:r>
        <w:rPr>
          <w:rFonts w:ascii="Arial" w:cs="Arial" w:eastAsia="Arial" w:hAnsi="Arial"/>
          <w:sz w:val="14"/>
          <w:szCs w:val="14"/>
          <w:color w:val="auto"/>
        </w:rPr>
        <w:t>(1)The Board has determined that all members of the Audit Committee are financially literate and that each of Janet K. Cooper and Gary L. Ellis meets the definition of “audit committee financial expert.” Other members of the Audit Committee who currently are serving or have served as chief executive officers or chief financial officers of other public companies also may be considered financial experts, but the Board has not so designated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1174750" cy="14382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74750" cy="143827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FFFFFF"/>
        </w:rPr>
        <w:t>Compensation</w:t>
      </w:r>
    </w:p>
    <w:p>
      <w:pPr>
        <w:spacing w:after="0" w:line="16" w:lineRule="exact"/>
        <w:rPr>
          <w:sz w:val="20"/>
          <w:szCs w:val="20"/>
          <w:color w:val="auto"/>
        </w:rPr>
      </w:pPr>
    </w:p>
    <w:p>
      <w:pPr>
        <w:ind w:left="480" w:hanging="421"/>
        <w:spacing w:after="0" w:line="269" w:lineRule="auto"/>
        <w:tabs>
          <w:tab w:leader="none" w:pos="247" w:val="left"/>
        </w:tabs>
        <w:numPr>
          <w:ilvl w:val="0"/>
          <w:numId w:val="18"/>
        </w:numPr>
        <w:rPr>
          <w:rFonts w:ascii="Arial" w:cs="Arial" w:eastAsia="Arial" w:hAnsi="Arial"/>
          <w:sz w:val="17"/>
          <w:szCs w:val="17"/>
          <w:b w:val="1"/>
          <w:bCs w:val="1"/>
          <w:color w:val="FFFFFF"/>
        </w:rPr>
      </w:pPr>
      <w:r>
        <w:rPr>
          <w:rFonts w:ascii="Arial" w:cs="Arial" w:eastAsia="Arial" w:hAnsi="Arial"/>
          <w:sz w:val="17"/>
          <w:szCs w:val="17"/>
          <w:b w:val="1"/>
          <w:bCs w:val="1"/>
          <w:color w:val="FFFFFF"/>
        </w:rPr>
        <w:t>Human Resources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0000"/>
        </w:rPr>
        <w:t>Key Committee Functions</w:t>
      </w:r>
    </w:p>
    <w:p>
      <w:pPr>
        <w:spacing w:after="0" w:line="44" w:lineRule="exact"/>
        <w:rPr>
          <w:sz w:val="20"/>
          <w:szCs w:val="20"/>
          <w:color w:val="auto"/>
        </w:rPr>
      </w:pPr>
    </w:p>
    <w:p>
      <w:pPr>
        <w:ind w:left="140" w:hanging="131"/>
        <w:spacing w:after="0" w:line="233" w:lineRule="auto"/>
        <w:tabs>
          <w:tab w:leader="none" w:pos="117"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Approves the compensation levels, salaries, incentive opportunities and other compensation arrangements for the CEO and executive officers</w:t>
      </w:r>
    </w:p>
    <w:p>
      <w:pPr>
        <w:spacing w:after="0" w:line="9" w:lineRule="exact"/>
        <w:rPr>
          <w:rFonts w:ascii="Arial" w:cs="Arial" w:eastAsia="Arial" w:hAnsi="Arial"/>
          <w:sz w:val="16"/>
          <w:szCs w:val="16"/>
          <w:color w:val="auto"/>
        </w:rPr>
      </w:pPr>
    </w:p>
    <w:p>
      <w:pPr>
        <w:ind w:left="140" w:right="140" w:hanging="131"/>
        <w:spacing w:after="0" w:line="233" w:lineRule="auto"/>
        <w:tabs>
          <w:tab w:leader="none" w:pos="117"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Reviews compensation policies and practices as they affect all employees and relate to risk management practices and risk-taking incentives</w:t>
      </w:r>
    </w:p>
    <w:p>
      <w:pPr>
        <w:spacing w:after="0" w:line="9" w:lineRule="exact"/>
        <w:rPr>
          <w:rFonts w:ascii="Arial" w:cs="Arial" w:eastAsia="Arial" w:hAnsi="Arial"/>
          <w:sz w:val="16"/>
          <w:szCs w:val="16"/>
          <w:color w:val="auto"/>
        </w:rPr>
      </w:pPr>
    </w:p>
    <w:p>
      <w:pPr>
        <w:ind w:left="120" w:hanging="111"/>
        <w:spacing w:after="0"/>
        <w:tabs>
          <w:tab w:leader="none" w:pos="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Evaluates the CEO’s performance</w:t>
      </w:r>
    </w:p>
    <w:p>
      <w:pPr>
        <w:spacing w:after="0" w:line="17" w:lineRule="exact"/>
        <w:rPr>
          <w:rFonts w:ascii="Arial" w:cs="Arial" w:eastAsia="Arial" w:hAnsi="Arial"/>
          <w:sz w:val="16"/>
          <w:szCs w:val="16"/>
          <w:color w:val="auto"/>
        </w:rPr>
      </w:pPr>
    </w:p>
    <w:p>
      <w:pPr>
        <w:ind w:left="140" w:right="440" w:hanging="131"/>
        <w:spacing w:after="0" w:line="239" w:lineRule="auto"/>
        <w:tabs>
          <w:tab w:leader="none" w:pos="112" w:val="left"/>
        </w:tabs>
        <w:numPr>
          <w:ilvl w:val="0"/>
          <w:numId w:val="19"/>
        </w:numPr>
        <w:rPr>
          <w:rFonts w:ascii="Arial" w:cs="Arial" w:eastAsia="Arial" w:hAnsi="Arial"/>
          <w:sz w:val="16"/>
          <w:szCs w:val="16"/>
          <w:color w:val="auto"/>
        </w:rPr>
      </w:pPr>
      <w:r>
        <w:rPr>
          <w:rFonts w:ascii="Arial" w:cs="Arial" w:eastAsia="Arial" w:hAnsi="Arial"/>
          <w:sz w:val="16"/>
          <w:szCs w:val="16"/>
          <w:color w:val="auto"/>
        </w:rPr>
        <w:t>Oversees human capital management activities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131" w:hanging="131"/>
        <w:spacing w:after="0" w:line="239" w:lineRule="auto"/>
        <w:tabs>
          <w:tab w:leader="none" w:pos="1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Approves performance goals for performance based awards</w:t>
      </w:r>
    </w:p>
    <w:p>
      <w:pPr>
        <w:spacing w:after="0" w:line="8" w:lineRule="exact"/>
        <w:rPr>
          <w:rFonts w:ascii="Arial" w:cs="Arial" w:eastAsia="Arial" w:hAnsi="Arial"/>
          <w:sz w:val="16"/>
          <w:szCs w:val="16"/>
          <w:color w:val="auto"/>
        </w:rPr>
      </w:pPr>
    </w:p>
    <w:p>
      <w:pPr>
        <w:ind w:left="131" w:right="100" w:hanging="131"/>
        <w:spacing w:after="0" w:line="231" w:lineRule="auto"/>
        <w:tabs>
          <w:tab w:leader="none" w:pos="1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Reviews with Management the Compensation Discussion and Analysis, the Committee report on executive compensation, and any compensation-related proposals, including say-on-pay and frequency of say-on-pay proposals</w:t>
      </w:r>
    </w:p>
    <w:p>
      <w:pPr>
        <w:spacing w:after="0" w:line="9" w:lineRule="exact"/>
        <w:rPr>
          <w:rFonts w:ascii="Arial" w:cs="Arial" w:eastAsia="Arial" w:hAnsi="Arial"/>
          <w:sz w:val="16"/>
          <w:szCs w:val="16"/>
          <w:color w:val="auto"/>
        </w:rPr>
      </w:pPr>
    </w:p>
    <w:p>
      <w:pPr>
        <w:ind w:left="131" w:right="320" w:hanging="131"/>
        <w:spacing w:after="0" w:line="239" w:lineRule="auto"/>
        <w:tabs>
          <w:tab w:leader="none" w:pos="1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Reviews non-employee director compensation components and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123825</wp:posOffset>
            </wp:positionV>
            <wp:extent cx="59588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58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auto"/>
        <w:rPr>
          <w:sz w:val="20"/>
          <w:szCs w:val="20"/>
          <w:color w:val="auto"/>
        </w:rPr>
      </w:pPr>
      <w:r>
        <w:rPr>
          <w:rFonts w:ascii="Arial" w:cs="Arial" w:eastAsia="Arial" w:hAnsi="Arial"/>
          <w:sz w:val="16"/>
          <w:szCs w:val="16"/>
          <w:b w:val="1"/>
          <w:bCs w:val="1"/>
          <w:color w:val="FF0000"/>
        </w:rPr>
        <w:t>Committee Members</w:t>
      </w:r>
      <w:r>
        <w:rPr>
          <w:rFonts w:ascii="Arial" w:cs="Arial" w:eastAsia="Arial" w:hAnsi="Arial"/>
          <w:sz w:val="26"/>
          <w:szCs w:val="26"/>
          <w:b w:val="1"/>
          <w:bCs w:val="1"/>
          <w:color w:val="FF0000"/>
          <w:vertAlign w:val="superscript"/>
        </w:rPr>
        <w:t>(2)</w:t>
      </w:r>
    </w:p>
    <w:p>
      <w:pPr>
        <w:spacing w:after="0"/>
        <w:rPr>
          <w:sz w:val="20"/>
          <w:szCs w:val="20"/>
          <w:color w:val="auto"/>
        </w:rPr>
      </w:pPr>
      <w:r>
        <w:rPr>
          <w:rFonts w:ascii="Arial" w:cs="Arial" w:eastAsia="Arial" w:hAnsi="Arial"/>
          <w:sz w:val="16"/>
          <w:szCs w:val="16"/>
          <w:color w:val="auto"/>
        </w:rPr>
        <w:t>Mr. O’Rourke (Chair)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Mr. Ettinger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Mr. Koch</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Ms. Mullen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Mr. Steinhafel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FF0000"/>
        </w:rPr>
        <w:t>During Fiscal 2020</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4</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Number of Executive Sessions: 3</w:t>
      </w:r>
    </w:p>
    <w:p>
      <w:pPr>
        <w:spacing w:after="0" w:line="234" w:lineRule="exact"/>
        <w:rPr>
          <w:sz w:val="20"/>
          <w:szCs w:val="20"/>
          <w:color w:val="auto"/>
        </w:rPr>
      </w:pPr>
    </w:p>
    <w:p>
      <w:pPr>
        <w:sectPr>
          <w:pgSz w:w="11900" w:h="16838" w:orient="portrait"/>
          <w:cols w:equalWidth="0" w:num="4">
            <w:col w:w="1800" w:space="100"/>
            <w:col w:w="3260" w:space="169"/>
            <w:col w:w="3351" w:space="120"/>
            <w:col w:w="2400"/>
          </w:cols>
          <w:pgMar w:left="320" w:top="140" w:right="379" w:bottom="1440" w:gutter="0" w:footer="0" w:header="0"/>
          <w:type w:val="continuous"/>
        </w:sectPr>
      </w:pPr>
    </w:p>
    <w:p>
      <w:pPr>
        <w:ind w:left="400" w:right="100" w:hanging="393"/>
        <w:spacing w:after="0" w:line="247" w:lineRule="auto"/>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a result of Gregg Steinhafel’s retirement prior to the annual meeting, the Compensation &amp; Human Resources Committee will consist of four members at the time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1174750" cy="13023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74750" cy="130238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FFFFF"/>
        </w:rPr>
        <w:t>Nominating &amp;</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FFFFF"/>
        </w:rPr>
        <w:t>Governance</w:t>
      </w:r>
    </w:p>
    <w:p>
      <w:pPr>
        <w:ind w:left="480"/>
        <w:spacing w:after="0"/>
        <w:rPr>
          <w:sz w:val="20"/>
          <w:szCs w:val="20"/>
          <w:color w:val="auto"/>
        </w:rPr>
      </w:pPr>
      <w:r>
        <w:rPr>
          <w:rFonts w:ascii="Arial" w:cs="Arial" w:eastAsia="Arial" w:hAnsi="Arial"/>
          <w:sz w:val="18"/>
          <w:szCs w:val="18"/>
          <w:b w:val="1"/>
          <w:bCs w:val="1"/>
          <w:color w:val="FFFFFF"/>
        </w:rPr>
        <w:t>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0000"/>
        </w:rPr>
        <w:t>Key Committee Functions</w:t>
      </w:r>
    </w:p>
    <w:p>
      <w:pPr>
        <w:spacing w:after="0" w:line="44" w:lineRule="exact"/>
        <w:rPr>
          <w:sz w:val="20"/>
          <w:szCs w:val="20"/>
          <w:color w:val="auto"/>
        </w:rPr>
      </w:pPr>
    </w:p>
    <w:p>
      <w:pPr>
        <w:ind w:left="140" w:right="100" w:hanging="131"/>
        <w:spacing w:after="0" w:line="235" w:lineRule="auto"/>
        <w:tabs>
          <w:tab w:leader="none" w:pos="117"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Reviews and recommends to the Board the size and composition of the Board and its committees</w:t>
      </w:r>
    </w:p>
    <w:p>
      <w:pPr>
        <w:spacing w:after="0" w:line="9" w:lineRule="exact"/>
        <w:rPr>
          <w:rFonts w:ascii="Arial" w:cs="Arial" w:eastAsia="Arial" w:hAnsi="Arial"/>
          <w:sz w:val="16"/>
          <w:szCs w:val="16"/>
          <w:color w:val="auto"/>
        </w:rPr>
      </w:pPr>
    </w:p>
    <w:p>
      <w:pPr>
        <w:ind w:left="140" w:right="300" w:hanging="131"/>
        <w:spacing w:after="0" w:line="239" w:lineRule="auto"/>
        <w:tabs>
          <w:tab w:leader="none" w:pos="117" w:val="left"/>
        </w:tabs>
        <w:numPr>
          <w:ilvl w:val="0"/>
          <w:numId w:val="22"/>
        </w:numPr>
        <w:rPr>
          <w:rFonts w:ascii="Arial" w:cs="Arial" w:eastAsia="Arial" w:hAnsi="Arial"/>
          <w:sz w:val="16"/>
          <w:szCs w:val="16"/>
          <w:color w:val="auto"/>
        </w:rPr>
      </w:pPr>
      <w:r>
        <w:rPr>
          <w:rFonts w:ascii="Arial" w:cs="Arial" w:eastAsia="Arial" w:hAnsi="Arial"/>
          <w:sz w:val="16"/>
          <w:szCs w:val="16"/>
          <w:color w:val="auto"/>
        </w:rPr>
        <w:t>Identifies individuals qualified to become Board members</w:t>
      </w:r>
    </w:p>
    <w:p>
      <w:pPr>
        <w:spacing w:after="0" w:line="8" w:lineRule="exact"/>
        <w:rPr>
          <w:rFonts w:ascii="Arial" w:cs="Arial" w:eastAsia="Arial" w:hAnsi="Arial"/>
          <w:sz w:val="16"/>
          <w:szCs w:val="16"/>
          <w:color w:val="auto"/>
        </w:rPr>
      </w:pPr>
    </w:p>
    <w:p>
      <w:pPr>
        <w:ind w:left="140" w:right="40" w:hanging="131"/>
        <w:spacing w:after="0" w:line="239" w:lineRule="auto"/>
        <w:tabs>
          <w:tab w:leader="none" w:pos="117"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Recommends to the Board director nominees for election at the annual meeting</w:t>
      </w:r>
    </w:p>
    <w:p>
      <w:pPr>
        <w:spacing w:after="0" w:line="22" w:lineRule="exact"/>
        <w:rPr>
          <w:rFonts w:ascii="Arial" w:cs="Arial" w:eastAsia="Arial" w:hAnsi="Arial"/>
          <w:sz w:val="16"/>
          <w:szCs w:val="16"/>
          <w:color w:val="auto"/>
        </w:rPr>
      </w:pPr>
    </w:p>
    <w:p>
      <w:pPr>
        <w:ind w:left="120" w:hanging="111"/>
        <w:spacing w:after="0"/>
        <w:tabs>
          <w:tab w:leader="none" w:pos="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Oversees the annual evaluation of the Board</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131" w:right="20" w:hanging="131"/>
        <w:spacing w:after="0" w:line="233" w:lineRule="auto"/>
        <w:tabs>
          <w:tab w:leader="none" w:pos="108"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Reviews and recommends to the Board any proposed amendments or changes to Restated Certificate of Incorporation or Amended and Restated Bylaws</w:t>
      </w:r>
    </w:p>
    <w:p>
      <w:pPr>
        <w:spacing w:after="0" w:line="9" w:lineRule="exact"/>
        <w:rPr>
          <w:rFonts w:ascii="Arial" w:cs="Arial" w:eastAsia="Arial" w:hAnsi="Arial"/>
          <w:sz w:val="16"/>
          <w:szCs w:val="16"/>
          <w:color w:val="auto"/>
        </w:rPr>
      </w:pPr>
    </w:p>
    <w:p>
      <w:pPr>
        <w:jc w:val="both"/>
        <w:ind w:left="131" w:hanging="131"/>
        <w:spacing w:after="0" w:line="239" w:lineRule="auto"/>
        <w:tabs>
          <w:tab w:leader="none" w:pos="108"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Reviews Corporate Governance Guidelines and recommends to the Board any changes</w:t>
      </w:r>
    </w:p>
    <w:p>
      <w:pPr>
        <w:spacing w:after="0" w:line="8" w:lineRule="exact"/>
        <w:rPr>
          <w:rFonts w:ascii="Arial" w:cs="Arial" w:eastAsia="Arial" w:hAnsi="Arial"/>
          <w:sz w:val="16"/>
          <w:szCs w:val="16"/>
          <w:color w:val="auto"/>
        </w:rPr>
      </w:pPr>
    </w:p>
    <w:p>
      <w:pPr>
        <w:ind w:left="111" w:hanging="111"/>
        <w:spacing w:after="0"/>
        <w:tabs>
          <w:tab w:leader="none" w:pos="111"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Reviews sustainability activities</w:t>
      </w:r>
    </w:p>
    <w:p>
      <w:pPr>
        <w:spacing w:after="0" w:line="30" w:lineRule="exact"/>
        <w:rPr>
          <w:rFonts w:ascii="Arial" w:cs="Arial" w:eastAsia="Arial" w:hAnsi="Arial"/>
          <w:sz w:val="16"/>
          <w:szCs w:val="16"/>
          <w:color w:val="auto"/>
        </w:rPr>
      </w:pPr>
    </w:p>
    <w:p>
      <w:pPr>
        <w:ind w:left="111" w:hanging="111"/>
        <w:spacing w:after="0"/>
        <w:tabs>
          <w:tab w:leader="none" w:pos="111" w:val="left"/>
        </w:tabs>
        <w:numPr>
          <w:ilvl w:val="0"/>
          <w:numId w:val="23"/>
        </w:numPr>
        <w:rPr>
          <w:rFonts w:ascii="Arial" w:cs="Arial" w:eastAsia="Arial" w:hAnsi="Arial"/>
          <w:sz w:val="16"/>
          <w:szCs w:val="16"/>
          <w:color w:val="auto"/>
        </w:rPr>
      </w:pPr>
      <w:r>
        <w:rPr>
          <w:rFonts w:ascii="Arial" w:cs="Arial" w:eastAsia="Arial" w:hAnsi="Arial"/>
          <w:sz w:val="16"/>
          <w:szCs w:val="16"/>
          <w:color w:val="auto"/>
        </w:rPr>
        <w:t>Monitors corporate governance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188595</wp:posOffset>
            </wp:positionV>
            <wp:extent cx="59588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58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auto"/>
        <w:rPr>
          <w:sz w:val="20"/>
          <w:szCs w:val="20"/>
          <w:color w:val="auto"/>
        </w:rPr>
      </w:pPr>
      <w:r>
        <w:rPr>
          <w:rFonts w:ascii="Arial" w:cs="Arial" w:eastAsia="Arial" w:hAnsi="Arial"/>
          <w:sz w:val="16"/>
          <w:szCs w:val="16"/>
          <w:b w:val="1"/>
          <w:bCs w:val="1"/>
          <w:color w:val="FF0000"/>
        </w:rPr>
        <w:t>Committee Members</w:t>
      </w:r>
      <w:r>
        <w:rPr>
          <w:rFonts w:ascii="Arial" w:cs="Arial" w:eastAsia="Arial" w:hAnsi="Arial"/>
          <w:sz w:val="26"/>
          <w:szCs w:val="26"/>
          <w:b w:val="1"/>
          <w:bCs w:val="1"/>
          <w:color w:val="FF0000"/>
          <w:vertAlign w:val="superscript"/>
        </w:rPr>
        <w:t>(3)</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Mr. Ettinger (Chair)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Mr. Koch</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Ms. Mullen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Mr. O’Rourke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Mr. Steinhafel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FF0000"/>
        </w:rPr>
        <w:t>During Fiscal 2020</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2</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Number of Executive Sessions: 2</w:t>
      </w:r>
    </w:p>
    <w:p>
      <w:pPr>
        <w:spacing w:after="0" w:line="74" w:lineRule="exact"/>
        <w:rPr>
          <w:sz w:val="20"/>
          <w:szCs w:val="20"/>
          <w:color w:val="auto"/>
        </w:rPr>
      </w:pPr>
    </w:p>
    <w:p>
      <w:pPr>
        <w:sectPr>
          <w:pgSz w:w="11900" w:h="16838" w:orient="portrait"/>
          <w:cols w:equalWidth="0" w:num="4">
            <w:col w:w="1520" w:space="380"/>
            <w:col w:w="3300" w:space="129"/>
            <w:col w:w="3251" w:space="220"/>
            <w:col w:w="2400"/>
          </w:cols>
          <w:pgMar w:left="320" w:top="140" w:right="379" w:bottom="1440" w:gutter="0" w:footer="0" w:header="0"/>
          <w:type w:val="continuous"/>
        </w:sectPr>
      </w:pPr>
    </w:p>
    <w:p>
      <w:pPr>
        <w:ind w:left="400" w:right="240" w:hanging="393"/>
        <w:spacing w:after="0" w:line="255" w:lineRule="auto"/>
        <w:tabs>
          <w:tab w:leader="none" w:pos="4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 a result of Gregg Steinhafel’s retirement prior to the annual meeting, the Nominating &amp; Governance Committee will consist of four members at the time of the annual meeting.</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26" w:name="page27"/>
    <w:bookmarkEnd w:id="2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1174750" cy="14300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74750" cy="143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FFFFFF"/>
        </w:rPr>
        <w:t>Finance</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FFFFFF"/>
        </w:rPr>
        <w:t>Committee</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FF0000"/>
        </w:rPr>
        <w:t>Key Committee Functions</w:t>
      </w:r>
    </w:p>
    <w:p>
      <w:pPr>
        <w:spacing w:after="0" w:line="50" w:lineRule="exact"/>
        <w:rPr>
          <w:sz w:val="20"/>
          <w:szCs w:val="20"/>
          <w:color w:val="auto"/>
        </w:rPr>
      </w:pPr>
    </w:p>
    <w:p>
      <w:pPr>
        <w:ind w:left="140" w:right="40" w:hanging="131"/>
        <w:spacing w:after="0" w:line="230" w:lineRule="auto"/>
        <w:tabs>
          <w:tab w:leader="none" w:pos="117"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Reviews, and recommends to the Board as required, capital structure and related financial policies and long-range objectives, capital expenditures, tax strategies and restructuring projects, financing arrangements and cash or any special dividends</w:t>
      </w:r>
    </w:p>
    <w:p>
      <w:pPr>
        <w:spacing w:after="0" w:line="12" w:lineRule="exact"/>
        <w:rPr>
          <w:rFonts w:ascii="Arial" w:cs="Arial" w:eastAsia="Arial" w:hAnsi="Arial"/>
          <w:sz w:val="16"/>
          <w:szCs w:val="16"/>
          <w:color w:val="auto"/>
        </w:rPr>
      </w:pPr>
    </w:p>
    <w:p>
      <w:pPr>
        <w:ind w:left="140" w:hanging="131"/>
        <w:spacing w:after="0" w:line="235" w:lineRule="auto"/>
        <w:tabs>
          <w:tab w:leader="none" w:pos="117"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Reviews and recommends to the Board the authorization for the issuance or repurchase of equity or 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31" w:right="360" w:hanging="131"/>
        <w:spacing w:after="0" w:line="235" w:lineRule="auto"/>
        <w:tabs>
          <w:tab w:leader="none" w:pos="108"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Reviews use of derivative, hedging and similar instruments to manage financial, currency and interest rate exposure</w:t>
      </w:r>
    </w:p>
    <w:p>
      <w:pPr>
        <w:spacing w:after="0" w:line="9" w:lineRule="exact"/>
        <w:rPr>
          <w:rFonts w:ascii="Arial" w:cs="Arial" w:eastAsia="Arial" w:hAnsi="Arial"/>
          <w:sz w:val="16"/>
          <w:szCs w:val="16"/>
          <w:color w:val="auto"/>
        </w:rPr>
      </w:pPr>
    </w:p>
    <w:p>
      <w:pPr>
        <w:ind w:left="131" w:hanging="131"/>
        <w:spacing w:after="0" w:line="232" w:lineRule="auto"/>
        <w:tabs>
          <w:tab w:leader="none" w:pos="108" w:val="left"/>
        </w:tabs>
        <w:numPr>
          <w:ilvl w:val="0"/>
          <w:numId w:val="26"/>
        </w:numPr>
        <w:rPr>
          <w:rFonts w:ascii="Arial" w:cs="Arial" w:eastAsia="Arial" w:hAnsi="Arial"/>
          <w:sz w:val="16"/>
          <w:szCs w:val="16"/>
          <w:color w:val="auto"/>
        </w:rPr>
      </w:pPr>
      <w:r>
        <w:rPr>
          <w:rFonts w:ascii="Arial" w:cs="Arial" w:eastAsia="Arial" w:hAnsi="Arial"/>
          <w:sz w:val="16"/>
          <w:szCs w:val="16"/>
          <w:color w:val="auto"/>
        </w:rPr>
        <w:t>Evaluates, and recommends to the Board as required, financing implications of certain proposed merger, acquisition, divestiture, joint venture and other business combination transactions or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353695</wp:posOffset>
            </wp:positionV>
            <wp:extent cx="59588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58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FF0000"/>
        </w:rPr>
        <w:t>Committee Members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Mr. Ellis (Chair)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Ms. Cooper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Ms. Harless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Mr. Harmening</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Dr. Vale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FF0000"/>
        </w:rPr>
        <w:t>During Fiscal 2020</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4</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Number of Executive Sessions: 2</w:t>
      </w:r>
    </w:p>
    <w:p>
      <w:pPr>
        <w:spacing w:after="0" w:line="200" w:lineRule="exact"/>
        <w:rPr>
          <w:sz w:val="20"/>
          <w:szCs w:val="20"/>
          <w:color w:val="auto"/>
        </w:rPr>
      </w:pPr>
    </w:p>
    <w:p>
      <w:pPr>
        <w:sectPr>
          <w:pgSz w:w="11900" w:h="16838" w:orient="portrait"/>
          <w:cols w:equalWidth="0" w:num="4">
            <w:col w:w="1400" w:space="500"/>
            <w:col w:w="3280" w:space="149"/>
            <w:col w:w="3311" w:space="160"/>
            <w:col w:w="2440"/>
          </w:cols>
          <w:pgMar w:left="320" w:top="140" w:right="3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Board’s Role in Risk Oversight</w:t>
      </w:r>
    </w:p>
    <w:p>
      <w:pPr>
        <w:spacing w:after="0" w:line="118" w:lineRule="exact"/>
        <w:rPr>
          <w:sz w:val="20"/>
          <w:szCs w:val="20"/>
          <w:color w:val="auto"/>
        </w:rPr>
      </w:pPr>
    </w:p>
    <w:p>
      <w:pPr>
        <w:ind w:right="200" w:firstLine="401"/>
        <w:spacing w:after="0" w:line="269" w:lineRule="auto"/>
        <w:rPr>
          <w:sz w:val="20"/>
          <w:szCs w:val="20"/>
          <w:color w:val="auto"/>
        </w:rPr>
      </w:pPr>
      <w:r>
        <w:rPr>
          <w:rFonts w:ascii="Arial" w:cs="Arial" w:eastAsia="Arial" w:hAnsi="Arial"/>
          <w:sz w:val="17"/>
          <w:szCs w:val="17"/>
          <w:color w:val="auto"/>
        </w:rPr>
        <w:t>Management is primarily responsible for the identification, assessment and management of the key risks faced by our Company. We engage in an enterprise risk management, or ERM, process, which is coordinated primarily through our internal audit function, and involves:</w:t>
      </w:r>
    </w:p>
    <w:p>
      <w:pPr>
        <w:spacing w:after="0" w:line="71" w:lineRule="exact"/>
        <w:rPr>
          <w:sz w:val="20"/>
          <w:szCs w:val="20"/>
          <w:color w:val="auto"/>
        </w:rPr>
      </w:pPr>
    </w:p>
    <w:p>
      <w:pPr>
        <w:jc w:val="both"/>
        <w:ind w:left="780" w:right="300" w:hanging="384"/>
        <w:spacing w:after="0" w:line="269" w:lineRule="auto"/>
        <w:tabs>
          <w:tab w:leader="none" w:pos="780" w:val="left"/>
        </w:tabs>
        <w:numPr>
          <w:ilvl w:val="0"/>
          <w:numId w:val="27"/>
        </w:numPr>
        <w:rPr>
          <w:rFonts w:ascii="Arial" w:cs="Arial" w:eastAsia="Arial" w:hAnsi="Arial"/>
          <w:sz w:val="15"/>
          <w:szCs w:val="15"/>
          <w:color w:val="auto"/>
        </w:rPr>
      </w:pPr>
      <w:r>
        <w:rPr>
          <w:rFonts w:ascii="Arial" w:cs="Arial" w:eastAsia="Arial" w:hAnsi="Arial"/>
          <w:sz w:val="17"/>
          <w:szCs w:val="17"/>
          <w:color w:val="auto"/>
        </w:rPr>
        <w:t>identification by executive team and senior leaders of our business functions and divisions of the risks relevant to our enterprise-wide strategic priorities of accelerating profitable growth, driving productivity and operational excellence and empowering people;</w:t>
      </w:r>
    </w:p>
    <w:p>
      <w:pPr>
        <w:spacing w:after="0" w:line="71" w:lineRule="exact"/>
        <w:rPr>
          <w:rFonts w:ascii="Arial" w:cs="Arial" w:eastAsia="Arial" w:hAnsi="Arial"/>
          <w:sz w:val="15"/>
          <w:szCs w:val="15"/>
          <w:color w:val="auto"/>
        </w:rPr>
      </w:pPr>
    </w:p>
    <w:p>
      <w:pPr>
        <w:ind w:left="780" w:hanging="384"/>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8"/>
          <w:szCs w:val="18"/>
          <w:color w:val="auto"/>
        </w:rPr>
        <w:t>assessment of the materiality of those risks, based on expected probability of occurrence and severity of impact;</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8"/>
          <w:szCs w:val="18"/>
          <w:color w:val="auto"/>
        </w:rPr>
        <w:t>to the extent prudent and feasible, development of strategies and plans to monitor, mitigate and control such risks; and</w:t>
      </w:r>
    </w:p>
    <w:p>
      <w:pPr>
        <w:spacing w:after="0" w:line="101" w:lineRule="exact"/>
        <w:rPr>
          <w:rFonts w:ascii="Arial" w:cs="Arial" w:eastAsia="Arial" w:hAnsi="Arial"/>
          <w:sz w:val="16"/>
          <w:szCs w:val="16"/>
          <w:color w:val="auto"/>
        </w:rPr>
      </w:pPr>
    </w:p>
    <w:p>
      <w:pPr>
        <w:ind w:left="780" w:right="740" w:hanging="384"/>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8"/>
          <w:szCs w:val="18"/>
          <w:color w:val="auto"/>
        </w:rPr>
        <w:t>scheduled reports of the identified risks as part of the applicable strategy review or separately as a particular risk review, as considered necessary, to the Board and/or relevant committee, as applicable.</w:t>
      </w:r>
    </w:p>
    <w:p>
      <w:pPr>
        <w:spacing w:after="0" w:line="95" w:lineRule="exact"/>
        <w:rPr>
          <w:sz w:val="20"/>
          <w:szCs w:val="20"/>
          <w:color w:val="auto"/>
        </w:rPr>
      </w:pPr>
    </w:p>
    <w:p>
      <w:pPr>
        <w:ind w:right="340" w:firstLine="401"/>
        <w:spacing w:after="0" w:line="236" w:lineRule="auto"/>
        <w:rPr>
          <w:sz w:val="20"/>
          <w:szCs w:val="20"/>
          <w:color w:val="auto"/>
        </w:rPr>
      </w:pPr>
      <w:r>
        <w:rPr>
          <w:rFonts w:ascii="Arial" w:cs="Arial" w:eastAsia="Arial" w:hAnsi="Arial"/>
          <w:sz w:val="18"/>
          <w:szCs w:val="18"/>
          <w:color w:val="auto"/>
        </w:rPr>
        <w:t>The Board’s oversight of these risks primarily occurs in connection with the exercise of its responsibility to oversee our business, including through the review of our long-term strategic plans, annual operating plans, financial results, merger and acquisition related activities, material legal proceedings, and management succession plans. In addition, the Board relies on its committees to assist with risk oversight within their respective areas of responsibility and expertise as follows:</w:t>
      </w:r>
    </w:p>
    <w:p>
      <w:pPr>
        <w:spacing w:after="0" w:line="97" w:lineRule="exact"/>
        <w:rPr>
          <w:sz w:val="20"/>
          <w:szCs w:val="20"/>
          <w:color w:val="auto"/>
        </w:rPr>
      </w:pPr>
    </w:p>
    <w:p>
      <w:pPr>
        <w:ind w:left="780" w:hanging="384"/>
        <w:spacing w:after="0" w:line="234" w:lineRule="auto"/>
        <w:tabs>
          <w:tab w:leader="none" w:pos="780" w:val="left"/>
        </w:tabs>
        <w:numPr>
          <w:ilvl w:val="0"/>
          <w:numId w:val="28"/>
        </w:numPr>
        <w:rPr>
          <w:rFonts w:ascii="Arial" w:cs="Arial" w:eastAsia="Arial" w:hAnsi="Arial"/>
          <w:sz w:val="16"/>
          <w:szCs w:val="16"/>
          <w:color w:val="auto"/>
        </w:rPr>
      </w:pPr>
      <w:r>
        <w:rPr>
          <w:rFonts w:ascii="Arial" w:cs="Arial" w:eastAsia="Arial" w:hAnsi="Arial"/>
          <w:sz w:val="18"/>
          <w:szCs w:val="18"/>
          <w:color w:val="auto"/>
        </w:rPr>
        <w:t>The Audit Committee assists through its oversight of the quality and integrity of our financial reports; compliance with applicable legal and regulatory requirements; qualifications, performance and independence of our external auditor; performance of our internal audit function; accounting and reporting processes, including those in connection with business combination purchase accounting and accounting and financial reporting integration activities; strategy, performance and experience of our information technology and security function and practices, including those related to cybersecurity; performance of our health and safety program; our Code of Conduct and ethics program; and our general policies and procedures regarding accounting and financial matters and internal controls. The Audit Committee is also responsible for providing oversight of our ERM process by discussing our procedures with respect to risk assessment and risk management, including our major financial and business risk exposures and the steps Management has taken to monitor, mitigate and control such exposures.</w:t>
      </w:r>
    </w:p>
    <w:p>
      <w:pPr>
        <w:spacing w:after="0" w:line="100" w:lineRule="exact"/>
        <w:rPr>
          <w:rFonts w:ascii="Arial" w:cs="Arial" w:eastAsia="Arial" w:hAnsi="Arial"/>
          <w:sz w:val="16"/>
          <w:szCs w:val="16"/>
          <w:color w:val="auto"/>
        </w:rPr>
      </w:pPr>
    </w:p>
    <w:p>
      <w:pPr>
        <w:ind w:left="780" w:right="20" w:hanging="384"/>
        <w:spacing w:after="0" w:line="236" w:lineRule="auto"/>
        <w:tabs>
          <w:tab w:leader="none" w:pos="780" w:val="left"/>
        </w:tabs>
        <w:numPr>
          <w:ilvl w:val="0"/>
          <w:numId w:val="28"/>
        </w:numPr>
        <w:rPr>
          <w:rFonts w:ascii="Arial" w:cs="Arial" w:eastAsia="Arial" w:hAnsi="Arial"/>
          <w:sz w:val="16"/>
          <w:szCs w:val="16"/>
          <w:color w:val="auto"/>
        </w:rPr>
      </w:pPr>
      <w:r>
        <w:rPr>
          <w:rFonts w:ascii="Arial" w:cs="Arial" w:eastAsia="Arial" w:hAnsi="Arial"/>
          <w:sz w:val="18"/>
          <w:szCs w:val="18"/>
          <w:color w:val="auto"/>
        </w:rPr>
        <w:t>The Compensation &amp; Human Resources Committee assists through its oversight of our compensation and human capital management programs and policies, including executive compensation, organizational, diversity and corporate culture plans and strategies. A discussion of the Compensation &amp; Human Resources Committee’s assessment of compensation policies and practices as they relate to our Company’s risk management is found under “Assessment of Risk Related to Compensation Programs” on page 43.</w:t>
      </w:r>
    </w:p>
    <w:p>
      <w:pPr>
        <w:spacing w:after="0" w:line="94" w:lineRule="exact"/>
        <w:rPr>
          <w:rFonts w:ascii="Arial" w:cs="Arial" w:eastAsia="Arial" w:hAnsi="Arial"/>
          <w:sz w:val="16"/>
          <w:szCs w:val="16"/>
          <w:color w:val="auto"/>
        </w:rPr>
      </w:pPr>
    </w:p>
    <w:p>
      <w:pPr>
        <w:ind w:left="780" w:right="80" w:hanging="384"/>
        <w:spacing w:after="0" w:line="236" w:lineRule="auto"/>
        <w:tabs>
          <w:tab w:leader="none" w:pos="780" w:val="left"/>
        </w:tabs>
        <w:numPr>
          <w:ilvl w:val="0"/>
          <w:numId w:val="28"/>
        </w:numPr>
        <w:rPr>
          <w:rFonts w:ascii="Arial" w:cs="Arial" w:eastAsia="Arial" w:hAnsi="Arial"/>
          <w:sz w:val="16"/>
          <w:szCs w:val="16"/>
          <w:color w:val="auto"/>
        </w:rPr>
      </w:pPr>
      <w:r>
        <w:rPr>
          <w:rFonts w:ascii="Arial" w:cs="Arial" w:eastAsia="Arial" w:hAnsi="Arial"/>
          <w:sz w:val="18"/>
          <w:szCs w:val="18"/>
          <w:color w:val="auto"/>
        </w:rPr>
        <w:t>The Finance Committee assists through its oversight of our capital structure and related policies; long-range objectives; tax strategies and restructuring projects; financing requirements and arrangements; equity and debt issuances and repurchases; use of derivative, hedging and similar instruments; annual capital budget and capital expenditures; D&amp;O and liability insurance coverage; the delegated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00" w:lineRule="exact"/>
        <w:rPr>
          <w:sz w:val="20"/>
          <w:szCs w:val="20"/>
          <w:color w:val="auto"/>
        </w:rPr>
      </w:pPr>
    </w:p>
    <w:p>
      <w:pPr>
        <w:ind w:left="780" w:right="140"/>
        <w:spacing w:after="0"/>
        <w:rPr>
          <w:sz w:val="20"/>
          <w:szCs w:val="20"/>
          <w:color w:val="auto"/>
        </w:rPr>
      </w:pPr>
      <w:r>
        <w:rPr>
          <w:rFonts w:ascii="Arial" w:cs="Arial" w:eastAsia="Arial" w:hAnsi="Arial"/>
          <w:sz w:val="18"/>
          <w:szCs w:val="18"/>
          <w:color w:val="auto"/>
        </w:rPr>
        <w:t>responsibilities of our Management Investment Committee relating to our ERISA-regulated employee benefit plans; and through its evaluation of, among other things, the financial impact of certain proposed business combination transactions.</w:t>
      </w:r>
    </w:p>
    <w:p>
      <w:pPr>
        <w:spacing w:after="0" w:line="95" w:lineRule="exact"/>
        <w:rPr>
          <w:sz w:val="20"/>
          <w:szCs w:val="20"/>
          <w:color w:val="auto"/>
        </w:rPr>
      </w:pPr>
    </w:p>
    <w:p>
      <w:pPr>
        <w:ind w:left="780" w:right="180" w:hanging="384"/>
        <w:spacing w:after="0" w:line="236"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8"/>
          <w:szCs w:val="18"/>
          <w:color w:val="auto"/>
        </w:rPr>
        <w:t xml:space="preserve">The Nominating &amp; Governance Committee assists through its oversight of our overall corporate governance structure and policies, including director nominations, director retirements, director independence and qualifications, Board leadership structure, Board committee structure; review of our sustainability initiative, </w:t>
      </w:r>
      <w:r>
        <w:rPr>
          <w:rFonts w:ascii="Arial" w:cs="Arial" w:eastAsia="Arial" w:hAnsi="Arial"/>
          <w:sz w:val="18"/>
          <w:szCs w:val="18"/>
          <w:i w:val="1"/>
          <w:iCs w:val="1"/>
          <w:color w:val="auto"/>
        </w:rPr>
        <w:t>Sustainability Endures</w:t>
      </w:r>
      <w:r>
        <w:rPr>
          <w:rFonts w:ascii="Arial" w:cs="Arial" w:eastAsia="Arial" w:hAnsi="Arial"/>
          <w:sz w:val="18"/>
          <w:szCs w:val="18"/>
          <w:color w:val="auto"/>
        </w:rPr>
        <w:t>, and environmental, social and governance, or ESG, considerations and ratings; and monitoring of corporate governance trends.</w:t>
      </w:r>
    </w:p>
    <w:p>
      <w:pPr>
        <w:spacing w:after="0" w:line="97" w:lineRule="exact"/>
        <w:rPr>
          <w:sz w:val="20"/>
          <w:szCs w:val="20"/>
          <w:color w:val="auto"/>
        </w:rPr>
      </w:pPr>
    </w:p>
    <w:p>
      <w:pPr>
        <w:ind w:right="220" w:firstLine="401"/>
        <w:spacing w:after="0" w:line="236" w:lineRule="auto"/>
        <w:rPr>
          <w:sz w:val="20"/>
          <w:szCs w:val="20"/>
          <w:color w:val="auto"/>
        </w:rPr>
      </w:pPr>
      <w:r>
        <w:rPr>
          <w:rFonts w:ascii="Arial" w:cs="Arial" w:eastAsia="Arial" w:hAnsi="Arial"/>
          <w:sz w:val="18"/>
          <w:szCs w:val="18"/>
          <w:color w:val="auto"/>
        </w:rPr>
        <w:t>The Board believes that its oversight of risk is enhanced by its current leadership structure, as previously discussed, because our Chairman and CEO, who is ultimately responsible for our Management’s risk responsibility, also chairs regular Board meetings and, with his in-depth knowledge and understanding of our Company, is well positioned to bring key business issues and risks to the attention of the full Board.</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Executive Compensation Process</w:t>
      </w:r>
    </w:p>
    <w:p>
      <w:pPr>
        <w:spacing w:after="0" w:line="118" w:lineRule="exact"/>
        <w:rPr>
          <w:sz w:val="20"/>
          <w:szCs w:val="20"/>
          <w:color w:val="auto"/>
        </w:rPr>
      </w:pPr>
    </w:p>
    <w:p>
      <w:pPr>
        <w:ind w:right="60" w:firstLine="401"/>
        <w:spacing w:after="0"/>
        <w:rPr>
          <w:sz w:val="20"/>
          <w:szCs w:val="20"/>
          <w:color w:val="auto"/>
        </w:rPr>
      </w:pPr>
      <w:r>
        <w:rPr>
          <w:rFonts w:ascii="Arial" w:cs="Arial" w:eastAsia="Arial" w:hAnsi="Arial"/>
          <w:sz w:val="18"/>
          <w:szCs w:val="18"/>
          <w:color w:val="auto"/>
        </w:rPr>
        <w:t>At the beginning of each fiscal year, the Compensation &amp; Human Resources Committee reviews and approves compensation for each of our executive officers which generally includes:</w:t>
      </w:r>
    </w:p>
    <w:p>
      <w:pPr>
        <w:spacing w:after="0" w:line="95" w:lineRule="exact"/>
        <w:rPr>
          <w:sz w:val="20"/>
          <w:szCs w:val="20"/>
          <w:color w:val="auto"/>
        </w:rPr>
      </w:pPr>
    </w:p>
    <w:p>
      <w:pPr>
        <w:ind w:left="780" w:hanging="384"/>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8"/>
          <w:szCs w:val="18"/>
          <w:color w:val="auto"/>
        </w:rPr>
        <w:t>changes, if any, to base salary; and</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8"/>
          <w:szCs w:val="18"/>
          <w:color w:val="auto"/>
        </w:rPr>
        <w:t>incentive awards, including:</w:t>
      </w:r>
    </w:p>
    <w:p>
      <w:pPr>
        <w:spacing w:after="0" w:line="101" w:lineRule="exact"/>
        <w:rPr>
          <w:rFonts w:ascii="Arial" w:cs="Arial" w:eastAsia="Arial" w:hAnsi="Arial"/>
          <w:sz w:val="16"/>
          <w:szCs w:val="16"/>
          <w:color w:val="auto"/>
        </w:rPr>
      </w:pPr>
    </w:p>
    <w:p>
      <w:pPr>
        <w:ind w:left="1180" w:right="240" w:hanging="382"/>
        <w:spacing w:after="0" w:line="238" w:lineRule="auto"/>
        <w:tabs>
          <w:tab w:leader="none" w:pos="11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annual cash incentive awards for the current fiscal year, including (i) participation targets expressed as a percentage of base salary, target payout amounts, and maximum cash payout amounts, and (ii) performance measures, weightings, goals and adjustment events; and</w:t>
      </w:r>
    </w:p>
    <w:p>
      <w:pPr>
        <w:spacing w:after="0" w:line="94" w:lineRule="exact"/>
        <w:rPr>
          <w:rFonts w:ascii="Arial" w:cs="Arial" w:eastAsia="Arial" w:hAnsi="Arial"/>
          <w:sz w:val="18"/>
          <w:szCs w:val="18"/>
          <w:color w:val="auto"/>
        </w:rPr>
      </w:pPr>
    </w:p>
    <w:p>
      <w:pPr>
        <w:jc w:val="both"/>
        <w:ind w:left="1180" w:hanging="382"/>
        <w:spacing w:after="0" w:line="238" w:lineRule="auto"/>
        <w:tabs>
          <w:tab w:leader="none" w:pos="11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long-term incentive awards, including (i) stock option awards and (ii) three-year performance share awards, including (a) target share payout amounts and maximum share payout amounts, and (b) performance measures, weightings, goals and adjustment events.</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connection with this review and approval, the Compensation &amp; Human Resources Committee receives information regarding:</w:t>
      </w:r>
    </w:p>
    <w:p>
      <w:pPr>
        <w:spacing w:after="0" w:line="101" w:lineRule="exact"/>
        <w:rPr>
          <w:sz w:val="20"/>
          <w:szCs w:val="20"/>
          <w:color w:val="auto"/>
        </w:rPr>
      </w:pPr>
    </w:p>
    <w:p>
      <w:pPr>
        <w:ind w:left="780" w:right="160" w:hanging="384"/>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8"/>
          <w:szCs w:val="18"/>
          <w:color w:val="auto"/>
        </w:rPr>
        <w:t>market base salary, total cash compensation and total direct compensation data and analysis prepared by its independent external compensation consultant;</w:t>
      </w:r>
    </w:p>
    <w:p>
      <w:pPr>
        <w:spacing w:after="0" w:line="95" w:lineRule="exact"/>
        <w:rPr>
          <w:rFonts w:ascii="Arial" w:cs="Arial" w:eastAsia="Arial" w:hAnsi="Arial"/>
          <w:sz w:val="16"/>
          <w:szCs w:val="16"/>
          <w:color w:val="auto"/>
        </w:rPr>
      </w:pPr>
    </w:p>
    <w:p>
      <w:pPr>
        <w:ind w:left="780" w:hanging="384"/>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8"/>
          <w:szCs w:val="18"/>
          <w:color w:val="auto"/>
        </w:rPr>
        <w:t>total cash compensation to be paid for the fiscal year if annual cash incentive awards are achieved and paid at target;</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8"/>
          <w:szCs w:val="18"/>
          <w:color w:val="auto"/>
        </w:rPr>
        <w:t>prior fiscal year target equity values; and</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8"/>
          <w:szCs w:val="18"/>
          <w:color w:val="auto"/>
        </w:rPr>
        <w:t>total direct compensation for the fiscal year, assuming equity awards at target.</w:t>
      </w:r>
    </w:p>
    <w:p>
      <w:pPr>
        <w:spacing w:after="0" w:line="10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Additionally, the Committee obtains executive compensation recommendations from our Chairman and CEO, Vice President, Human Resources and General Counsel, and Managing Director, Total Rewards and Employee Services that reflect individual performance; future potential; corporate and/or division performance, as applicable; tenure in the position; comparison to market; level of professional experience; duties and responsibilities; internal pay comparisons; and outside market factors, including general economic conditions. In addition, as needed during the fiscal year, the Committee reviews significant events that have occurred at our Company, including merger and acquisition activity and, for fiscal 2020, the impact of the COVID-19 pandemic, and assesses whether such events necessitate a change in compensation for our executive officers.</w:t>
      </w:r>
    </w:p>
    <w:p>
      <w:pPr>
        <w:spacing w:after="0" w:line="96" w:lineRule="exact"/>
        <w:rPr>
          <w:sz w:val="20"/>
          <w:szCs w:val="20"/>
          <w:color w:val="auto"/>
        </w:rPr>
      </w:pPr>
    </w:p>
    <w:p>
      <w:pPr>
        <w:ind w:right="40" w:firstLine="401"/>
        <w:spacing w:after="0" w:line="235" w:lineRule="auto"/>
        <w:rPr>
          <w:sz w:val="20"/>
          <w:szCs w:val="20"/>
          <w:color w:val="auto"/>
        </w:rPr>
      </w:pPr>
      <w:r>
        <w:rPr>
          <w:rFonts w:ascii="Arial" w:cs="Arial" w:eastAsia="Arial" w:hAnsi="Arial"/>
          <w:sz w:val="18"/>
          <w:szCs w:val="18"/>
          <w:color w:val="auto"/>
        </w:rPr>
        <w:t>Neither the Chairman and CEO nor the Vice President, Human Resources and General Counsel provide input or recommendations with respect to his or her own compensation. The Chair of the Committee is also responsible for coordinating a performance evaluation for the Chairman and CEO based on feedback from all non-employee directors in connection with the ratification of the Chairman and CEO’s compensation by the Board. Information on the compensation of our named executive officers is found under “Executive Compensation” beginning on page 28. Also, at the beginning of each fiscal year, the Committee certifies the achievement of the applicable performance goals previously established by the Committee for the annual cash incentive awards and performance share awards and approves resulting payouts, if any.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00" w:lineRule="exact"/>
        <w:rPr>
          <w:sz w:val="20"/>
          <w:szCs w:val="20"/>
          <w:color w:val="auto"/>
        </w:rPr>
      </w:pPr>
    </w:p>
    <w:p>
      <w:pPr>
        <w:ind w:right="60" w:firstLine="401"/>
        <w:spacing w:after="0" w:line="248" w:lineRule="auto"/>
        <w:rPr>
          <w:sz w:val="20"/>
          <w:szCs w:val="20"/>
          <w:color w:val="auto"/>
        </w:rPr>
      </w:pPr>
      <w:r>
        <w:rPr>
          <w:rFonts w:ascii="Arial" w:cs="Arial" w:eastAsia="Arial" w:hAnsi="Arial"/>
          <w:sz w:val="17"/>
          <w:szCs w:val="17"/>
          <w:color w:val="auto"/>
        </w:rPr>
        <w:t>The Compensation &amp; Human Resources Committee retained Willis Towers Watson to assist in the design and review of our executive compensation program during fiscal 2020. Additional information regarding the role of Willis Towers Watson during fiscal 2020 is found under “Compensation Discussion and Analysis—Role of the Independent External Compensation Consultant” on page 32. From time to time, the Committee also has engaged Willis Towers Watson to perform other compensation consulting services, which in fiscal 2020 included a review of non-employee director compensation, an assessment of risk as it relates to our incentive plans, compensation consulting services relating to incentive plan performance measures and marketplace practices, and compensation consulting advice relating to how companies were navigating compensation matters during the COVID-19 pandemic. For the services performed for us in fiscal 2020, the Committee assessed the independence of Willis Towers Watson pursuant to SEC and NYSE rules and concluded that the work of Willis Towers Watson did not raise any conflicts of interest. Representatives from Willis Towers Watson attended all of the Committee meetings in fiscal 2020, including executive sessions without Management present, to act as a resource to the Committee in carrying out its responsibilities. The Committee, through its Chair, can request an independent meeting with representatives from our independent external compensation consultant at any time. The Committee also has the authority to obtain advice and assistance from external legal, accounting or other advisers.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Director Nomination and Refreshment Process</w:t>
      </w:r>
    </w:p>
    <w:p>
      <w:pPr>
        <w:spacing w:after="0" w:line="118" w:lineRule="exact"/>
        <w:rPr>
          <w:sz w:val="20"/>
          <w:szCs w:val="20"/>
          <w:color w:val="auto"/>
        </w:rPr>
      </w:pPr>
    </w:p>
    <w:p>
      <w:pPr>
        <w:ind w:right="120" w:firstLine="401"/>
        <w:spacing w:after="0" w:line="236" w:lineRule="auto"/>
        <w:rPr>
          <w:sz w:val="20"/>
          <w:szCs w:val="20"/>
          <w:color w:val="auto"/>
        </w:rPr>
      </w:pPr>
      <w:r>
        <w:rPr>
          <w:rFonts w:ascii="Arial" w:cs="Arial" w:eastAsia="Arial" w:hAnsi="Arial"/>
          <w:sz w:val="18"/>
          <w:szCs w:val="18"/>
          <w:color w:val="auto"/>
        </w:rPr>
        <w:t>In identifying new nominees for election to the Board when vacancies occur, the Nominating &amp; Governance Committee may solicit recommendations for nominees from other members of our Board or Senior Management. In addition, the Committee may (i) consider candidates put forth by external search or placement firms, (ii) formally engage such firms to assist it in identifying and evaluating qualified nominees, and/or (iii) consider certain individuals who contacted the Chairman of the Board, the Lead Independent Director and/or the Board of Directors and expressed an interest in serving on the Board.</w:t>
      </w:r>
    </w:p>
    <w:p>
      <w:pPr>
        <w:spacing w:after="0" w:line="95" w:lineRule="exact"/>
        <w:rPr>
          <w:sz w:val="20"/>
          <w:szCs w:val="20"/>
          <w:color w:val="auto"/>
        </w:rPr>
      </w:pPr>
    </w:p>
    <w:p>
      <w:pPr>
        <w:jc w:val="both"/>
        <w:ind w:right="340" w:firstLine="401"/>
        <w:spacing w:after="0" w:line="246" w:lineRule="auto"/>
        <w:rPr>
          <w:sz w:val="20"/>
          <w:szCs w:val="20"/>
          <w:color w:val="auto"/>
        </w:rPr>
      </w:pPr>
      <w:r>
        <w:rPr>
          <w:rFonts w:ascii="Arial" w:cs="Arial" w:eastAsia="Arial" w:hAnsi="Arial"/>
          <w:sz w:val="17"/>
          <w:szCs w:val="17"/>
          <w:color w:val="auto"/>
        </w:rPr>
        <w:t>When reviewing the requisite skills and characteristics of potential new director nominees, the Nominating &amp; Governance Committee, pursuant to our Corporate Governance Guidelines, will consider a variety of criteria, including an individual’s independence, diversity, age, skills, business experience, professional experience and industry experience, each in the context of the needs of the Board as a whole.</w:t>
      </w:r>
    </w:p>
    <w:p>
      <w:pPr>
        <w:spacing w:after="0" w:line="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Although the Committee does not have a formal policy regarding consideration of diversity in identifying director nominees, the Committee will evaluate a nominee based on his or her background, skills, business and professional experiences, viewpoints, and geographical representation, as well as more traditional diversity factors. As a result, the composition of the current Board reflects diversity in business and professional experiences, age, gender, race/ethnicity, background, and skills. In addition, the Committee and the Board are committed to having a Board that is diverse from a gender, race, and/or ethnicity perspective and will look to add individuals to our Board that have such diversity attributes, along with requisite experience, to further bolster the diversity of our Board as opportunities arise.</w:t>
      </w:r>
    </w:p>
    <w:p>
      <w:pPr>
        <w:spacing w:after="0" w:line="98" w:lineRule="exact"/>
        <w:rPr>
          <w:sz w:val="20"/>
          <w:szCs w:val="20"/>
          <w:color w:val="auto"/>
        </w:rPr>
      </w:pPr>
    </w:p>
    <w:p>
      <w:pPr>
        <w:jc w:val="both"/>
        <w:ind w:right="160" w:firstLine="401"/>
        <w:spacing w:after="0" w:line="236" w:lineRule="auto"/>
        <w:rPr>
          <w:sz w:val="20"/>
          <w:szCs w:val="20"/>
          <w:color w:val="auto"/>
        </w:rPr>
      </w:pPr>
      <w:r>
        <w:rPr>
          <w:rFonts w:ascii="Arial" w:cs="Arial" w:eastAsia="Arial" w:hAnsi="Arial"/>
          <w:sz w:val="18"/>
          <w:szCs w:val="18"/>
          <w:color w:val="auto"/>
        </w:rPr>
        <w:t>Once a proposed candidate is identified, the Nominating &amp; Governance Committee may solicit the views of Senior Management, Board members and any other individuals it believes may have insight into a particular candidate. The Committee may designate one or more of its members and/or other Board members to interview any proposed candidate. The Committee then will recommend a director nominee to the Board based on its evaluation of such criteria.</w:t>
      </w:r>
    </w:p>
    <w:p>
      <w:pPr>
        <w:spacing w:after="0" w:line="97" w:lineRule="exact"/>
        <w:rPr>
          <w:sz w:val="20"/>
          <w:szCs w:val="20"/>
          <w:color w:val="auto"/>
        </w:rPr>
      </w:pPr>
    </w:p>
    <w:p>
      <w:pPr>
        <w:ind w:firstLine="401"/>
        <w:spacing w:after="0" w:line="234" w:lineRule="auto"/>
        <w:rPr>
          <w:sz w:val="20"/>
          <w:szCs w:val="20"/>
          <w:color w:val="auto"/>
        </w:rPr>
      </w:pPr>
      <w:r>
        <w:rPr>
          <w:rFonts w:ascii="Arial" w:cs="Arial" w:eastAsia="Arial" w:hAnsi="Arial"/>
          <w:sz w:val="18"/>
          <w:szCs w:val="18"/>
          <w:color w:val="auto"/>
        </w:rPr>
        <w:t>The Nominating &amp; Governance Committee will consider director candidates recommended to it by our shareholders. Those candidates must be qualified and exhibit the experience and expertise required of the Board’s own pool of candidates, as well as have an interest in our business, and the demonstrated ability to attend and prepare for Board, committee and shareholder meetings. Any candidate must state in advance his or her willingness and interest in serving on the Board. Candidates should represent the interests of all shareholders and not those of a special interest group. The Committee will evaluate candidates recommended by shareholders using the same criteria it uses to evaluate candidates recommended by others as described above. A shareholder that desires to nominate a person for election to the Board at a meeting of shareholders must follow the specified advance notice requirements contained in, and provide the specific information required by, our Amended and Restated Bylaws. The current requirements of our Amended and Restated Bylaws are as described under “Shareholder Proposals and Director Nominations for the 2022 Annual Meeting” beginning on page 65.</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Related Person Transactions and Policies and Procedures Regarding Related Person Transactions</w:t>
      </w:r>
    </w:p>
    <w:p>
      <w:pPr>
        <w:spacing w:after="0" w:line="118" w:lineRule="exact"/>
        <w:rPr>
          <w:sz w:val="20"/>
          <w:szCs w:val="20"/>
          <w:color w:val="auto"/>
        </w:rPr>
      </w:pPr>
    </w:p>
    <w:p>
      <w:pPr>
        <w:ind w:right="200" w:firstLine="401"/>
        <w:spacing w:after="0" w:line="236" w:lineRule="auto"/>
        <w:rPr>
          <w:sz w:val="20"/>
          <w:szCs w:val="20"/>
          <w:color w:val="auto"/>
        </w:rPr>
      </w:pPr>
      <w:r>
        <w:rPr>
          <w:rFonts w:ascii="Arial" w:cs="Arial" w:eastAsia="Arial" w:hAnsi="Arial"/>
          <w:sz w:val="18"/>
          <w:szCs w:val="18"/>
          <w:color w:val="auto"/>
        </w:rPr>
        <w:t>Our Corporate Governance Guidelines set forth in writing our policies and procedures regarding the review, approval and ratification of related person transactions. All reportable related person transactions must be reviewed, approved or ratified by the Nominating &amp; Governance Committee. In determining whether to approve or ratify such transactions, the Committee will take into account, among other factors and information it deems appropriate:</w:t>
      </w:r>
    </w:p>
    <w:p>
      <w:pPr>
        <w:spacing w:after="0" w:line="97" w:lineRule="exact"/>
        <w:rPr>
          <w:sz w:val="20"/>
          <w:szCs w:val="20"/>
          <w:color w:val="auto"/>
        </w:rPr>
      </w:pPr>
    </w:p>
    <w:p>
      <w:pPr>
        <w:ind w:left="780" w:hanging="384"/>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8"/>
          <w:szCs w:val="18"/>
          <w:color w:val="auto"/>
        </w:rPr>
        <w:t>the related person’s relationship to our Company and interest in the transaction;</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8"/>
          <w:szCs w:val="18"/>
          <w:color w:val="auto"/>
        </w:rPr>
        <w:t>the material facts of the transaction;</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8"/>
          <w:szCs w:val="18"/>
          <w:color w:val="auto"/>
        </w:rPr>
        <w:t>the benefits to our Company of the transaction; and</w:t>
      </w:r>
    </w:p>
    <w:p>
      <w:pPr>
        <w:spacing w:after="0" w:line="101" w:lineRule="exact"/>
        <w:rPr>
          <w:rFonts w:ascii="Arial" w:cs="Arial" w:eastAsia="Arial" w:hAnsi="Arial"/>
          <w:sz w:val="16"/>
          <w:szCs w:val="16"/>
          <w:color w:val="auto"/>
        </w:rPr>
      </w:pPr>
    </w:p>
    <w:p>
      <w:pPr>
        <w:ind w:left="780" w:right="60" w:hanging="384"/>
        <w:spacing w:after="0" w:line="238"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8"/>
          <w:szCs w:val="18"/>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95" w:lineRule="exact"/>
        <w:rPr>
          <w:sz w:val="20"/>
          <w:szCs w:val="20"/>
          <w:color w:val="auto"/>
        </w:rPr>
      </w:pPr>
    </w:p>
    <w:p>
      <w:pPr>
        <w:ind w:right="140" w:firstLine="401"/>
        <w:spacing w:after="0" w:line="236" w:lineRule="auto"/>
        <w:rPr>
          <w:sz w:val="20"/>
          <w:szCs w:val="20"/>
          <w:color w:val="auto"/>
        </w:rPr>
      </w:pPr>
      <w:r>
        <w:rPr>
          <w:rFonts w:ascii="Arial" w:cs="Arial" w:eastAsia="Arial" w:hAnsi="Arial"/>
          <w:sz w:val="18"/>
          <w:szCs w:val="18"/>
          <w:color w:val="auto"/>
        </w:rPr>
        <w:t>Transactions in the ordinary course of business, between us and an unaffiliated corporation of which one of our non-employee directors or director nominees serves as an officer, that are at arm’s length, at prices and on terms customarily available to unrelated third party vendors or customers generally, in which the non-employee director or director nominee had no direct or indirect personal interest, nor received any personal benefit, and in amounts that are not material to our business or the business of such unaffiliated corporation, are deemed conclusively pre-approved.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Board of Directors Business Ethics Policy Statement</w:t>
      </w:r>
    </w:p>
    <w:p>
      <w:pPr>
        <w:spacing w:after="0" w:line="118" w:lineRule="exact"/>
        <w:rPr>
          <w:sz w:val="20"/>
          <w:szCs w:val="20"/>
          <w:color w:val="auto"/>
        </w:rPr>
      </w:pPr>
    </w:p>
    <w:p>
      <w:pPr>
        <w:ind w:right="400" w:firstLine="401"/>
        <w:spacing w:after="0" w:line="238" w:lineRule="auto"/>
        <w:rPr>
          <w:sz w:val="20"/>
          <w:szCs w:val="20"/>
          <w:color w:val="auto"/>
        </w:rPr>
      </w:pPr>
      <w:r>
        <w:rPr>
          <w:rFonts w:ascii="Arial" w:cs="Arial" w:eastAsia="Arial" w:hAnsi="Arial"/>
          <w:sz w:val="18"/>
          <w:szCs w:val="18"/>
          <w:color w:val="auto"/>
        </w:rPr>
        <w:t>It is our policy to maintain the highest level of moral, ethical and legal standards in the conduct of our business. Pursuant to our Corporate Governance Guidelines, the Board has adopted, and each director annually signs, a Board of Directors Business Ethics Policy Statement. The policy can be found on our website at www.thetorocompany.com/ethics.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Code of Conduct and Code of Ethics for our CEO and Senior Financial Personnel</w:t>
      </w:r>
    </w:p>
    <w:p>
      <w:pPr>
        <w:spacing w:after="0" w:line="118" w:lineRule="exact"/>
        <w:rPr>
          <w:sz w:val="20"/>
          <w:szCs w:val="20"/>
          <w:color w:val="auto"/>
        </w:rPr>
      </w:pPr>
    </w:p>
    <w:p>
      <w:pPr>
        <w:ind w:firstLine="401"/>
        <w:spacing w:after="0" w:line="250" w:lineRule="auto"/>
        <w:rPr>
          <w:sz w:val="20"/>
          <w:szCs w:val="20"/>
          <w:color w:val="auto"/>
        </w:rPr>
      </w:pPr>
      <w:r>
        <w:rPr>
          <w:rFonts w:ascii="Arial" w:cs="Arial" w:eastAsia="Arial" w:hAnsi="Arial"/>
          <w:sz w:val="17"/>
          <w:szCs w:val="17"/>
          <w:color w:val="auto"/>
        </w:rPr>
        <w:t>All of our directors and employees are required to comply with our Code of Conduct to help ensure that our business is conducted in accordance with the highest level of moral, ethical and legal standards. We also have a Code of Ethics for our CEO and Senior Financial Personnel applicable to our CEO (our principal executive officer), our Vice President, Treasurer and Chief Financial Officer (our principal financial and accounting officer), and certain senior accounting and/or treasury personnel who are also bound by the provisions set forth in the Code of Conduct relating to ethical conduct, conflicts of interest and compliance with the law. Our Code of Conduct and Code of Ethics for our CEO and Senior Financial Personnel can be found on our website at www.thetorocompany.com/ethics. If necessary, we intend to satisfy the disclosure requirements of Item 5.05 of the Current Report on Form 8-K regarding amendments to or waivers from any provision of our Code of Ethics for our CEO and Senior Financial Personnel by posting such information on our website at www.thetorocompany.com/ethics.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Communications with Directors</w:t>
      </w:r>
    </w:p>
    <w:p>
      <w:pPr>
        <w:spacing w:after="0" w:line="118" w:lineRule="exact"/>
        <w:rPr>
          <w:sz w:val="20"/>
          <w:szCs w:val="20"/>
          <w:color w:val="auto"/>
        </w:rPr>
      </w:pPr>
    </w:p>
    <w:p>
      <w:pPr>
        <w:ind w:right="40" w:firstLine="401"/>
        <w:spacing w:after="0" w:line="235" w:lineRule="auto"/>
        <w:rPr>
          <w:sz w:val="20"/>
          <w:szCs w:val="20"/>
          <w:color w:val="auto"/>
        </w:rPr>
      </w:pPr>
      <w:r>
        <w:rPr>
          <w:rFonts w:ascii="Arial" w:cs="Arial" w:eastAsia="Arial" w:hAnsi="Arial"/>
          <w:sz w:val="18"/>
          <w:szCs w:val="18"/>
          <w:color w:val="auto"/>
        </w:rPr>
        <w:t>Shareholders and other interested parties may communicate directly with our Board of Directors, our Board committees, our non-employee directors as a group, our Lead Independent Director, or any other specified individual director in writing by (i) sending a letter addressed to The Toro Company Board of Directors, c/o General Counsel, 8111 Lyndale Avenue South, Bloomington, Minnesota, 55420-1196, or (ii) sending an email to boardofdirectors@toro.com. Substantive communications, such as corporate governance matters or potential issues relating to accounting, internal controls or other auditing matters, are forwarded by our General Counsel to the relevant director(s) as appropriate. Communications not requiring the substantive attention of our Board, such as employment inquiries, sales solicitations, donation requests, questions about our products, and other such matters, are handled directly by our Management.</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Complaint Procedures</w:t>
      </w:r>
    </w:p>
    <w:p>
      <w:pPr>
        <w:spacing w:after="0" w:line="118" w:lineRule="exact"/>
        <w:rPr>
          <w:sz w:val="20"/>
          <w:szCs w:val="20"/>
          <w:color w:val="auto"/>
        </w:rPr>
      </w:pPr>
    </w:p>
    <w:p>
      <w:pPr>
        <w:ind w:firstLine="401"/>
        <w:spacing w:after="0" w:line="235" w:lineRule="auto"/>
        <w:rPr>
          <w:sz w:val="20"/>
          <w:szCs w:val="20"/>
          <w:color w:val="auto"/>
        </w:rPr>
      </w:pPr>
      <w:r>
        <w:rPr>
          <w:rFonts w:ascii="Arial" w:cs="Arial" w:eastAsia="Arial" w:hAnsi="Arial"/>
          <w:sz w:val="18"/>
          <w:szCs w:val="18"/>
          <w:color w:val="auto"/>
        </w:rPr>
        <w:t>We maintain procedures to receive, retain and treat complaints regarding accounting, internal accounting controls or auditing matters and to allow for the confidential and anonymous submission by employees of concerns regarding questionable accounting or auditing matters. A 24-hour, toll-free confidential ethics helpline and a confidential web-based reporting tool are available for the submission of concerns regarding these and other matters by any employee. Concerns and questions received through these methods relating to accounting, internal accounting controls or auditing matters are promptly brought to the attention of the Chair of the Audit Committee and are handled in accordance with procedures established by the Audit Committee. Complete information regarding our complaint procedures is contained within our Code of Conduct, which may be accessed on our website as noted above.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3590" cy="2044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3590" cy="204470"/>
                    </a:xfrm>
                    <a:prstGeom prst="rect">
                      <a:avLst/>
                    </a:prstGeom>
                    <a:noFill/>
                  </pic:spPr>
                </pic:pic>
              </a:graphicData>
            </a:graphic>
          </wp:anchor>
        </w:drawing>
      </w:r>
    </w:p>
    <w:p>
      <w:pPr>
        <w:ind w:left="4160"/>
        <w:spacing w:after="0"/>
        <w:rPr>
          <w:sz w:val="20"/>
          <w:szCs w:val="20"/>
          <w:color w:val="auto"/>
        </w:rPr>
      </w:pPr>
      <w:r>
        <w:rPr>
          <w:rFonts w:ascii="Arial" w:cs="Arial" w:eastAsia="Arial" w:hAnsi="Arial"/>
          <w:sz w:val="21"/>
          <w:szCs w:val="21"/>
          <w:b w:val="1"/>
          <w:bCs w:val="1"/>
          <w:color w:val="FFFFFF"/>
        </w:rPr>
        <w:t>DIRECTOR COMPENSATION</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Director Compensation Program for Fiscal 2020</w:t>
      </w:r>
    </w:p>
    <w:p>
      <w:pPr>
        <w:spacing w:after="0" w:line="96" w:lineRule="exact"/>
        <w:rPr>
          <w:sz w:val="20"/>
          <w:szCs w:val="20"/>
          <w:color w:val="auto"/>
        </w:rPr>
      </w:pPr>
    </w:p>
    <w:p>
      <w:pPr>
        <w:ind w:right="120" w:firstLine="401"/>
        <w:spacing w:after="0" w:line="237"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non-employee director compensation program is designed to attract and retain experienced and knowledgeable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to provide equity-based compensation to align the interests of our directors with those of our shareholders. At the beginning of fiscal 2020, our non-employee director compensation was expected to be comprised of equity compensation, in the form of annual stock and stock option awards, and cash compensation, in the form of annual retainers that are paid quarterly. However, recognizing the significance of the COVID-19 pandemic and the uncertainty at that time as to the impact that the pandemic could have on our business and employees, in April 2020, the Board decided to cancel their fiscal 2020 quarterly retainer payments and determined that an amount equal to such payments should instead be donated by TTC to the Melrose/Hoffman Employee Critical Needs Fund to help support our employees during this critical time. As such, an amount equal to the cancelled retainers that would otherwise have been payable in each of our third and fourth fiscal quarters of 2020 was donated to the Melrose/Hoffman Employee Critical Needs Fund.</w:t>
      </w:r>
    </w:p>
    <w:p>
      <w:pPr>
        <w:spacing w:after="0" w:line="99" w:lineRule="exact"/>
        <w:rPr>
          <w:sz w:val="20"/>
          <w:szCs w:val="20"/>
          <w:color w:val="auto"/>
        </w:rPr>
      </w:pPr>
    </w:p>
    <w:p>
      <w:pPr>
        <w:ind w:right="80" w:firstLine="401"/>
        <w:spacing w:after="0" w:line="236" w:lineRule="auto"/>
        <w:rPr>
          <w:sz w:val="20"/>
          <w:szCs w:val="20"/>
          <w:color w:val="auto"/>
        </w:rPr>
      </w:pPr>
      <w:r>
        <w:rPr>
          <w:rFonts w:ascii="Arial" w:cs="Arial" w:eastAsia="Arial" w:hAnsi="Arial"/>
          <w:sz w:val="18"/>
          <w:szCs w:val="18"/>
          <w:color w:val="auto"/>
        </w:rPr>
        <w:t>Each of the components of our Board compensation is described in more detail below. The Board compensation program structure, together with the feature of The Toro Company Amended and Restated 2010 Equity and Incentive Plan, as amended and restated, or the 2010 Plan, that enables our directors to elect to receive a portion or all of their cash compensation in the form of our common stock, causes a substantial portion of our non-employee director compensation to be linked to our common stock performance. As a current employee director, Mr. Olson does not receive any additional compensation for his service as a director.</w:t>
      </w:r>
    </w:p>
    <w:p>
      <w:pPr>
        <w:spacing w:after="0" w:line="73" w:lineRule="exact"/>
        <w:rPr>
          <w:sz w:val="20"/>
          <w:szCs w:val="20"/>
          <w:color w:val="auto"/>
        </w:rPr>
      </w:pPr>
    </w:p>
    <w:p>
      <w:pPr>
        <w:ind w:firstLine="401"/>
        <w:spacing w:after="0" w:line="241" w:lineRule="auto"/>
        <w:rPr>
          <w:sz w:val="20"/>
          <w:szCs w:val="20"/>
          <w:color w:val="auto"/>
        </w:rPr>
      </w:pPr>
      <w:r>
        <w:rPr>
          <w:rFonts w:ascii="Arial" w:cs="Arial" w:eastAsia="Arial" w:hAnsi="Arial"/>
          <w:sz w:val="18"/>
          <w:szCs w:val="18"/>
          <w:b w:val="1"/>
          <w:bCs w:val="1"/>
          <w:color w:val="auto"/>
        </w:rPr>
        <w:t xml:space="preserve">Process for Consideration and Determination of Director Compensation. </w:t>
      </w:r>
      <w:r>
        <w:rPr>
          <w:rFonts w:ascii="Arial" w:cs="Arial" w:eastAsia="Arial" w:hAnsi="Arial"/>
          <w:sz w:val="18"/>
          <w:szCs w:val="18"/>
          <w:color w:val="auto"/>
        </w:rPr>
        <w:t>The Board has delegated to the Compensation &amp;</w:t>
      </w:r>
      <w:r>
        <w:rPr>
          <w:rFonts w:ascii="Arial" w:cs="Arial" w:eastAsia="Arial" w:hAnsi="Arial"/>
          <w:sz w:val="18"/>
          <w:szCs w:val="18"/>
          <w:b w:val="1"/>
          <w:bCs w:val="1"/>
          <w:color w:val="auto"/>
        </w:rPr>
        <w:t xml:space="preserve"> </w:t>
      </w:r>
      <w:r>
        <w:rPr>
          <w:rFonts w:ascii="Arial" w:cs="Arial" w:eastAsia="Arial" w:hAnsi="Arial"/>
          <w:sz w:val="18"/>
          <w:szCs w:val="18"/>
          <w:color w:val="auto"/>
        </w:rPr>
        <w:t>Human Resources Committee the responsibility, among other things, to review and recommend to the Board any proposed changes in non-employee director compensation. In connection with such review, the Compensation &amp; Human Resources Committee is assisted in performing its duties by our Human Resources Department and also engages an independent external compensation consultant to provide analysis regarding non-employee director compensation.</w:t>
      </w:r>
    </w:p>
    <w:p>
      <w:pPr>
        <w:spacing w:after="0" w:line="95" w:lineRule="exact"/>
        <w:rPr>
          <w:sz w:val="20"/>
          <w:szCs w:val="20"/>
          <w:color w:val="auto"/>
        </w:rPr>
      </w:pPr>
    </w:p>
    <w:p>
      <w:pPr>
        <w:ind w:right="40" w:firstLine="401"/>
        <w:spacing w:after="0" w:line="234" w:lineRule="auto"/>
        <w:rPr>
          <w:sz w:val="20"/>
          <w:szCs w:val="20"/>
          <w:color w:val="auto"/>
        </w:rPr>
      </w:pPr>
      <w:r>
        <w:rPr>
          <w:rFonts w:ascii="Arial" w:cs="Arial" w:eastAsia="Arial" w:hAnsi="Arial"/>
          <w:sz w:val="18"/>
          <w:szCs w:val="18"/>
          <w:color w:val="auto"/>
        </w:rPr>
        <w:t>The Compensation &amp; Human Resources Committee engaged Willis Towers Watson to review our non-employee director compensation for fiscal 2020. The Willis Towers Watson review consisted of, among other things, analysis of board and committee compensation trends, a competitive assessment based on a selected group of manufacturing companies operating in the United States that are similar in size to us from a revenue and market capitalization perspective, and a separate analysis of lead director compensation. In September 2019, prior to the beginning of fiscal 2020, the Compensation &amp; Human Resources Committee considered this data and recommended to the Board that certain changes be made to the non-employee director compensation program for fiscal 2020 from fiscal 2019, including increases in the annual stock award and the annual Board retainer, and the Board approved these changes. Subsequently, due to the worldwide impact of the COVID-19 pandemic, in April 2020, the Board took action to cancel the third and fourth quarter fiscal 2020 cash retainers and directed TTC to donate a like amount to the Melrose/Hoffman Employee Critical Needs Fund. Cash retainers were reinstated at the beginning of fiscal 2021 and no changes were made to the structure or amounts of our non-employee director compensation for fiscal 2021.</w:t>
      </w:r>
    </w:p>
    <w:p>
      <w:pPr>
        <w:spacing w:after="0" w:line="78" w:lineRule="exact"/>
        <w:rPr>
          <w:sz w:val="20"/>
          <w:szCs w:val="20"/>
          <w:color w:val="auto"/>
        </w:rPr>
      </w:pPr>
    </w:p>
    <w:p>
      <w:pPr>
        <w:ind w:right="420" w:firstLine="401"/>
        <w:spacing w:after="0" w:line="266" w:lineRule="auto"/>
        <w:rPr>
          <w:sz w:val="20"/>
          <w:szCs w:val="20"/>
          <w:color w:val="auto"/>
        </w:rPr>
      </w:pPr>
      <w:r>
        <w:rPr>
          <w:rFonts w:ascii="Arial" w:cs="Arial" w:eastAsia="Arial" w:hAnsi="Arial"/>
          <w:sz w:val="18"/>
          <w:szCs w:val="18"/>
          <w:b w:val="1"/>
          <w:bCs w:val="1"/>
          <w:color w:val="auto"/>
        </w:rPr>
        <w:t xml:space="preserve">Elements of Our Non-Employee Director Compensation Program. </w:t>
      </w:r>
      <w:r>
        <w:rPr>
          <w:rFonts w:ascii="Arial" w:cs="Arial" w:eastAsia="Arial" w:hAnsi="Arial"/>
          <w:sz w:val="18"/>
          <w:szCs w:val="18"/>
          <w:color w:val="auto"/>
        </w:rPr>
        <w:t>The following table sets forth our fiscal 2020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compensation program.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720" w:type="dxa"/>
            <w:vAlign w:val="bottom"/>
            <w:shd w:val="clear" w:color="auto" w:fill="C00000"/>
          </w:tcPr>
          <w:p>
            <w:pPr>
              <w:spacing w:after="0"/>
              <w:rPr>
                <w:sz w:val="14"/>
                <w:szCs w:val="14"/>
                <w:color w:val="auto"/>
              </w:rPr>
            </w:pPr>
          </w:p>
        </w:tc>
        <w:tc>
          <w:tcPr>
            <w:tcW w:w="2260" w:type="dxa"/>
            <w:vAlign w:val="bottom"/>
            <w:shd w:val="clear" w:color="auto" w:fill="C00000"/>
          </w:tcPr>
          <w:p>
            <w:pPr>
              <w:jc w:val="right"/>
              <w:ind w:right="201"/>
              <w:spacing w:after="0"/>
              <w:rPr>
                <w:sz w:val="20"/>
                <w:szCs w:val="20"/>
                <w:color w:val="auto"/>
              </w:rPr>
            </w:pPr>
            <w:r>
              <w:rPr>
                <w:rFonts w:ascii="Arial" w:cs="Arial" w:eastAsia="Arial" w:hAnsi="Arial"/>
                <w:sz w:val="14"/>
                <w:szCs w:val="14"/>
                <w:b w:val="1"/>
                <w:bCs w:val="1"/>
                <w:color w:val="FFFFFF"/>
              </w:rPr>
              <w:t>Fiscal 2020</w:t>
            </w:r>
          </w:p>
        </w:tc>
      </w:tr>
      <w:tr>
        <w:trPr>
          <w:trHeight w:val="174"/>
        </w:trPr>
        <w:tc>
          <w:tcPr>
            <w:tcW w:w="67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Non-Employee Director Compensation</w:t>
            </w:r>
          </w:p>
        </w:tc>
        <w:tc>
          <w:tcPr>
            <w:tcW w:w="2260" w:type="dxa"/>
            <w:vAlign w:val="bottom"/>
            <w:shd w:val="clear" w:color="auto" w:fill="C00000"/>
          </w:tcPr>
          <w:p>
            <w:pPr>
              <w:jc w:val="right"/>
              <w:ind w:right="481"/>
              <w:spacing w:after="0"/>
              <w:rPr>
                <w:sz w:val="20"/>
                <w:szCs w:val="20"/>
                <w:color w:val="auto"/>
              </w:rPr>
            </w:pPr>
            <w:r>
              <w:rPr>
                <w:rFonts w:ascii="Arial" w:cs="Arial" w:eastAsia="Arial" w:hAnsi="Arial"/>
                <w:sz w:val="14"/>
                <w:szCs w:val="14"/>
                <w:b w:val="1"/>
                <w:bCs w:val="1"/>
                <w:color w:val="FFFFFF"/>
              </w:rPr>
              <w:t>($)</w:t>
            </w:r>
          </w:p>
        </w:tc>
      </w:tr>
      <w:tr>
        <w:trPr>
          <w:trHeight w:val="232"/>
        </w:trPr>
        <w:tc>
          <w:tcPr>
            <w:tcW w:w="6720" w:type="dxa"/>
            <w:vAlign w:val="bottom"/>
          </w:tcPr>
          <w:p>
            <w:pPr>
              <w:spacing w:after="0"/>
              <w:rPr>
                <w:sz w:val="20"/>
                <w:szCs w:val="20"/>
                <w:color w:val="auto"/>
              </w:rPr>
            </w:pPr>
            <w:r>
              <w:rPr>
                <w:rFonts w:ascii="Arial" w:cs="Arial" w:eastAsia="Arial" w:hAnsi="Arial"/>
                <w:sz w:val="16"/>
                <w:szCs w:val="16"/>
                <w:color w:val="auto"/>
              </w:rPr>
              <w:t>Annual Stock Award Value</w:t>
            </w:r>
          </w:p>
        </w:tc>
        <w:tc>
          <w:tcPr>
            <w:tcW w:w="2260" w:type="dxa"/>
            <w:vAlign w:val="bottom"/>
          </w:tcPr>
          <w:p>
            <w:pPr>
              <w:jc w:val="right"/>
              <w:ind w:right="21"/>
              <w:spacing w:after="0"/>
              <w:rPr>
                <w:sz w:val="20"/>
                <w:szCs w:val="20"/>
                <w:color w:val="auto"/>
              </w:rPr>
            </w:pPr>
            <w:r>
              <w:rPr>
                <w:rFonts w:ascii="Arial" w:cs="Arial" w:eastAsia="Arial" w:hAnsi="Arial"/>
                <w:sz w:val="16"/>
                <w:szCs w:val="16"/>
                <w:color w:val="auto"/>
              </w:rPr>
              <w:t>65,000</w:t>
            </w:r>
          </w:p>
        </w:tc>
      </w:tr>
      <w:tr>
        <w:trPr>
          <w:trHeight w:val="251"/>
        </w:trPr>
        <w:tc>
          <w:tcPr>
            <w:tcW w:w="6720" w:type="dxa"/>
            <w:vAlign w:val="bottom"/>
            <w:shd w:val="clear" w:color="auto" w:fill="D9D9D9"/>
          </w:tcPr>
          <w:p>
            <w:pPr>
              <w:spacing w:after="0"/>
              <w:rPr>
                <w:sz w:val="20"/>
                <w:szCs w:val="20"/>
                <w:color w:val="auto"/>
              </w:rPr>
            </w:pPr>
            <w:r>
              <w:rPr>
                <w:rFonts w:ascii="Arial" w:cs="Arial" w:eastAsia="Arial" w:hAnsi="Arial"/>
                <w:sz w:val="16"/>
                <w:szCs w:val="16"/>
                <w:color w:val="auto"/>
              </w:rPr>
              <w:t>Annual Stock Option Award Value</w:t>
            </w:r>
          </w:p>
        </w:tc>
        <w:tc>
          <w:tcPr>
            <w:tcW w:w="226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55,000</w:t>
            </w:r>
          </w:p>
        </w:tc>
      </w:tr>
      <w:tr>
        <w:trPr>
          <w:trHeight w:val="232"/>
        </w:trPr>
        <w:tc>
          <w:tcPr>
            <w:tcW w:w="6720" w:type="dxa"/>
            <w:vAlign w:val="bottom"/>
          </w:tcPr>
          <w:p>
            <w:pPr>
              <w:spacing w:after="0"/>
              <w:rPr>
                <w:sz w:val="20"/>
                <w:szCs w:val="20"/>
                <w:color w:val="auto"/>
              </w:rPr>
            </w:pPr>
            <w:r>
              <w:rPr>
                <w:rFonts w:ascii="Arial" w:cs="Arial" w:eastAsia="Arial" w:hAnsi="Arial"/>
                <w:sz w:val="16"/>
                <w:szCs w:val="16"/>
                <w:color w:val="auto"/>
              </w:rPr>
              <w:t>Annual Board and Committee Member Retainers</w:t>
            </w:r>
          </w:p>
        </w:tc>
        <w:tc>
          <w:tcPr>
            <w:tcW w:w="2260" w:type="dxa"/>
            <w:vAlign w:val="bottom"/>
          </w:tcPr>
          <w:p>
            <w:pPr>
              <w:spacing w:after="0"/>
              <w:rPr>
                <w:sz w:val="20"/>
                <w:szCs w:val="20"/>
                <w:color w:val="auto"/>
              </w:rPr>
            </w:pPr>
          </w:p>
        </w:tc>
      </w:tr>
      <w:tr>
        <w:trPr>
          <w:trHeight w:val="251"/>
        </w:trPr>
        <w:tc>
          <w:tcPr>
            <w:tcW w:w="6720" w:type="dxa"/>
            <w:vAlign w:val="bottom"/>
            <w:shd w:val="clear" w:color="auto" w:fill="D9D9D9"/>
          </w:tcPr>
          <w:p>
            <w:pPr>
              <w:ind w:left="240"/>
              <w:spacing w:after="0"/>
              <w:rPr>
                <w:sz w:val="20"/>
                <w:szCs w:val="20"/>
                <w:color w:val="auto"/>
              </w:rPr>
            </w:pPr>
            <w:r>
              <w:rPr>
                <w:rFonts w:ascii="Arial" w:cs="Arial" w:eastAsia="Arial" w:hAnsi="Arial"/>
                <w:sz w:val="16"/>
                <w:szCs w:val="16"/>
                <w:color w:val="auto"/>
              </w:rPr>
              <w:t>Board</w:t>
            </w:r>
          </w:p>
        </w:tc>
        <w:tc>
          <w:tcPr>
            <w:tcW w:w="226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85,000</w:t>
            </w:r>
          </w:p>
        </w:tc>
      </w:tr>
      <w:tr>
        <w:trPr>
          <w:trHeight w:val="232"/>
        </w:trPr>
        <w:tc>
          <w:tcPr>
            <w:tcW w:w="6720" w:type="dxa"/>
            <w:vAlign w:val="bottom"/>
          </w:tcPr>
          <w:p>
            <w:pPr>
              <w:ind w:left="240"/>
              <w:spacing w:after="0"/>
              <w:rPr>
                <w:sz w:val="20"/>
                <w:szCs w:val="20"/>
                <w:color w:val="auto"/>
              </w:rPr>
            </w:pPr>
            <w:r>
              <w:rPr>
                <w:rFonts w:ascii="Arial" w:cs="Arial" w:eastAsia="Arial" w:hAnsi="Arial"/>
                <w:sz w:val="16"/>
                <w:szCs w:val="16"/>
                <w:color w:val="auto"/>
              </w:rPr>
              <w:t>Audit Committee Member</w:t>
            </w:r>
          </w:p>
        </w:tc>
        <w:tc>
          <w:tcPr>
            <w:tcW w:w="2260" w:type="dxa"/>
            <w:vAlign w:val="bottom"/>
          </w:tcPr>
          <w:p>
            <w:pPr>
              <w:jc w:val="right"/>
              <w:ind w:right="21"/>
              <w:spacing w:after="0"/>
              <w:rPr>
                <w:sz w:val="20"/>
                <w:szCs w:val="20"/>
                <w:color w:val="auto"/>
              </w:rPr>
            </w:pPr>
            <w:r>
              <w:rPr>
                <w:rFonts w:ascii="Arial" w:cs="Arial" w:eastAsia="Arial" w:hAnsi="Arial"/>
                <w:sz w:val="16"/>
                <w:szCs w:val="16"/>
                <w:color w:val="auto"/>
              </w:rPr>
              <w:t>12,500</w:t>
            </w:r>
          </w:p>
        </w:tc>
      </w:tr>
      <w:tr>
        <w:trPr>
          <w:trHeight w:val="251"/>
        </w:trPr>
        <w:tc>
          <w:tcPr>
            <w:tcW w:w="6720" w:type="dxa"/>
            <w:vAlign w:val="bottom"/>
            <w:shd w:val="clear" w:color="auto" w:fill="D9D9D9"/>
          </w:tcPr>
          <w:p>
            <w:pPr>
              <w:ind w:left="240"/>
              <w:spacing w:after="0"/>
              <w:rPr>
                <w:sz w:val="20"/>
                <w:szCs w:val="20"/>
                <w:color w:val="auto"/>
              </w:rPr>
            </w:pPr>
            <w:r>
              <w:rPr>
                <w:rFonts w:ascii="Arial" w:cs="Arial" w:eastAsia="Arial" w:hAnsi="Arial"/>
                <w:sz w:val="16"/>
                <w:szCs w:val="16"/>
                <w:color w:val="auto"/>
              </w:rPr>
              <w:t>Compensation &amp; Human Resources Committee Member</w:t>
            </w:r>
          </w:p>
        </w:tc>
        <w:tc>
          <w:tcPr>
            <w:tcW w:w="226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7,000</w:t>
            </w:r>
          </w:p>
        </w:tc>
      </w:tr>
      <w:tr>
        <w:trPr>
          <w:trHeight w:val="232"/>
        </w:trPr>
        <w:tc>
          <w:tcPr>
            <w:tcW w:w="6720" w:type="dxa"/>
            <w:vAlign w:val="bottom"/>
          </w:tcPr>
          <w:p>
            <w:pPr>
              <w:ind w:left="240"/>
              <w:spacing w:after="0"/>
              <w:rPr>
                <w:sz w:val="20"/>
                <w:szCs w:val="20"/>
                <w:color w:val="auto"/>
              </w:rPr>
            </w:pPr>
            <w:r>
              <w:rPr>
                <w:rFonts w:ascii="Arial" w:cs="Arial" w:eastAsia="Arial" w:hAnsi="Arial"/>
                <w:sz w:val="16"/>
                <w:szCs w:val="16"/>
                <w:color w:val="auto"/>
              </w:rPr>
              <w:t>Nominating &amp; Governance Committee Member</w:t>
            </w:r>
          </w:p>
        </w:tc>
        <w:tc>
          <w:tcPr>
            <w:tcW w:w="2260" w:type="dxa"/>
            <w:vAlign w:val="bottom"/>
          </w:tcPr>
          <w:p>
            <w:pPr>
              <w:jc w:val="right"/>
              <w:ind w:right="21"/>
              <w:spacing w:after="0"/>
              <w:rPr>
                <w:sz w:val="20"/>
                <w:szCs w:val="20"/>
                <w:color w:val="auto"/>
              </w:rPr>
            </w:pPr>
            <w:r>
              <w:rPr>
                <w:rFonts w:ascii="Arial" w:cs="Arial" w:eastAsia="Arial" w:hAnsi="Arial"/>
                <w:sz w:val="16"/>
                <w:szCs w:val="16"/>
                <w:color w:val="auto"/>
              </w:rPr>
              <w:t>6,000</w:t>
            </w:r>
          </w:p>
        </w:tc>
      </w:tr>
      <w:tr>
        <w:trPr>
          <w:trHeight w:val="251"/>
        </w:trPr>
        <w:tc>
          <w:tcPr>
            <w:tcW w:w="6720" w:type="dxa"/>
            <w:vAlign w:val="bottom"/>
            <w:shd w:val="clear" w:color="auto" w:fill="D9D9D9"/>
          </w:tcPr>
          <w:p>
            <w:pPr>
              <w:ind w:left="240"/>
              <w:spacing w:after="0"/>
              <w:rPr>
                <w:sz w:val="20"/>
                <w:szCs w:val="20"/>
                <w:color w:val="auto"/>
              </w:rPr>
            </w:pPr>
            <w:r>
              <w:rPr>
                <w:rFonts w:ascii="Arial" w:cs="Arial" w:eastAsia="Arial" w:hAnsi="Arial"/>
                <w:sz w:val="16"/>
                <w:szCs w:val="16"/>
                <w:color w:val="auto"/>
              </w:rPr>
              <w:t>Finance Committee Member</w:t>
            </w:r>
          </w:p>
        </w:tc>
        <w:tc>
          <w:tcPr>
            <w:tcW w:w="226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6,000</w:t>
            </w:r>
          </w:p>
        </w:tc>
      </w:tr>
      <w:tr>
        <w:trPr>
          <w:trHeight w:val="232"/>
        </w:trPr>
        <w:tc>
          <w:tcPr>
            <w:tcW w:w="6720" w:type="dxa"/>
            <w:vAlign w:val="bottom"/>
          </w:tcPr>
          <w:p>
            <w:pPr>
              <w:spacing w:after="0"/>
              <w:rPr>
                <w:sz w:val="20"/>
                <w:szCs w:val="20"/>
                <w:color w:val="auto"/>
              </w:rPr>
            </w:pPr>
            <w:r>
              <w:rPr>
                <w:rFonts w:ascii="Arial" w:cs="Arial" w:eastAsia="Arial" w:hAnsi="Arial"/>
                <w:sz w:val="16"/>
                <w:szCs w:val="16"/>
                <w:color w:val="auto"/>
              </w:rPr>
              <w:t>Annual Lead Independent Director and Committee Chair Additional Retainers</w:t>
            </w:r>
          </w:p>
        </w:tc>
        <w:tc>
          <w:tcPr>
            <w:tcW w:w="2260" w:type="dxa"/>
            <w:vAlign w:val="bottom"/>
          </w:tcPr>
          <w:p>
            <w:pPr>
              <w:spacing w:after="0"/>
              <w:rPr>
                <w:sz w:val="20"/>
                <w:szCs w:val="20"/>
                <w:color w:val="auto"/>
              </w:rPr>
            </w:pPr>
          </w:p>
        </w:tc>
      </w:tr>
      <w:tr>
        <w:trPr>
          <w:trHeight w:val="251"/>
        </w:trPr>
        <w:tc>
          <w:tcPr>
            <w:tcW w:w="6720" w:type="dxa"/>
            <w:vAlign w:val="bottom"/>
            <w:shd w:val="clear" w:color="auto" w:fill="D9D9D9"/>
          </w:tcPr>
          <w:p>
            <w:pPr>
              <w:ind w:left="240"/>
              <w:spacing w:after="0"/>
              <w:rPr>
                <w:sz w:val="20"/>
                <w:szCs w:val="20"/>
                <w:color w:val="auto"/>
              </w:rPr>
            </w:pPr>
            <w:r>
              <w:rPr>
                <w:rFonts w:ascii="Arial" w:cs="Arial" w:eastAsia="Arial" w:hAnsi="Arial"/>
                <w:sz w:val="16"/>
                <w:szCs w:val="16"/>
                <w:color w:val="auto"/>
              </w:rPr>
              <w:t>Lead Independent Director</w:t>
            </w:r>
          </w:p>
        </w:tc>
        <w:tc>
          <w:tcPr>
            <w:tcW w:w="226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25,000</w:t>
            </w:r>
          </w:p>
        </w:tc>
      </w:tr>
      <w:tr>
        <w:trPr>
          <w:trHeight w:val="232"/>
        </w:trPr>
        <w:tc>
          <w:tcPr>
            <w:tcW w:w="6720" w:type="dxa"/>
            <w:vAlign w:val="bottom"/>
          </w:tcPr>
          <w:p>
            <w:pPr>
              <w:ind w:left="240"/>
              <w:spacing w:after="0"/>
              <w:rPr>
                <w:sz w:val="20"/>
                <w:szCs w:val="20"/>
                <w:color w:val="auto"/>
              </w:rPr>
            </w:pPr>
            <w:r>
              <w:rPr>
                <w:rFonts w:ascii="Arial" w:cs="Arial" w:eastAsia="Arial" w:hAnsi="Arial"/>
                <w:sz w:val="16"/>
                <w:szCs w:val="16"/>
                <w:color w:val="auto"/>
              </w:rPr>
              <w:t>Audit Committee Chair</w:t>
            </w:r>
          </w:p>
        </w:tc>
        <w:tc>
          <w:tcPr>
            <w:tcW w:w="2260" w:type="dxa"/>
            <w:vAlign w:val="bottom"/>
          </w:tcPr>
          <w:p>
            <w:pPr>
              <w:jc w:val="right"/>
              <w:ind w:right="21"/>
              <w:spacing w:after="0"/>
              <w:rPr>
                <w:sz w:val="20"/>
                <w:szCs w:val="20"/>
                <w:color w:val="auto"/>
              </w:rPr>
            </w:pPr>
            <w:r>
              <w:rPr>
                <w:rFonts w:ascii="Arial" w:cs="Arial" w:eastAsia="Arial" w:hAnsi="Arial"/>
                <w:sz w:val="16"/>
                <w:szCs w:val="16"/>
                <w:color w:val="auto"/>
              </w:rPr>
              <w:t>20,000</w:t>
            </w:r>
          </w:p>
        </w:tc>
      </w:tr>
      <w:tr>
        <w:trPr>
          <w:trHeight w:val="251"/>
        </w:trPr>
        <w:tc>
          <w:tcPr>
            <w:tcW w:w="6720" w:type="dxa"/>
            <w:vAlign w:val="bottom"/>
            <w:shd w:val="clear" w:color="auto" w:fill="D9D9D9"/>
          </w:tcPr>
          <w:p>
            <w:pPr>
              <w:ind w:left="240"/>
              <w:spacing w:after="0"/>
              <w:rPr>
                <w:sz w:val="20"/>
                <w:szCs w:val="20"/>
                <w:color w:val="auto"/>
              </w:rPr>
            </w:pPr>
            <w:r>
              <w:rPr>
                <w:rFonts w:ascii="Arial" w:cs="Arial" w:eastAsia="Arial" w:hAnsi="Arial"/>
                <w:sz w:val="16"/>
                <w:szCs w:val="16"/>
                <w:color w:val="auto"/>
              </w:rPr>
              <w:t>Compensation &amp; Human Resources Committee Chair</w:t>
            </w:r>
          </w:p>
        </w:tc>
        <w:tc>
          <w:tcPr>
            <w:tcW w:w="226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12,000</w:t>
            </w:r>
          </w:p>
        </w:tc>
      </w:tr>
      <w:tr>
        <w:trPr>
          <w:trHeight w:val="232"/>
        </w:trPr>
        <w:tc>
          <w:tcPr>
            <w:tcW w:w="6720" w:type="dxa"/>
            <w:vAlign w:val="bottom"/>
          </w:tcPr>
          <w:p>
            <w:pPr>
              <w:ind w:left="240"/>
              <w:spacing w:after="0"/>
              <w:rPr>
                <w:sz w:val="20"/>
                <w:szCs w:val="20"/>
                <w:color w:val="auto"/>
              </w:rPr>
            </w:pPr>
            <w:r>
              <w:rPr>
                <w:rFonts w:ascii="Arial" w:cs="Arial" w:eastAsia="Arial" w:hAnsi="Arial"/>
                <w:sz w:val="16"/>
                <w:szCs w:val="16"/>
                <w:color w:val="auto"/>
              </w:rPr>
              <w:t>Nominating &amp; Governance Committee Chair</w:t>
            </w:r>
          </w:p>
        </w:tc>
        <w:tc>
          <w:tcPr>
            <w:tcW w:w="2260" w:type="dxa"/>
            <w:vAlign w:val="bottom"/>
          </w:tcPr>
          <w:p>
            <w:pPr>
              <w:jc w:val="right"/>
              <w:ind w:right="21"/>
              <w:spacing w:after="0"/>
              <w:rPr>
                <w:sz w:val="20"/>
                <w:szCs w:val="20"/>
                <w:color w:val="auto"/>
              </w:rPr>
            </w:pPr>
            <w:r>
              <w:rPr>
                <w:rFonts w:ascii="Arial" w:cs="Arial" w:eastAsia="Arial" w:hAnsi="Arial"/>
                <w:sz w:val="16"/>
                <w:szCs w:val="16"/>
                <w:color w:val="auto"/>
              </w:rPr>
              <w:t>7,500</w:t>
            </w:r>
          </w:p>
        </w:tc>
      </w:tr>
      <w:tr>
        <w:trPr>
          <w:trHeight w:val="251"/>
        </w:trPr>
        <w:tc>
          <w:tcPr>
            <w:tcW w:w="6720" w:type="dxa"/>
            <w:vAlign w:val="bottom"/>
            <w:shd w:val="clear" w:color="auto" w:fill="D9D9D9"/>
          </w:tcPr>
          <w:p>
            <w:pPr>
              <w:ind w:left="240"/>
              <w:spacing w:after="0"/>
              <w:rPr>
                <w:sz w:val="20"/>
                <w:szCs w:val="20"/>
                <w:color w:val="auto"/>
              </w:rPr>
            </w:pPr>
            <w:r>
              <w:rPr>
                <w:rFonts w:ascii="Arial" w:cs="Arial" w:eastAsia="Arial" w:hAnsi="Arial"/>
                <w:sz w:val="16"/>
                <w:szCs w:val="16"/>
                <w:color w:val="auto"/>
              </w:rPr>
              <w:t>Finance Committee Chair</w:t>
            </w:r>
          </w:p>
        </w:tc>
        <w:tc>
          <w:tcPr>
            <w:tcW w:w="226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7,500</w:t>
            </w:r>
          </w:p>
        </w:tc>
      </w:tr>
    </w:tbl>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summarizes the key characteristics of the elements of our non-employee director compensation program:</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420" w:type="dxa"/>
            <w:vAlign w:val="bottom"/>
            <w:tcBorders>
              <w:bottom w:val="single" w:sz="8" w:color="C00000"/>
            </w:tcBorders>
            <w:shd w:val="clear" w:color="auto" w:fill="C00000"/>
          </w:tcPr>
          <w:p>
            <w:pPr>
              <w:spacing w:after="0"/>
              <w:rPr>
                <w:sz w:val="20"/>
                <w:szCs w:val="20"/>
                <w:color w:val="auto"/>
              </w:rPr>
            </w:pPr>
            <w:r>
              <w:rPr>
                <w:rFonts w:ascii="Arial" w:cs="Arial" w:eastAsia="Arial" w:hAnsi="Arial"/>
                <w:sz w:val="14"/>
                <w:szCs w:val="14"/>
                <w:b w:val="1"/>
                <w:bCs w:val="1"/>
                <w:color w:val="FFFFFF"/>
              </w:rPr>
              <w:t>Element</w:t>
            </w:r>
          </w:p>
        </w:tc>
        <w:tc>
          <w:tcPr>
            <w:tcW w:w="9820" w:type="dxa"/>
            <w:vAlign w:val="bottom"/>
            <w:tcBorders>
              <w:bottom w:val="single" w:sz="8" w:color="C00000"/>
            </w:tcBorders>
            <w:shd w:val="clear" w:color="auto" w:fill="C00000"/>
          </w:tcPr>
          <w:p>
            <w:pPr>
              <w:ind w:left="4340"/>
              <w:spacing w:after="0"/>
              <w:rPr>
                <w:sz w:val="20"/>
                <w:szCs w:val="20"/>
                <w:color w:val="auto"/>
              </w:rPr>
            </w:pPr>
            <w:r>
              <w:rPr>
                <w:rFonts w:ascii="Arial" w:cs="Arial" w:eastAsia="Arial" w:hAnsi="Arial"/>
                <w:sz w:val="14"/>
                <w:szCs w:val="14"/>
                <w:b w:val="1"/>
                <w:bCs w:val="1"/>
                <w:color w:val="FFFFFF"/>
              </w:rPr>
              <w:t>Key Characteristics</w:t>
            </w:r>
          </w:p>
        </w:tc>
      </w:tr>
      <w:tr>
        <w:trPr>
          <w:trHeight w:val="203"/>
        </w:trPr>
        <w:tc>
          <w:tcPr>
            <w:tcW w:w="1420" w:type="dxa"/>
            <w:vAlign w:val="bottom"/>
          </w:tcPr>
          <w:p>
            <w:pPr>
              <w:spacing w:after="0"/>
              <w:rPr>
                <w:sz w:val="20"/>
                <w:szCs w:val="20"/>
                <w:color w:val="auto"/>
              </w:rPr>
            </w:pPr>
            <w:r>
              <w:rPr>
                <w:rFonts w:ascii="Arial" w:cs="Arial" w:eastAsia="Arial" w:hAnsi="Arial"/>
                <w:sz w:val="16"/>
                <w:szCs w:val="16"/>
                <w:color w:val="auto"/>
              </w:rPr>
              <w:t>Annual Retainers</w:t>
            </w:r>
          </w:p>
        </w:tc>
        <w:tc>
          <w:tcPr>
            <w:tcW w:w="9820" w:type="dxa"/>
            <w:vAlign w:val="bottom"/>
          </w:tcPr>
          <w:p>
            <w:pPr>
              <w:ind w:left="200"/>
              <w:spacing w:after="0"/>
              <w:rPr>
                <w:sz w:val="20"/>
                <w:szCs w:val="20"/>
                <w:color w:val="auto"/>
              </w:rPr>
            </w:pPr>
            <w:r>
              <w:rPr>
                <w:rFonts w:ascii="Arial" w:cs="Arial" w:eastAsia="Arial" w:hAnsi="Arial"/>
                <w:sz w:val="16"/>
                <w:szCs w:val="16"/>
                <w:color w:val="auto"/>
              </w:rPr>
              <w:t>Each Board and committee member, committee chair and the Lead Independent Director receives annual retainers for their respective</w:t>
            </w:r>
          </w:p>
        </w:tc>
      </w:tr>
      <w:tr>
        <w:trPr>
          <w:trHeight w:val="188"/>
        </w:trPr>
        <w:tc>
          <w:tcPr>
            <w:tcW w:w="1420" w:type="dxa"/>
            <w:vAlign w:val="bottom"/>
          </w:tcPr>
          <w:p>
            <w:pPr>
              <w:spacing w:after="0"/>
              <w:rPr>
                <w:sz w:val="16"/>
                <w:szCs w:val="16"/>
                <w:color w:val="auto"/>
              </w:rPr>
            </w:pPr>
          </w:p>
        </w:tc>
        <w:tc>
          <w:tcPr>
            <w:tcW w:w="9820" w:type="dxa"/>
            <w:vAlign w:val="bottom"/>
          </w:tcPr>
          <w:p>
            <w:pPr>
              <w:ind w:left="200"/>
              <w:spacing w:after="0"/>
              <w:rPr>
                <w:sz w:val="20"/>
                <w:szCs w:val="20"/>
                <w:color w:val="auto"/>
              </w:rPr>
            </w:pPr>
            <w:r>
              <w:rPr>
                <w:rFonts w:ascii="Arial" w:cs="Arial" w:eastAsia="Arial" w:hAnsi="Arial"/>
                <w:sz w:val="16"/>
                <w:szCs w:val="16"/>
                <w:color w:val="auto"/>
              </w:rPr>
              <w:t>service on our Board. These retainers are paid quarterly, however, the fiscal 2020 third and fourth quarter retainers were cancelled and</w:t>
            </w:r>
          </w:p>
        </w:tc>
      </w:tr>
      <w:tr>
        <w:trPr>
          <w:trHeight w:val="203"/>
        </w:trPr>
        <w:tc>
          <w:tcPr>
            <w:tcW w:w="1420" w:type="dxa"/>
            <w:vAlign w:val="bottom"/>
          </w:tcPr>
          <w:p>
            <w:pPr>
              <w:spacing w:after="0"/>
              <w:rPr>
                <w:sz w:val="17"/>
                <w:szCs w:val="17"/>
                <w:color w:val="auto"/>
              </w:rPr>
            </w:pPr>
          </w:p>
        </w:tc>
        <w:tc>
          <w:tcPr>
            <w:tcW w:w="9820" w:type="dxa"/>
            <w:vAlign w:val="bottom"/>
          </w:tcPr>
          <w:p>
            <w:pPr>
              <w:ind w:left="200"/>
              <w:spacing w:after="0"/>
              <w:rPr>
                <w:sz w:val="20"/>
                <w:szCs w:val="20"/>
                <w:color w:val="auto"/>
              </w:rPr>
            </w:pPr>
            <w:r>
              <w:rPr>
                <w:rFonts w:ascii="Arial" w:cs="Arial" w:eastAsia="Arial" w:hAnsi="Arial"/>
                <w:sz w:val="16"/>
                <w:szCs w:val="16"/>
                <w:color w:val="auto"/>
              </w:rPr>
              <w:t>a like amount was donated by TTC to the Melrose/Hoffman Employee Critical Needs Fund.</w:t>
            </w:r>
          </w:p>
        </w:tc>
      </w:tr>
      <w:tr>
        <w:trPr>
          <w:trHeight w:val="212"/>
        </w:trPr>
        <w:tc>
          <w:tcPr>
            <w:tcW w:w="1420" w:type="dxa"/>
            <w:vAlign w:val="bottom"/>
            <w:shd w:val="clear" w:color="auto" w:fill="D9D9D9"/>
          </w:tcPr>
          <w:p>
            <w:pPr>
              <w:spacing w:after="0"/>
              <w:rPr>
                <w:sz w:val="20"/>
                <w:szCs w:val="20"/>
                <w:color w:val="auto"/>
              </w:rPr>
            </w:pPr>
            <w:r>
              <w:rPr>
                <w:rFonts w:ascii="Arial" w:cs="Arial" w:eastAsia="Arial" w:hAnsi="Arial"/>
                <w:sz w:val="16"/>
                <w:szCs w:val="16"/>
                <w:color w:val="auto"/>
              </w:rPr>
              <w:t>Stock Awards</w:t>
            </w:r>
          </w:p>
        </w:tc>
        <w:tc>
          <w:tcPr>
            <w:tcW w:w="9820" w:type="dxa"/>
            <w:vAlign w:val="bottom"/>
            <w:shd w:val="clear" w:color="auto" w:fill="D9D9D9"/>
          </w:tcPr>
          <w:p>
            <w:pPr>
              <w:ind w:left="200"/>
              <w:spacing w:after="0"/>
              <w:rPr>
                <w:sz w:val="20"/>
                <w:szCs w:val="20"/>
                <w:color w:val="auto"/>
              </w:rPr>
            </w:pPr>
            <w:r>
              <w:rPr>
                <w:rFonts w:ascii="Arial" w:cs="Arial" w:eastAsia="Arial" w:hAnsi="Arial"/>
                <w:sz w:val="16"/>
                <w:szCs w:val="16"/>
                <w:color w:val="auto"/>
              </w:rPr>
              <w:t>On the first business day of our fiscal year shares of our common stock are automatically granted under the 2010 Plan. The stock</w:t>
            </w:r>
          </w:p>
        </w:tc>
      </w:tr>
      <w:tr>
        <w:trPr>
          <w:trHeight w:val="188"/>
        </w:trPr>
        <w:tc>
          <w:tcPr>
            <w:tcW w:w="1420" w:type="dxa"/>
            <w:vAlign w:val="bottom"/>
            <w:shd w:val="clear" w:color="auto" w:fill="D9D9D9"/>
          </w:tcPr>
          <w:p>
            <w:pPr>
              <w:spacing w:after="0"/>
              <w:rPr>
                <w:sz w:val="16"/>
                <w:szCs w:val="16"/>
                <w:color w:val="auto"/>
              </w:rPr>
            </w:pPr>
          </w:p>
        </w:tc>
        <w:tc>
          <w:tcPr>
            <w:tcW w:w="9820" w:type="dxa"/>
            <w:vAlign w:val="bottom"/>
            <w:shd w:val="clear" w:color="auto" w:fill="D9D9D9"/>
          </w:tcPr>
          <w:p>
            <w:pPr>
              <w:ind w:left="200"/>
              <w:spacing w:after="0"/>
              <w:rPr>
                <w:sz w:val="20"/>
                <w:szCs w:val="20"/>
                <w:color w:val="auto"/>
              </w:rPr>
            </w:pPr>
            <w:r>
              <w:rPr>
                <w:rFonts w:ascii="Arial" w:cs="Arial" w:eastAsia="Arial" w:hAnsi="Arial"/>
                <w:sz w:val="16"/>
                <w:szCs w:val="16"/>
                <w:color w:val="auto"/>
              </w:rPr>
              <w:t>award is determined by dividing the stock award value by the average of the closing prices of our common stock during the three</w:t>
            </w:r>
          </w:p>
        </w:tc>
      </w:tr>
      <w:tr>
        <w:trPr>
          <w:trHeight w:val="213"/>
        </w:trPr>
        <w:tc>
          <w:tcPr>
            <w:tcW w:w="1420" w:type="dxa"/>
            <w:vAlign w:val="bottom"/>
            <w:shd w:val="clear" w:color="auto" w:fill="D9D9D9"/>
          </w:tcPr>
          <w:p>
            <w:pPr>
              <w:spacing w:after="0"/>
              <w:rPr>
                <w:sz w:val="18"/>
                <w:szCs w:val="18"/>
                <w:color w:val="auto"/>
              </w:rPr>
            </w:pPr>
          </w:p>
        </w:tc>
        <w:tc>
          <w:tcPr>
            <w:tcW w:w="9820" w:type="dxa"/>
            <w:vAlign w:val="bottom"/>
            <w:shd w:val="clear" w:color="auto" w:fill="D9D9D9"/>
          </w:tcPr>
          <w:p>
            <w:pPr>
              <w:ind w:left="200"/>
              <w:spacing w:after="0"/>
              <w:rPr>
                <w:sz w:val="20"/>
                <w:szCs w:val="20"/>
                <w:color w:val="auto"/>
              </w:rPr>
            </w:pPr>
            <w:r>
              <w:rPr>
                <w:rFonts w:ascii="Arial" w:cs="Arial" w:eastAsia="Arial" w:hAnsi="Arial"/>
                <w:sz w:val="16"/>
                <w:szCs w:val="16"/>
                <w:color w:val="auto"/>
              </w:rPr>
              <w:t>months prior to the grant. The shares are fully vested at the time of grant.</w:t>
            </w:r>
          </w:p>
        </w:tc>
      </w:tr>
    </w:tbl>
    <w:p>
      <w:pPr>
        <w:spacing w:after="0" w:line="15" w:lineRule="exact"/>
        <w:rPr>
          <w:sz w:val="20"/>
          <w:szCs w:val="20"/>
          <w:color w:val="auto"/>
        </w:rPr>
      </w:pPr>
    </w:p>
    <w:p>
      <w:pPr>
        <w:jc w:val="both"/>
        <w:ind w:left="1620" w:right="100" w:hanging="1608"/>
        <w:spacing w:after="0" w:line="251" w:lineRule="auto"/>
        <w:rPr>
          <w:sz w:val="20"/>
          <w:szCs w:val="20"/>
          <w:color w:val="auto"/>
        </w:rPr>
      </w:pPr>
      <w:r>
        <w:rPr>
          <w:rFonts w:ascii="Arial" w:cs="Arial" w:eastAsia="Arial" w:hAnsi="Arial"/>
          <w:sz w:val="16"/>
          <w:szCs w:val="16"/>
          <w:color w:val="auto"/>
        </w:rPr>
        <w:t>Stock Option Awards On the first business day of our fiscal year, a stock option to purchase shares of our common stock is automatically granted under the 2010 Plan. The stock option award is determined by dividing the stock option award value by the grant date fair value of a stock option to purchase one share of our common stock. See below for additional information regarding vesting of stock option grants.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52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Our non-employee directors may elect to convert a portion or all of their calendar year annual retainers otherwise payable in cash into</w:t>
            </w:r>
          </w:p>
        </w:tc>
        <w:tc>
          <w:tcPr>
            <w:tcW w:w="20" w:type="dxa"/>
            <w:vAlign w:val="bottom"/>
          </w:tcPr>
          <w:p>
            <w:pPr>
              <w:spacing w:after="0"/>
              <w:rPr>
                <w:sz w:val="17"/>
                <w:szCs w:val="17"/>
                <w:color w:val="auto"/>
              </w:rPr>
            </w:pPr>
          </w:p>
        </w:tc>
      </w:tr>
      <w:tr>
        <w:trPr>
          <w:trHeight w:val="188"/>
        </w:trPr>
        <w:tc>
          <w:tcPr>
            <w:tcW w:w="1520" w:type="dxa"/>
            <w:vAlign w:val="bottom"/>
            <w:shd w:val="clear" w:color="auto" w:fill="D9D9D9"/>
          </w:tcPr>
          <w:p>
            <w:pPr>
              <w:spacing w:after="0"/>
              <w:rPr>
                <w:sz w:val="20"/>
                <w:szCs w:val="20"/>
                <w:color w:val="auto"/>
              </w:rPr>
            </w:pPr>
            <w:r>
              <w:rPr>
                <w:rFonts w:ascii="Arial" w:cs="Arial" w:eastAsia="Arial" w:hAnsi="Arial"/>
                <w:sz w:val="16"/>
                <w:szCs w:val="16"/>
                <w:color w:val="auto"/>
              </w:rPr>
              <w:t>In Lieu of Annual</w:t>
            </w: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shares of our common stock. Annual retainers earned after the date a director makes a stock-in-lieu of cash election for a calendar</w:t>
            </w:r>
          </w:p>
        </w:tc>
        <w:tc>
          <w:tcPr>
            <w:tcW w:w="20" w:type="dxa"/>
            <w:vAlign w:val="bottom"/>
          </w:tcPr>
          <w:p>
            <w:pPr>
              <w:spacing w:after="0"/>
              <w:rPr>
                <w:sz w:val="16"/>
                <w:szCs w:val="16"/>
                <w:color w:val="auto"/>
              </w:rPr>
            </w:pPr>
          </w:p>
        </w:tc>
      </w:tr>
      <w:tr>
        <w:trPr>
          <w:trHeight w:val="188"/>
        </w:trPr>
        <w:tc>
          <w:tcPr>
            <w:tcW w:w="1520" w:type="dxa"/>
            <w:vAlign w:val="bottom"/>
            <w:shd w:val="clear" w:color="auto" w:fill="D9D9D9"/>
          </w:tcPr>
          <w:p>
            <w:pPr>
              <w:spacing w:after="0"/>
              <w:rPr>
                <w:sz w:val="20"/>
                <w:szCs w:val="20"/>
                <w:color w:val="auto"/>
              </w:rPr>
            </w:pPr>
            <w:r>
              <w:rPr>
                <w:rFonts w:ascii="Arial" w:cs="Arial" w:eastAsia="Arial" w:hAnsi="Arial"/>
                <w:sz w:val="16"/>
                <w:szCs w:val="16"/>
                <w:color w:val="auto"/>
              </w:rPr>
              <w:t>Retainers</w:t>
            </w: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year are issued in shares of our common stock in December of that year, the number of which is determined by dividing the dollar</w:t>
            </w:r>
          </w:p>
        </w:tc>
        <w:tc>
          <w:tcPr>
            <w:tcW w:w="20" w:type="dxa"/>
            <w:vAlign w:val="bottom"/>
          </w:tcPr>
          <w:p>
            <w:pPr>
              <w:spacing w:after="0"/>
              <w:rPr>
                <w:sz w:val="16"/>
                <w:szCs w:val="16"/>
                <w:color w:val="auto"/>
              </w:rPr>
            </w:pPr>
          </w:p>
        </w:tc>
      </w:tr>
      <w:tr>
        <w:trPr>
          <w:trHeight w:val="188"/>
        </w:trPr>
        <w:tc>
          <w:tcPr>
            <w:tcW w:w="1520" w:type="dxa"/>
            <w:vAlign w:val="bottom"/>
            <w:shd w:val="clear" w:color="auto" w:fill="D9D9D9"/>
          </w:tcPr>
          <w:p>
            <w:pPr>
              <w:spacing w:after="0"/>
              <w:rPr>
                <w:sz w:val="16"/>
                <w:szCs w:val="16"/>
                <w:color w:val="auto"/>
              </w:rPr>
            </w:pP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amount of the annual retainers earned in the calendar year and elected to be converted into shares of our common stock by the closing</w:t>
            </w:r>
          </w:p>
        </w:tc>
        <w:tc>
          <w:tcPr>
            <w:tcW w:w="20" w:type="dxa"/>
            <w:vAlign w:val="bottom"/>
          </w:tcPr>
          <w:p>
            <w:pPr>
              <w:spacing w:after="0"/>
              <w:rPr>
                <w:sz w:val="16"/>
                <w:szCs w:val="16"/>
                <w:color w:val="auto"/>
              </w:rPr>
            </w:pPr>
          </w:p>
        </w:tc>
      </w:tr>
      <w:tr>
        <w:trPr>
          <w:trHeight w:val="188"/>
        </w:trPr>
        <w:tc>
          <w:tcPr>
            <w:tcW w:w="1520" w:type="dxa"/>
            <w:vAlign w:val="bottom"/>
            <w:shd w:val="clear" w:color="auto" w:fill="D9D9D9"/>
          </w:tcPr>
          <w:p>
            <w:pPr>
              <w:spacing w:after="0"/>
              <w:rPr>
                <w:sz w:val="16"/>
                <w:szCs w:val="16"/>
                <w:color w:val="auto"/>
              </w:rPr>
            </w:pP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price of our common stock on the date that the shares are issued. Consistent with the cancellation of the fiscal third and fourth quarter</w:t>
            </w:r>
          </w:p>
        </w:tc>
        <w:tc>
          <w:tcPr>
            <w:tcW w:w="20" w:type="dxa"/>
            <w:vAlign w:val="bottom"/>
          </w:tcPr>
          <w:p>
            <w:pPr>
              <w:spacing w:after="0"/>
              <w:rPr>
                <w:sz w:val="16"/>
                <w:szCs w:val="16"/>
                <w:color w:val="auto"/>
              </w:rPr>
            </w:pPr>
          </w:p>
        </w:tc>
      </w:tr>
      <w:tr>
        <w:trPr>
          <w:trHeight w:val="188"/>
        </w:trPr>
        <w:tc>
          <w:tcPr>
            <w:tcW w:w="1520" w:type="dxa"/>
            <w:vAlign w:val="bottom"/>
            <w:shd w:val="clear" w:color="auto" w:fill="D9D9D9"/>
          </w:tcPr>
          <w:p>
            <w:pPr>
              <w:spacing w:after="0"/>
              <w:rPr>
                <w:sz w:val="16"/>
                <w:szCs w:val="16"/>
                <w:color w:val="auto"/>
              </w:rPr>
            </w:pP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retainers and corresponding reduction in cash retainers for fiscal 2020, the common stock received in lieu of retainers was also</w:t>
            </w:r>
          </w:p>
        </w:tc>
        <w:tc>
          <w:tcPr>
            <w:tcW w:w="20" w:type="dxa"/>
            <w:vAlign w:val="bottom"/>
          </w:tcPr>
          <w:p>
            <w:pPr>
              <w:spacing w:after="0"/>
              <w:rPr>
                <w:sz w:val="16"/>
                <w:szCs w:val="16"/>
                <w:color w:val="auto"/>
              </w:rPr>
            </w:pPr>
          </w:p>
        </w:tc>
      </w:tr>
      <w:tr>
        <w:trPr>
          <w:trHeight w:val="213"/>
        </w:trPr>
        <w:tc>
          <w:tcPr>
            <w:tcW w:w="1520" w:type="dxa"/>
            <w:vAlign w:val="bottom"/>
            <w:shd w:val="clear" w:color="auto" w:fill="D9D9D9"/>
          </w:tcPr>
          <w:p>
            <w:pPr>
              <w:spacing w:after="0"/>
              <w:rPr>
                <w:sz w:val="18"/>
                <w:szCs w:val="18"/>
                <w:color w:val="auto"/>
              </w:rPr>
            </w:pP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reduced accordingly and a like cash amount was donated to the Melrose/Hoffman Employee Critical Needs Fund.</w:t>
            </w:r>
          </w:p>
        </w:tc>
        <w:tc>
          <w:tcPr>
            <w:tcW w:w="20" w:type="dxa"/>
            <w:vAlign w:val="bottom"/>
          </w:tcPr>
          <w:p>
            <w:pPr>
              <w:spacing w:after="0"/>
              <w:rPr>
                <w:sz w:val="18"/>
                <w:szCs w:val="18"/>
                <w:color w:val="auto"/>
              </w:rPr>
            </w:pPr>
          </w:p>
        </w:tc>
      </w:tr>
      <w:tr>
        <w:trPr>
          <w:trHeight w:val="203"/>
        </w:trPr>
        <w:tc>
          <w:tcPr>
            <w:tcW w:w="1520" w:type="dxa"/>
            <w:vAlign w:val="bottom"/>
          </w:tcPr>
          <w:p>
            <w:pPr>
              <w:spacing w:after="0"/>
              <w:rPr>
                <w:sz w:val="20"/>
                <w:szCs w:val="20"/>
                <w:color w:val="auto"/>
              </w:rPr>
            </w:pPr>
            <w:r>
              <w:rPr>
                <w:rFonts w:ascii="Arial" w:cs="Arial" w:eastAsia="Arial" w:hAnsi="Arial"/>
                <w:sz w:val="16"/>
                <w:szCs w:val="16"/>
                <w:color w:val="auto"/>
              </w:rPr>
              <w:t>Deferred</w:t>
            </w:r>
          </w:p>
        </w:tc>
        <w:tc>
          <w:tcPr>
            <w:tcW w:w="9720" w:type="dxa"/>
            <w:vAlign w:val="bottom"/>
          </w:tcPr>
          <w:p>
            <w:pPr>
              <w:ind w:left="100"/>
              <w:spacing w:after="0"/>
              <w:rPr>
                <w:sz w:val="20"/>
                <w:szCs w:val="20"/>
                <w:color w:val="auto"/>
              </w:rPr>
            </w:pPr>
            <w:r>
              <w:rPr>
                <w:rFonts w:ascii="Arial" w:cs="Arial" w:eastAsia="Arial" w:hAnsi="Arial"/>
                <w:sz w:val="16"/>
                <w:szCs w:val="16"/>
                <w:color w:val="auto"/>
              </w:rPr>
              <w:t>Non-employee directors may elect to defer receipt of all or a part of his or her stock award and/or cash compensation on a calendar</w:t>
            </w:r>
          </w:p>
        </w:tc>
        <w:tc>
          <w:tcPr>
            <w:tcW w:w="20" w:type="dxa"/>
            <w:vAlign w:val="bottom"/>
          </w:tcPr>
          <w:p>
            <w:pPr>
              <w:spacing w:after="0"/>
              <w:rPr>
                <w:sz w:val="17"/>
                <w:szCs w:val="17"/>
                <w:color w:val="auto"/>
              </w:rPr>
            </w:pPr>
          </w:p>
        </w:tc>
      </w:tr>
      <w:tr>
        <w:trPr>
          <w:trHeight w:val="188"/>
        </w:trPr>
        <w:tc>
          <w:tcPr>
            <w:tcW w:w="1520" w:type="dxa"/>
            <w:vAlign w:val="bottom"/>
          </w:tcPr>
          <w:p>
            <w:pPr>
              <w:spacing w:after="0"/>
              <w:rPr>
                <w:sz w:val="20"/>
                <w:szCs w:val="20"/>
                <w:color w:val="auto"/>
              </w:rPr>
            </w:pPr>
            <w:r>
              <w:rPr>
                <w:rFonts w:ascii="Arial" w:cs="Arial" w:eastAsia="Arial" w:hAnsi="Arial"/>
                <w:sz w:val="16"/>
                <w:szCs w:val="16"/>
                <w:color w:val="auto"/>
              </w:rPr>
              <w:t>Compensation Plan</w:t>
            </w:r>
          </w:p>
        </w:tc>
        <w:tc>
          <w:tcPr>
            <w:tcW w:w="9720" w:type="dxa"/>
            <w:vAlign w:val="bottom"/>
          </w:tcPr>
          <w:p>
            <w:pPr>
              <w:ind w:left="100"/>
              <w:spacing w:after="0"/>
              <w:rPr>
                <w:sz w:val="20"/>
                <w:szCs w:val="20"/>
                <w:color w:val="auto"/>
              </w:rPr>
            </w:pPr>
            <w:r>
              <w:rPr>
                <w:rFonts w:ascii="Arial" w:cs="Arial" w:eastAsia="Arial" w:hAnsi="Arial"/>
                <w:sz w:val="16"/>
                <w:szCs w:val="16"/>
                <w:color w:val="auto"/>
              </w:rPr>
              <w:t>year basis under The Toro Company Deferred Compensation Plan for Non-Employee Directors, or the Deferred Plan for Directors.</w:t>
            </w:r>
          </w:p>
        </w:tc>
        <w:tc>
          <w:tcPr>
            <w:tcW w:w="2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9720" w:type="dxa"/>
            <w:vAlign w:val="bottom"/>
          </w:tcPr>
          <w:p>
            <w:pPr>
              <w:ind w:left="100"/>
              <w:spacing w:after="0"/>
              <w:rPr>
                <w:sz w:val="20"/>
                <w:szCs w:val="20"/>
                <w:color w:val="auto"/>
              </w:rPr>
            </w:pPr>
            <w:r>
              <w:rPr>
                <w:rFonts w:ascii="Arial" w:cs="Arial" w:eastAsia="Arial" w:hAnsi="Arial"/>
                <w:sz w:val="16"/>
                <w:szCs w:val="16"/>
                <w:color w:val="auto"/>
              </w:rPr>
              <w:t>Because the value of a director’s deferred compensation account fluctuates, as applicable, based on the market value of our common</w:t>
            </w:r>
          </w:p>
        </w:tc>
        <w:tc>
          <w:tcPr>
            <w:tcW w:w="2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9720" w:type="dxa"/>
            <w:vAlign w:val="bottom"/>
          </w:tcPr>
          <w:p>
            <w:pPr>
              <w:ind w:left="100"/>
              <w:spacing w:after="0"/>
              <w:rPr>
                <w:sz w:val="20"/>
                <w:szCs w:val="20"/>
                <w:color w:val="auto"/>
              </w:rPr>
            </w:pPr>
            <w:r>
              <w:rPr>
                <w:rFonts w:ascii="Arial" w:cs="Arial" w:eastAsia="Arial" w:hAnsi="Arial"/>
                <w:sz w:val="16"/>
                <w:szCs w:val="16"/>
                <w:color w:val="auto"/>
              </w:rPr>
              <w:t>stock or based on a rate of return on funds that are comparable to funds available in The Toro Company Retirement Plan, or</w:t>
            </w:r>
          </w:p>
        </w:tc>
        <w:tc>
          <w:tcPr>
            <w:tcW w:w="2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9720" w:type="dxa"/>
            <w:vAlign w:val="bottom"/>
          </w:tcPr>
          <w:p>
            <w:pPr>
              <w:ind w:left="100"/>
              <w:spacing w:after="0"/>
              <w:rPr>
                <w:sz w:val="20"/>
                <w:szCs w:val="20"/>
                <w:color w:val="auto"/>
              </w:rPr>
            </w:pPr>
            <w:r>
              <w:rPr>
                <w:rFonts w:ascii="Arial" w:cs="Arial" w:eastAsia="Arial" w:hAnsi="Arial"/>
                <w:sz w:val="16"/>
                <w:szCs w:val="16"/>
                <w:color w:val="auto"/>
              </w:rPr>
              <w:t>Retirement Plan, earnings on deferred compensation are not preferential. Dividends paid on our common stock are credited to a</w:t>
            </w:r>
          </w:p>
        </w:tc>
        <w:tc>
          <w:tcPr>
            <w:tcW w:w="2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9720" w:type="dxa"/>
            <w:vAlign w:val="bottom"/>
          </w:tcPr>
          <w:p>
            <w:pPr>
              <w:ind w:left="100"/>
              <w:spacing w:after="0"/>
              <w:rPr>
                <w:sz w:val="20"/>
                <w:szCs w:val="20"/>
                <w:color w:val="auto"/>
              </w:rPr>
            </w:pPr>
            <w:r>
              <w:rPr>
                <w:rFonts w:ascii="Arial" w:cs="Arial" w:eastAsia="Arial" w:hAnsi="Arial"/>
                <w:sz w:val="16"/>
                <w:szCs w:val="16"/>
                <w:color w:val="auto"/>
              </w:rPr>
              <w:t>director’s account as additional common stock units. A director is fully vested in his or her deferred compensation accounts.</w:t>
            </w:r>
          </w:p>
        </w:tc>
        <w:tc>
          <w:tcPr>
            <w:tcW w:w="20" w:type="dxa"/>
            <w:vAlign w:val="bottom"/>
          </w:tcPr>
          <w:p>
            <w:pPr>
              <w:spacing w:after="0"/>
              <w:rPr>
                <w:sz w:val="16"/>
                <w:szCs w:val="16"/>
                <w:color w:val="auto"/>
              </w:rPr>
            </w:pPr>
          </w:p>
        </w:tc>
      </w:tr>
      <w:tr>
        <w:trPr>
          <w:trHeight w:val="188"/>
        </w:trPr>
        <w:tc>
          <w:tcPr>
            <w:tcW w:w="1520" w:type="dxa"/>
            <w:vAlign w:val="bottom"/>
          </w:tcPr>
          <w:p>
            <w:pPr>
              <w:spacing w:after="0"/>
              <w:rPr>
                <w:sz w:val="16"/>
                <w:szCs w:val="16"/>
                <w:color w:val="auto"/>
              </w:rPr>
            </w:pPr>
          </w:p>
        </w:tc>
        <w:tc>
          <w:tcPr>
            <w:tcW w:w="9720" w:type="dxa"/>
            <w:vAlign w:val="bottom"/>
          </w:tcPr>
          <w:p>
            <w:pPr>
              <w:ind w:left="100"/>
              <w:spacing w:after="0"/>
              <w:rPr>
                <w:sz w:val="20"/>
                <w:szCs w:val="20"/>
                <w:color w:val="auto"/>
              </w:rPr>
            </w:pPr>
            <w:r>
              <w:rPr>
                <w:rFonts w:ascii="Arial" w:cs="Arial" w:eastAsia="Arial" w:hAnsi="Arial"/>
                <w:sz w:val="16"/>
                <w:szCs w:val="16"/>
                <w:color w:val="auto"/>
              </w:rPr>
              <w:t>Distributions under the Deferred Plan for Directors are payable in accordance with the director participant’s prior distribution elections</w:t>
            </w:r>
          </w:p>
        </w:tc>
        <w:tc>
          <w:tcPr>
            <w:tcW w:w="20" w:type="dxa"/>
            <w:vAlign w:val="bottom"/>
          </w:tcPr>
          <w:p>
            <w:pPr>
              <w:spacing w:after="0"/>
              <w:rPr>
                <w:sz w:val="16"/>
                <w:szCs w:val="16"/>
                <w:color w:val="auto"/>
              </w:rPr>
            </w:pPr>
          </w:p>
        </w:tc>
      </w:tr>
      <w:tr>
        <w:trPr>
          <w:trHeight w:val="203"/>
        </w:trPr>
        <w:tc>
          <w:tcPr>
            <w:tcW w:w="1520" w:type="dxa"/>
            <w:vAlign w:val="bottom"/>
          </w:tcPr>
          <w:p>
            <w:pPr>
              <w:spacing w:after="0"/>
              <w:rPr>
                <w:sz w:val="17"/>
                <w:szCs w:val="17"/>
                <w:color w:val="auto"/>
              </w:rPr>
            </w:pPr>
          </w:p>
        </w:tc>
        <w:tc>
          <w:tcPr>
            <w:tcW w:w="9720" w:type="dxa"/>
            <w:vAlign w:val="bottom"/>
          </w:tcPr>
          <w:p>
            <w:pPr>
              <w:ind w:left="100"/>
              <w:spacing w:after="0"/>
              <w:rPr>
                <w:sz w:val="20"/>
                <w:szCs w:val="20"/>
                <w:color w:val="auto"/>
              </w:rPr>
            </w:pPr>
            <w:r>
              <w:rPr>
                <w:rFonts w:ascii="Arial" w:cs="Arial" w:eastAsia="Arial" w:hAnsi="Arial"/>
                <w:sz w:val="16"/>
                <w:szCs w:val="16"/>
                <w:color w:val="auto"/>
              </w:rPr>
              <w:t>upon the earliest of retirement, prior to retirement if a valid election has been made or in an unforeseeable financial emergency.</w:t>
            </w:r>
          </w:p>
        </w:tc>
        <w:tc>
          <w:tcPr>
            <w:tcW w:w="20" w:type="dxa"/>
            <w:vAlign w:val="bottom"/>
          </w:tcPr>
          <w:p>
            <w:pPr>
              <w:spacing w:after="0"/>
              <w:rPr>
                <w:sz w:val="17"/>
                <w:szCs w:val="17"/>
                <w:color w:val="auto"/>
              </w:rPr>
            </w:pPr>
          </w:p>
        </w:tc>
      </w:tr>
      <w:tr>
        <w:trPr>
          <w:trHeight w:val="212"/>
        </w:trPr>
        <w:tc>
          <w:tcPr>
            <w:tcW w:w="1520" w:type="dxa"/>
            <w:vAlign w:val="bottom"/>
            <w:shd w:val="clear" w:color="auto" w:fill="D9D9D9"/>
          </w:tcPr>
          <w:p>
            <w:pPr>
              <w:spacing w:after="0"/>
              <w:rPr>
                <w:sz w:val="20"/>
                <w:szCs w:val="20"/>
                <w:color w:val="auto"/>
              </w:rPr>
            </w:pPr>
            <w:r>
              <w:rPr>
                <w:rFonts w:ascii="Arial" w:cs="Arial" w:eastAsia="Arial" w:hAnsi="Arial"/>
                <w:sz w:val="16"/>
                <w:szCs w:val="16"/>
                <w:color w:val="auto"/>
              </w:rPr>
              <w:t>Company Products</w:t>
            </w: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Each of our non-employee directors is entitled to receive certain Company products and related parts, service and accessories for his</w:t>
            </w:r>
          </w:p>
        </w:tc>
        <w:tc>
          <w:tcPr>
            <w:tcW w:w="20" w:type="dxa"/>
            <w:vAlign w:val="bottom"/>
          </w:tcPr>
          <w:p>
            <w:pPr>
              <w:spacing w:after="0"/>
              <w:rPr>
                <w:sz w:val="18"/>
                <w:szCs w:val="18"/>
                <w:color w:val="auto"/>
              </w:rPr>
            </w:pPr>
          </w:p>
        </w:tc>
      </w:tr>
      <w:tr>
        <w:trPr>
          <w:trHeight w:val="188"/>
        </w:trPr>
        <w:tc>
          <w:tcPr>
            <w:tcW w:w="1520" w:type="dxa"/>
            <w:vAlign w:val="bottom"/>
            <w:shd w:val="clear" w:color="auto" w:fill="D9D9D9"/>
          </w:tcPr>
          <w:p>
            <w:pPr>
              <w:spacing w:after="0"/>
              <w:rPr>
                <w:sz w:val="16"/>
                <w:szCs w:val="16"/>
                <w:color w:val="auto"/>
              </w:rPr>
            </w:pP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or her personal use, at no cost; provided, however, that directors are responsible for payment of applicable taxes attributable to the</w:t>
            </w:r>
          </w:p>
        </w:tc>
        <w:tc>
          <w:tcPr>
            <w:tcW w:w="20" w:type="dxa"/>
            <w:vAlign w:val="bottom"/>
          </w:tcPr>
          <w:p>
            <w:pPr>
              <w:spacing w:after="0"/>
              <w:rPr>
                <w:sz w:val="16"/>
                <w:szCs w:val="16"/>
                <w:color w:val="auto"/>
              </w:rPr>
            </w:pPr>
          </w:p>
        </w:tc>
      </w:tr>
      <w:tr>
        <w:trPr>
          <w:trHeight w:val="188"/>
        </w:trPr>
        <w:tc>
          <w:tcPr>
            <w:tcW w:w="1520" w:type="dxa"/>
            <w:vAlign w:val="bottom"/>
            <w:shd w:val="clear" w:color="auto" w:fill="D9D9D9"/>
          </w:tcPr>
          <w:p>
            <w:pPr>
              <w:spacing w:after="0"/>
              <w:rPr>
                <w:sz w:val="16"/>
                <w:szCs w:val="16"/>
                <w:color w:val="auto"/>
              </w:rPr>
            </w:pP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value of such items. The value of products, parts and accessories is deemed to be our distributor net price or its equivalent, which is</w:t>
            </w:r>
          </w:p>
        </w:tc>
        <w:tc>
          <w:tcPr>
            <w:tcW w:w="20" w:type="dxa"/>
            <w:vAlign w:val="bottom"/>
          </w:tcPr>
          <w:p>
            <w:pPr>
              <w:spacing w:after="0"/>
              <w:rPr>
                <w:sz w:val="16"/>
                <w:szCs w:val="16"/>
                <w:color w:val="auto"/>
              </w:rPr>
            </w:pPr>
          </w:p>
        </w:tc>
      </w:tr>
      <w:tr>
        <w:trPr>
          <w:trHeight w:val="213"/>
        </w:trPr>
        <w:tc>
          <w:tcPr>
            <w:tcW w:w="1520" w:type="dxa"/>
            <w:vAlign w:val="bottom"/>
            <w:shd w:val="clear" w:color="auto" w:fill="D9D9D9"/>
          </w:tcPr>
          <w:p>
            <w:pPr>
              <w:spacing w:after="0"/>
              <w:rPr>
                <w:sz w:val="18"/>
                <w:szCs w:val="18"/>
                <w:color w:val="auto"/>
              </w:rPr>
            </w:pPr>
          </w:p>
        </w:tc>
        <w:tc>
          <w:tcPr>
            <w:tcW w:w="9720" w:type="dxa"/>
            <w:vAlign w:val="bottom"/>
            <w:shd w:val="clear" w:color="auto" w:fill="D9D9D9"/>
          </w:tcPr>
          <w:p>
            <w:pPr>
              <w:ind w:left="100"/>
              <w:spacing w:after="0"/>
              <w:rPr>
                <w:sz w:val="20"/>
                <w:szCs w:val="20"/>
                <w:color w:val="auto"/>
              </w:rPr>
            </w:pPr>
            <w:r>
              <w:rPr>
                <w:rFonts w:ascii="Arial" w:cs="Arial" w:eastAsia="Arial" w:hAnsi="Arial"/>
                <w:sz w:val="16"/>
                <w:szCs w:val="16"/>
                <w:color w:val="auto"/>
              </w:rPr>
              <w:t>also the price at which such items are generally available to our employees for purchase.</w:t>
            </w:r>
          </w:p>
        </w:tc>
        <w:tc>
          <w:tcPr>
            <w:tcW w:w="20" w:type="dxa"/>
            <w:vAlign w:val="bottom"/>
          </w:tcPr>
          <w:p>
            <w:pPr>
              <w:spacing w:after="0"/>
              <w:rPr>
                <w:sz w:val="18"/>
                <w:szCs w:val="18"/>
                <w:color w:val="auto"/>
              </w:rPr>
            </w:pPr>
          </w:p>
        </w:tc>
      </w:tr>
      <w:tr>
        <w:trPr>
          <w:trHeight w:val="427"/>
        </w:trPr>
        <w:tc>
          <w:tcPr>
            <w:tcW w:w="1520" w:type="dxa"/>
            <w:vAlign w:val="bottom"/>
          </w:tcPr>
          <w:p>
            <w:pPr>
              <w:spacing w:after="0"/>
              <w:rPr>
                <w:sz w:val="24"/>
                <w:szCs w:val="24"/>
                <w:color w:val="auto"/>
              </w:rPr>
            </w:pPr>
          </w:p>
        </w:tc>
        <w:tc>
          <w:tcPr>
            <w:tcW w:w="9720" w:type="dxa"/>
            <w:vAlign w:val="bottom"/>
          </w:tcPr>
          <w:p>
            <w:pPr>
              <w:ind w:left="400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r>
      <w:tr>
        <w:trPr>
          <w:trHeight w:val="102"/>
        </w:trPr>
        <w:tc>
          <w:tcPr>
            <w:tcW w:w="1520" w:type="dxa"/>
            <w:vAlign w:val="bottom"/>
            <w:tcBorders>
              <w:bottom w:val="single" w:sz="8" w:color="9A9A9A"/>
            </w:tcBorders>
          </w:tcPr>
          <w:p>
            <w:pPr>
              <w:spacing w:after="0"/>
              <w:rPr>
                <w:sz w:val="8"/>
                <w:szCs w:val="8"/>
                <w:color w:val="auto"/>
              </w:rPr>
            </w:pPr>
          </w:p>
        </w:tc>
        <w:tc>
          <w:tcPr>
            <w:tcW w:w="9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00" w:type="dxa"/>
            <w:vAlign w:val="bottom"/>
            <w:tcBorders>
              <w:bottom w:val="single" w:sz="8" w:color="C00000"/>
            </w:tcBorders>
            <w:shd w:val="clear" w:color="auto" w:fill="C00000"/>
          </w:tcPr>
          <w:p>
            <w:pPr>
              <w:spacing w:after="0"/>
              <w:rPr>
                <w:sz w:val="20"/>
                <w:szCs w:val="20"/>
                <w:color w:val="auto"/>
              </w:rPr>
            </w:pPr>
            <w:r>
              <w:rPr>
                <w:rFonts w:ascii="Arial" w:cs="Arial" w:eastAsia="Arial" w:hAnsi="Arial"/>
                <w:sz w:val="14"/>
                <w:szCs w:val="14"/>
                <w:b w:val="1"/>
                <w:bCs w:val="1"/>
                <w:color w:val="FFFFFF"/>
              </w:rPr>
              <w:t>Element</w:t>
            </w:r>
          </w:p>
        </w:tc>
        <w:tc>
          <w:tcPr>
            <w:tcW w:w="9740" w:type="dxa"/>
            <w:vAlign w:val="bottom"/>
            <w:tcBorders>
              <w:bottom w:val="single" w:sz="8" w:color="C00000"/>
            </w:tcBorders>
            <w:shd w:val="clear" w:color="auto" w:fill="C00000"/>
          </w:tcPr>
          <w:p>
            <w:pPr>
              <w:ind w:left="4260"/>
              <w:spacing w:after="0"/>
              <w:rPr>
                <w:sz w:val="20"/>
                <w:szCs w:val="20"/>
                <w:color w:val="auto"/>
              </w:rPr>
            </w:pPr>
            <w:r>
              <w:rPr>
                <w:rFonts w:ascii="Arial" w:cs="Arial" w:eastAsia="Arial" w:hAnsi="Arial"/>
                <w:sz w:val="14"/>
                <w:szCs w:val="14"/>
                <w:b w:val="1"/>
                <w:bCs w:val="1"/>
                <w:color w:val="FFFFFF"/>
              </w:rPr>
              <w:t>Key Characteristics</w:t>
            </w:r>
          </w:p>
        </w:tc>
      </w:tr>
      <w:tr>
        <w:trPr>
          <w:trHeight w:val="209"/>
        </w:trPr>
        <w:tc>
          <w:tcPr>
            <w:tcW w:w="1500" w:type="dxa"/>
            <w:vAlign w:val="bottom"/>
          </w:tcPr>
          <w:p>
            <w:pPr>
              <w:spacing w:after="0"/>
              <w:rPr>
                <w:sz w:val="20"/>
                <w:szCs w:val="20"/>
                <w:color w:val="auto"/>
              </w:rPr>
            </w:pPr>
            <w:r>
              <w:rPr>
                <w:rFonts w:ascii="Arial" w:cs="Arial" w:eastAsia="Arial" w:hAnsi="Arial"/>
                <w:sz w:val="16"/>
                <w:szCs w:val="16"/>
                <w:color w:val="auto"/>
              </w:rPr>
              <w:t>Charitable Giving</w:t>
            </w:r>
          </w:p>
        </w:tc>
        <w:tc>
          <w:tcPr>
            <w:tcW w:w="9740" w:type="dxa"/>
            <w:vAlign w:val="bottom"/>
          </w:tcPr>
          <w:p>
            <w:pPr>
              <w:ind w:left="120"/>
              <w:spacing w:after="0"/>
              <w:rPr>
                <w:sz w:val="20"/>
                <w:szCs w:val="20"/>
                <w:color w:val="auto"/>
              </w:rPr>
            </w:pPr>
            <w:r>
              <w:rPr>
                <w:rFonts w:ascii="Arial" w:cs="Arial" w:eastAsia="Arial" w:hAnsi="Arial"/>
                <w:sz w:val="16"/>
                <w:szCs w:val="16"/>
                <w:color w:val="auto"/>
              </w:rPr>
              <w:t>We offer a matching gift program for our non-employee directors, similar to the matching gift program</w:t>
            </w:r>
          </w:p>
        </w:tc>
      </w:tr>
      <w:tr>
        <w:trPr>
          <w:trHeight w:val="209"/>
        </w:trPr>
        <w:tc>
          <w:tcPr>
            <w:tcW w:w="1500" w:type="dxa"/>
            <w:vAlign w:val="bottom"/>
          </w:tcPr>
          <w:p>
            <w:pPr>
              <w:spacing w:after="0"/>
              <w:rPr>
                <w:sz w:val="18"/>
                <w:szCs w:val="18"/>
                <w:color w:val="auto"/>
              </w:rPr>
            </w:pPr>
          </w:p>
        </w:tc>
        <w:tc>
          <w:tcPr>
            <w:tcW w:w="9740" w:type="dxa"/>
            <w:vAlign w:val="bottom"/>
          </w:tcPr>
          <w:p>
            <w:pPr>
              <w:ind w:left="120"/>
              <w:spacing w:after="0"/>
              <w:rPr>
                <w:sz w:val="20"/>
                <w:szCs w:val="20"/>
                <w:color w:val="auto"/>
              </w:rPr>
            </w:pPr>
            <w:r>
              <w:rPr>
                <w:rFonts w:ascii="Arial" w:cs="Arial" w:eastAsia="Arial" w:hAnsi="Arial"/>
                <w:sz w:val="16"/>
                <w:szCs w:val="16"/>
                <w:color w:val="auto"/>
              </w:rPr>
              <w:t>offered to all employees, which provides that a gift or gifts by a director and/or his or her spouse to one or more tax exempt 501(c)(3)</w:t>
            </w:r>
          </w:p>
        </w:tc>
      </w:tr>
      <w:tr>
        <w:trPr>
          <w:trHeight w:val="188"/>
        </w:trPr>
        <w:tc>
          <w:tcPr>
            <w:tcW w:w="1500" w:type="dxa"/>
            <w:vAlign w:val="bottom"/>
          </w:tcPr>
          <w:p>
            <w:pPr>
              <w:spacing w:after="0"/>
              <w:rPr>
                <w:sz w:val="16"/>
                <w:szCs w:val="16"/>
                <w:color w:val="auto"/>
              </w:rPr>
            </w:pPr>
          </w:p>
        </w:tc>
        <w:tc>
          <w:tcPr>
            <w:tcW w:w="9740" w:type="dxa"/>
            <w:vAlign w:val="bottom"/>
          </w:tcPr>
          <w:p>
            <w:pPr>
              <w:ind w:left="120"/>
              <w:spacing w:after="0"/>
              <w:rPr>
                <w:sz w:val="20"/>
                <w:szCs w:val="20"/>
                <w:color w:val="auto"/>
              </w:rPr>
            </w:pPr>
            <w:r>
              <w:rPr>
                <w:rFonts w:ascii="Arial" w:cs="Arial" w:eastAsia="Arial" w:hAnsi="Arial"/>
                <w:sz w:val="16"/>
                <w:szCs w:val="16"/>
                <w:color w:val="auto"/>
              </w:rPr>
              <w:t>charitable organizations located in the United States will be matched by us in an aggregate amount of up to $1,000 per director per</w:t>
            </w:r>
          </w:p>
        </w:tc>
      </w:tr>
      <w:tr>
        <w:trPr>
          <w:trHeight w:val="196"/>
        </w:trPr>
        <w:tc>
          <w:tcPr>
            <w:tcW w:w="1500" w:type="dxa"/>
            <w:vAlign w:val="bottom"/>
          </w:tcPr>
          <w:p>
            <w:pPr>
              <w:spacing w:after="0"/>
              <w:rPr>
                <w:sz w:val="17"/>
                <w:szCs w:val="17"/>
                <w:color w:val="auto"/>
              </w:rPr>
            </w:pPr>
          </w:p>
        </w:tc>
        <w:tc>
          <w:tcPr>
            <w:tcW w:w="9740" w:type="dxa"/>
            <w:vAlign w:val="bottom"/>
          </w:tcPr>
          <w:p>
            <w:pPr>
              <w:ind w:left="120"/>
              <w:spacing w:after="0"/>
              <w:rPr>
                <w:sz w:val="20"/>
                <w:szCs w:val="20"/>
                <w:color w:val="auto"/>
              </w:rPr>
            </w:pPr>
            <w:r>
              <w:rPr>
                <w:rFonts w:ascii="Arial" w:cs="Arial" w:eastAsia="Arial" w:hAnsi="Arial"/>
                <w:sz w:val="16"/>
                <w:szCs w:val="16"/>
                <w:color w:val="auto"/>
              </w:rPr>
              <w:t>year.</w:t>
            </w:r>
          </w:p>
        </w:tc>
      </w:tr>
      <w:tr>
        <w:trPr>
          <w:trHeight w:val="206"/>
        </w:trPr>
        <w:tc>
          <w:tcPr>
            <w:tcW w:w="1500" w:type="dxa"/>
            <w:vAlign w:val="bottom"/>
            <w:shd w:val="clear" w:color="auto" w:fill="D9D9D9"/>
          </w:tcPr>
          <w:p>
            <w:pPr>
              <w:spacing w:after="0"/>
              <w:rPr>
                <w:sz w:val="20"/>
                <w:szCs w:val="20"/>
                <w:color w:val="auto"/>
              </w:rPr>
            </w:pPr>
            <w:r>
              <w:rPr>
                <w:rFonts w:ascii="Arial" w:cs="Arial" w:eastAsia="Arial" w:hAnsi="Arial"/>
                <w:sz w:val="16"/>
                <w:szCs w:val="16"/>
                <w:color w:val="auto"/>
              </w:rPr>
              <w:t>Indemnification and</w:t>
            </w:r>
          </w:p>
        </w:tc>
        <w:tc>
          <w:tcPr>
            <w:tcW w:w="9740" w:type="dxa"/>
            <w:vAlign w:val="bottom"/>
            <w:shd w:val="clear" w:color="auto" w:fill="D9D9D9"/>
          </w:tcPr>
          <w:p>
            <w:pPr>
              <w:ind w:left="120"/>
              <w:spacing w:after="0"/>
              <w:rPr>
                <w:sz w:val="20"/>
                <w:szCs w:val="20"/>
                <w:color w:val="auto"/>
              </w:rPr>
            </w:pPr>
            <w:r>
              <w:rPr>
                <w:rFonts w:ascii="Arial" w:cs="Arial" w:eastAsia="Arial" w:hAnsi="Arial"/>
                <w:sz w:val="16"/>
                <w:szCs w:val="16"/>
                <w:color w:val="auto"/>
              </w:rPr>
              <w:t>Each non-employee director is a party to an indemnification agreement with us pursuant to which we have agreed to provide</w:t>
            </w:r>
          </w:p>
        </w:tc>
      </w:tr>
      <w:tr>
        <w:trPr>
          <w:trHeight w:val="188"/>
        </w:trPr>
        <w:tc>
          <w:tcPr>
            <w:tcW w:w="1500" w:type="dxa"/>
            <w:vAlign w:val="bottom"/>
            <w:shd w:val="clear" w:color="auto" w:fill="D9D9D9"/>
          </w:tcPr>
          <w:p>
            <w:pPr>
              <w:spacing w:after="0"/>
              <w:rPr>
                <w:sz w:val="20"/>
                <w:szCs w:val="20"/>
                <w:color w:val="auto"/>
              </w:rPr>
            </w:pPr>
            <w:r>
              <w:rPr>
                <w:rFonts w:ascii="Arial" w:cs="Arial" w:eastAsia="Arial" w:hAnsi="Arial"/>
                <w:sz w:val="16"/>
                <w:szCs w:val="16"/>
                <w:color w:val="auto"/>
              </w:rPr>
              <w:t>D&amp;O Insurance</w:t>
            </w:r>
          </w:p>
        </w:tc>
        <w:tc>
          <w:tcPr>
            <w:tcW w:w="9740" w:type="dxa"/>
            <w:vAlign w:val="bottom"/>
            <w:shd w:val="clear" w:color="auto" w:fill="D9D9D9"/>
          </w:tcPr>
          <w:p>
            <w:pPr>
              <w:ind w:left="120"/>
              <w:spacing w:after="0"/>
              <w:rPr>
                <w:sz w:val="20"/>
                <w:szCs w:val="20"/>
                <w:color w:val="auto"/>
              </w:rPr>
            </w:pPr>
            <w:r>
              <w:rPr>
                <w:rFonts w:ascii="Arial" w:cs="Arial" w:eastAsia="Arial" w:hAnsi="Arial"/>
                <w:sz w:val="16"/>
                <w:szCs w:val="16"/>
                <w:color w:val="auto"/>
              </w:rPr>
              <w:t>indemnification and advancement of expenses to the fullest extent permitted by Delaware law and our Restated Certificate of</w:t>
            </w:r>
          </w:p>
        </w:tc>
      </w:tr>
      <w:tr>
        <w:trPr>
          <w:trHeight w:val="213"/>
        </w:trPr>
        <w:tc>
          <w:tcPr>
            <w:tcW w:w="1500" w:type="dxa"/>
            <w:vAlign w:val="bottom"/>
            <w:shd w:val="clear" w:color="auto" w:fill="D9D9D9"/>
          </w:tcPr>
          <w:p>
            <w:pPr>
              <w:spacing w:after="0"/>
              <w:rPr>
                <w:sz w:val="18"/>
                <w:szCs w:val="18"/>
                <w:color w:val="auto"/>
              </w:rPr>
            </w:pPr>
          </w:p>
        </w:tc>
        <w:tc>
          <w:tcPr>
            <w:tcW w:w="9740" w:type="dxa"/>
            <w:vAlign w:val="bottom"/>
            <w:shd w:val="clear" w:color="auto" w:fill="D9D9D9"/>
          </w:tcPr>
          <w:p>
            <w:pPr>
              <w:ind w:left="120"/>
              <w:spacing w:after="0"/>
              <w:rPr>
                <w:sz w:val="20"/>
                <w:szCs w:val="20"/>
                <w:color w:val="auto"/>
              </w:rPr>
            </w:pPr>
            <w:r>
              <w:rPr>
                <w:rFonts w:ascii="Arial" w:cs="Arial" w:eastAsia="Arial" w:hAnsi="Arial"/>
                <w:sz w:val="16"/>
                <w:szCs w:val="16"/>
                <w:color w:val="auto"/>
              </w:rPr>
              <w:t>Incorporation and continued coverage under our D&amp;O insurance.</w:t>
            </w:r>
          </w:p>
        </w:tc>
      </w:tr>
    </w:tbl>
    <w:p>
      <w:pPr>
        <w:spacing w:after="0" w:line="285"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i w:val="1"/>
          <w:iCs w:val="1"/>
          <w:color w:val="auto"/>
        </w:rPr>
        <w:t xml:space="preserve">Stock Option Vesting. </w:t>
      </w:r>
      <w:r>
        <w:rPr>
          <w:rFonts w:ascii="Arial" w:cs="Arial" w:eastAsia="Arial" w:hAnsi="Arial"/>
          <w:sz w:val="18"/>
          <w:szCs w:val="18"/>
          <w:color w:val="auto"/>
        </w:rPr>
        <w:t>Except as described below, stock options granted to our non-employee directors vest in three equal installments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of the first, second and third year anniversaries of the grant date and remain exercisable for a term of ten years after the grant date.</w:t>
      </w:r>
    </w:p>
    <w:p>
      <w:pPr>
        <w:spacing w:after="0" w:line="73" w:lineRule="exact"/>
        <w:rPr>
          <w:sz w:val="20"/>
          <w:szCs w:val="20"/>
          <w:color w:val="auto"/>
        </w:rPr>
      </w:pPr>
    </w:p>
    <w:p>
      <w:pPr>
        <w:jc w:val="both"/>
        <w:ind w:right="120" w:firstLine="401"/>
        <w:spacing w:after="0" w:line="238" w:lineRule="auto"/>
        <w:rPr>
          <w:sz w:val="20"/>
          <w:szCs w:val="20"/>
          <w:color w:val="auto"/>
        </w:rPr>
      </w:pPr>
      <w:r>
        <w:rPr>
          <w:rFonts w:ascii="Arial" w:cs="Arial" w:eastAsia="Arial" w:hAnsi="Arial"/>
          <w:sz w:val="18"/>
          <w:szCs w:val="18"/>
          <w:color w:val="auto"/>
        </w:rPr>
        <w:t>If a director becomes disabled or dies, all outstanding unvested stock options will vest in full on the date the director’s service ceases by reason of such disability or death and all outstanding stock options may be exercised up to the earlier of the date the stock options expire or one year after the date the director’s service ceased by reason of such disability or death.</w:t>
      </w:r>
    </w:p>
    <w:p>
      <w:pPr>
        <w:spacing w:after="0" w:line="95" w:lineRule="exact"/>
        <w:rPr>
          <w:sz w:val="20"/>
          <w:szCs w:val="20"/>
          <w:color w:val="auto"/>
        </w:rPr>
      </w:pPr>
    </w:p>
    <w:p>
      <w:pPr>
        <w:ind w:right="80" w:firstLine="401"/>
        <w:spacing w:after="0" w:line="234" w:lineRule="auto"/>
        <w:rPr>
          <w:sz w:val="20"/>
          <w:szCs w:val="20"/>
          <w:color w:val="auto"/>
        </w:rPr>
      </w:pPr>
      <w:r>
        <w:rPr>
          <w:rFonts w:ascii="Arial" w:cs="Arial" w:eastAsia="Arial" w:hAnsi="Arial"/>
          <w:sz w:val="18"/>
          <w:szCs w:val="18"/>
          <w:color w:val="auto"/>
        </w:rPr>
        <w:t>If a director has served as a member of the Board for ten full fiscal years or longer and terminates his or her service on the Board, other than due to death or disability, his or her outstanding unvested stock options will continue to vest in accordance with their terms and the director may exercise the vested portions of the stock options for up to four years after the director’s date of termination, but not later than the date the stock options expire. If a director has served as a member of the Board for less than ten full fiscal years and terminates his or her service on the Board, other than due to death or disability, his or her outstanding unvested stock options will expire and be canceled and the director may exercise any vested portions of the stock options for up to three months after the director’s date of termination, but not later than the date the stock options expire. The following directors have served as a member of the Board for ten full fiscal years or longer: Janet K. Cooper, Gary L. Ellis, Katherine J. Harless, Jeffrey M. Ettinger and Gregg W. Steinhafel.</w:t>
      </w:r>
    </w:p>
    <w:p>
      <w:pPr>
        <w:spacing w:after="0" w:line="101" w:lineRule="exact"/>
        <w:rPr>
          <w:sz w:val="20"/>
          <w:szCs w:val="20"/>
          <w:color w:val="auto"/>
        </w:rPr>
      </w:pPr>
    </w:p>
    <w:p>
      <w:pPr>
        <w:ind w:right="200" w:firstLine="401"/>
        <w:spacing w:after="0" w:line="238" w:lineRule="auto"/>
        <w:rPr>
          <w:sz w:val="20"/>
          <w:szCs w:val="20"/>
          <w:color w:val="auto"/>
        </w:rPr>
      </w:pPr>
      <w:r>
        <w:rPr>
          <w:rFonts w:ascii="Arial" w:cs="Arial" w:eastAsia="Arial" w:hAnsi="Arial"/>
          <w:sz w:val="18"/>
          <w:szCs w:val="18"/>
          <w:color w:val="auto"/>
        </w:rPr>
        <w:t>If there is a change in control of our Company, stock options granted under the 2010 Plan will vest immediately and remain exercisable for the remaining term. The general definition of a change in control under the 2010 Plan is described under “Potential Payments upon Termination or Change in Control—Change in Control” beginning on page 57.</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Director Compensation for Fiscal 2020</w:t>
      </w:r>
    </w:p>
    <w:p>
      <w:pPr>
        <w:spacing w:after="0" w:line="118" w:lineRule="exact"/>
        <w:rPr>
          <w:sz w:val="20"/>
          <w:szCs w:val="20"/>
          <w:color w:val="auto"/>
        </w:rPr>
      </w:pPr>
    </w:p>
    <w:p>
      <w:pPr>
        <w:ind w:right="300" w:firstLine="401"/>
        <w:spacing w:after="0" w:line="235" w:lineRule="auto"/>
        <w:rPr>
          <w:sz w:val="20"/>
          <w:szCs w:val="20"/>
          <w:color w:val="auto"/>
        </w:rPr>
      </w:pPr>
      <w:r>
        <w:rPr>
          <w:rFonts w:ascii="Arial" w:cs="Arial" w:eastAsia="Arial" w:hAnsi="Arial"/>
          <w:sz w:val="18"/>
          <w:szCs w:val="18"/>
          <w:color w:val="auto"/>
        </w:rPr>
        <w:t>The following table provides summary information concerning the compensation of each individual non-employee director who served during fiscal 2020. Richard M. Olson, our Chairman and CEO, is not compensated separately for his service as a director. Mr. Olson’s compensation is discussed in the “Executive Compensation” section beginning on page 28. Amounts in the table are not reduced to reflect elections, if any, by the non-employee directors to defer receipt of compensation. Deferral elections are described in more detail in the footnotes to the table. Earnings on nonqualified deferred compensation are not on a basis that is considered to be above-market or preferential.</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shd w:val="clear" w:color="auto" w:fill="C00000"/>
          </w:tcPr>
          <w:p>
            <w:pPr>
              <w:spacing w:after="0"/>
              <w:rPr>
                <w:sz w:val="14"/>
                <w:szCs w:val="14"/>
                <w:color w:val="auto"/>
              </w:rPr>
            </w:pPr>
          </w:p>
        </w:tc>
        <w:tc>
          <w:tcPr>
            <w:tcW w:w="2400" w:type="dxa"/>
            <w:vAlign w:val="bottom"/>
            <w:shd w:val="clear" w:color="auto" w:fill="C00000"/>
          </w:tcPr>
          <w:p>
            <w:pPr>
              <w:jc w:val="center"/>
              <w:ind w:left="483"/>
              <w:spacing w:after="0"/>
              <w:rPr>
                <w:sz w:val="20"/>
                <w:szCs w:val="20"/>
                <w:color w:val="auto"/>
              </w:rPr>
            </w:pPr>
            <w:r>
              <w:rPr>
                <w:rFonts w:ascii="Arial" w:cs="Arial" w:eastAsia="Arial" w:hAnsi="Arial"/>
                <w:sz w:val="14"/>
                <w:szCs w:val="14"/>
                <w:b w:val="1"/>
                <w:bCs w:val="1"/>
                <w:color w:val="FFFFFF"/>
              </w:rPr>
              <w:t>Fees Earned or</w:t>
            </w:r>
          </w:p>
        </w:tc>
        <w:tc>
          <w:tcPr>
            <w:tcW w:w="1600" w:type="dxa"/>
            <w:vAlign w:val="bottom"/>
            <w:shd w:val="clear" w:color="auto" w:fill="C00000"/>
          </w:tcPr>
          <w:p>
            <w:pPr>
              <w:spacing w:after="0"/>
              <w:rPr>
                <w:sz w:val="14"/>
                <w:szCs w:val="14"/>
                <w:color w:val="auto"/>
              </w:rPr>
            </w:pPr>
          </w:p>
        </w:tc>
        <w:tc>
          <w:tcPr>
            <w:tcW w:w="1600" w:type="dxa"/>
            <w:vAlign w:val="bottom"/>
            <w:shd w:val="clear" w:color="auto" w:fill="C00000"/>
          </w:tcPr>
          <w:p>
            <w:pPr>
              <w:spacing w:after="0"/>
              <w:rPr>
                <w:sz w:val="14"/>
                <w:szCs w:val="14"/>
                <w:color w:val="auto"/>
              </w:rPr>
            </w:pPr>
          </w:p>
        </w:tc>
        <w:tc>
          <w:tcPr>
            <w:tcW w:w="1780" w:type="dxa"/>
            <w:vAlign w:val="bottom"/>
            <w:shd w:val="clear" w:color="auto" w:fill="C00000"/>
          </w:tcPr>
          <w:p>
            <w:pPr>
              <w:jc w:val="center"/>
              <w:ind w:right="303"/>
              <w:spacing w:after="0"/>
              <w:rPr>
                <w:sz w:val="20"/>
                <w:szCs w:val="20"/>
                <w:color w:val="auto"/>
              </w:rPr>
            </w:pPr>
            <w:r>
              <w:rPr>
                <w:rFonts w:ascii="Arial" w:cs="Arial" w:eastAsia="Arial" w:hAnsi="Arial"/>
                <w:sz w:val="14"/>
                <w:szCs w:val="14"/>
                <w:b w:val="1"/>
                <w:bCs w:val="1"/>
                <w:color w:val="FFFFFF"/>
              </w:rPr>
              <w:t>All Other</w:t>
            </w:r>
          </w:p>
        </w:tc>
        <w:tc>
          <w:tcPr>
            <w:tcW w:w="1280" w:type="dxa"/>
            <w:vAlign w:val="bottom"/>
            <w:shd w:val="clear" w:color="auto" w:fill="C00000"/>
          </w:tcPr>
          <w:p>
            <w:pPr>
              <w:spacing w:after="0"/>
              <w:rPr>
                <w:sz w:val="14"/>
                <w:szCs w:val="14"/>
                <w:color w:val="auto"/>
              </w:rPr>
            </w:pPr>
          </w:p>
        </w:tc>
      </w:tr>
      <w:tr>
        <w:trPr>
          <w:trHeight w:val="157"/>
        </w:trPr>
        <w:tc>
          <w:tcPr>
            <w:tcW w:w="2580" w:type="dxa"/>
            <w:vAlign w:val="bottom"/>
            <w:shd w:val="clear" w:color="auto" w:fill="C00000"/>
          </w:tcPr>
          <w:p>
            <w:pPr>
              <w:spacing w:after="0"/>
              <w:rPr>
                <w:sz w:val="13"/>
                <w:szCs w:val="13"/>
                <w:color w:val="auto"/>
              </w:rPr>
            </w:pPr>
          </w:p>
        </w:tc>
        <w:tc>
          <w:tcPr>
            <w:tcW w:w="2400" w:type="dxa"/>
            <w:vAlign w:val="bottom"/>
            <w:shd w:val="clear" w:color="auto" w:fill="C00000"/>
          </w:tcPr>
          <w:p>
            <w:pPr>
              <w:jc w:val="center"/>
              <w:ind w:left="463"/>
              <w:spacing w:after="0" w:line="157" w:lineRule="exact"/>
              <w:rPr>
                <w:sz w:val="20"/>
                <w:szCs w:val="20"/>
                <w:color w:val="auto"/>
              </w:rPr>
            </w:pPr>
            <w:r>
              <w:rPr>
                <w:rFonts w:ascii="Arial" w:cs="Arial" w:eastAsia="Arial" w:hAnsi="Arial"/>
                <w:sz w:val="14"/>
                <w:szCs w:val="14"/>
                <w:b w:val="1"/>
                <w:bCs w:val="1"/>
                <w:color w:val="FFFFFF"/>
              </w:rPr>
              <w:t>Paid in Cash</w:t>
            </w:r>
          </w:p>
        </w:tc>
        <w:tc>
          <w:tcPr>
            <w:tcW w:w="1600" w:type="dxa"/>
            <w:vAlign w:val="bottom"/>
            <w:shd w:val="clear" w:color="auto" w:fill="C00000"/>
          </w:tcPr>
          <w:p>
            <w:pPr>
              <w:jc w:val="right"/>
              <w:ind w:right="383"/>
              <w:spacing w:after="0" w:line="157" w:lineRule="exact"/>
              <w:rPr>
                <w:sz w:val="20"/>
                <w:szCs w:val="20"/>
                <w:color w:val="auto"/>
              </w:rPr>
            </w:pPr>
            <w:r>
              <w:rPr>
                <w:rFonts w:ascii="Arial" w:cs="Arial" w:eastAsia="Arial" w:hAnsi="Arial"/>
                <w:sz w:val="14"/>
                <w:szCs w:val="14"/>
                <w:b w:val="1"/>
                <w:bCs w:val="1"/>
                <w:color w:val="FFFFFF"/>
              </w:rPr>
              <w:t>Stock Awards</w:t>
            </w:r>
          </w:p>
        </w:tc>
        <w:tc>
          <w:tcPr>
            <w:tcW w:w="1600" w:type="dxa"/>
            <w:vAlign w:val="bottom"/>
            <w:shd w:val="clear" w:color="auto" w:fill="C00000"/>
          </w:tcPr>
          <w:p>
            <w:pPr>
              <w:jc w:val="right"/>
              <w:ind w:right="323"/>
              <w:spacing w:after="0" w:line="157" w:lineRule="exact"/>
              <w:rPr>
                <w:sz w:val="20"/>
                <w:szCs w:val="20"/>
                <w:color w:val="auto"/>
              </w:rPr>
            </w:pPr>
            <w:r>
              <w:rPr>
                <w:rFonts w:ascii="Arial" w:cs="Arial" w:eastAsia="Arial" w:hAnsi="Arial"/>
                <w:sz w:val="14"/>
                <w:szCs w:val="14"/>
                <w:b w:val="1"/>
                <w:bCs w:val="1"/>
                <w:color w:val="FFFFFF"/>
              </w:rPr>
              <w:t>Option Awards</w:t>
            </w:r>
          </w:p>
        </w:tc>
        <w:tc>
          <w:tcPr>
            <w:tcW w:w="1780" w:type="dxa"/>
            <w:vAlign w:val="bottom"/>
            <w:shd w:val="clear" w:color="auto" w:fill="C00000"/>
          </w:tcPr>
          <w:p>
            <w:pPr>
              <w:jc w:val="center"/>
              <w:ind w:right="303"/>
              <w:spacing w:after="0" w:line="157" w:lineRule="exact"/>
              <w:rPr>
                <w:sz w:val="20"/>
                <w:szCs w:val="20"/>
                <w:color w:val="auto"/>
              </w:rPr>
            </w:pPr>
            <w:r>
              <w:rPr>
                <w:rFonts w:ascii="Arial" w:cs="Arial" w:eastAsia="Arial" w:hAnsi="Arial"/>
                <w:sz w:val="14"/>
                <w:szCs w:val="14"/>
                <w:b w:val="1"/>
                <w:bCs w:val="1"/>
                <w:color w:val="FFFFFF"/>
              </w:rPr>
              <w:t>Compensation</w:t>
            </w:r>
          </w:p>
        </w:tc>
        <w:tc>
          <w:tcPr>
            <w:tcW w:w="1280" w:type="dxa"/>
            <w:vAlign w:val="bottom"/>
            <w:shd w:val="clear" w:color="auto" w:fill="C00000"/>
          </w:tcPr>
          <w:p>
            <w:pPr>
              <w:jc w:val="right"/>
              <w:ind w:right="501"/>
              <w:spacing w:after="0" w:line="157" w:lineRule="exact"/>
              <w:rPr>
                <w:sz w:val="20"/>
                <w:szCs w:val="20"/>
                <w:color w:val="auto"/>
              </w:rPr>
            </w:pPr>
            <w:r>
              <w:rPr>
                <w:rFonts w:ascii="Arial" w:cs="Arial" w:eastAsia="Arial" w:hAnsi="Arial"/>
                <w:sz w:val="14"/>
                <w:szCs w:val="14"/>
                <w:b w:val="1"/>
                <w:bCs w:val="1"/>
                <w:color w:val="FFFFFF"/>
              </w:rPr>
              <w:t>Total</w:t>
            </w:r>
          </w:p>
        </w:tc>
      </w:tr>
      <w:tr>
        <w:trPr>
          <w:trHeight w:val="178"/>
        </w:trPr>
        <w:tc>
          <w:tcPr>
            <w:tcW w:w="25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2400" w:type="dxa"/>
            <w:vAlign w:val="bottom"/>
            <w:shd w:val="clear" w:color="auto" w:fill="C00000"/>
          </w:tcPr>
          <w:p>
            <w:pPr>
              <w:jc w:val="center"/>
              <w:ind w:left="483"/>
              <w:spacing w:after="0" w:line="178"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(1)(2)</w:t>
            </w:r>
          </w:p>
        </w:tc>
        <w:tc>
          <w:tcPr>
            <w:tcW w:w="1600" w:type="dxa"/>
            <w:vAlign w:val="bottom"/>
            <w:shd w:val="clear" w:color="auto" w:fill="C00000"/>
          </w:tcPr>
          <w:p>
            <w:pPr>
              <w:jc w:val="right"/>
              <w:ind w:right="683"/>
              <w:spacing w:after="0" w:line="178"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(3)</w:t>
            </w:r>
          </w:p>
        </w:tc>
        <w:tc>
          <w:tcPr>
            <w:tcW w:w="1600" w:type="dxa"/>
            <w:vAlign w:val="bottom"/>
            <w:shd w:val="clear" w:color="auto" w:fill="C00000"/>
          </w:tcPr>
          <w:p>
            <w:pPr>
              <w:jc w:val="right"/>
              <w:ind w:right="603"/>
              <w:spacing w:after="0" w:line="178"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(4)(5)</w:t>
            </w:r>
          </w:p>
        </w:tc>
        <w:tc>
          <w:tcPr>
            <w:tcW w:w="1780" w:type="dxa"/>
            <w:vAlign w:val="bottom"/>
            <w:shd w:val="clear" w:color="auto" w:fill="C00000"/>
          </w:tcPr>
          <w:p>
            <w:pPr>
              <w:jc w:val="center"/>
              <w:ind w:right="303"/>
              <w:spacing w:after="0" w:line="178"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(6)</w:t>
            </w:r>
          </w:p>
        </w:tc>
        <w:tc>
          <w:tcPr>
            <w:tcW w:w="1280" w:type="dxa"/>
            <w:vAlign w:val="bottom"/>
            <w:shd w:val="clear" w:color="auto" w:fill="C00000"/>
          </w:tcPr>
          <w:p>
            <w:pPr>
              <w:jc w:val="right"/>
              <w:ind w:right="581"/>
              <w:spacing w:after="0"/>
              <w:rPr>
                <w:sz w:val="20"/>
                <w:szCs w:val="20"/>
                <w:color w:val="auto"/>
              </w:rPr>
            </w:pPr>
            <w:r>
              <w:rPr>
                <w:rFonts w:ascii="Arial" w:cs="Arial" w:eastAsia="Arial" w:hAnsi="Arial"/>
                <w:sz w:val="14"/>
                <w:szCs w:val="14"/>
                <w:b w:val="1"/>
                <w:bCs w:val="1"/>
                <w:color w:val="FFFFFF"/>
              </w:rPr>
              <w:t>($)</w:t>
            </w:r>
          </w:p>
        </w:tc>
      </w:tr>
      <w:tr>
        <w:trPr>
          <w:trHeight w:val="201"/>
        </w:trPr>
        <w:tc>
          <w:tcPr>
            <w:tcW w:w="2580" w:type="dxa"/>
            <w:vAlign w:val="bottom"/>
            <w:shd w:val="clear" w:color="auto" w:fill="D9D9D9"/>
          </w:tcPr>
          <w:p>
            <w:pPr>
              <w:spacing w:after="0"/>
              <w:rPr>
                <w:sz w:val="20"/>
                <w:szCs w:val="20"/>
                <w:color w:val="auto"/>
              </w:rPr>
            </w:pPr>
            <w:r>
              <w:rPr>
                <w:rFonts w:ascii="Arial" w:cs="Arial" w:eastAsia="Arial" w:hAnsi="Arial"/>
                <w:sz w:val="16"/>
                <w:szCs w:val="16"/>
                <w:color w:val="auto"/>
              </w:rPr>
              <w:t>Janet K. Cooper</w:t>
            </w:r>
          </w:p>
        </w:tc>
        <w:tc>
          <w:tcPr>
            <w:tcW w:w="240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61,750</w:t>
            </w:r>
          </w:p>
        </w:tc>
        <w:tc>
          <w:tcPr>
            <w:tcW w:w="160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69,255</w:t>
            </w:r>
          </w:p>
        </w:tc>
        <w:tc>
          <w:tcPr>
            <w:tcW w:w="1600" w:type="dxa"/>
            <w:vAlign w:val="bottom"/>
            <w:shd w:val="clear" w:color="auto" w:fill="D9D9D9"/>
          </w:tcPr>
          <w:p>
            <w:pPr>
              <w:jc w:val="right"/>
              <w:ind w:right="103"/>
              <w:spacing w:after="0"/>
              <w:rPr>
                <w:sz w:val="20"/>
                <w:szCs w:val="20"/>
                <w:color w:val="auto"/>
              </w:rPr>
            </w:pPr>
            <w:r>
              <w:rPr>
                <w:rFonts w:ascii="Arial" w:cs="Arial" w:eastAsia="Arial" w:hAnsi="Arial"/>
                <w:sz w:val="16"/>
                <w:szCs w:val="16"/>
                <w:color w:val="auto"/>
              </w:rPr>
              <w:t>54,998</w:t>
            </w:r>
          </w:p>
        </w:tc>
        <w:tc>
          <w:tcPr>
            <w:tcW w:w="1780" w:type="dxa"/>
            <w:vAlign w:val="bottom"/>
            <w:shd w:val="clear" w:color="auto" w:fill="D9D9D9"/>
          </w:tcPr>
          <w:p>
            <w:pPr>
              <w:jc w:val="right"/>
              <w:ind w:right="283"/>
              <w:spacing w:after="0"/>
              <w:rPr>
                <w:sz w:val="20"/>
                <w:szCs w:val="20"/>
                <w:color w:val="auto"/>
              </w:rPr>
            </w:pPr>
            <w:r>
              <w:rPr>
                <w:rFonts w:ascii="Arial" w:cs="Arial" w:eastAsia="Arial" w:hAnsi="Arial"/>
                <w:sz w:val="16"/>
                <w:szCs w:val="16"/>
                <w:color w:val="auto"/>
              </w:rPr>
              <w:t>1,206</w:t>
            </w:r>
          </w:p>
        </w:tc>
        <w:tc>
          <w:tcPr>
            <w:tcW w:w="12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187,209</w:t>
            </w:r>
          </w:p>
        </w:tc>
      </w:tr>
      <w:tr>
        <w:trPr>
          <w:trHeight w:val="201"/>
        </w:trPr>
        <w:tc>
          <w:tcPr>
            <w:tcW w:w="2580" w:type="dxa"/>
            <w:vAlign w:val="bottom"/>
          </w:tcPr>
          <w:p>
            <w:pPr>
              <w:spacing w:after="0"/>
              <w:rPr>
                <w:sz w:val="20"/>
                <w:szCs w:val="20"/>
                <w:color w:val="auto"/>
              </w:rPr>
            </w:pPr>
            <w:r>
              <w:rPr>
                <w:rFonts w:ascii="Arial" w:cs="Arial" w:eastAsia="Arial" w:hAnsi="Arial"/>
                <w:sz w:val="16"/>
                <w:szCs w:val="16"/>
                <w:color w:val="auto"/>
              </w:rPr>
              <w:t>Gary L. Ellis</w:t>
            </w:r>
          </w:p>
        </w:tc>
        <w:tc>
          <w:tcPr>
            <w:tcW w:w="2400" w:type="dxa"/>
            <w:vAlign w:val="bottom"/>
          </w:tcPr>
          <w:p>
            <w:pPr>
              <w:jc w:val="right"/>
              <w:ind w:right="123"/>
              <w:spacing w:after="0"/>
              <w:rPr>
                <w:sz w:val="20"/>
                <w:szCs w:val="20"/>
                <w:color w:val="auto"/>
              </w:rPr>
            </w:pPr>
            <w:r>
              <w:rPr>
                <w:rFonts w:ascii="Arial" w:cs="Arial" w:eastAsia="Arial" w:hAnsi="Arial"/>
                <w:sz w:val="16"/>
                <w:szCs w:val="16"/>
                <w:color w:val="auto"/>
              </w:rPr>
              <w:t>68,000</w:t>
            </w:r>
          </w:p>
        </w:tc>
        <w:tc>
          <w:tcPr>
            <w:tcW w:w="1600" w:type="dxa"/>
            <w:vAlign w:val="bottom"/>
          </w:tcPr>
          <w:p>
            <w:pPr>
              <w:jc w:val="right"/>
              <w:ind w:right="123"/>
              <w:spacing w:after="0"/>
              <w:rPr>
                <w:sz w:val="20"/>
                <w:szCs w:val="20"/>
                <w:color w:val="auto"/>
              </w:rPr>
            </w:pPr>
            <w:r>
              <w:rPr>
                <w:rFonts w:ascii="Arial" w:cs="Arial" w:eastAsia="Arial" w:hAnsi="Arial"/>
                <w:sz w:val="16"/>
                <w:szCs w:val="16"/>
                <w:color w:val="auto"/>
              </w:rPr>
              <w:t>69,255</w:t>
            </w:r>
          </w:p>
        </w:tc>
        <w:tc>
          <w:tcPr>
            <w:tcW w:w="1600" w:type="dxa"/>
            <w:vAlign w:val="bottom"/>
          </w:tcPr>
          <w:p>
            <w:pPr>
              <w:jc w:val="right"/>
              <w:ind w:right="103"/>
              <w:spacing w:after="0"/>
              <w:rPr>
                <w:sz w:val="20"/>
                <w:szCs w:val="20"/>
                <w:color w:val="auto"/>
              </w:rPr>
            </w:pPr>
            <w:r>
              <w:rPr>
                <w:rFonts w:ascii="Arial" w:cs="Arial" w:eastAsia="Arial" w:hAnsi="Arial"/>
                <w:sz w:val="16"/>
                <w:szCs w:val="16"/>
                <w:color w:val="auto"/>
              </w:rPr>
              <w:t>54,998</w:t>
            </w:r>
          </w:p>
        </w:tc>
        <w:tc>
          <w:tcPr>
            <w:tcW w:w="1780" w:type="dxa"/>
            <w:vAlign w:val="bottom"/>
          </w:tcPr>
          <w:p>
            <w:pPr>
              <w:jc w:val="right"/>
              <w:ind w:right="283"/>
              <w:spacing w:after="0"/>
              <w:rPr>
                <w:sz w:val="20"/>
                <w:szCs w:val="20"/>
                <w:color w:val="auto"/>
              </w:rPr>
            </w:pPr>
            <w:r>
              <w:rPr>
                <w:rFonts w:ascii="Arial" w:cs="Arial" w:eastAsia="Arial" w:hAnsi="Arial"/>
                <w:sz w:val="16"/>
                <w:szCs w:val="16"/>
                <w:color w:val="auto"/>
              </w:rPr>
              <w:t>574</w:t>
            </w:r>
          </w:p>
        </w:tc>
        <w:tc>
          <w:tcPr>
            <w:tcW w:w="1280" w:type="dxa"/>
            <w:vAlign w:val="bottom"/>
          </w:tcPr>
          <w:p>
            <w:pPr>
              <w:jc w:val="right"/>
              <w:spacing w:after="0"/>
              <w:rPr>
                <w:sz w:val="20"/>
                <w:szCs w:val="20"/>
                <w:color w:val="auto"/>
              </w:rPr>
            </w:pPr>
            <w:r>
              <w:rPr>
                <w:rFonts w:ascii="Arial" w:cs="Arial" w:eastAsia="Arial" w:hAnsi="Arial"/>
                <w:sz w:val="16"/>
                <w:szCs w:val="16"/>
                <w:color w:val="auto"/>
              </w:rPr>
              <w:t>192,827</w:t>
            </w:r>
          </w:p>
        </w:tc>
      </w:tr>
      <w:tr>
        <w:trPr>
          <w:trHeight w:val="201"/>
        </w:trPr>
        <w:tc>
          <w:tcPr>
            <w:tcW w:w="2580" w:type="dxa"/>
            <w:vAlign w:val="bottom"/>
            <w:shd w:val="clear" w:color="auto" w:fill="D9D9D9"/>
          </w:tcPr>
          <w:p>
            <w:pPr>
              <w:spacing w:after="0"/>
              <w:rPr>
                <w:sz w:val="20"/>
                <w:szCs w:val="20"/>
                <w:color w:val="auto"/>
              </w:rPr>
            </w:pPr>
            <w:r>
              <w:rPr>
                <w:rFonts w:ascii="Arial" w:cs="Arial" w:eastAsia="Arial" w:hAnsi="Arial"/>
                <w:sz w:val="16"/>
                <w:szCs w:val="16"/>
                <w:color w:val="auto"/>
              </w:rPr>
              <w:t>Jeffrey M. Ettinger</w:t>
            </w:r>
          </w:p>
        </w:tc>
        <w:tc>
          <w:tcPr>
            <w:tcW w:w="240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52,750</w:t>
            </w:r>
          </w:p>
        </w:tc>
        <w:tc>
          <w:tcPr>
            <w:tcW w:w="160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69,255</w:t>
            </w:r>
          </w:p>
        </w:tc>
        <w:tc>
          <w:tcPr>
            <w:tcW w:w="1600" w:type="dxa"/>
            <w:vAlign w:val="bottom"/>
            <w:shd w:val="clear" w:color="auto" w:fill="D9D9D9"/>
          </w:tcPr>
          <w:p>
            <w:pPr>
              <w:jc w:val="right"/>
              <w:ind w:right="103"/>
              <w:spacing w:after="0"/>
              <w:rPr>
                <w:sz w:val="20"/>
                <w:szCs w:val="20"/>
                <w:color w:val="auto"/>
              </w:rPr>
            </w:pPr>
            <w:r>
              <w:rPr>
                <w:rFonts w:ascii="Arial" w:cs="Arial" w:eastAsia="Arial" w:hAnsi="Arial"/>
                <w:sz w:val="16"/>
                <w:szCs w:val="16"/>
                <w:color w:val="auto"/>
              </w:rPr>
              <w:t>54,998</w:t>
            </w:r>
          </w:p>
        </w:tc>
        <w:tc>
          <w:tcPr>
            <w:tcW w:w="1780" w:type="dxa"/>
            <w:vAlign w:val="bottom"/>
            <w:shd w:val="clear" w:color="auto" w:fill="D9D9D9"/>
          </w:tcPr>
          <w:p>
            <w:pPr>
              <w:jc w:val="right"/>
              <w:ind w:right="283"/>
              <w:spacing w:after="0"/>
              <w:rPr>
                <w:sz w:val="20"/>
                <w:szCs w:val="20"/>
                <w:color w:val="auto"/>
              </w:rPr>
            </w:pPr>
            <w:r>
              <w:rPr>
                <w:rFonts w:ascii="Arial" w:cs="Arial" w:eastAsia="Arial" w:hAnsi="Arial"/>
                <w:sz w:val="16"/>
                <w:szCs w:val="16"/>
                <w:color w:val="auto"/>
              </w:rPr>
              <w:t>0</w:t>
            </w:r>
          </w:p>
        </w:tc>
        <w:tc>
          <w:tcPr>
            <w:tcW w:w="12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177,003</w:t>
            </w:r>
          </w:p>
        </w:tc>
      </w:tr>
      <w:tr>
        <w:trPr>
          <w:trHeight w:val="201"/>
        </w:trPr>
        <w:tc>
          <w:tcPr>
            <w:tcW w:w="2580" w:type="dxa"/>
            <w:vAlign w:val="bottom"/>
          </w:tcPr>
          <w:p>
            <w:pPr>
              <w:spacing w:after="0" w:line="201" w:lineRule="exact"/>
              <w:rPr>
                <w:sz w:val="20"/>
                <w:szCs w:val="20"/>
                <w:color w:val="auto"/>
              </w:rPr>
            </w:pPr>
            <w:r>
              <w:rPr>
                <w:rFonts w:ascii="Arial" w:cs="Arial" w:eastAsia="Arial" w:hAnsi="Arial"/>
                <w:sz w:val="14"/>
                <w:szCs w:val="14"/>
                <w:color w:val="auto"/>
              </w:rPr>
              <w:t>Katherine J. Harless</w:t>
            </w:r>
            <w:r>
              <w:rPr>
                <w:rFonts w:ascii="Arial" w:cs="Arial" w:eastAsia="Arial" w:hAnsi="Arial"/>
                <w:sz w:val="23"/>
                <w:szCs w:val="23"/>
                <w:color w:val="auto"/>
                <w:vertAlign w:val="superscript"/>
              </w:rPr>
              <w:t>(7)</w:t>
            </w:r>
          </w:p>
        </w:tc>
        <w:tc>
          <w:tcPr>
            <w:tcW w:w="2400" w:type="dxa"/>
            <w:vAlign w:val="bottom"/>
          </w:tcPr>
          <w:p>
            <w:pPr>
              <w:jc w:val="right"/>
              <w:ind w:right="123"/>
              <w:spacing w:after="0"/>
              <w:rPr>
                <w:sz w:val="20"/>
                <w:szCs w:val="20"/>
                <w:color w:val="auto"/>
              </w:rPr>
            </w:pPr>
            <w:r>
              <w:rPr>
                <w:rFonts w:ascii="Arial" w:cs="Arial" w:eastAsia="Arial" w:hAnsi="Arial"/>
                <w:sz w:val="16"/>
                <w:szCs w:val="16"/>
                <w:color w:val="auto"/>
              </w:rPr>
              <w:t>51,750</w:t>
            </w:r>
          </w:p>
        </w:tc>
        <w:tc>
          <w:tcPr>
            <w:tcW w:w="1600" w:type="dxa"/>
            <w:vAlign w:val="bottom"/>
          </w:tcPr>
          <w:p>
            <w:pPr>
              <w:jc w:val="right"/>
              <w:ind w:right="123"/>
              <w:spacing w:after="0"/>
              <w:rPr>
                <w:sz w:val="20"/>
                <w:szCs w:val="20"/>
                <w:color w:val="auto"/>
              </w:rPr>
            </w:pPr>
            <w:r>
              <w:rPr>
                <w:rFonts w:ascii="Arial" w:cs="Arial" w:eastAsia="Arial" w:hAnsi="Arial"/>
                <w:sz w:val="16"/>
                <w:szCs w:val="16"/>
                <w:color w:val="auto"/>
              </w:rPr>
              <w:t>69,255</w:t>
            </w:r>
          </w:p>
        </w:tc>
        <w:tc>
          <w:tcPr>
            <w:tcW w:w="1600" w:type="dxa"/>
            <w:vAlign w:val="bottom"/>
          </w:tcPr>
          <w:p>
            <w:pPr>
              <w:jc w:val="right"/>
              <w:ind w:right="103"/>
              <w:spacing w:after="0"/>
              <w:rPr>
                <w:sz w:val="20"/>
                <w:szCs w:val="20"/>
                <w:color w:val="auto"/>
              </w:rPr>
            </w:pPr>
            <w:r>
              <w:rPr>
                <w:rFonts w:ascii="Arial" w:cs="Arial" w:eastAsia="Arial" w:hAnsi="Arial"/>
                <w:sz w:val="16"/>
                <w:szCs w:val="16"/>
                <w:color w:val="auto"/>
              </w:rPr>
              <w:t>54,998</w:t>
            </w:r>
          </w:p>
        </w:tc>
        <w:tc>
          <w:tcPr>
            <w:tcW w:w="1780" w:type="dxa"/>
            <w:vAlign w:val="bottom"/>
          </w:tcPr>
          <w:p>
            <w:pPr>
              <w:jc w:val="right"/>
              <w:ind w:right="283"/>
              <w:spacing w:after="0"/>
              <w:rPr>
                <w:sz w:val="20"/>
                <w:szCs w:val="20"/>
                <w:color w:val="auto"/>
              </w:rPr>
            </w:pPr>
            <w:r>
              <w:rPr>
                <w:rFonts w:ascii="Arial" w:cs="Arial" w:eastAsia="Arial" w:hAnsi="Arial"/>
                <w:sz w:val="16"/>
                <w:szCs w:val="16"/>
                <w:color w:val="auto"/>
              </w:rPr>
              <w:t>0</w:t>
            </w:r>
          </w:p>
        </w:tc>
        <w:tc>
          <w:tcPr>
            <w:tcW w:w="1280" w:type="dxa"/>
            <w:vAlign w:val="bottom"/>
          </w:tcPr>
          <w:p>
            <w:pPr>
              <w:jc w:val="right"/>
              <w:spacing w:after="0"/>
              <w:rPr>
                <w:sz w:val="20"/>
                <w:szCs w:val="20"/>
                <w:color w:val="auto"/>
              </w:rPr>
            </w:pPr>
            <w:r>
              <w:rPr>
                <w:rFonts w:ascii="Arial" w:cs="Arial" w:eastAsia="Arial" w:hAnsi="Arial"/>
                <w:sz w:val="16"/>
                <w:szCs w:val="16"/>
                <w:color w:val="auto"/>
              </w:rPr>
              <w:t>176,003</w:t>
            </w:r>
          </w:p>
        </w:tc>
      </w:tr>
      <w:tr>
        <w:trPr>
          <w:trHeight w:val="201"/>
        </w:trPr>
        <w:tc>
          <w:tcPr>
            <w:tcW w:w="2580" w:type="dxa"/>
            <w:vAlign w:val="bottom"/>
            <w:shd w:val="clear" w:color="auto" w:fill="D9D9D9"/>
          </w:tcPr>
          <w:p>
            <w:pPr>
              <w:spacing w:after="0"/>
              <w:rPr>
                <w:sz w:val="20"/>
                <w:szCs w:val="20"/>
                <w:color w:val="auto"/>
              </w:rPr>
            </w:pPr>
            <w:r>
              <w:rPr>
                <w:rFonts w:ascii="Arial" w:cs="Arial" w:eastAsia="Arial" w:hAnsi="Arial"/>
                <w:sz w:val="16"/>
                <w:szCs w:val="16"/>
                <w:color w:val="auto"/>
              </w:rPr>
              <w:t>Jeffrey L. Harmening</w:t>
            </w:r>
          </w:p>
        </w:tc>
        <w:tc>
          <w:tcPr>
            <w:tcW w:w="240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51,750</w:t>
            </w:r>
          </w:p>
        </w:tc>
        <w:tc>
          <w:tcPr>
            <w:tcW w:w="160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69,255</w:t>
            </w:r>
          </w:p>
        </w:tc>
        <w:tc>
          <w:tcPr>
            <w:tcW w:w="1600" w:type="dxa"/>
            <w:vAlign w:val="bottom"/>
            <w:shd w:val="clear" w:color="auto" w:fill="D9D9D9"/>
          </w:tcPr>
          <w:p>
            <w:pPr>
              <w:jc w:val="right"/>
              <w:ind w:right="103"/>
              <w:spacing w:after="0"/>
              <w:rPr>
                <w:sz w:val="20"/>
                <w:szCs w:val="20"/>
                <w:color w:val="auto"/>
              </w:rPr>
            </w:pPr>
            <w:r>
              <w:rPr>
                <w:rFonts w:ascii="Arial" w:cs="Arial" w:eastAsia="Arial" w:hAnsi="Arial"/>
                <w:sz w:val="16"/>
                <w:szCs w:val="16"/>
                <w:color w:val="auto"/>
              </w:rPr>
              <w:t>54,998</w:t>
            </w:r>
          </w:p>
        </w:tc>
        <w:tc>
          <w:tcPr>
            <w:tcW w:w="1780" w:type="dxa"/>
            <w:vAlign w:val="bottom"/>
            <w:shd w:val="clear" w:color="auto" w:fill="D9D9D9"/>
          </w:tcPr>
          <w:p>
            <w:pPr>
              <w:jc w:val="right"/>
              <w:ind w:right="283"/>
              <w:spacing w:after="0"/>
              <w:rPr>
                <w:sz w:val="20"/>
                <w:szCs w:val="20"/>
                <w:color w:val="auto"/>
              </w:rPr>
            </w:pPr>
            <w:r>
              <w:rPr>
                <w:rFonts w:ascii="Arial" w:cs="Arial" w:eastAsia="Arial" w:hAnsi="Arial"/>
                <w:sz w:val="16"/>
                <w:szCs w:val="16"/>
                <w:color w:val="auto"/>
              </w:rPr>
              <w:t>0</w:t>
            </w:r>
          </w:p>
        </w:tc>
        <w:tc>
          <w:tcPr>
            <w:tcW w:w="12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176,003</w:t>
            </w:r>
          </w:p>
        </w:tc>
      </w:tr>
      <w:tr>
        <w:trPr>
          <w:trHeight w:val="201"/>
        </w:trPr>
        <w:tc>
          <w:tcPr>
            <w:tcW w:w="2580" w:type="dxa"/>
            <w:vAlign w:val="bottom"/>
          </w:tcPr>
          <w:p>
            <w:pPr>
              <w:spacing w:after="0"/>
              <w:rPr>
                <w:sz w:val="20"/>
                <w:szCs w:val="20"/>
                <w:color w:val="auto"/>
              </w:rPr>
            </w:pPr>
            <w:r>
              <w:rPr>
                <w:rFonts w:ascii="Arial" w:cs="Arial" w:eastAsia="Arial" w:hAnsi="Arial"/>
                <w:sz w:val="16"/>
                <w:szCs w:val="16"/>
                <w:color w:val="auto"/>
              </w:rPr>
              <w:t>D. Christian Koch</w:t>
            </w:r>
          </w:p>
        </w:tc>
        <w:tc>
          <w:tcPr>
            <w:tcW w:w="2400" w:type="dxa"/>
            <w:vAlign w:val="bottom"/>
          </w:tcPr>
          <w:p>
            <w:pPr>
              <w:jc w:val="right"/>
              <w:ind w:right="123"/>
              <w:spacing w:after="0"/>
              <w:rPr>
                <w:sz w:val="20"/>
                <w:szCs w:val="20"/>
                <w:color w:val="auto"/>
              </w:rPr>
            </w:pPr>
            <w:r>
              <w:rPr>
                <w:rFonts w:ascii="Arial" w:cs="Arial" w:eastAsia="Arial" w:hAnsi="Arial"/>
                <w:sz w:val="16"/>
                <w:szCs w:val="16"/>
                <w:color w:val="auto"/>
              </w:rPr>
              <w:t>49,000</w:t>
            </w:r>
          </w:p>
        </w:tc>
        <w:tc>
          <w:tcPr>
            <w:tcW w:w="1600" w:type="dxa"/>
            <w:vAlign w:val="bottom"/>
          </w:tcPr>
          <w:p>
            <w:pPr>
              <w:jc w:val="right"/>
              <w:ind w:right="123"/>
              <w:spacing w:after="0"/>
              <w:rPr>
                <w:sz w:val="20"/>
                <w:szCs w:val="20"/>
                <w:color w:val="auto"/>
              </w:rPr>
            </w:pPr>
            <w:r>
              <w:rPr>
                <w:rFonts w:ascii="Arial" w:cs="Arial" w:eastAsia="Arial" w:hAnsi="Arial"/>
                <w:sz w:val="16"/>
                <w:szCs w:val="16"/>
                <w:color w:val="auto"/>
              </w:rPr>
              <w:t>69,255</w:t>
            </w:r>
          </w:p>
        </w:tc>
        <w:tc>
          <w:tcPr>
            <w:tcW w:w="1600" w:type="dxa"/>
            <w:vAlign w:val="bottom"/>
          </w:tcPr>
          <w:p>
            <w:pPr>
              <w:jc w:val="right"/>
              <w:ind w:right="103"/>
              <w:spacing w:after="0"/>
              <w:rPr>
                <w:sz w:val="20"/>
                <w:szCs w:val="20"/>
                <w:color w:val="auto"/>
              </w:rPr>
            </w:pPr>
            <w:r>
              <w:rPr>
                <w:rFonts w:ascii="Arial" w:cs="Arial" w:eastAsia="Arial" w:hAnsi="Arial"/>
                <w:sz w:val="16"/>
                <w:szCs w:val="16"/>
                <w:color w:val="auto"/>
              </w:rPr>
              <w:t>54,998</w:t>
            </w:r>
          </w:p>
        </w:tc>
        <w:tc>
          <w:tcPr>
            <w:tcW w:w="1780" w:type="dxa"/>
            <w:vAlign w:val="bottom"/>
          </w:tcPr>
          <w:p>
            <w:pPr>
              <w:jc w:val="right"/>
              <w:ind w:right="283"/>
              <w:spacing w:after="0"/>
              <w:rPr>
                <w:sz w:val="20"/>
                <w:szCs w:val="20"/>
                <w:color w:val="auto"/>
              </w:rPr>
            </w:pPr>
            <w:r>
              <w:rPr>
                <w:rFonts w:ascii="Arial" w:cs="Arial" w:eastAsia="Arial" w:hAnsi="Arial"/>
                <w:sz w:val="16"/>
                <w:szCs w:val="16"/>
                <w:color w:val="auto"/>
              </w:rPr>
              <w:t>0</w:t>
            </w:r>
          </w:p>
        </w:tc>
        <w:tc>
          <w:tcPr>
            <w:tcW w:w="1280" w:type="dxa"/>
            <w:vAlign w:val="bottom"/>
          </w:tcPr>
          <w:p>
            <w:pPr>
              <w:jc w:val="right"/>
              <w:spacing w:after="0"/>
              <w:rPr>
                <w:sz w:val="20"/>
                <w:szCs w:val="20"/>
                <w:color w:val="auto"/>
              </w:rPr>
            </w:pPr>
            <w:r>
              <w:rPr>
                <w:rFonts w:ascii="Arial" w:cs="Arial" w:eastAsia="Arial" w:hAnsi="Arial"/>
                <w:sz w:val="16"/>
                <w:szCs w:val="16"/>
                <w:color w:val="auto"/>
              </w:rPr>
              <w:t>173,253</w:t>
            </w:r>
          </w:p>
        </w:tc>
      </w:tr>
      <w:tr>
        <w:trPr>
          <w:trHeight w:val="201"/>
        </w:trPr>
        <w:tc>
          <w:tcPr>
            <w:tcW w:w="2580" w:type="dxa"/>
            <w:vAlign w:val="bottom"/>
            <w:shd w:val="clear" w:color="auto" w:fill="D9D9D9"/>
          </w:tcPr>
          <w:p>
            <w:pPr>
              <w:spacing w:after="0" w:line="201" w:lineRule="exact"/>
              <w:rPr>
                <w:sz w:val="20"/>
                <w:szCs w:val="20"/>
                <w:color w:val="auto"/>
              </w:rPr>
            </w:pPr>
            <w:r>
              <w:rPr>
                <w:rFonts w:ascii="Arial" w:cs="Arial" w:eastAsia="Arial" w:hAnsi="Arial"/>
                <w:sz w:val="14"/>
                <w:szCs w:val="14"/>
                <w:color w:val="auto"/>
              </w:rPr>
              <w:t>Joyce A. Mullen</w:t>
            </w:r>
            <w:r>
              <w:rPr>
                <w:rFonts w:ascii="Arial" w:cs="Arial" w:eastAsia="Arial" w:hAnsi="Arial"/>
                <w:sz w:val="23"/>
                <w:szCs w:val="23"/>
                <w:color w:val="auto"/>
                <w:vertAlign w:val="superscript"/>
              </w:rPr>
              <w:t>(7)</w:t>
            </w:r>
          </w:p>
        </w:tc>
        <w:tc>
          <w:tcPr>
            <w:tcW w:w="240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49,000</w:t>
            </w:r>
          </w:p>
        </w:tc>
        <w:tc>
          <w:tcPr>
            <w:tcW w:w="160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69,255</w:t>
            </w:r>
          </w:p>
        </w:tc>
        <w:tc>
          <w:tcPr>
            <w:tcW w:w="1600" w:type="dxa"/>
            <w:vAlign w:val="bottom"/>
            <w:shd w:val="clear" w:color="auto" w:fill="D9D9D9"/>
          </w:tcPr>
          <w:p>
            <w:pPr>
              <w:jc w:val="right"/>
              <w:ind w:right="103"/>
              <w:spacing w:after="0"/>
              <w:rPr>
                <w:sz w:val="20"/>
                <w:szCs w:val="20"/>
                <w:color w:val="auto"/>
              </w:rPr>
            </w:pPr>
            <w:r>
              <w:rPr>
                <w:rFonts w:ascii="Arial" w:cs="Arial" w:eastAsia="Arial" w:hAnsi="Arial"/>
                <w:sz w:val="16"/>
                <w:szCs w:val="16"/>
                <w:color w:val="auto"/>
              </w:rPr>
              <w:t>54,998</w:t>
            </w:r>
          </w:p>
        </w:tc>
        <w:tc>
          <w:tcPr>
            <w:tcW w:w="1780" w:type="dxa"/>
            <w:vAlign w:val="bottom"/>
            <w:shd w:val="clear" w:color="auto" w:fill="D9D9D9"/>
          </w:tcPr>
          <w:p>
            <w:pPr>
              <w:jc w:val="right"/>
              <w:ind w:right="283"/>
              <w:spacing w:after="0"/>
              <w:rPr>
                <w:sz w:val="20"/>
                <w:szCs w:val="20"/>
                <w:color w:val="auto"/>
              </w:rPr>
            </w:pPr>
            <w:r>
              <w:rPr>
                <w:rFonts w:ascii="Arial" w:cs="Arial" w:eastAsia="Arial" w:hAnsi="Arial"/>
                <w:sz w:val="16"/>
                <w:szCs w:val="16"/>
                <w:color w:val="auto"/>
              </w:rPr>
              <w:t>0</w:t>
            </w:r>
          </w:p>
        </w:tc>
        <w:tc>
          <w:tcPr>
            <w:tcW w:w="12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173,253</w:t>
            </w:r>
          </w:p>
        </w:tc>
      </w:tr>
      <w:tr>
        <w:trPr>
          <w:trHeight w:val="201"/>
        </w:trPr>
        <w:tc>
          <w:tcPr>
            <w:tcW w:w="2580" w:type="dxa"/>
            <w:vAlign w:val="bottom"/>
          </w:tcPr>
          <w:p>
            <w:pPr>
              <w:spacing w:after="0"/>
              <w:rPr>
                <w:sz w:val="20"/>
                <w:szCs w:val="20"/>
                <w:color w:val="auto"/>
              </w:rPr>
            </w:pPr>
            <w:r>
              <w:rPr>
                <w:rFonts w:ascii="Arial" w:cs="Arial" w:eastAsia="Arial" w:hAnsi="Arial"/>
                <w:sz w:val="16"/>
                <w:szCs w:val="16"/>
                <w:color w:val="auto"/>
              </w:rPr>
              <w:t>James C. O’Rourke</w:t>
            </w:r>
          </w:p>
        </w:tc>
        <w:tc>
          <w:tcPr>
            <w:tcW w:w="2400" w:type="dxa"/>
            <w:vAlign w:val="bottom"/>
          </w:tcPr>
          <w:p>
            <w:pPr>
              <w:jc w:val="right"/>
              <w:ind w:right="123"/>
              <w:spacing w:after="0"/>
              <w:rPr>
                <w:sz w:val="20"/>
                <w:szCs w:val="20"/>
                <w:color w:val="auto"/>
              </w:rPr>
            </w:pPr>
            <w:r>
              <w:rPr>
                <w:rFonts w:ascii="Arial" w:cs="Arial" w:eastAsia="Arial" w:hAnsi="Arial"/>
                <w:sz w:val="16"/>
                <w:szCs w:val="16"/>
                <w:color w:val="auto"/>
              </w:rPr>
              <w:t>55,000</w:t>
            </w:r>
          </w:p>
        </w:tc>
        <w:tc>
          <w:tcPr>
            <w:tcW w:w="1600" w:type="dxa"/>
            <w:vAlign w:val="bottom"/>
          </w:tcPr>
          <w:p>
            <w:pPr>
              <w:jc w:val="right"/>
              <w:ind w:right="123"/>
              <w:spacing w:after="0"/>
              <w:rPr>
                <w:sz w:val="20"/>
                <w:szCs w:val="20"/>
                <w:color w:val="auto"/>
              </w:rPr>
            </w:pPr>
            <w:r>
              <w:rPr>
                <w:rFonts w:ascii="Arial" w:cs="Arial" w:eastAsia="Arial" w:hAnsi="Arial"/>
                <w:sz w:val="16"/>
                <w:szCs w:val="16"/>
                <w:color w:val="auto"/>
              </w:rPr>
              <w:t>69,255</w:t>
            </w:r>
          </w:p>
        </w:tc>
        <w:tc>
          <w:tcPr>
            <w:tcW w:w="1600" w:type="dxa"/>
            <w:vAlign w:val="bottom"/>
          </w:tcPr>
          <w:p>
            <w:pPr>
              <w:jc w:val="right"/>
              <w:ind w:right="103"/>
              <w:spacing w:after="0"/>
              <w:rPr>
                <w:sz w:val="20"/>
                <w:szCs w:val="20"/>
                <w:color w:val="auto"/>
              </w:rPr>
            </w:pPr>
            <w:r>
              <w:rPr>
                <w:rFonts w:ascii="Arial" w:cs="Arial" w:eastAsia="Arial" w:hAnsi="Arial"/>
                <w:sz w:val="16"/>
                <w:szCs w:val="16"/>
                <w:color w:val="auto"/>
              </w:rPr>
              <w:t>54,998</w:t>
            </w:r>
          </w:p>
        </w:tc>
        <w:tc>
          <w:tcPr>
            <w:tcW w:w="1780" w:type="dxa"/>
            <w:vAlign w:val="bottom"/>
          </w:tcPr>
          <w:p>
            <w:pPr>
              <w:jc w:val="right"/>
              <w:ind w:right="283"/>
              <w:spacing w:after="0"/>
              <w:rPr>
                <w:sz w:val="20"/>
                <w:szCs w:val="20"/>
                <w:color w:val="auto"/>
              </w:rPr>
            </w:pPr>
            <w:r>
              <w:rPr>
                <w:rFonts w:ascii="Arial" w:cs="Arial" w:eastAsia="Arial" w:hAnsi="Arial"/>
                <w:sz w:val="16"/>
                <w:szCs w:val="16"/>
                <w:color w:val="auto"/>
              </w:rPr>
              <w:t>1,008</w:t>
            </w:r>
          </w:p>
        </w:tc>
        <w:tc>
          <w:tcPr>
            <w:tcW w:w="1280" w:type="dxa"/>
            <w:vAlign w:val="bottom"/>
          </w:tcPr>
          <w:p>
            <w:pPr>
              <w:jc w:val="right"/>
              <w:spacing w:after="0"/>
              <w:rPr>
                <w:sz w:val="20"/>
                <w:szCs w:val="20"/>
                <w:color w:val="auto"/>
              </w:rPr>
            </w:pPr>
            <w:r>
              <w:rPr>
                <w:rFonts w:ascii="Arial" w:cs="Arial" w:eastAsia="Arial" w:hAnsi="Arial"/>
                <w:sz w:val="16"/>
                <w:szCs w:val="16"/>
                <w:color w:val="auto"/>
              </w:rPr>
              <w:t>180,261</w:t>
            </w:r>
          </w:p>
        </w:tc>
      </w:tr>
      <w:tr>
        <w:trPr>
          <w:trHeight w:val="201"/>
        </w:trPr>
        <w:tc>
          <w:tcPr>
            <w:tcW w:w="2580" w:type="dxa"/>
            <w:vAlign w:val="bottom"/>
            <w:shd w:val="clear" w:color="auto" w:fill="D9D9D9"/>
          </w:tcPr>
          <w:p>
            <w:pPr>
              <w:spacing w:after="0"/>
              <w:rPr>
                <w:sz w:val="20"/>
                <w:szCs w:val="20"/>
                <w:color w:val="auto"/>
              </w:rPr>
            </w:pPr>
            <w:r>
              <w:rPr>
                <w:rFonts w:ascii="Arial" w:cs="Arial" w:eastAsia="Arial" w:hAnsi="Arial"/>
                <w:sz w:val="16"/>
                <w:szCs w:val="16"/>
                <w:color w:val="auto"/>
              </w:rPr>
              <w:t>Gregg W. Steinhafel</w:t>
            </w:r>
          </w:p>
        </w:tc>
        <w:tc>
          <w:tcPr>
            <w:tcW w:w="240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49,000</w:t>
            </w:r>
          </w:p>
        </w:tc>
        <w:tc>
          <w:tcPr>
            <w:tcW w:w="160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69,255</w:t>
            </w:r>
          </w:p>
        </w:tc>
        <w:tc>
          <w:tcPr>
            <w:tcW w:w="1600" w:type="dxa"/>
            <w:vAlign w:val="bottom"/>
            <w:shd w:val="clear" w:color="auto" w:fill="D9D9D9"/>
          </w:tcPr>
          <w:p>
            <w:pPr>
              <w:jc w:val="right"/>
              <w:ind w:right="103"/>
              <w:spacing w:after="0"/>
              <w:rPr>
                <w:sz w:val="20"/>
                <w:szCs w:val="20"/>
                <w:color w:val="auto"/>
              </w:rPr>
            </w:pPr>
            <w:r>
              <w:rPr>
                <w:rFonts w:ascii="Arial" w:cs="Arial" w:eastAsia="Arial" w:hAnsi="Arial"/>
                <w:sz w:val="16"/>
                <w:szCs w:val="16"/>
                <w:color w:val="auto"/>
              </w:rPr>
              <w:t>54,998</w:t>
            </w:r>
          </w:p>
        </w:tc>
        <w:tc>
          <w:tcPr>
            <w:tcW w:w="1780" w:type="dxa"/>
            <w:vAlign w:val="bottom"/>
            <w:shd w:val="clear" w:color="auto" w:fill="D9D9D9"/>
          </w:tcPr>
          <w:p>
            <w:pPr>
              <w:jc w:val="right"/>
              <w:ind w:right="283"/>
              <w:spacing w:after="0"/>
              <w:rPr>
                <w:sz w:val="20"/>
                <w:szCs w:val="20"/>
                <w:color w:val="auto"/>
              </w:rPr>
            </w:pPr>
            <w:r>
              <w:rPr>
                <w:rFonts w:ascii="Arial" w:cs="Arial" w:eastAsia="Arial" w:hAnsi="Arial"/>
                <w:sz w:val="16"/>
                <w:szCs w:val="16"/>
                <w:color w:val="auto"/>
              </w:rPr>
              <w:t>3,689</w:t>
            </w:r>
          </w:p>
        </w:tc>
        <w:tc>
          <w:tcPr>
            <w:tcW w:w="12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176,942</w:t>
            </w:r>
          </w:p>
        </w:tc>
      </w:tr>
      <w:tr>
        <w:trPr>
          <w:trHeight w:val="360"/>
        </w:trPr>
        <w:tc>
          <w:tcPr>
            <w:tcW w:w="2580" w:type="dxa"/>
            <w:vAlign w:val="bottom"/>
          </w:tcPr>
          <w:p>
            <w:pPr>
              <w:spacing w:after="0"/>
              <w:rPr>
                <w:sz w:val="20"/>
                <w:szCs w:val="20"/>
                <w:color w:val="auto"/>
              </w:rPr>
            </w:pPr>
            <w:r>
              <w:rPr>
                <w:rFonts w:ascii="Arial" w:cs="Arial" w:eastAsia="Arial" w:hAnsi="Arial"/>
                <w:sz w:val="16"/>
                <w:szCs w:val="16"/>
                <w:color w:val="auto"/>
              </w:rPr>
              <w:t>Michael G. Vale</w:t>
            </w:r>
            <w:r>
              <w:rPr>
                <w:rFonts w:ascii="Arial" w:cs="Arial" w:eastAsia="Arial" w:hAnsi="Arial"/>
                <w:sz w:val="27"/>
                <w:szCs w:val="27"/>
                <w:color w:val="auto"/>
                <w:vertAlign w:val="superscript"/>
              </w:rPr>
              <w:t>(7)</w:t>
            </w:r>
          </w:p>
        </w:tc>
        <w:tc>
          <w:tcPr>
            <w:tcW w:w="2400" w:type="dxa"/>
            <w:vAlign w:val="bottom"/>
          </w:tcPr>
          <w:p>
            <w:pPr>
              <w:jc w:val="right"/>
              <w:ind w:right="123"/>
              <w:spacing w:after="0"/>
              <w:rPr>
                <w:sz w:val="20"/>
                <w:szCs w:val="20"/>
                <w:color w:val="auto"/>
              </w:rPr>
            </w:pPr>
            <w:r>
              <w:rPr>
                <w:rFonts w:ascii="Arial" w:cs="Arial" w:eastAsia="Arial" w:hAnsi="Arial"/>
                <w:sz w:val="16"/>
                <w:szCs w:val="16"/>
                <w:color w:val="auto"/>
              </w:rPr>
              <w:t>51,750</w:t>
            </w:r>
          </w:p>
        </w:tc>
        <w:tc>
          <w:tcPr>
            <w:tcW w:w="1600" w:type="dxa"/>
            <w:vAlign w:val="bottom"/>
          </w:tcPr>
          <w:p>
            <w:pPr>
              <w:jc w:val="right"/>
              <w:ind w:right="123"/>
              <w:spacing w:after="0"/>
              <w:rPr>
                <w:sz w:val="20"/>
                <w:szCs w:val="20"/>
                <w:color w:val="auto"/>
              </w:rPr>
            </w:pPr>
            <w:r>
              <w:rPr>
                <w:rFonts w:ascii="Arial" w:cs="Arial" w:eastAsia="Arial" w:hAnsi="Arial"/>
                <w:sz w:val="16"/>
                <w:szCs w:val="16"/>
                <w:color w:val="auto"/>
              </w:rPr>
              <w:t>69,255</w:t>
            </w:r>
          </w:p>
        </w:tc>
        <w:tc>
          <w:tcPr>
            <w:tcW w:w="1600" w:type="dxa"/>
            <w:vAlign w:val="bottom"/>
          </w:tcPr>
          <w:p>
            <w:pPr>
              <w:jc w:val="right"/>
              <w:ind w:right="103"/>
              <w:spacing w:after="0"/>
              <w:rPr>
                <w:sz w:val="20"/>
                <w:szCs w:val="20"/>
                <w:color w:val="auto"/>
              </w:rPr>
            </w:pPr>
            <w:r>
              <w:rPr>
                <w:rFonts w:ascii="Arial" w:cs="Arial" w:eastAsia="Arial" w:hAnsi="Arial"/>
                <w:sz w:val="16"/>
                <w:szCs w:val="16"/>
                <w:color w:val="auto"/>
              </w:rPr>
              <w:t>54,998</w:t>
            </w:r>
          </w:p>
        </w:tc>
        <w:tc>
          <w:tcPr>
            <w:tcW w:w="1780" w:type="dxa"/>
            <w:vAlign w:val="bottom"/>
          </w:tcPr>
          <w:p>
            <w:pPr>
              <w:jc w:val="right"/>
              <w:ind w:right="283"/>
              <w:spacing w:after="0"/>
              <w:rPr>
                <w:sz w:val="20"/>
                <w:szCs w:val="20"/>
                <w:color w:val="auto"/>
              </w:rPr>
            </w:pPr>
            <w:r>
              <w:rPr>
                <w:rFonts w:ascii="Arial" w:cs="Arial" w:eastAsia="Arial" w:hAnsi="Arial"/>
                <w:sz w:val="16"/>
                <w:szCs w:val="16"/>
                <w:color w:val="auto"/>
              </w:rPr>
              <w:t>637</w:t>
            </w:r>
          </w:p>
        </w:tc>
        <w:tc>
          <w:tcPr>
            <w:tcW w:w="1280" w:type="dxa"/>
            <w:vAlign w:val="bottom"/>
          </w:tcPr>
          <w:p>
            <w:pPr>
              <w:jc w:val="right"/>
              <w:spacing w:after="0"/>
              <w:rPr>
                <w:sz w:val="20"/>
                <w:szCs w:val="20"/>
                <w:color w:val="auto"/>
              </w:rPr>
            </w:pPr>
            <w:r>
              <w:rPr>
                <w:rFonts w:ascii="Arial" w:cs="Arial" w:eastAsia="Arial" w:hAnsi="Arial"/>
                <w:sz w:val="16"/>
                <w:szCs w:val="16"/>
                <w:color w:val="auto"/>
              </w:rPr>
              <w:t>176,640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203454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ind w:left="500" w:right="180" w:hanging="493"/>
        <w:spacing w:after="0" w:line="236"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Unless a director elected to defer receipt or convert a portion or all of his or her annual retainers into shares of our common stock, the fiscal 2020 first and second quarter payments of the annual retainers were paid in cash at the beginning of such fiscal quarter. In light of the COVID-19 pandemic and regardless of any prior election to defer receipt or convert cash retainers into shares, the fiscal 2020 third and fourth quarter payments of the annual retainers were cancelled and a like amount was donated by TTC to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47" w:lineRule="exact"/>
        <w:rPr>
          <w:sz w:val="20"/>
          <w:szCs w:val="20"/>
          <w:color w:val="auto"/>
        </w:rPr>
      </w:pPr>
    </w:p>
    <w:p>
      <w:pPr>
        <w:ind w:left="500" w:right="180"/>
        <w:spacing w:after="0"/>
        <w:rPr>
          <w:sz w:val="20"/>
          <w:szCs w:val="20"/>
          <w:color w:val="auto"/>
        </w:rPr>
      </w:pPr>
      <w:r>
        <w:rPr>
          <w:rFonts w:ascii="Arial" w:cs="Arial" w:eastAsia="Arial" w:hAnsi="Arial"/>
          <w:sz w:val="18"/>
          <w:szCs w:val="18"/>
          <w:color w:val="auto"/>
        </w:rPr>
        <w:t>Melrose/Hoffman Employee Critical Needs Fund; therefore, these cancelled amounts are excluded from this column because they are not considered earned or paid pursuant to Item 402 of Regulation S-K.</w:t>
      </w:r>
    </w:p>
    <w:p>
      <w:pPr>
        <w:spacing w:after="0" w:line="42" w:lineRule="exact"/>
        <w:rPr>
          <w:sz w:val="20"/>
          <w:szCs w:val="20"/>
          <w:color w:val="auto"/>
        </w:rPr>
      </w:pPr>
    </w:p>
    <w:p>
      <w:pPr>
        <w:jc w:val="both"/>
        <w:ind w:left="500" w:right="440" w:hanging="493"/>
        <w:spacing w:after="0" w:line="238"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directors elected to convert all of their reduced annual cash retainers into the following shares of our common stock, which number of shares received was based on the closing stock price of our common stock on December 15, 2020 of $92.56: Mr. Ettinger—569 shares; and Mr. Harmening—559 shares.</w:t>
      </w:r>
    </w:p>
    <w:p>
      <w:pPr>
        <w:spacing w:after="0" w:line="41" w:lineRule="exact"/>
        <w:rPr>
          <w:rFonts w:ascii="Arial" w:cs="Arial" w:eastAsia="Arial" w:hAnsi="Arial"/>
          <w:sz w:val="18"/>
          <w:szCs w:val="18"/>
          <w:color w:val="auto"/>
        </w:rPr>
      </w:pPr>
    </w:p>
    <w:p>
      <w:pPr>
        <w:ind w:left="500" w:right="20" w:hanging="493"/>
        <w:spacing w:after="0" w:line="235"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November 1, 2019, 892 shares of our common stock were granted to each non-employee director with the calculation as to the number of shares based on the average of the closing prices of our common stock during the three months prior to the grant, which was $72.85. However, the amount reported in the table represents the grant date fair value, computed in accordance with Financial Accounting Standards Board (FASB) Accounting Standard Codification (ASC) Topic 718. The closing price on the grant date of $77.64 was used in calculating the grant date fair value. The stock awards granted on November 1, 2019 were the only stock awards granted to directors during fiscal 2020. As of October 31, 2020, no directors held any restricted stock or other unvested stock awards.</w:t>
      </w:r>
    </w:p>
    <w:p>
      <w:pPr>
        <w:spacing w:after="0" w:line="44" w:lineRule="exact"/>
        <w:rPr>
          <w:rFonts w:ascii="Arial" w:cs="Arial" w:eastAsia="Arial" w:hAnsi="Arial"/>
          <w:sz w:val="18"/>
          <w:szCs w:val="18"/>
          <w:color w:val="auto"/>
        </w:rPr>
      </w:pPr>
    </w:p>
    <w:p>
      <w:pPr>
        <w:ind w:left="500" w:right="20" w:hanging="493"/>
        <w:spacing w:after="0" w:line="23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November 1, 2019, a stock option to purchase 3,521 shares of our common stock was granted to each non-employee director. The amount reported in the table represents the grant date fair value computed in accordance with FASB ASC Topic 718. The grant date fair value is based on a Black-Scholes model valuation of $15.62 per share. The following assumptions were used in the Black-Scholes calculation: a risk-free interest rate of 1.67%; expected life of 6.5 years; expected volatility of 19.352%; and an expected dividend yield of 0.95%. The exercise price per share is equal to 100% of the fair market value of one share of our common stock on the grant date, as determined by the closing price for our common stock, which was $77.64 on November 1, 2019. The actual value of the stock option awards, if any, to be realized by a director depends upon whether the price of our common stock at exercise is greater than the exercise price of the stock options. The stock option awards granted on November 1, 2019 were the only stock options granted to directors during fiscal 2020.</w:t>
      </w:r>
    </w:p>
    <w:p>
      <w:pPr>
        <w:spacing w:after="0" w:line="47" w:lineRule="exact"/>
        <w:rPr>
          <w:rFonts w:ascii="Arial" w:cs="Arial" w:eastAsia="Arial" w:hAnsi="Arial"/>
          <w:sz w:val="18"/>
          <w:szCs w:val="18"/>
          <w:color w:val="auto"/>
        </w:rPr>
      </w:pPr>
    </w:p>
    <w:p>
      <w:pPr>
        <w:ind w:left="500" w:right="100" w:hanging="493"/>
        <w:spacing w:after="0" w:line="24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October 31, 2020, the aggregate number of stock options (exercisable and unexercisable) held by each director who served during all or part of fiscal 2020 was as follows: Ms. Cooper—38,976; Mr. Ellis—49,024; Mr. Ettinger—49,024; Ms. Harless—38,976; Mr. Harmening—3,521 Mr. Koch—16,800; Ms. Mullen—3,521; Mr. O’Rourke—32,134; Mr. Steinhafel—27,030; and Dr. Vale—8,003. These numbers are different from the numbers set forth in the “Stock Options” column in footnote (2) to the “Directors and Executive Officers” stock ownership table beginning on page 62 which (i) sets forth information as of January 19, 2021 and (ii) does not include options that will become exercisable more than 60 days after January 19, 2021.</w:t>
      </w:r>
    </w:p>
    <w:p>
      <w:pPr>
        <w:spacing w:after="0" w:line="35" w:lineRule="exact"/>
        <w:rPr>
          <w:rFonts w:ascii="Arial" w:cs="Arial" w:eastAsia="Arial" w:hAnsi="Arial"/>
          <w:sz w:val="18"/>
          <w:szCs w:val="18"/>
          <w:color w:val="auto"/>
        </w:rPr>
      </w:pPr>
    </w:p>
    <w:p>
      <w:pPr>
        <w:ind w:left="500" w:hanging="493"/>
        <w:spacing w:after="0" w:line="236"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generally do not provide perquisites and other personal benefits to our non-employee directors other than Company products for personal use. The amount reported includes for (i) each of Mr. Steinhafel and Dr. Vale the value of products, parts, service or accessories, as described under “Company Products” on page 21; (ii) Ms. Cooper, a charitable donation under our director matching gift program, as described under “Charitable Giving” on page 21; and (iii) each of Ms. Cooper and Messrs. Ellis, Steinhafel and O’Rourke the incremental cost to the Company for spousal travel in connection with an off-site board meeting.</w:t>
      </w:r>
    </w:p>
    <w:p>
      <w:pPr>
        <w:spacing w:after="0" w:line="41" w:lineRule="exact"/>
        <w:rPr>
          <w:rFonts w:ascii="Arial" w:cs="Arial" w:eastAsia="Arial" w:hAnsi="Arial"/>
          <w:sz w:val="18"/>
          <w:szCs w:val="18"/>
          <w:color w:val="auto"/>
        </w:rPr>
      </w:pPr>
    </w:p>
    <w:p>
      <w:pPr>
        <w:ind w:left="500" w:right="440" w:hanging="493"/>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Ms. Harless, Ms. Mullen and Dr. Vale elected to defer receipt of their (i) calendar 2019 and calendar 2020 retainers earned in fiscal 2020, and (ii) the annual stock award granted on November 1, 2019, each under the Deferred Plan for Directors.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FFFFFF"/>
        </w:rPr>
        <w:t>PROPOSAL TWO—RATIFICATION OF SELECTION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3232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3590" cy="32321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1"/>
          <w:szCs w:val="21"/>
          <w:b w:val="1"/>
          <w:bCs w:val="1"/>
          <w:color w:val="FFFFFF"/>
        </w:rPr>
        <w:t>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Selection of Independent Registered Public Accounting Firm</w:t>
      </w:r>
    </w:p>
    <w:p>
      <w:pPr>
        <w:spacing w:after="0" w:line="118" w:lineRule="exact"/>
        <w:rPr>
          <w:sz w:val="20"/>
          <w:szCs w:val="20"/>
          <w:color w:val="auto"/>
        </w:rPr>
      </w:pPr>
    </w:p>
    <w:p>
      <w:pPr>
        <w:ind w:right="20" w:firstLine="401"/>
        <w:spacing w:after="0" w:line="234" w:lineRule="auto"/>
        <w:rPr>
          <w:sz w:val="20"/>
          <w:szCs w:val="20"/>
          <w:color w:val="auto"/>
        </w:rPr>
      </w:pPr>
      <w:r>
        <w:rPr>
          <w:rFonts w:ascii="Arial" w:cs="Arial" w:eastAsia="Arial" w:hAnsi="Arial"/>
          <w:sz w:val="18"/>
          <w:szCs w:val="18"/>
          <w:color w:val="auto"/>
        </w:rPr>
        <w:t>The Audit Committee selects our external auditor. In this regard, the Audit Committee evaluates the qualifications, performance and independence of our external auditor and determines whether to re-engage the current external auditor. As part of its evaluation, the Audit Committee considers, among other factors, the quality and efficiency of the services provided by the external auditor, including the performance, technical expertise, and industry knowledge of the lead audit partner and the audit team assigned to our account; the overall strength and reputation of the external audit firm; the external auditor’s global capabilities relative to our business; the external auditor’s knowledge of our operations; and the external auditor’s fees. Upon consideration of these and other factors, the Audit Committee has selected KPMG LLP, or KPMG, to serve as our external auditor for fiscal 2021. Although it is not required to do so, the Board, as it traditionally has done in the past, is asking our shareholders to ratify the Audit Committee’s selection of KPMG. If our shareholders do not ratify the selection of KPMG, the Audit Committee may reconsider its selection. Even if the selection is ratified by our shareholders, the Audit Committee in its discretion may change the appointment at any time during the year if it determines that such a change would be in the best interests of our Company and our shareholders.</w:t>
      </w:r>
    </w:p>
    <w:p>
      <w:pPr>
        <w:spacing w:after="0" w:line="99" w:lineRule="exact"/>
        <w:rPr>
          <w:sz w:val="20"/>
          <w:szCs w:val="20"/>
          <w:color w:val="auto"/>
        </w:rPr>
      </w:pPr>
    </w:p>
    <w:p>
      <w:pPr>
        <w:ind w:right="200" w:firstLine="401"/>
        <w:spacing w:after="0"/>
        <w:rPr>
          <w:sz w:val="20"/>
          <w:szCs w:val="20"/>
          <w:color w:val="auto"/>
        </w:rPr>
      </w:pPr>
      <w:r>
        <w:rPr>
          <w:rFonts w:ascii="Arial" w:cs="Arial" w:eastAsia="Arial" w:hAnsi="Arial"/>
          <w:sz w:val="18"/>
          <w:szCs w:val="18"/>
          <w:color w:val="auto"/>
        </w:rPr>
        <w:t>Representatives of KPMG will be present at the annual meeting to answer appropriate questions. They also will have the opportunity to make a statement if they wish to do so.</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Audit, Audit-Related, Tax and Other Fees</w:t>
      </w:r>
    </w:p>
    <w:p>
      <w:pPr>
        <w:spacing w:after="0" w:line="118" w:lineRule="exact"/>
        <w:rPr>
          <w:sz w:val="20"/>
          <w:szCs w:val="20"/>
          <w:color w:val="auto"/>
        </w:rPr>
      </w:pPr>
    </w:p>
    <w:p>
      <w:pPr>
        <w:ind w:right="160" w:firstLine="401"/>
        <w:spacing w:after="0"/>
        <w:rPr>
          <w:sz w:val="20"/>
          <w:szCs w:val="20"/>
          <w:color w:val="auto"/>
        </w:rPr>
      </w:pPr>
      <w:r>
        <w:rPr>
          <w:rFonts w:ascii="Arial" w:cs="Arial" w:eastAsia="Arial" w:hAnsi="Arial"/>
          <w:sz w:val="18"/>
          <w:szCs w:val="18"/>
          <w:color w:val="auto"/>
        </w:rPr>
        <w:t>The following table sets forth the aggregate fees billed to us for professional services rendered by KPMG for fiscal 2020 and fiscal 2019 by category, as described in the footnotes to the table.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shd w:val="clear" w:color="auto" w:fill="C00000"/>
          </w:tcPr>
          <w:p>
            <w:pPr>
              <w:spacing w:after="0"/>
              <w:rPr>
                <w:sz w:val="14"/>
                <w:szCs w:val="14"/>
                <w:color w:val="auto"/>
              </w:rPr>
            </w:pPr>
          </w:p>
        </w:tc>
        <w:tc>
          <w:tcPr>
            <w:tcW w:w="4840" w:type="dxa"/>
            <w:vAlign w:val="bottom"/>
            <w:shd w:val="clear" w:color="auto" w:fill="C00000"/>
          </w:tcPr>
          <w:p>
            <w:pPr>
              <w:jc w:val="right"/>
              <w:ind w:right="703"/>
              <w:spacing w:after="0"/>
              <w:rPr>
                <w:sz w:val="20"/>
                <w:szCs w:val="20"/>
                <w:color w:val="auto"/>
              </w:rPr>
            </w:pPr>
            <w:r>
              <w:rPr>
                <w:rFonts w:ascii="Arial" w:cs="Arial" w:eastAsia="Arial" w:hAnsi="Arial"/>
                <w:sz w:val="14"/>
                <w:szCs w:val="14"/>
                <w:b w:val="1"/>
                <w:bCs w:val="1"/>
                <w:color w:val="FFFFFF"/>
              </w:rPr>
              <w:t>Fiscal 2020</w:t>
            </w:r>
          </w:p>
        </w:tc>
        <w:tc>
          <w:tcPr>
            <w:tcW w:w="1540" w:type="dxa"/>
            <w:vAlign w:val="bottom"/>
            <w:shd w:val="clear" w:color="auto" w:fill="C00000"/>
          </w:tcPr>
          <w:p>
            <w:pPr>
              <w:jc w:val="right"/>
              <w:ind w:right="383"/>
              <w:spacing w:after="0"/>
              <w:rPr>
                <w:sz w:val="20"/>
                <w:szCs w:val="20"/>
                <w:color w:val="auto"/>
              </w:rPr>
            </w:pPr>
            <w:r>
              <w:rPr>
                <w:rFonts w:ascii="Arial" w:cs="Arial" w:eastAsia="Arial" w:hAnsi="Arial"/>
                <w:sz w:val="14"/>
                <w:szCs w:val="14"/>
                <w:b w:val="1"/>
                <w:bCs w:val="1"/>
                <w:color w:val="FFFFFF"/>
              </w:rPr>
              <w:t>Fiscal 2019</w:t>
            </w:r>
          </w:p>
        </w:tc>
      </w:tr>
      <w:tr>
        <w:trPr>
          <w:trHeight w:val="174"/>
        </w:trPr>
        <w:tc>
          <w:tcPr>
            <w:tcW w:w="4840" w:type="dxa"/>
            <w:vAlign w:val="bottom"/>
            <w:shd w:val="clear" w:color="auto" w:fill="C00000"/>
          </w:tcPr>
          <w:p>
            <w:pPr>
              <w:spacing w:after="0"/>
              <w:rPr>
                <w:sz w:val="15"/>
                <w:szCs w:val="15"/>
                <w:color w:val="auto"/>
              </w:rPr>
            </w:pPr>
          </w:p>
        </w:tc>
        <w:tc>
          <w:tcPr>
            <w:tcW w:w="4840" w:type="dxa"/>
            <w:vAlign w:val="bottom"/>
            <w:shd w:val="clear" w:color="auto" w:fill="C00000"/>
          </w:tcPr>
          <w:p>
            <w:pPr>
              <w:jc w:val="right"/>
              <w:ind w:right="983"/>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C00000"/>
          </w:tcPr>
          <w:p>
            <w:pPr>
              <w:jc w:val="right"/>
              <w:ind w:right="663"/>
              <w:spacing w:after="0"/>
              <w:rPr>
                <w:sz w:val="20"/>
                <w:szCs w:val="20"/>
                <w:color w:val="auto"/>
              </w:rPr>
            </w:pPr>
            <w:r>
              <w:rPr>
                <w:rFonts w:ascii="Arial" w:cs="Arial" w:eastAsia="Arial" w:hAnsi="Arial"/>
                <w:sz w:val="14"/>
                <w:szCs w:val="14"/>
                <w:b w:val="1"/>
                <w:bCs w:val="1"/>
                <w:color w:val="FFFFFF"/>
              </w:rPr>
              <w:t>($)</w:t>
            </w:r>
          </w:p>
        </w:tc>
      </w:tr>
      <w:tr>
        <w:trPr>
          <w:trHeight w:val="201"/>
        </w:trPr>
        <w:tc>
          <w:tcPr>
            <w:tcW w:w="4840" w:type="dxa"/>
            <w:vAlign w:val="bottom"/>
          </w:tcPr>
          <w:p>
            <w:pPr>
              <w:spacing w:after="0" w:line="201" w:lineRule="exact"/>
              <w:rPr>
                <w:sz w:val="20"/>
                <w:szCs w:val="20"/>
                <w:color w:val="auto"/>
              </w:rPr>
            </w:pPr>
            <w:r>
              <w:rPr>
                <w:rFonts w:ascii="Arial" w:cs="Arial" w:eastAsia="Arial" w:hAnsi="Arial"/>
                <w:sz w:val="14"/>
                <w:szCs w:val="14"/>
                <w:color w:val="auto"/>
              </w:rPr>
              <w:t>Audit Fees</w:t>
            </w:r>
            <w:r>
              <w:rPr>
                <w:rFonts w:ascii="Arial" w:cs="Arial" w:eastAsia="Arial" w:hAnsi="Arial"/>
                <w:sz w:val="23"/>
                <w:szCs w:val="23"/>
                <w:color w:val="auto"/>
                <w:vertAlign w:val="superscript"/>
              </w:rPr>
              <w:t>(1)</w:t>
            </w:r>
          </w:p>
        </w:tc>
        <w:tc>
          <w:tcPr>
            <w:tcW w:w="4840" w:type="dxa"/>
            <w:vAlign w:val="bottom"/>
          </w:tcPr>
          <w:p>
            <w:pPr>
              <w:jc w:val="right"/>
              <w:ind w:right="243"/>
              <w:spacing w:after="0"/>
              <w:rPr>
                <w:sz w:val="20"/>
                <w:szCs w:val="20"/>
                <w:color w:val="auto"/>
              </w:rPr>
            </w:pPr>
            <w:r>
              <w:rPr>
                <w:rFonts w:ascii="Arial" w:cs="Arial" w:eastAsia="Arial" w:hAnsi="Arial"/>
                <w:sz w:val="16"/>
                <w:szCs w:val="16"/>
                <w:color w:val="auto"/>
              </w:rPr>
              <w:t>2,017,300</w:t>
            </w:r>
          </w:p>
        </w:tc>
        <w:tc>
          <w:tcPr>
            <w:tcW w:w="1540" w:type="dxa"/>
            <w:vAlign w:val="bottom"/>
          </w:tcPr>
          <w:p>
            <w:pPr>
              <w:jc w:val="right"/>
              <w:spacing w:after="0"/>
              <w:rPr>
                <w:sz w:val="20"/>
                <w:szCs w:val="20"/>
                <w:color w:val="auto"/>
              </w:rPr>
            </w:pPr>
            <w:r>
              <w:rPr>
                <w:rFonts w:ascii="Arial" w:cs="Arial" w:eastAsia="Arial" w:hAnsi="Arial"/>
                <w:sz w:val="16"/>
                <w:szCs w:val="16"/>
                <w:color w:val="auto"/>
              </w:rPr>
              <w:t>2,112,115</w:t>
            </w:r>
          </w:p>
        </w:tc>
      </w:tr>
      <w:tr>
        <w:trPr>
          <w:trHeight w:val="201"/>
        </w:trPr>
        <w:tc>
          <w:tcPr>
            <w:tcW w:w="4840" w:type="dxa"/>
            <w:vAlign w:val="bottom"/>
            <w:shd w:val="clear" w:color="auto" w:fill="D9D9D9"/>
          </w:tcPr>
          <w:p>
            <w:pPr>
              <w:spacing w:after="0" w:line="201" w:lineRule="exact"/>
              <w:rPr>
                <w:sz w:val="20"/>
                <w:szCs w:val="20"/>
                <w:color w:val="auto"/>
              </w:rPr>
            </w:pPr>
            <w:r>
              <w:rPr>
                <w:rFonts w:ascii="Arial" w:cs="Arial" w:eastAsia="Arial" w:hAnsi="Arial"/>
                <w:sz w:val="14"/>
                <w:szCs w:val="14"/>
                <w:color w:val="auto"/>
              </w:rPr>
              <w:t>Audit-Related Fees</w:t>
            </w:r>
            <w:r>
              <w:rPr>
                <w:rFonts w:ascii="Arial" w:cs="Arial" w:eastAsia="Arial" w:hAnsi="Arial"/>
                <w:sz w:val="23"/>
                <w:szCs w:val="23"/>
                <w:color w:val="auto"/>
                <w:vertAlign w:val="superscript"/>
              </w:rPr>
              <w:t>(2)</w:t>
            </w:r>
          </w:p>
        </w:tc>
        <w:tc>
          <w:tcPr>
            <w:tcW w:w="4840" w:type="dxa"/>
            <w:vAlign w:val="bottom"/>
            <w:shd w:val="clear" w:color="auto" w:fill="D9D9D9"/>
          </w:tcPr>
          <w:p>
            <w:pPr>
              <w:jc w:val="right"/>
              <w:ind w:right="243"/>
              <w:spacing w:after="0"/>
              <w:rPr>
                <w:sz w:val="20"/>
                <w:szCs w:val="20"/>
                <w:color w:val="auto"/>
              </w:rPr>
            </w:pPr>
            <w:r>
              <w:rPr>
                <w:rFonts w:ascii="Arial" w:cs="Arial" w:eastAsia="Arial" w:hAnsi="Arial"/>
                <w:sz w:val="16"/>
                <w:szCs w:val="16"/>
                <w:color w:val="auto"/>
              </w:rPr>
              <w:t>70,000</w:t>
            </w:r>
          </w:p>
        </w:tc>
        <w:tc>
          <w:tcPr>
            <w:tcW w:w="15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61,500</w:t>
            </w:r>
          </w:p>
        </w:tc>
      </w:tr>
      <w:tr>
        <w:trPr>
          <w:trHeight w:val="201"/>
        </w:trPr>
        <w:tc>
          <w:tcPr>
            <w:tcW w:w="4840" w:type="dxa"/>
            <w:vAlign w:val="bottom"/>
          </w:tcPr>
          <w:p>
            <w:pPr>
              <w:spacing w:after="0" w:line="201" w:lineRule="exact"/>
              <w:rPr>
                <w:sz w:val="20"/>
                <w:szCs w:val="20"/>
                <w:color w:val="auto"/>
              </w:rPr>
            </w:pPr>
            <w:r>
              <w:rPr>
                <w:rFonts w:ascii="Arial" w:cs="Arial" w:eastAsia="Arial" w:hAnsi="Arial"/>
                <w:sz w:val="14"/>
                <w:szCs w:val="14"/>
                <w:color w:val="auto"/>
              </w:rPr>
              <w:t>Tax Fees</w:t>
            </w:r>
            <w:r>
              <w:rPr>
                <w:rFonts w:ascii="Arial" w:cs="Arial" w:eastAsia="Arial" w:hAnsi="Arial"/>
                <w:sz w:val="23"/>
                <w:szCs w:val="23"/>
                <w:color w:val="auto"/>
                <w:vertAlign w:val="superscript"/>
              </w:rPr>
              <w:t>(3)</w:t>
            </w:r>
          </w:p>
        </w:tc>
        <w:tc>
          <w:tcPr>
            <w:tcW w:w="4840" w:type="dxa"/>
            <w:vAlign w:val="bottom"/>
          </w:tcPr>
          <w:p>
            <w:pPr>
              <w:jc w:val="right"/>
              <w:ind w:right="243"/>
              <w:spacing w:after="0"/>
              <w:rPr>
                <w:sz w:val="20"/>
                <w:szCs w:val="20"/>
                <w:color w:val="auto"/>
              </w:rPr>
            </w:pPr>
            <w:r>
              <w:rPr>
                <w:rFonts w:ascii="Arial" w:cs="Arial" w:eastAsia="Arial" w:hAnsi="Arial"/>
                <w:sz w:val="16"/>
                <w:szCs w:val="16"/>
                <w:color w:val="auto"/>
              </w:rPr>
              <w:t>245,026</w:t>
            </w:r>
          </w:p>
        </w:tc>
        <w:tc>
          <w:tcPr>
            <w:tcW w:w="1540" w:type="dxa"/>
            <w:vAlign w:val="bottom"/>
          </w:tcPr>
          <w:p>
            <w:pPr>
              <w:jc w:val="right"/>
              <w:spacing w:after="0"/>
              <w:rPr>
                <w:sz w:val="20"/>
                <w:szCs w:val="20"/>
                <w:color w:val="auto"/>
              </w:rPr>
            </w:pPr>
            <w:r>
              <w:rPr>
                <w:rFonts w:ascii="Arial" w:cs="Arial" w:eastAsia="Arial" w:hAnsi="Arial"/>
                <w:sz w:val="16"/>
                <w:szCs w:val="16"/>
                <w:color w:val="auto"/>
              </w:rPr>
              <w:t>228,871</w:t>
            </w:r>
          </w:p>
        </w:tc>
      </w:tr>
      <w:tr>
        <w:trPr>
          <w:trHeight w:val="214"/>
        </w:trPr>
        <w:tc>
          <w:tcPr>
            <w:tcW w:w="4840" w:type="dxa"/>
            <w:vAlign w:val="bottom"/>
            <w:shd w:val="clear" w:color="auto" w:fill="D9D9D9"/>
          </w:tcPr>
          <w:p>
            <w:pPr>
              <w:spacing w:after="0"/>
              <w:rPr>
                <w:sz w:val="20"/>
                <w:szCs w:val="20"/>
                <w:color w:val="auto"/>
              </w:rPr>
            </w:pPr>
            <w:r>
              <w:rPr>
                <w:rFonts w:ascii="Arial" w:cs="Arial" w:eastAsia="Arial" w:hAnsi="Arial"/>
                <w:sz w:val="16"/>
                <w:szCs w:val="16"/>
                <w:color w:val="auto"/>
              </w:rPr>
              <w:t>All Other Fees</w:t>
            </w:r>
          </w:p>
        </w:tc>
        <w:tc>
          <w:tcPr>
            <w:tcW w:w="4840" w:type="dxa"/>
            <w:vAlign w:val="bottom"/>
            <w:shd w:val="clear" w:color="auto" w:fill="D9D9D9"/>
          </w:tcPr>
          <w:p>
            <w:pPr>
              <w:jc w:val="right"/>
              <w:ind w:right="243"/>
              <w:spacing w:after="0"/>
              <w:rPr>
                <w:sz w:val="20"/>
                <w:szCs w:val="20"/>
                <w:color w:val="auto"/>
              </w:rPr>
            </w:pPr>
            <w:r>
              <w:rPr>
                <w:rFonts w:ascii="Arial" w:cs="Arial" w:eastAsia="Arial" w:hAnsi="Arial"/>
                <w:sz w:val="16"/>
                <w:szCs w:val="16"/>
                <w:color w:val="auto"/>
              </w:rPr>
              <w:t>0</w:t>
            </w:r>
          </w:p>
        </w:tc>
        <w:tc>
          <w:tcPr>
            <w:tcW w:w="15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20345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40" w:lineRule="exact"/>
        <w:rPr>
          <w:sz w:val="20"/>
          <w:szCs w:val="20"/>
          <w:color w:val="auto"/>
        </w:rPr>
      </w:pPr>
    </w:p>
    <w:p>
      <w:pPr>
        <w:ind w:left="400" w:right="40" w:hanging="393"/>
        <w:spacing w:after="0" w:line="235" w:lineRule="auto"/>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 of aggregate fees billed, or expected to be billed, for fiscal 2020 and fiscal 2019, respectively, for professional services rendered by KPMG in connection with the audit of our consolidated financial statements included in our Annual Report on Form 10-K, review of our condensed consolidated financial statements included in our Quarterly Reports on Form 10-Q, statutory audits of certain of our international subsidiaries and the audit of internal control over financial reporting in accordance with Section 404 of the Sarbanes-Oxley Act of 2002. Fees for fiscal 2019 also include audit work related to the Charles Machine Works (“CMW”) acquisition and for fiscal 2020 include audit work related to the CMW and Venture Products acquisitions.</w:t>
      </w:r>
    </w:p>
    <w:p>
      <w:pPr>
        <w:spacing w:after="0" w:line="97" w:lineRule="exact"/>
        <w:rPr>
          <w:rFonts w:ascii="Arial" w:cs="Arial" w:eastAsia="Arial" w:hAnsi="Arial"/>
          <w:sz w:val="18"/>
          <w:szCs w:val="18"/>
          <w:color w:val="auto"/>
        </w:rPr>
      </w:pPr>
    </w:p>
    <w:p>
      <w:pPr>
        <w:ind w:left="400" w:hanging="393"/>
        <w:spacing w:after="0"/>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 of aggregate fees billed for KPMG’s services related to audits of employee benefit plans.</w:t>
      </w:r>
    </w:p>
    <w:p>
      <w:pPr>
        <w:spacing w:after="0" w:line="101" w:lineRule="exact"/>
        <w:rPr>
          <w:rFonts w:ascii="Arial" w:cs="Arial" w:eastAsia="Arial" w:hAnsi="Arial"/>
          <w:sz w:val="18"/>
          <w:szCs w:val="18"/>
          <w:color w:val="auto"/>
        </w:rPr>
      </w:pPr>
    </w:p>
    <w:p>
      <w:pPr>
        <w:ind w:left="400" w:right="260" w:hanging="393"/>
        <w:spacing w:after="0"/>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 of aggregate fees billed for professional services rendered by KPMG for permissible domestic and international tax consulting, planning and compliance services.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Pre-Approval Policies and Procedures</w:t>
      </w:r>
    </w:p>
    <w:p>
      <w:pPr>
        <w:spacing w:after="0" w:line="118" w:lineRule="exact"/>
        <w:rPr>
          <w:sz w:val="20"/>
          <w:szCs w:val="20"/>
          <w:color w:val="auto"/>
        </w:rPr>
      </w:pPr>
    </w:p>
    <w:p>
      <w:pPr>
        <w:ind w:right="200" w:firstLine="401"/>
        <w:spacing w:after="0" w:line="236" w:lineRule="auto"/>
        <w:rPr>
          <w:sz w:val="20"/>
          <w:szCs w:val="20"/>
          <w:color w:val="auto"/>
        </w:rPr>
      </w:pPr>
      <w:r>
        <w:rPr>
          <w:rFonts w:ascii="Arial" w:cs="Arial" w:eastAsia="Arial" w:hAnsi="Arial"/>
          <w:sz w:val="18"/>
          <w:szCs w:val="18"/>
          <w:color w:val="auto"/>
        </w:rPr>
        <w:t>The Audit Committee Charter requires that the Audit Committee review and approve in advance the retention of our external auditor for all types of audit and non-audit services to be performed for us by our external auditor and approve the fees for such services, other than de minimis non-audit services allowed by relevant rules and regulations. All of the services provided to us by KPMG for which we paid Audit Fees, Audit-Related Fees and Tax Fees, as shown in the table above, were pre-approved by the Audit Committee in accordance with these pre-approval policies and procedures.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700" w:type="dxa"/>
            <w:vAlign w:val="bottom"/>
            <w:shd w:val="clear" w:color="auto" w:fill="C00000"/>
          </w:tcPr>
          <w:p>
            <w:pPr>
              <w:jc w:val="center"/>
              <w:ind w:left="139"/>
              <w:spacing w:after="0"/>
              <w:rPr>
                <w:sz w:val="20"/>
                <w:szCs w:val="20"/>
                <w:color w:val="auto"/>
              </w:rPr>
            </w:pPr>
            <w:r>
              <w:rPr>
                <w:rFonts w:ascii="Arial" w:cs="Arial" w:eastAsia="Arial" w:hAnsi="Arial"/>
                <w:sz w:val="21"/>
                <w:szCs w:val="21"/>
                <w:b w:val="1"/>
                <w:bCs w:val="1"/>
                <w:color w:val="FFFFFF"/>
                <w:w w:val="98"/>
              </w:rPr>
              <w:t>The Board of Directors Recommends a Vote FOR Ratification of the Selection of</w:t>
            </w:r>
          </w:p>
        </w:tc>
        <w:tc>
          <w:tcPr>
            <w:tcW w:w="1540" w:type="dxa"/>
            <w:vAlign w:val="bottom"/>
            <w:vMerge w:val="restart"/>
            <w:shd w:val="clear" w:color="auto" w:fill="C00000"/>
          </w:tcPr>
          <w:p>
            <w:pPr>
              <w:ind w:left="660"/>
              <w:spacing w:after="0" w:line="501" w:lineRule="exact"/>
              <w:rPr>
                <w:sz w:val="20"/>
                <w:szCs w:val="20"/>
                <w:color w:val="auto"/>
              </w:rPr>
            </w:pPr>
            <w:r>
              <w:rPr>
                <w:rFonts w:ascii="MS PGothic" w:cs="MS PGothic" w:eastAsia="MS PGothic" w:hAnsi="MS PGothic"/>
                <w:sz w:val="50"/>
                <w:szCs w:val="50"/>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7"/>
        </w:trPr>
        <w:tc>
          <w:tcPr>
            <w:tcW w:w="9700" w:type="dxa"/>
            <w:vAlign w:val="bottom"/>
            <w:shd w:val="clear" w:color="auto" w:fill="C00000"/>
          </w:tcPr>
          <w:p>
            <w:pPr>
              <w:jc w:val="center"/>
              <w:ind w:left="139"/>
              <w:spacing w:after="0"/>
              <w:rPr>
                <w:sz w:val="20"/>
                <w:szCs w:val="20"/>
                <w:color w:val="auto"/>
              </w:rPr>
            </w:pPr>
            <w:r>
              <w:rPr>
                <w:rFonts w:ascii="Arial" w:cs="Arial" w:eastAsia="Arial" w:hAnsi="Arial"/>
                <w:sz w:val="21"/>
                <w:szCs w:val="21"/>
                <w:b w:val="1"/>
                <w:bCs w:val="1"/>
                <w:color w:val="FFFFFF"/>
                <w:w w:val="98"/>
              </w:rPr>
              <w:t>KPMG LLP as Our Independent Registered Public Accounting Firm for Fiscal 2021</w:t>
            </w:r>
          </w:p>
        </w:tc>
        <w:tc>
          <w:tcPr>
            <w:tcW w:w="1540" w:type="dxa"/>
            <w:vAlign w:val="bottom"/>
            <w:vMerge w:val="continue"/>
            <w:shd w:val="clear" w:color="auto" w:fill="C000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9700" w:type="dxa"/>
            <w:vAlign w:val="bottom"/>
          </w:tcPr>
          <w:p>
            <w:pPr>
              <w:jc w:val="right"/>
              <w:ind w:right="3879"/>
              <w:spacing w:after="0"/>
              <w:rPr>
                <w:sz w:val="20"/>
                <w:szCs w:val="20"/>
                <w:color w:val="auto"/>
              </w:rPr>
            </w:pPr>
            <w:r>
              <w:rPr>
                <w:rFonts w:ascii="Arial" w:cs="Arial" w:eastAsia="Arial" w:hAnsi="Arial"/>
                <w:sz w:val="18"/>
                <w:szCs w:val="18"/>
                <w:color w:val="auto"/>
              </w:rPr>
              <w:t>24</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70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6612890</wp:posOffset>
            </wp:positionH>
            <wp:positionV relativeFrom="paragraph">
              <wp:posOffset>-669925</wp:posOffset>
            </wp:positionV>
            <wp:extent cx="241300" cy="2451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41300" cy="24511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Audit Committee Report</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report is furnished by the Audit Committee with respect to our financial statements for fiscal 2020.</w:t>
      </w:r>
    </w:p>
    <w:p>
      <w:pPr>
        <w:spacing w:after="0" w:line="101" w:lineRule="exact"/>
        <w:rPr>
          <w:sz w:val="20"/>
          <w:szCs w:val="20"/>
          <w:color w:val="auto"/>
        </w:rPr>
      </w:pPr>
    </w:p>
    <w:p>
      <w:pPr>
        <w:ind w:right="100" w:firstLine="401"/>
        <w:spacing w:after="0" w:line="252" w:lineRule="auto"/>
        <w:rPr>
          <w:sz w:val="20"/>
          <w:szCs w:val="20"/>
          <w:color w:val="auto"/>
        </w:rPr>
      </w:pPr>
      <w:r>
        <w:rPr>
          <w:rFonts w:ascii="Arial" w:cs="Arial" w:eastAsia="Arial" w:hAnsi="Arial"/>
          <w:sz w:val="17"/>
          <w:szCs w:val="17"/>
          <w:color w:val="auto"/>
        </w:rPr>
        <w:t>Ultimate responsibility for good corporate governance rests with our Board, whose primary roles and responsibilities involve oversight, counseling and providing direction to our Management in the best long-term interests of TTC and our shareholders. As set forth in its charter, the Audit Committee assists our Board by, among other things, providing oversight of our accounting and financial reporting processes, the audits of our annual financial statements and internal control over financial reporting. A copy of our Audit Committee Charter, which further describes the role and responsibilities of the Audit Committee, is available online at www.thetorocompany.com/corporategovernance.</w:t>
      </w:r>
    </w:p>
    <w:p>
      <w:pPr>
        <w:spacing w:after="0" w:line="86" w:lineRule="exact"/>
        <w:rPr>
          <w:sz w:val="20"/>
          <w:szCs w:val="20"/>
          <w:color w:val="auto"/>
        </w:rPr>
      </w:pPr>
    </w:p>
    <w:p>
      <w:pPr>
        <w:ind w:right="440" w:firstLine="401"/>
        <w:spacing w:after="0" w:line="235" w:lineRule="auto"/>
        <w:rPr>
          <w:sz w:val="20"/>
          <w:szCs w:val="20"/>
          <w:color w:val="auto"/>
        </w:rPr>
      </w:pPr>
      <w:r>
        <w:rPr>
          <w:rFonts w:ascii="Arial" w:cs="Arial" w:eastAsia="Arial" w:hAnsi="Arial"/>
          <w:sz w:val="18"/>
          <w:szCs w:val="18"/>
          <w:color w:val="auto"/>
        </w:rPr>
        <w:t>Management is primarily responsible for the establishment and maintenance of our accounting and financial reporting processes, including our internal controls, and for the preparation and presentation of complete and accurate financial statements. Our independent registered public accounting firm, KPMG LLP, is responsible for performing an independent audit of our financial statements and internal controls over financial reporting in accordance with the standards of the Public Company Accounting Oversight Board (U.S.), or PCAOB, expressing an opinion as to the conformity of the financial statements with generally accepted accounting principles, and expressing an opinion on the effectiveness of our internal control over financial reporting.</w:t>
      </w:r>
    </w:p>
    <w:p>
      <w:pPr>
        <w:spacing w:after="0" w:line="98" w:lineRule="exact"/>
        <w:rPr>
          <w:sz w:val="20"/>
          <w:szCs w:val="20"/>
          <w:color w:val="auto"/>
        </w:rPr>
      </w:pPr>
    </w:p>
    <w:p>
      <w:pPr>
        <w:ind w:firstLine="401"/>
        <w:spacing w:after="0" w:line="236" w:lineRule="auto"/>
        <w:rPr>
          <w:sz w:val="20"/>
          <w:szCs w:val="20"/>
          <w:color w:val="auto"/>
        </w:rPr>
      </w:pPr>
      <w:r>
        <w:rPr>
          <w:rFonts w:ascii="Arial" w:cs="Arial" w:eastAsia="Arial" w:hAnsi="Arial"/>
          <w:sz w:val="18"/>
          <w:szCs w:val="18"/>
          <w:color w:val="auto"/>
        </w:rPr>
        <w:t>In performing its oversight role, the Audit Committee has (i) reviewed and discussed with Management our audited financial statements for fiscal 2020, (ii) discussed with representatives of KPMG the matters required to be discussed by PCAOB Auditing Standard 1301 (Communications with Audit Committees), (iii) received the written disclosures and the letters from KPMG required by applicable requirements of the PCAOB regarding KPMG’s communications with the Audit Committee concerning KPMG’s independence, and (iv) discussed with representatives of KPMG its independence and concluded that it is independent from TTC and its Management.</w:t>
      </w:r>
    </w:p>
    <w:p>
      <w:pPr>
        <w:spacing w:after="0" w:line="95" w:lineRule="exact"/>
        <w:rPr>
          <w:sz w:val="20"/>
          <w:szCs w:val="20"/>
          <w:color w:val="auto"/>
        </w:rPr>
      </w:pPr>
    </w:p>
    <w:p>
      <w:pPr>
        <w:jc w:val="both"/>
        <w:ind w:right="160" w:firstLine="401"/>
        <w:spacing w:after="0" w:line="238" w:lineRule="auto"/>
        <w:rPr>
          <w:sz w:val="20"/>
          <w:szCs w:val="20"/>
          <w:color w:val="auto"/>
        </w:rPr>
      </w:pPr>
      <w:r>
        <w:rPr>
          <w:rFonts w:ascii="Arial" w:cs="Arial" w:eastAsia="Arial" w:hAnsi="Arial"/>
          <w:sz w:val="18"/>
          <w:szCs w:val="18"/>
          <w:color w:val="auto"/>
        </w:rPr>
        <w:t>Based on the review and discussions referred to in the foregoing paragraph and subject to the limitations on its responsibilities set forth in its charter, the Audit Committee recommended to our Board that our audited financial statements for fiscal 2020 be included in our Annual Report on Form 10-K for the fiscal year ended October 31, 2020, for filing with the SEC.</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0000"/>
        </w:rPr>
        <w:t>Audit Committee:</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Janet K. Cooper (Chair)</w:t>
      </w:r>
    </w:p>
    <w:p>
      <w:pPr>
        <w:jc w:val="center"/>
        <w:ind w:right="-39"/>
        <w:spacing w:after="0" w:line="233" w:lineRule="auto"/>
        <w:rPr>
          <w:sz w:val="20"/>
          <w:szCs w:val="20"/>
          <w:color w:val="auto"/>
        </w:rPr>
      </w:pPr>
      <w:r>
        <w:rPr>
          <w:rFonts w:ascii="Arial" w:cs="Arial" w:eastAsia="Arial" w:hAnsi="Arial"/>
          <w:sz w:val="18"/>
          <w:szCs w:val="18"/>
          <w:color w:val="auto"/>
        </w:rPr>
        <w:t>Gary L. Ellis</w:t>
      </w:r>
    </w:p>
    <w:p>
      <w:pPr>
        <w:jc w:val="center"/>
        <w:ind w:right="-39"/>
        <w:spacing w:after="0" w:line="233" w:lineRule="auto"/>
        <w:rPr>
          <w:sz w:val="20"/>
          <w:szCs w:val="20"/>
          <w:color w:val="auto"/>
        </w:rPr>
      </w:pPr>
      <w:r>
        <w:rPr>
          <w:rFonts w:ascii="Arial" w:cs="Arial" w:eastAsia="Arial" w:hAnsi="Arial"/>
          <w:sz w:val="18"/>
          <w:szCs w:val="18"/>
          <w:color w:val="auto"/>
        </w:rPr>
        <w:t>Katherine J. Harless</w:t>
      </w:r>
    </w:p>
    <w:p>
      <w:pPr>
        <w:jc w:val="center"/>
        <w:ind w:right="-39"/>
        <w:spacing w:after="0" w:line="233" w:lineRule="auto"/>
        <w:rPr>
          <w:sz w:val="20"/>
          <w:szCs w:val="20"/>
          <w:color w:val="auto"/>
        </w:rPr>
      </w:pPr>
      <w:r>
        <w:rPr>
          <w:rFonts w:ascii="Arial" w:cs="Arial" w:eastAsia="Arial" w:hAnsi="Arial"/>
          <w:sz w:val="18"/>
          <w:szCs w:val="18"/>
          <w:color w:val="auto"/>
        </w:rPr>
        <w:t>Jeffrey L. Harmening</w:t>
      </w:r>
    </w:p>
    <w:p>
      <w:pPr>
        <w:jc w:val="center"/>
        <w:ind w:right="-19"/>
        <w:spacing w:after="0"/>
        <w:rPr>
          <w:sz w:val="20"/>
          <w:szCs w:val="20"/>
          <w:color w:val="auto"/>
        </w:rPr>
      </w:pPr>
      <w:r>
        <w:rPr>
          <w:rFonts w:ascii="Arial" w:cs="Arial" w:eastAsia="Arial" w:hAnsi="Arial"/>
          <w:sz w:val="18"/>
          <w:szCs w:val="18"/>
          <w:color w:val="auto"/>
        </w:rPr>
        <w:t>Michael G. Vale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67245" cy="2044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7245" cy="20447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1"/>
          <w:szCs w:val="21"/>
          <w:b w:val="1"/>
          <w:bCs w:val="1"/>
          <w:color w:val="FFFFFF"/>
        </w:rPr>
        <w:t>PROPOSAL THREE—ADVISORY APPROVAL OF OUR EXECUTIVE COMPENSATION</w:t>
      </w:r>
    </w:p>
    <w:p>
      <w:pPr>
        <w:spacing w:after="0" w:line="286" w:lineRule="exact"/>
        <w:rPr>
          <w:sz w:val="20"/>
          <w:szCs w:val="20"/>
          <w:color w:val="auto"/>
        </w:rPr>
      </w:pPr>
    </w:p>
    <w:p>
      <w:pPr>
        <w:ind w:firstLine="401"/>
        <w:spacing w:after="0" w:line="235" w:lineRule="auto"/>
        <w:rPr>
          <w:sz w:val="20"/>
          <w:szCs w:val="20"/>
          <w:color w:val="auto"/>
        </w:rPr>
      </w:pPr>
      <w:r>
        <w:rPr>
          <w:rFonts w:ascii="Arial" w:cs="Arial" w:eastAsia="Arial" w:hAnsi="Arial"/>
          <w:sz w:val="18"/>
          <w:szCs w:val="18"/>
          <w:color w:val="auto"/>
        </w:rPr>
        <w:t>The Board is providing our shareholders with an advisory vote on our executive compensation pursuant to the Dodd-Frank Wall Street Consumer Protection Act, or the Dodd-Frank Act, and Section 14A of the Exchange Act. This advisory vote, commonly known as a say-on-pay vote, is a non-binding vote on the compensation paid to our named executive officers as set forth in the “Executive Compensation” section of this proxy statement beginning on page 28, including in the “Compensation Discussion and Analysis,” the accompanying compensation tables and the corresponding narrative discussion and footnotes. At the 2020 Annual Meeting of Shareholders held on March 17, 2020, over 93% of the votes cast by our shareholders were in favor of our say-on-pay vote. The Compensation &amp; Human Resources Committee believes that such results affirmed shareholder support of our approach to executive compensation.</w:t>
      </w:r>
    </w:p>
    <w:p>
      <w:pPr>
        <w:spacing w:after="0" w:line="96" w:lineRule="exact"/>
        <w:rPr>
          <w:sz w:val="20"/>
          <w:szCs w:val="20"/>
          <w:color w:val="auto"/>
        </w:rPr>
      </w:pPr>
    </w:p>
    <w:p>
      <w:pPr>
        <w:ind w:right="40" w:firstLine="401"/>
        <w:spacing w:after="0" w:line="249" w:lineRule="auto"/>
        <w:rPr>
          <w:sz w:val="20"/>
          <w:szCs w:val="20"/>
          <w:color w:val="auto"/>
        </w:rPr>
      </w:pPr>
      <w:r>
        <w:rPr>
          <w:rFonts w:ascii="Arial" w:cs="Arial" w:eastAsia="Arial" w:hAnsi="Arial"/>
          <w:sz w:val="17"/>
          <w:szCs w:val="17"/>
          <w:color w:val="auto"/>
        </w:rPr>
        <w:t>Our executive compensation program is generally designed to attract, retain, motivate and reward highly qualified and talented executive officers, including our named executive officers, that will enable us to perform better than our competitors and drive long-term shareholder value. The underlying core principles of our executive compensation program include (i) aligning the interests of our executives with those of our shareholders and linking pay to performance by providing compensation opportunities that are tied directly to the achievement of financial performance goals and long-term stock price performance, and (ii) providing competitive compensation opportunities targeted at the market 50th percentile for both individual elements of compensation and total direct compensation at target levels of financial performance, which we believe allows us to attract and retain the necessary executive talent while motivating and rewarding the accomplishment of annual and long-term financial performance goals and maintaining an appropriate cost structure. The “Compensation Discussion and Analysis,” beginning on page 28, describes our executive compensation program and the executive compensation decisions made by the Compensation &amp; Human Resources Committee in fiscal 2020 in more detail. Important considerations include:</w:t>
      </w:r>
    </w:p>
    <w:p>
      <w:pPr>
        <w:spacing w:after="0" w:line="90" w:lineRule="exact"/>
        <w:rPr>
          <w:sz w:val="20"/>
          <w:szCs w:val="20"/>
          <w:color w:val="auto"/>
        </w:rPr>
      </w:pPr>
    </w:p>
    <w:p>
      <w:pPr>
        <w:ind w:left="780" w:right="240" w:hanging="384"/>
        <w:spacing w:after="0" w:line="236"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8"/>
          <w:szCs w:val="18"/>
          <w:color w:val="auto"/>
        </w:rPr>
        <w:t>A substantial portion of total executive compensation is linked directly to performance and requires that minimum, or threshold, levels of performance be met in order for there to be any payout and, as demonstrated by the compensation paid to our executive officers for fiscal 2020, no upward adjustments were made to provide additional compensation as a result of the unexpected impacts, including on our performance, of the COVID-19 pandemic.</w:t>
      </w:r>
    </w:p>
    <w:p>
      <w:pPr>
        <w:spacing w:after="0" w:line="97" w:lineRule="exact"/>
        <w:rPr>
          <w:rFonts w:ascii="Arial" w:cs="Arial" w:eastAsia="Arial" w:hAnsi="Arial"/>
          <w:sz w:val="16"/>
          <w:szCs w:val="16"/>
          <w:color w:val="auto"/>
        </w:rPr>
      </w:pPr>
    </w:p>
    <w:p>
      <w:pPr>
        <w:ind w:left="780" w:right="700" w:hanging="384"/>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8"/>
          <w:szCs w:val="18"/>
          <w:color w:val="auto"/>
        </w:rPr>
        <w:t>All incentive compensation awards, including annual and long-term equity and incentive awards, are subject to a “clawback” mechanism.</w:t>
      </w:r>
    </w:p>
    <w:p>
      <w:pPr>
        <w:spacing w:after="0" w:line="95" w:lineRule="exact"/>
        <w:rPr>
          <w:rFonts w:ascii="Arial" w:cs="Arial" w:eastAsia="Arial" w:hAnsi="Arial"/>
          <w:sz w:val="16"/>
          <w:szCs w:val="16"/>
          <w:color w:val="auto"/>
        </w:rPr>
      </w:pPr>
    </w:p>
    <w:p>
      <w:pPr>
        <w:ind w:left="780" w:hanging="384"/>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8"/>
          <w:szCs w:val="18"/>
          <w:color w:val="auto"/>
        </w:rPr>
        <w:t>Our CEO and other executive officers do not have employment or severance agreements or arrangements, except as provided for in our change in control severance compensation policy, or CIC policy.</w:t>
      </w:r>
    </w:p>
    <w:p>
      <w:pPr>
        <w:spacing w:after="0" w:line="95" w:lineRule="exact"/>
        <w:rPr>
          <w:rFonts w:ascii="Arial" w:cs="Arial" w:eastAsia="Arial" w:hAnsi="Arial"/>
          <w:sz w:val="16"/>
          <w:szCs w:val="16"/>
          <w:color w:val="auto"/>
        </w:rPr>
      </w:pPr>
    </w:p>
    <w:p>
      <w:pPr>
        <w:ind w:left="780" w:right="520" w:hanging="384"/>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8"/>
          <w:szCs w:val="18"/>
          <w:color w:val="auto"/>
        </w:rPr>
        <w:t>We do not provide tax “gross-up” payments under our CIC policy or in connection with any annual or long-term compensation, benefits or perquisites provided to our executive officers.</w:t>
      </w:r>
    </w:p>
    <w:p>
      <w:pPr>
        <w:spacing w:after="0" w:line="95" w:lineRule="exact"/>
        <w:rPr>
          <w:rFonts w:ascii="Arial" w:cs="Arial" w:eastAsia="Arial" w:hAnsi="Arial"/>
          <w:sz w:val="16"/>
          <w:szCs w:val="16"/>
          <w:color w:val="auto"/>
        </w:rPr>
      </w:pPr>
    </w:p>
    <w:p>
      <w:pPr>
        <w:ind w:left="780" w:hanging="384"/>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8"/>
          <w:szCs w:val="18"/>
          <w:color w:val="auto"/>
        </w:rPr>
        <w:t>Our executive officers receive only modest perquisites.</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8"/>
          <w:szCs w:val="18"/>
          <w:color w:val="auto"/>
        </w:rPr>
        <w:t>We maintain stock ownership guidelines for each of our executive officers.</w:t>
      </w:r>
    </w:p>
    <w:p>
      <w:pPr>
        <w:spacing w:after="0" w:line="101" w:lineRule="exact"/>
        <w:rPr>
          <w:rFonts w:ascii="Arial" w:cs="Arial" w:eastAsia="Arial" w:hAnsi="Arial"/>
          <w:sz w:val="16"/>
          <w:szCs w:val="16"/>
          <w:color w:val="auto"/>
        </w:rPr>
      </w:pPr>
    </w:p>
    <w:p>
      <w:pPr>
        <w:ind w:left="780" w:right="20" w:hanging="384"/>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8"/>
          <w:szCs w:val="18"/>
          <w:color w:val="auto"/>
        </w:rPr>
        <w:t>Our insider trading policy prohibits executive officers and directors from purchasing TTC securities on margin, borrowing against any account in which TTC securities are held, or pledging TTC securities as collateral for a loan.</w:t>
      </w:r>
    </w:p>
    <w:p>
      <w:pPr>
        <w:spacing w:after="0" w:line="95" w:lineRule="exact"/>
        <w:rPr>
          <w:rFonts w:ascii="Arial" w:cs="Arial" w:eastAsia="Arial" w:hAnsi="Arial"/>
          <w:sz w:val="16"/>
          <w:szCs w:val="16"/>
          <w:color w:val="auto"/>
        </w:rPr>
      </w:pPr>
    </w:p>
    <w:p>
      <w:pPr>
        <w:ind w:left="780" w:right="20" w:hanging="384"/>
        <w:spacing w:after="0" w:line="238"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8"/>
          <w:szCs w:val="18"/>
          <w:color w:val="auto"/>
        </w:rPr>
        <w:t>Our insider trading policy prohibits employees, executive officers and directors from purchasing any financial instruments (including without limitation collars, equity swaps, prepaid variable forward contracts, and exchange funds) that are designed to hedge or offset any decrease in the market value of TTC securities.</w:t>
      </w:r>
    </w:p>
    <w:p>
      <w:pPr>
        <w:spacing w:after="0" w:line="94" w:lineRule="exact"/>
        <w:rPr>
          <w:rFonts w:ascii="Arial" w:cs="Arial" w:eastAsia="Arial" w:hAnsi="Arial"/>
          <w:sz w:val="16"/>
          <w:szCs w:val="16"/>
          <w:color w:val="auto"/>
        </w:rPr>
      </w:pPr>
    </w:p>
    <w:p>
      <w:pPr>
        <w:ind w:left="780" w:hanging="384"/>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8"/>
          <w:szCs w:val="18"/>
          <w:color w:val="auto"/>
        </w:rPr>
        <w:t>We have an independent Compensation &amp; Human Resources Committee.</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8"/>
          <w:szCs w:val="18"/>
          <w:color w:val="auto"/>
        </w:rPr>
        <w:t>We utilize an independent external compensation consultant.</w:t>
      </w:r>
    </w:p>
    <w:p>
      <w:pPr>
        <w:spacing w:after="0" w:line="101" w:lineRule="exact"/>
        <w:rPr>
          <w:sz w:val="20"/>
          <w:szCs w:val="20"/>
          <w:color w:val="auto"/>
        </w:rPr>
      </w:pPr>
    </w:p>
    <w:p>
      <w:pPr>
        <w:ind w:right="340" w:firstLine="401"/>
        <w:spacing w:after="0"/>
        <w:rPr>
          <w:sz w:val="20"/>
          <w:szCs w:val="20"/>
          <w:color w:val="auto"/>
        </w:rPr>
      </w:pPr>
      <w:r>
        <w:rPr>
          <w:rFonts w:ascii="Arial" w:cs="Arial" w:eastAsia="Arial" w:hAnsi="Arial"/>
          <w:sz w:val="18"/>
          <w:szCs w:val="18"/>
          <w:color w:val="auto"/>
        </w:rPr>
        <w:t>We believe that our executive compensation objectives and core principles have resulted in an executive compensation program and related decisions that have appropriately incentivized the achievement of financial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0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goals and produced financial results that have benefited our Company and our shareholders and are expected to drive long-term shareholder value.</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Accordingly, the Board recommends that our shareholders vote in favor of the say-on-pay vote as set forth in the following resolution:</w:t>
      </w:r>
    </w:p>
    <w:p>
      <w:pPr>
        <w:spacing w:after="0" w:line="101" w:lineRule="exact"/>
        <w:rPr>
          <w:sz w:val="20"/>
          <w:szCs w:val="20"/>
          <w:color w:val="auto"/>
        </w:rPr>
      </w:pPr>
    </w:p>
    <w:p>
      <w:pPr>
        <w:ind w:left="400" w:right="860"/>
        <w:spacing w:after="0" w:line="236" w:lineRule="auto"/>
        <w:rPr>
          <w:sz w:val="20"/>
          <w:szCs w:val="20"/>
          <w:color w:val="auto"/>
        </w:rPr>
      </w:pPr>
      <w:r>
        <w:rPr>
          <w:rFonts w:ascii="Arial" w:cs="Arial" w:eastAsia="Arial" w:hAnsi="Arial"/>
          <w:sz w:val="18"/>
          <w:szCs w:val="18"/>
          <w:color w:val="auto"/>
        </w:rPr>
        <w:t>RESOLVED, that our shareholders approve, on an advisory basis, the compensation paid to our named executive officers, as disclosed pursuant to the compensation disclosure rules of the SEC, including in the “Compensation Discussion and Analysis,” the accompanying compensation tables and the corresponding narrative discussion and footnotes, and any related material disclosed in this proxy statement.</w:t>
      </w:r>
    </w:p>
    <w:p>
      <w:pPr>
        <w:spacing w:after="0" w:line="97" w:lineRule="exact"/>
        <w:rPr>
          <w:sz w:val="20"/>
          <w:szCs w:val="20"/>
          <w:color w:val="auto"/>
        </w:rPr>
      </w:pPr>
    </w:p>
    <w:p>
      <w:pPr>
        <w:ind w:right="160" w:firstLine="401"/>
        <w:spacing w:after="0" w:line="236" w:lineRule="auto"/>
        <w:rPr>
          <w:sz w:val="20"/>
          <w:szCs w:val="20"/>
          <w:color w:val="auto"/>
        </w:rPr>
      </w:pPr>
      <w:r>
        <w:rPr>
          <w:rFonts w:ascii="Arial" w:cs="Arial" w:eastAsia="Arial" w:hAnsi="Arial"/>
          <w:sz w:val="18"/>
          <w:szCs w:val="18"/>
          <w:color w:val="auto"/>
        </w:rPr>
        <w:t>Shareholders are not voting to approve or disapprove the Board’s recommendation. As this is an advisory vote, the outcome of the vote is not binding on us with respect to future executive compensation decisions, including those relating to our named executive officers, or otherwise. Our Compensation &amp; Human Resources Committee and Board expect to take into account the outcome of the vote when considering future executive compensation decisions.</w:t>
      </w:r>
    </w:p>
    <w:p>
      <w:pPr>
        <w:spacing w:after="0" w:line="97" w:lineRule="exact"/>
        <w:rPr>
          <w:sz w:val="20"/>
          <w:szCs w:val="20"/>
          <w:color w:val="auto"/>
        </w:rPr>
      </w:pPr>
    </w:p>
    <w:p>
      <w:pPr>
        <w:ind w:right="100" w:firstLine="401"/>
        <w:spacing w:after="0" w:line="236" w:lineRule="auto"/>
        <w:rPr>
          <w:sz w:val="20"/>
          <w:szCs w:val="20"/>
          <w:color w:val="auto"/>
        </w:rPr>
      </w:pPr>
      <w:r>
        <w:rPr>
          <w:rFonts w:ascii="Arial" w:cs="Arial" w:eastAsia="Arial" w:hAnsi="Arial"/>
          <w:sz w:val="18"/>
          <w:szCs w:val="18"/>
          <w:color w:val="auto"/>
        </w:rPr>
        <w:t>In accordance with the result of the advisory vote on the frequency of the say-on-pay vote, which was conducted at the Company’s 2017 Annual Meeting of Shareholders, the Board of Directors has determined that the Company will continue to conduct an executive compensation advisory vote on an annual basis. Accordingly, the next say-on-pay vote will occur in 2022 in connection with our 2022 Annual Meeting of Shareholders.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540" w:type="dxa"/>
            <w:vAlign w:val="bottom"/>
            <w:shd w:val="clear" w:color="auto" w:fill="C00000"/>
          </w:tcPr>
          <w:p>
            <w:pPr>
              <w:jc w:val="center"/>
              <w:ind w:left="439"/>
              <w:spacing w:after="0"/>
              <w:rPr>
                <w:sz w:val="20"/>
                <w:szCs w:val="20"/>
                <w:color w:val="auto"/>
              </w:rPr>
            </w:pPr>
            <w:r>
              <w:rPr>
                <w:rFonts w:ascii="Arial" w:cs="Arial" w:eastAsia="Arial" w:hAnsi="Arial"/>
                <w:sz w:val="21"/>
                <w:szCs w:val="21"/>
                <w:b w:val="1"/>
                <w:bCs w:val="1"/>
                <w:color w:val="FFFFFF"/>
              </w:rPr>
              <w:t>The Board of Directors Recommends a Vote FOR Approval, on an</w:t>
            </w:r>
          </w:p>
        </w:tc>
        <w:tc>
          <w:tcPr>
            <w:tcW w:w="1700" w:type="dxa"/>
            <w:vAlign w:val="bottom"/>
            <w:vMerge w:val="restart"/>
            <w:shd w:val="clear" w:color="auto" w:fill="C00000"/>
          </w:tcPr>
          <w:p>
            <w:pPr>
              <w:ind w:left="940"/>
              <w:spacing w:after="0" w:line="501" w:lineRule="exact"/>
              <w:rPr>
                <w:sz w:val="20"/>
                <w:szCs w:val="20"/>
                <w:color w:val="auto"/>
              </w:rPr>
            </w:pPr>
            <w:r>
              <w:rPr>
                <w:rFonts w:ascii="MS PGothic" w:cs="MS PGothic" w:eastAsia="MS PGothic" w:hAnsi="MS PGothic"/>
                <w:sz w:val="50"/>
                <w:szCs w:val="50"/>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7"/>
        </w:trPr>
        <w:tc>
          <w:tcPr>
            <w:tcW w:w="9540" w:type="dxa"/>
            <w:vAlign w:val="bottom"/>
            <w:shd w:val="clear" w:color="auto" w:fill="C00000"/>
          </w:tcPr>
          <w:p>
            <w:pPr>
              <w:jc w:val="center"/>
              <w:ind w:left="499"/>
              <w:spacing w:after="0"/>
              <w:rPr>
                <w:sz w:val="20"/>
                <w:szCs w:val="20"/>
                <w:color w:val="auto"/>
              </w:rPr>
            </w:pPr>
            <w:r>
              <w:rPr>
                <w:rFonts w:ascii="Arial" w:cs="Arial" w:eastAsia="Arial" w:hAnsi="Arial"/>
                <w:sz w:val="21"/>
                <w:szCs w:val="21"/>
                <w:b w:val="1"/>
                <w:bCs w:val="1"/>
                <w:color w:val="FFFFFF"/>
              </w:rPr>
              <w:t>Advisory Basis, of our Executive Compensation, or Say-On-Pay Vote.</w:t>
            </w:r>
          </w:p>
        </w:tc>
        <w:tc>
          <w:tcPr>
            <w:tcW w:w="1700" w:type="dxa"/>
            <w:vAlign w:val="bottom"/>
            <w:vMerge w:val="continue"/>
            <w:shd w:val="clear" w:color="auto" w:fill="C000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9540" w:type="dxa"/>
            <w:vAlign w:val="bottom"/>
          </w:tcPr>
          <w:p>
            <w:pPr>
              <w:jc w:val="right"/>
              <w:ind w:right="3719"/>
              <w:spacing w:after="0"/>
              <w:rPr>
                <w:sz w:val="20"/>
                <w:szCs w:val="20"/>
                <w:color w:val="auto"/>
              </w:rPr>
            </w:pPr>
            <w:r>
              <w:rPr>
                <w:rFonts w:ascii="Arial" w:cs="Arial" w:eastAsia="Arial" w:hAnsi="Arial"/>
                <w:sz w:val="18"/>
                <w:szCs w:val="18"/>
                <w:color w:val="auto"/>
              </w:rPr>
              <w:t>27</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54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6678295</wp:posOffset>
            </wp:positionH>
            <wp:positionV relativeFrom="paragraph">
              <wp:posOffset>-805815</wp:posOffset>
            </wp:positionV>
            <wp:extent cx="241300" cy="2451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1300" cy="24511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3590" cy="2044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3590" cy="204470"/>
                    </a:xfrm>
                    <a:prstGeom prst="rect">
                      <a:avLst/>
                    </a:prstGeom>
                    <a:noFill/>
                  </pic:spPr>
                </pic:pic>
              </a:graphicData>
            </a:graphic>
          </wp:anchor>
        </w:drawing>
      </w:r>
    </w:p>
    <w:p>
      <w:pPr>
        <w:ind w:left="4120"/>
        <w:spacing w:after="0"/>
        <w:rPr>
          <w:sz w:val="20"/>
          <w:szCs w:val="20"/>
          <w:color w:val="auto"/>
        </w:rPr>
      </w:pPr>
      <w:r>
        <w:rPr>
          <w:rFonts w:ascii="Arial" w:cs="Arial" w:eastAsia="Arial" w:hAnsi="Arial"/>
          <w:sz w:val="21"/>
          <w:szCs w:val="21"/>
          <w:b w:val="1"/>
          <w:bCs w:val="1"/>
          <w:color w:val="FFFFFF"/>
        </w:rPr>
        <w:t>EXECUTIVE COMPENSATION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Compensation &amp; Human Resources Committee Report</w:t>
      </w:r>
    </w:p>
    <w:p>
      <w:pPr>
        <w:spacing w:after="0" w:line="123" w:lineRule="exact"/>
        <w:rPr>
          <w:sz w:val="20"/>
          <w:szCs w:val="20"/>
          <w:color w:val="auto"/>
        </w:rPr>
      </w:pPr>
    </w:p>
    <w:p>
      <w:pPr>
        <w:ind w:right="160" w:firstLine="401"/>
        <w:spacing w:after="0" w:line="238" w:lineRule="auto"/>
        <w:rPr>
          <w:sz w:val="20"/>
          <w:szCs w:val="20"/>
          <w:color w:val="auto"/>
        </w:rPr>
      </w:pPr>
      <w:r>
        <w:rPr>
          <w:rFonts w:ascii="Arial" w:cs="Arial" w:eastAsia="Arial" w:hAnsi="Arial"/>
          <w:sz w:val="18"/>
          <w:szCs w:val="18"/>
          <w:color w:val="auto"/>
        </w:rPr>
        <w:t>The Compensation &amp; Human Resources Committee has reviewed and discussed the “Compensation Discussion and Analysis” with Management and, based on such review and discussions, recommended to the Board that the “Compensation Discussion and Analysis” be included in this proxy statement and in our Annual Report on Form 10-K for the fiscal year ended October 31, 2020.</w:t>
      </w:r>
    </w:p>
    <w:p>
      <w:pPr>
        <w:spacing w:after="0" w:line="7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FF0000"/>
        </w:rPr>
        <w:t>Compensation &amp; Human Resources Committee:</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James C. O‘Rourke (Chair)</w:t>
      </w:r>
    </w:p>
    <w:p>
      <w:pPr>
        <w:jc w:val="center"/>
        <w:ind w:right="-99"/>
        <w:spacing w:after="0" w:line="233" w:lineRule="auto"/>
        <w:rPr>
          <w:sz w:val="20"/>
          <w:szCs w:val="20"/>
          <w:color w:val="auto"/>
        </w:rPr>
      </w:pPr>
      <w:r>
        <w:rPr>
          <w:rFonts w:ascii="Arial" w:cs="Arial" w:eastAsia="Arial" w:hAnsi="Arial"/>
          <w:sz w:val="18"/>
          <w:szCs w:val="18"/>
          <w:color w:val="auto"/>
        </w:rPr>
        <w:t>Jeffrey M. Ettinger</w:t>
      </w:r>
    </w:p>
    <w:p>
      <w:pPr>
        <w:jc w:val="center"/>
        <w:ind w:right="-99"/>
        <w:spacing w:after="0" w:line="233" w:lineRule="auto"/>
        <w:rPr>
          <w:sz w:val="20"/>
          <w:szCs w:val="20"/>
          <w:color w:val="auto"/>
        </w:rPr>
      </w:pPr>
      <w:r>
        <w:rPr>
          <w:rFonts w:ascii="Arial" w:cs="Arial" w:eastAsia="Arial" w:hAnsi="Arial"/>
          <w:sz w:val="18"/>
          <w:szCs w:val="18"/>
          <w:color w:val="auto"/>
        </w:rPr>
        <w:t>D. Christian Koch</w:t>
      </w:r>
    </w:p>
    <w:p>
      <w:pPr>
        <w:jc w:val="center"/>
        <w:ind w:right="-99"/>
        <w:spacing w:after="0" w:line="233" w:lineRule="auto"/>
        <w:rPr>
          <w:sz w:val="20"/>
          <w:szCs w:val="20"/>
          <w:color w:val="auto"/>
        </w:rPr>
      </w:pPr>
      <w:r>
        <w:rPr>
          <w:rFonts w:ascii="Arial" w:cs="Arial" w:eastAsia="Arial" w:hAnsi="Arial"/>
          <w:sz w:val="18"/>
          <w:szCs w:val="18"/>
          <w:color w:val="auto"/>
        </w:rPr>
        <w:t>Joyce A. Mullen</w:t>
      </w:r>
    </w:p>
    <w:p>
      <w:pPr>
        <w:jc w:val="center"/>
        <w:ind w:right="-99"/>
        <w:spacing w:after="0"/>
        <w:rPr>
          <w:sz w:val="20"/>
          <w:szCs w:val="20"/>
          <w:color w:val="auto"/>
        </w:rPr>
      </w:pPr>
      <w:r>
        <w:rPr>
          <w:rFonts w:ascii="Arial" w:cs="Arial" w:eastAsia="Arial" w:hAnsi="Arial"/>
          <w:sz w:val="18"/>
          <w:szCs w:val="18"/>
          <w:color w:val="auto"/>
        </w:rPr>
        <w:t>Gregg W. Steinhafel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Compensation Discussion and Analysis</w:t>
      </w:r>
    </w:p>
    <w:p>
      <w:pPr>
        <w:spacing w:after="0" w:line="101" w:lineRule="exact"/>
        <w:rPr>
          <w:sz w:val="20"/>
          <w:szCs w:val="20"/>
          <w:color w:val="auto"/>
        </w:rPr>
      </w:pPr>
    </w:p>
    <w:p>
      <w:pPr>
        <w:ind w:right="200" w:firstLine="401"/>
        <w:spacing w:after="0" w:line="249"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In this Compensation Discussion and Analysis, or CD&amp;A, we describe key principles and approaches used to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elements of compensation paid or awarded to and earned by the following named executive officers whose compensation is set forth in the “Summary Compensation Table” beginning on page 44:</w:t>
      </w:r>
    </w:p>
    <w:p>
      <w:pPr>
        <w:spacing w:after="0" w:line="88" w:lineRule="exact"/>
        <w:rPr>
          <w:sz w:val="20"/>
          <w:szCs w:val="20"/>
          <w:color w:val="auto"/>
        </w:rPr>
      </w:pPr>
    </w:p>
    <w:p>
      <w:pPr>
        <w:ind w:left="780" w:hanging="384"/>
        <w:spacing w:after="0"/>
        <w:tabs>
          <w:tab w:leader="none" w:pos="780" w:val="left"/>
        </w:tabs>
        <w:numPr>
          <w:ilvl w:val="0"/>
          <w:numId w:val="37"/>
        </w:numPr>
        <w:rPr>
          <w:rFonts w:ascii="Arial" w:cs="Arial" w:eastAsia="Arial" w:hAnsi="Arial"/>
          <w:sz w:val="16"/>
          <w:szCs w:val="16"/>
          <w:color w:val="auto"/>
        </w:rPr>
      </w:pPr>
      <w:r>
        <w:rPr>
          <w:rFonts w:ascii="Arial" w:cs="Arial" w:eastAsia="Arial" w:hAnsi="Arial"/>
          <w:sz w:val="18"/>
          <w:szCs w:val="18"/>
          <w:color w:val="auto"/>
        </w:rPr>
        <w:t>Richard M. Olson, Chairman of the Board, President and CEO;</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37"/>
        </w:numPr>
        <w:rPr>
          <w:rFonts w:ascii="Arial" w:cs="Arial" w:eastAsia="Arial" w:hAnsi="Arial"/>
          <w:sz w:val="16"/>
          <w:szCs w:val="16"/>
          <w:color w:val="auto"/>
        </w:rPr>
      </w:pPr>
      <w:r>
        <w:rPr>
          <w:rFonts w:ascii="Arial" w:cs="Arial" w:eastAsia="Arial" w:hAnsi="Arial"/>
          <w:sz w:val="18"/>
          <w:szCs w:val="18"/>
          <w:color w:val="auto"/>
        </w:rPr>
        <w:t>Renee J. Peterson, Vice President, Treasurer and Chief Financial Officer;</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37"/>
        </w:numPr>
        <w:rPr>
          <w:rFonts w:ascii="Arial" w:cs="Arial" w:eastAsia="Arial" w:hAnsi="Arial"/>
          <w:sz w:val="16"/>
          <w:szCs w:val="16"/>
          <w:color w:val="auto"/>
        </w:rPr>
      </w:pPr>
      <w:r>
        <w:rPr>
          <w:rFonts w:ascii="Arial" w:cs="Arial" w:eastAsia="Arial" w:hAnsi="Arial"/>
          <w:sz w:val="18"/>
          <w:szCs w:val="18"/>
          <w:color w:val="auto"/>
        </w:rPr>
        <w:t>Richard W. Rodier, Group Vice President, Construction, Contractor and Residential Businesses;</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37"/>
        </w:numPr>
        <w:rPr>
          <w:rFonts w:ascii="Arial" w:cs="Arial" w:eastAsia="Arial" w:hAnsi="Arial"/>
          <w:sz w:val="16"/>
          <w:szCs w:val="16"/>
          <w:color w:val="auto"/>
        </w:rPr>
      </w:pPr>
      <w:r>
        <w:rPr>
          <w:rFonts w:ascii="Arial" w:cs="Arial" w:eastAsia="Arial" w:hAnsi="Arial"/>
          <w:sz w:val="18"/>
          <w:szCs w:val="18"/>
          <w:color w:val="auto"/>
        </w:rPr>
        <w:t>Bradley A. Hamilton, Group Vice President, Commercial, International, Ventrac and Irrigation Businesses; and</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37"/>
        </w:numPr>
        <w:rPr>
          <w:rFonts w:ascii="Arial" w:cs="Arial" w:eastAsia="Arial" w:hAnsi="Arial"/>
          <w:sz w:val="16"/>
          <w:szCs w:val="16"/>
          <w:color w:val="auto"/>
        </w:rPr>
      </w:pPr>
      <w:r>
        <w:rPr>
          <w:rFonts w:ascii="Arial" w:cs="Arial" w:eastAsia="Arial" w:hAnsi="Arial"/>
          <w:sz w:val="18"/>
          <w:szCs w:val="18"/>
          <w:color w:val="auto"/>
        </w:rPr>
        <w:t>Amy E. Dahl, Vice President, Human Resources and General Counsel.</w:t>
      </w:r>
    </w:p>
    <w:p>
      <w:pPr>
        <w:spacing w:after="0" w:line="101" w:lineRule="exact"/>
        <w:rPr>
          <w:sz w:val="20"/>
          <w:szCs w:val="20"/>
          <w:color w:val="auto"/>
        </w:rPr>
      </w:pPr>
    </w:p>
    <w:p>
      <w:pPr>
        <w:ind w:right="200" w:firstLine="401"/>
        <w:spacing w:after="0" w:line="236" w:lineRule="auto"/>
        <w:rPr>
          <w:sz w:val="20"/>
          <w:szCs w:val="20"/>
          <w:color w:val="auto"/>
        </w:rPr>
      </w:pPr>
      <w:r>
        <w:rPr>
          <w:rFonts w:ascii="Arial" w:cs="Arial" w:eastAsia="Arial" w:hAnsi="Arial"/>
          <w:sz w:val="18"/>
          <w:szCs w:val="18"/>
          <w:color w:val="auto"/>
        </w:rPr>
        <w:t>This CD&amp;A should be read in conjunction with the accompanying compensation tables, corresponding footnotes and narrative discussion, as they provide information and context to the compensation disclosures. Additionally, this CD&amp;A should be read in conjunction with our advisory vote on executive compensation, which can be found under “Proposal Three—Advisory Approval of our Executive Compensation” beginning on page 26.</w:t>
      </w:r>
    </w:p>
    <w:p>
      <w:pPr>
        <w:spacing w:after="0" w:line="183" w:lineRule="exact"/>
        <w:rPr>
          <w:sz w:val="20"/>
          <w:szCs w:val="20"/>
          <w:color w:val="auto"/>
        </w:rPr>
      </w:pPr>
    </w:p>
    <w:p>
      <w:pPr>
        <w:ind w:firstLine="401"/>
        <w:spacing w:after="0" w:line="236" w:lineRule="auto"/>
        <w:rPr>
          <w:sz w:val="20"/>
          <w:szCs w:val="20"/>
          <w:color w:val="auto"/>
        </w:rPr>
      </w:pPr>
      <w:r>
        <w:rPr>
          <w:rFonts w:ascii="Arial" w:cs="Arial" w:eastAsia="Arial" w:hAnsi="Arial"/>
          <w:sz w:val="18"/>
          <w:szCs w:val="18"/>
          <w:b w:val="1"/>
          <w:bCs w:val="1"/>
          <w:i w:val="1"/>
          <w:iCs w:val="1"/>
          <w:color w:val="auto"/>
        </w:rPr>
        <w:t>COVID-19 Impact and Compensation Actions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March 2020, the World Health Organization declared the COVID-19 outbreak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pandemic. Throughout fiscal 2020, COVID-19 continued to spread in the U.S. and the rest of the world and negatively impacted portions of the global economy, disrupted global supply chains, and created volatility in financial markets. COVID-19 caused government authorities around the world to implement stringent measures to attempt to help control the spread of the virus, including business shutdowns and curtailments, travel restrictions, prohibitions on group events and gatherings, quarantines, “shelter-in-place” and “stay-at-home” orders, curfews, social distancing, and other measures. The adverse global economic impact of this pandemic had a material impact on parts of our business, employees, customers, and suppliers and caused many challenges for our business and manufacturing operations in fiscal 2020. Like other companies, we took prudent actions to protect the health, safety and well-being of our employees. These actions included increased social distancing within our production facilities, employees working remotely when possible, implementing a COVID-19 leave policy, offering virtual doctor visits at 100% coverage without a co-pay, and allowing for CARES Act distributions under The Toro Company Retirement Plan (the “Retirement Plan”). In addition, in May 2020, due to the uncertainty of the impact of the COVID-19 pandemic on our business at that time, we initiated several proactive cost saving measures to partially mitigate the anticipated impact of COVID-19, while continuing to maintain our focus on the short- and long-term success of the Company. These proactive cost saving measures included base salary reductions for the remainder of fiscal 2020 for certain of our employees, including:</w:t>
      </w:r>
    </w:p>
    <w:p>
      <w:pPr>
        <w:spacing w:after="0" w:line="174" w:lineRule="exact"/>
        <w:rPr>
          <w:sz w:val="20"/>
          <w:szCs w:val="20"/>
          <w:color w:val="auto"/>
        </w:rPr>
      </w:pPr>
    </w:p>
    <w:p>
      <w:pPr>
        <w:ind w:left="1180" w:hanging="382"/>
        <w:spacing w:after="0"/>
        <w:tabs>
          <w:tab w:leader="none" w:pos="1180" w:val="left"/>
        </w:tabs>
        <w:numPr>
          <w:ilvl w:val="0"/>
          <w:numId w:val="38"/>
        </w:numPr>
        <w:rPr>
          <w:rFonts w:ascii="Arial" w:cs="Arial" w:eastAsia="Arial" w:hAnsi="Arial"/>
          <w:sz w:val="21"/>
          <w:szCs w:val="21"/>
          <w:color w:val="auto"/>
        </w:rPr>
      </w:pPr>
      <w:r>
        <w:rPr>
          <w:rFonts w:ascii="Arial" w:cs="Arial" w:eastAsia="Arial" w:hAnsi="Arial"/>
          <w:sz w:val="18"/>
          <w:szCs w:val="18"/>
          <w:color w:val="auto"/>
        </w:rPr>
        <w:t>30% for our Chairman and CEO;</w:t>
      </w:r>
    </w:p>
    <w:p>
      <w:pPr>
        <w:spacing w:after="0" w:line="27" w:lineRule="exact"/>
        <w:rPr>
          <w:rFonts w:ascii="Arial" w:cs="Arial" w:eastAsia="Arial" w:hAnsi="Arial"/>
          <w:sz w:val="21"/>
          <w:szCs w:val="21"/>
          <w:color w:val="auto"/>
        </w:rPr>
      </w:pPr>
    </w:p>
    <w:p>
      <w:pPr>
        <w:ind w:left="1180" w:hanging="382"/>
        <w:spacing w:after="0" w:line="212" w:lineRule="auto"/>
        <w:tabs>
          <w:tab w:leader="none" w:pos="1180" w:val="left"/>
        </w:tabs>
        <w:numPr>
          <w:ilvl w:val="0"/>
          <w:numId w:val="38"/>
        </w:numPr>
        <w:rPr>
          <w:rFonts w:ascii="Arial" w:cs="Arial" w:eastAsia="Arial" w:hAnsi="Arial"/>
          <w:sz w:val="21"/>
          <w:szCs w:val="21"/>
          <w:color w:val="auto"/>
        </w:rPr>
      </w:pPr>
      <w:r>
        <w:rPr>
          <w:rFonts w:ascii="Arial" w:cs="Arial" w:eastAsia="Arial" w:hAnsi="Arial"/>
          <w:sz w:val="18"/>
          <w:szCs w:val="18"/>
          <w:color w:val="auto"/>
        </w:rPr>
        <w:t>20% for the executive leadership team, which includes the other named executive officers;</w:t>
      </w:r>
    </w:p>
    <w:p>
      <w:pPr>
        <w:spacing w:after="0" w:line="27" w:lineRule="exact"/>
        <w:rPr>
          <w:rFonts w:ascii="Arial" w:cs="Arial" w:eastAsia="Arial" w:hAnsi="Arial"/>
          <w:sz w:val="21"/>
          <w:szCs w:val="21"/>
          <w:color w:val="auto"/>
        </w:rPr>
      </w:pPr>
    </w:p>
    <w:p>
      <w:pPr>
        <w:ind w:left="1180" w:hanging="382"/>
        <w:spacing w:after="0" w:line="212" w:lineRule="auto"/>
        <w:tabs>
          <w:tab w:leader="none" w:pos="1180" w:val="left"/>
        </w:tabs>
        <w:numPr>
          <w:ilvl w:val="0"/>
          <w:numId w:val="38"/>
        </w:numPr>
        <w:rPr>
          <w:rFonts w:ascii="Arial" w:cs="Arial" w:eastAsia="Arial" w:hAnsi="Arial"/>
          <w:sz w:val="21"/>
          <w:szCs w:val="21"/>
          <w:color w:val="auto"/>
        </w:rPr>
      </w:pPr>
      <w:r>
        <w:rPr>
          <w:rFonts w:ascii="Arial" w:cs="Arial" w:eastAsia="Arial" w:hAnsi="Arial"/>
          <w:sz w:val="18"/>
          <w:szCs w:val="18"/>
          <w:color w:val="auto"/>
        </w:rPr>
        <w:t>10% for our other Vice Presidents and General Managers; and</w:t>
      </w:r>
    </w:p>
    <w:p>
      <w:pPr>
        <w:spacing w:after="0" w:line="27" w:lineRule="exact"/>
        <w:rPr>
          <w:rFonts w:ascii="Arial" w:cs="Arial" w:eastAsia="Arial" w:hAnsi="Arial"/>
          <w:sz w:val="21"/>
          <w:szCs w:val="21"/>
          <w:color w:val="auto"/>
        </w:rPr>
      </w:pPr>
    </w:p>
    <w:p>
      <w:pPr>
        <w:ind w:left="1180" w:hanging="382"/>
        <w:spacing w:after="0" w:line="212" w:lineRule="auto"/>
        <w:tabs>
          <w:tab w:leader="none" w:pos="1180" w:val="left"/>
        </w:tabs>
        <w:numPr>
          <w:ilvl w:val="0"/>
          <w:numId w:val="38"/>
        </w:numPr>
        <w:rPr>
          <w:rFonts w:ascii="Arial" w:cs="Arial" w:eastAsia="Arial" w:hAnsi="Arial"/>
          <w:sz w:val="21"/>
          <w:szCs w:val="21"/>
          <w:color w:val="auto"/>
        </w:rPr>
      </w:pPr>
      <w:r>
        <w:rPr>
          <w:rFonts w:ascii="Arial" w:cs="Arial" w:eastAsia="Arial" w:hAnsi="Arial"/>
          <w:sz w:val="18"/>
          <w:szCs w:val="18"/>
          <w:color w:val="auto"/>
        </w:rPr>
        <w:t>3.5% or a reasonable equivalent for all office employees.</w:t>
      </w: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ind w:right="140" w:firstLine="401"/>
        <w:spacing w:after="0" w:line="238" w:lineRule="auto"/>
        <w:rPr>
          <w:sz w:val="20"/>
          <w:szCs w:val="20"/>
          <w:color w:val="auto"/>
        </w:rPr>
      </w:pPr>
      <w:r>
        <w:rPr>
          <w:rFonts w:ascii="Arial" w:cs="Arial" w:eastAsia="Arial" w:hAnsi="Arial"/>
          <w:sz w:val="18"/>
          <w:szCs w:val="18"/>
          <w:color w:val="auto"/>
        </w:rPr>
        <w:t>In addition, for the remainder of fiscal 2020, we implemented a freeze on our annual merit process for the majority of our employees, ceased hiring for many open office positions and eliminated the fiscal 2020 discretionary investment fund contribution under our Retirement Plan that would have been paid in fiscal 2021.</w:t>
      </w:r>
    </w:p>
    <w:p>
      <w:pPr>
        <w:spacing w:after="0" w:line="180" w:lineRule="exact"/>
        <w:rPr>
          <w:sz w:val="20"/>
          <w:szCs w:val="20"/>
          <w:color w:val="auto"/>
        </w:rPr>
      </w:pPr>
    </w:p>
    <w:p>
      <w:pPr>
        <w:jc w:val="both"/>
        <w:ind w:right="20" w:firstLine="401"/>
        <w:spacing w:after="0" w:line="244" w:lineRule="auto"/>
        <w:rPr>
          <w:sz w:val="20"/>
          <w:szCs w:val="20"/>
          <w:color w:val="auto"/>
        </w:rPr>
      </w:pPr>
      <w:r>
        <w:rPr>
          <w:rFonts w:ascii="Arial" w:cs="Arial" w:eastAsia="Arial" w:hAnsi="Arial"/>
          <w:sz w:val="18"/>
          <w:szCs w:val="18"/>
          <w:b w:val="1"/>
          <w:bCs w:val="1"/>
          <w:i w:val="1"/>
          <w:iCs w:val="1"/>
          <w:color w:val="auto"/>
        </w:rPr>
        <w:t xml:space="preserve">Fiscal 2020 Financial and Other Highlights. </w:t>
      </w:r>
      <w:r>
        <w:rPr>
          <w:rFonts w:ascii="Arial" w:cs="Arial" w:eastAsia="Arial" w:hAnsi="Arial"/>
          <w:sz w:val="18"/>
          <w:szCs w:val="18"/>
          <w:color w:val="auto"/>
        </w:rPr>
        <w:t>Our execution in this challenging year continued to be guided by our enterprise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priorities of accelerating profitable growth, driving productivity and operational excellence, and empowering people, all while doing what was necessary to keep our employees safe in our facilities. As a result, despite the challenges and uncertainty we faced in fiscal 2020 as a result of COVID-19, we, among other things:</w:t>
      </w:r>
    </w:p>
    <w:p>
      <w:pPr>
        <w:spacing w:after="0" w:line="177" w:lineRule="exact"/>
        <w:rPr>
          <w:sz w:val="20"/>
          <w:szCs w:val="20"/>
          <w:color w:val="auto"/>
        </w:rPr>
      </w:pPr>
    </w:p>
    <w:p>
      <w:pPr>
        <w:ind w:left="1180" w:hanging="382"/>
        <w:spacing w:after="0"/>
        <w:tabs>
          <w:tab w:leader="none" w:pos="1180" w:val="left"/>
        </w:tabs>
        <w:numPr>
          <w:ilvl w:val="0"/>
          <w:numId w:val="39"/>
        </w:numPr>
        <w:rPr>
          <w:rFonts w:ascii="Courier New" w:cs="Courier New" w:eastAsia="Courier New" w:hAnsi="Courier New"/>
          <w:sz w:val="18"/>
          <w:szCs w:val="18"/>
          <w:color w:val="auto"/>
        </w:rPr>
      </w:pPr>
      <w:r>
        <w:rPr>
          <w:rFonts w:ascii="Arial" w:cs="Arial" w:eastAsia="Arial" w:hAnsi="Arial"/>
          <w:sz w:val="18"/>
          <w:szCs w:val="18"/>
          <w:color w:val="auto"/>
        </w:rPr>
        <w:t>achieved fiscal 2020 net sales of $3.38 billion, up 7.7% versus fiscal 2019;</w:t>
      </w:r>
    </w:p>
    <w:p>
      <w:pPr>
        <w:ind w:left="1180" w:hanging="382"/>
        <w:spacing w:after="0" w:line="216" w:lineRule="auto"/>
        <w:tabs>
          <w:tab w:leader="none" w:pos="1180" w:val="left"/>
        </w:tabs>
        <w:numPr>
          <w:ilvl w:val="0"/>
          <w:numId w:val="39"/>
        </w:numPr>
        <w:rPr>
          <w:rFonts w:ascii="Courier New" w:cs="Courier New" w:eastAsia="Courier New" w:hAnsi="Courier New"/>
          <w:sz w:val="18"/>
          <w:szCs w:val="18"/>
          <w:color w:val="auto"/>
        </w:rPr>
      </w:pPr>
      <w:r>
        <w:rPr>
          <w:rFonts w:ascii="Arial" w:cs="Arial" w:eastAsia="Arial" w:hAnsi="Arial"/>
          <w:sz w:val="18"/>
          <w:szCs w:val="18"/>
          <w:color w:val="auto"/>
        </w:rPr>
        <w:t>achieved reported diluted earnings per share, or EPS, of $3.03 per share, up 19.8% from $2.53 per share in fiscal 2019;</w:t>
      </w:r>
    </w:p>
    <w:p>
      <w:pPr>
        <w:ind w:left="1180" w:right="60" w:hanging="382"/>
        <w:spacing w:after="0" w:line="224" w:lineRule="auto"/>
        <w:tabs>
          <w:tab w:leader="none" w:pos="1180" w:val="left"/>
        </w:tabs>
        <w:numPr>
          <w:ilvl w:val="0"/>
          <w:numId w:val="39"/>
        </w:numPr>
        <w:rPr>
          <w:rFonts w:ascii="Courier New" w:cs="Courier New" w:eastAsia="Courier New" w:hAnsi="Courier New"/>
          <w:sz w:val="18"/>
          <w:szCs w:val="18"/>
          <w:color w:val="auto"/>
        </w:rPr>
      </w:pPr>
      <w:r>
        <w:rPr>
          <w:rFonts w:ascii="Arial" w:cs="Arial" w:eastAsia="Arial" w:hAnsi="Arial"/>
          <w:sz w:val="18"/>
          <w:szCs w:val="18"/>
          <w:color w:val="auto"/>
        </w:rPr>
        <w:t>achieved professional segment net sales of $2.52 billion, up 3.3% from $2.44 billion in fiscal 2019, with such net sales growth primarily due to incremental net sales contributions from the CMW and Venture Products acquisitions;</w:t>
      </w:r>
    </w:p>
    <w:p>
      <w:pPr>
        <w:ind w:left="1180" w:right="160" w:hanging="382"/>
        <w:spacing w:after="0" w:line="224" w:lineRule="auto"/>
        <w:tabs>
          <w:tab w:leader="none" w:pos="1180" w:val="left"/>
        </w:tabs>
        <w:numPr>
          <w:ilvl w:val="0"/>
          <w:numId w:val="39"/>
        </w:numPr>
        <w:rPr>
          <w:rFonts w:ascii="Courier New" w:cs="Courier New" w:eastAsia="Courier New" w:hAnsi="Courier New"/>
          <w:sz w:val="18"/>
          <w:szCs w:val="18"/>
          <w:color w:val="auto"/>
        </w:rPr>
      </w:pPr>
      <w:r>
        <w:rPr>
          <w:rFonts w:ascii="Arial" w:cs="Arial" w:eastAsia="Arial" w:hAnsi="Arial"/>
          <w:sz w:val="18"/>
          <w:szCs w:val="18"/>
          <w:color w:val="auto"/>
        </w:rPr>
        <w:t>achieved record performance from our residential segment with net sales of $820.7 million, up 24.1% compared with $661.3 million in fiscal 2019;</w:t>
      </w:r>
    </w:p>
    <w:p>
      <w:pPr>
        <w:ind w:left="1180" w:hanging="382"/>
        <w:spacing w:after="0" w:line="216" w:lineRule="auto"/>
        <w:tabs>
          <w:tab w:leader="none" w:pos="1180" w:val="left"/>
        </w:tabs>
        <w:numPr>
          <w:ilvl w:val="0"/>
          <w:numId w:val="39"/>
        </w:numPr>
        <w:rPr>
          <w:rFonts w:ascii="Courier New" w:cs="Courier New" w:eastAsia="Courier New" w:hAnsi="Courier New"/>
          <w:sz w:val="18"/>
          <w:szCs w:val="18"/>
          <w:color w:val="auto"/>
        </w:rPr>
      </w:pPr>
      <w:r>
        <w:rPr>
          <w:rFonts w:ascii="Arial" w:cs="Arial" w:eastAsia="Arial" w:hAnsi="Arial"/>
          <w:sz w:val="18"/>
          <w:szCs w:val="18"/>
          <w:color w:val="auto"/>
        </w:rPr>
        <w:t>successfully introduced new battery-powered products for residential and professional applications;</w:t>
      </w:r>
    </w:p>
    <w:p>
      <w:pPr>
        <w:ind w:left="1180" w:hanging="382"/>
        <w:spacing w:after="0" w:line="216" w:lineRule="auto"/>
        <w:tabs>
          <w:tab w:leader="none" w:pos="1180" w:val="left"/>
        </w:tabs>
        <w:numPr>
          <w:ilvl w:val="0"/>
          <w:numId w:val="39"/>
        </w:numPr>
        <w:rPr>
          <w:rFonts w:ascii="Courier New" w:cs="Courier New" w:eastAsia="Courier New" w:hAnsi="Courier New"/>
          <w:sz w:val="18"/>
          <w:szCs w:val="18"/>
          <w:color w:val="auto"/>
        </w:rPr>
      </w:pPr>
      <w:r>
        <w:rPr>
          <w:rFonts w:ascii="Arial" w:cs="Arial" w:eastAsia="Arial" w:hAnsi="Arial"/>
          <w:sz w:val="18"/>
          <w:szCs w:val="18"/>
          <w:color w:val="auto"/>
        </w:rPr>
        <w:t>expanded our residential segment mass retail channel;</w:t>
      </w:r>
    </w:p>
    <w:p>
      <w:pPr>
        <w:ind w:left="1180" w:hanging="382"/>
        <w:spacing w:after="0" w:line="216" w:lineRule="auto"/>
        <w:tabs>
          <w:tab w:leader="none" w:pos="1180" w:val="left"/>
        </w:tabs>
        <w:numPr>
          <w:ilvl w:val="0"/>
          <w:numId w:val="39"/>
        </w:numPr>
        <w:rPr>
          <w:rFonts w:ascii="Courier New" w:cs="Courier New" w:eastAsia="Courier New" w:hAnsi="Courier New"/>
          <w:sz w:val="18"/>
          <w:szCs w:val="18"/>
          <w:color w:val="auto"/>
        </w:rPr>
      </w:pPr>
      <w:r>
        <w:rPr>
          <w:rFonts w:ascii="Arial" w:cs="Arial" w:eastAsia="Arial" w:hAnsi="Arial"/>
          <w:sz w:val="18"/>
          <w:szCs w:val="18"/>
          <w:color w:val="auto"/>
        </w:rPr>
        <w:t>increased investment in research and development in key technology areas;</w:t>
      </w:r>
    </w:p>
    <w:p>
      <w:pPr>
        <w:ind w:left="1180" w:hanging="382"/>
        <w:spacing w:after="0" w:line="216" w:lineRule="auto"/>
        <w:tabs>
          <w:tab w:leader="none" w:pos="1180" w:val="left"/>
        </w:tabs>
        <w:numPr>
          <w:ilvl w:val="0"/>
          <w:numId w:val="39"/>
        </w:numPr>
        <w:rPr>
          <w:rFonts w:ascii="Courier New" w:cs="Courier New" w:eastAsia="Courier New" w:hAnsi="Courier New"/>
          <w:sz w:val="18"/>
          <w:szCs w:val="18"/>
          <w:color w:val="auto"/>
        </w:rPr>
      </w:pPr>
      <w:r>
        <w:rPr>
          <w:rFonts w:ascii="Arial" w:cs="Arial" w:eastAsia="Arial" w:hAnsi="Arial"/>
          <w:sz w:val="18"/>
          <w:szCs w:val="18"/>
          <w:color w:val="auto"/>
        </w:rPr>
        <w:t>realized strong free cash flow and had available liquidity of $1.1 billion as of October 31, 2020;</w:t>
      </w:r>
    </w:p>
    <w:p>
      <w:pPr>
        <w:ind w:left="1180" w:hanging="382"/>
        <w:spacing w:after="0" w:line="216" w:lineRule="auto"/>
        <w:tabs>
          <w:tab w:leader="none" w:pos="1180" w:val="left"/>
        </w:tabs>
        <w:numPr>
          <w:ilvl w:val="0"/>
          <w:numId w:val="39"/>
        </w:numPr>
        <w:rPr>
          <w:rFonts w:ascii="Courier New" w:cs="Courier New" w:eastAsia="Courier New" w:hAnsi="Courier New"/>
          <w:sz w:val="18"/>
          <w:szCs w:val="18"/>
          <w:color w:val="auto"/>
        </w:rPr>
      </w:pPr>
      <w:r>
        <w:rPr>
          <w:rFonts w:ascii="Arial" w:cs="Arial" w:eastAsia="Arial" w:hAnsi="Arial"/>
          <w:sz w:val="18"/>
          <w:szCs w:val="18"/>
          <w:color w:val="auto"/>
        </w:rPr>
        <w:t>continued to return value to our shareholders by paying $107.7 million in dividends;</w:t>
      </w:r>
    </w:p>
    <w:p>
      <w:pPr>
        <w:ind w:left="1180" w:hanging="382"/>
        <w:spacing w:after="0" w:line="229" w:lineRule="auto"/>
        <w:tabs>
          <w:tab w:leader="none" w:pos="1180" w:val="left"/>
        </w:tabs>
        <w:numPr>
          <w:ilvl w:val="0"/>
          <w:numId w:val="39"/>
        </w:numPr>
        <w:rPr>
          <w:rFonts w:ascii="Courier New" w:cs="Courier New" w:eastAsia="Courier New" w:hAnsi="Courier New"/>
          <w:sz w:val="17"/>
          <w:szCs w:val="17"/>
          <w:color w:val="auto"/>
        </w:rPr>
      </w:pPr>
      <w:r>
        <w:rPr>
          <w:rFonts w:ascii="Arial" w:cs="Arial" w:eastAsia="Arial" w:hAnsi="Arial"/>
          <w:sz w:val="17"/>
          <w:szCs w:val="17"/>
          <w:color w:val="auto"/>
        </w:rPr>
        <w:t>enhanced our commitment to the well-being of our employees, service to our customers and support for our communities; and</w:t>
      </w:r>
    </w:p>
    <w:p>
      <w:pPr>
        <w:ind w:left="1180" w:hanging="382"/>
        <w:spacing w:after="0" w:line="230" w:lineRule="auto"/>
        <w:tabs>
          <w:tab w:leader="none" w:pos="1180" w:val="left"/>
        </w:tabs>
        <w:numPr>
          <w:ilvl w:val="0"/>
          <w:numId w:val="39"/>
        </w:numPr>
        <w:rPr>
          <w:rFonts w:ascii="Courier New" w:cs="Courier New" w:eastAsia="Courier New" w:hAnsi="Courier New"/>
          <w:sz w:val="18"/>
          <w:szCs w:val="18"/>
          <w:color w:val="auto"/>
        </w:rPr>
      </w:pPr>
      <w:r>
        <w:rPr>
          <w:rFonts w:ascii="Arial" w:cs="Arial" w:eastAsia="Arial" w:hAnsi="Arial"/>
          <w:sz w:val="18"/>
          <w:szCs w:val="18"/>
          <w:color w:val="auto"/>
        </w:rPr>
        <w:t xml:space="preserve">launched our first sustainability platform, </w:t>
      </w:r>
      <w:r>
        <w:rPr>
          <w:rFonts w:ascii="Arial" w:cs="Arial" w:eastAsia="Arial" w:hAnsi="Arial"/>
          <w:sz w:val="18"/>
          <w:szCs w:val="18"/>
          <w:i w:val="1"/>
          <w:iCs w:val="1"/>
          <w:color w:val="auto"/>
        </w:rPr>
        <w:t>Sustainability Endures</w:t>
      </w:r>
      <w:r>
        <w:rPr>
          <w:rFonts w:ascii="Arial" w:cs="Arial" w:eastAsia="Arial" w:hAnsi="Arial"/>
          <w:sz w:val="18"/>
          <w:szCs w:val="18"/>
          <w:color w:val="auto"/>
        </w:rPr>
        <w:t>.</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believe that the proactive expense and cost measures taken to partially mitigate anticipated impacts of the COVID-19 pandemic on our business, in combination with the resiliency, commitment and dedication of our employees and channel partners, as well as continued strong demand for our products, allowed us to achieve these financial and other results in fiscal 2020.</w:t>
      </w:r>
    </w:p>
    <w:p>
      <w:pPr>
        <w:spacing w:after="0" w:line="73" w:lineRule="exact"/>
        <w:rPr>
          <w:sz w:val="20"/>
          <w:szCs w:val="20"/>
          <w:color w:val="auto"/>
        </w:rPr>
      </w:pPr>
    </w:p>
    <w:p>
      <w:pPr>
        <w:ind w:right="260" w:firstLine="401"/>
        <w:spacing w:after="0" w:line="244" w:lineRule="auto"/>
        <w:rPr>
          <w:sz w:val="20"/>
          <w:szCs w:val="20"/>
          <w:color w:val="auto"/>
        </w:rPr>
      </w:pPr>
      <w:r>
        <w:rPr>
          <w:rFonts w:ascii="Arial" w:cs="Arial" w:eastAsia="Arial" w:hAnsi="Arial"/>
          <w:sz w:val="18"/>
          <w:szCs w:val="18"/>
          <w:b w:val="1"/>
          <w:bCs w:val="1"/>
          <w:i w:val="1"/>
          <w:iCs w:val="1"/>
          <w:color w:val="auto"/>
        </w:rPr>
        <w:t>Executive Compensation Program Objectives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guiding compensation philosophy is to maintain an executive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 that allows us to attract, retain, motivate and reward highly qualified and talented executive officers who will enable us to perform better than our competitors and drive long-term shareholder value. The following core principles provide a framework for our executive compensation program:</w:t>
      </w:r>
    </w:p>
    <w:p>
      <w:pPr>
        <w:spacing w:after="0" w:line="92" w:lineRule="exact"/>
        <w:rPr>
          <w:sz w:val="20"/>
          <w:szCs w:val="20"/>
          <w:color w:val="auto"/>
        </w:rPr>
      </w:pPr>
    </w:p>
    <w:p>
      <w:pPr>
        <w:ind w:left="780" w:hanging="384"/>
        <w:spacing w:after="0"/>
        <w:tabs>
          <w:tab w:leader="none" w:pos="780" w:val="left"/>
        </w:tabs>
        <w:numPr>
          <w:ilvl w:val="0"/>
          <w:numId w:val="40"/>
        </w:numPr>
        <w:rPr>
          <w:rFonts w:ascii="Arial" w:cs="Arial" w:eastAsia="Arial" w:hAnsi="Arial"/>
          <w:sz w:val="16"/>
          <w:szCs w:val="16"/>
          <w:color w:val="auto"/>
        </w:rPr>
      </w:pPr>
      <w:r>
        <w:rPr>
          <w:rFonts w:ascii="Arial" w:cs="Arial" w:eastAsia="Arial" w:hAnsi="Arial"/>
          <w:sz w:val="18"/>
          <w:szCs w:val="18"/>
          <w:color w:val="auto"/>
        </w:rPr>
        <w:t>Align interests of executive officers with shareholder interests;</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40"/>
        </w:numPr>
        <w:rPr>
          <w:rFonts w:ascii="Arial" w:cs="Arial" w:eastAsia="Arial" w:hAnsi="Arial"/>
          <w:sz w:val="16"/>
          <w:szCs w:val="16"/>
          <w:color w:val="auto"/>
        </w:rPr>
      </w:pPr>
      <w:r>
        <w:rPr>
          <w:rFonts w:ascii="Arial" w:cs="Arial" w:eastAsia="Arial" w:hAnsi="Arial"/>
          <w:sz w:val="18"/>
          <w:szCs w:val="18"/>
          <w:color w:val="auto"/>
        </w:rPr>
        <w:t>Link pay to performance; and</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40"/>
        </w:numPr>
        <w:rPr>
          <w:rFonts w:ascii="Arial" w:cs="Arial" w:eastAsia="Arial" w:hAnsi="Arial"/>
          <w:sz w:val="16"/>
          <w:szCs w:val="16"/>
          <w:color w:val="auto"/>
        </w:rPr>
      </w:pPr>
      <w:r>
        <w:rPr>
          <w:rFonts w:ascii="Arial" w:cs="Arial" w:eastAsia="Arial" w:hAnsi="Arial"/>
          <w:sz w:val="18"/>
          <w:szCs w:val="18"/>
          <w:color w:val="auto"/>
        </w:rPr>
        <w:t>Provide competitive target total direct compensation opportunities.</w:t>
      </w:r>
    </w:p>
    <w:p>
      <w:pPr>
        <w:spacing w:after="0" w:line="79" w:lineRule="exact"/>
        <w:rPr>
          <w:sz w:val="20"/>
          <w:szCs w:val="20"/>
          <w:color w:val="auto"/>
        </w:rPr>
      </w:pPr>
    </w:p>
    <w:p>
      <w:pPr>
        <w:ind w:right="40" w:firstLine="401"/>
        <w:spacing w:after="0" w:line="263" w:lineRule="auto"/>
        <w:rPr>
          <w:sz w:val="20"/>
          <w:szCs w:val="20"/>
          <w:color w:val="auto"/>
        </w:rPr>
      </w:pPr>
      <w:r>
        <w:rPr>
          <w:rFonts w:ascii="Arial" w:cs="Arial" w:eastAsia="Arial" w:hAnsi="Arial"/>
          <w:sz w:val="17"/>
          <w:szCs w:val="17"/>
          <w:b w:val="1"/>
          <w:bCs w:val="1"/>
          <w:i w:val="1"/>
          <w:iCs w:val="1"/>
          <w:color w:val="auto"/>
        </w:rPr>
        <w:t xml:space="preserve">Highlights of Compensation Practices. </w:t>
      </w:r>
      <w:r>
        <w:rPr>
          <w:rFonts w:ascii="Arial" w:cs="Arial" w:eastAsia="Arial" w:hAnsi="Arial"/>
          <w:sz w:val="17"/>
          <w:szCs w:val="17"/>
          <w:color w:val="auto"/>
        </w:rPr>
        <w:t>At our 2020 Annual Meeting of Shareholders, our shareholders had the opportunity to vote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an advisory say-on-pay proposal and over 93% of the votes cast were in favor of such proposal. The Compensation &amp; Human Resources Committee believes that such results affirmed shareholder support of our approach to executive compensation and did not believe it was necessary to, and, therefore, did not, make any significant structural changes to our executive compensation program in fiscal 2020.</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3590" cy="1619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3590" cy="16192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FFFFFF"/>
        </w:rPr>
        <w:t>What We Do:</w:t>
      </w:r>
    </w:p>
    <w:p>
      <w:pPr>
        <w:spacing w:after="0" w:line="83" w:lineRule="exact"/>
        <w:rPr>
          <w:sz w:val="20"/>
          <w:szCs w:val="20"/>
          <w:color w:val="auto"/>
        </w:rPr>
      </w:pPr>
    </w:p>
    <w:p>
      <w:pPr>
        <w:ind w:left="400" w:right="280" w:hanging="393"/>
        <w:spacing w:after="0"/>
        <w:tabs>
          <w:tab w:leader="none" w:pos="40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We link a substantial portion of total executive compensation directly to performance and require that minimum, or threshold, levels of performance be met in order for there to be any payout.</w:t>
      </w:r>
    </w:p>
    <w:p>
      <w:pPr>
        <w:spacing w:after="0" w:line="28" w:lineRule="exact"/>
        <w:rPr>
          <w:rFonts w:ascii="MS PGothic" w:cs="MS PGothic" w:eastAsia="MS PGothic" w:hAnsi="MS PGothic"/>
          <w:sz w:val="18"/>
          <w:szCs w:val="18"/>
          <w:color w:val="auto"/>
        </w:rPr>
      </w:pPr>
    </w:p>
    <w:p>
      <w:pPr>
        <w:ind w:left="400" w:right="500" w:hanging="393"/>
        <w:spacing w:after="0"/>
        <w:tabs>
          <w:tab w:leader="none" w:pos="40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We utilize a mix of earnings, revenue and asset-based performance measures for our annual cash incentive awards and long-term performance share awards.</w:t>
      </w:r>
    </w:p>
    <w:p>
      <w:pPr>
        <w:spacing w:after="0" w:line="28" w:lineRule="exact"/>
        <w:rPr>
          <w:rFonts w:ascii="MS PGothic" w:cs="MS PGothic" w:eastAsia="MS PGothic" w:hAnsi="MS PGothic"/>
          <w:sz w:val="18"/>
          <w:szCs w:val="18"/>
          <w:color w:val="auto"/>
        </w:rPr>
      </w:pPr>
    </w:p>
    <w:p>
      <w:pPr>
        <w:ind w:left="400" w:hanging="393"/>
        <w:spacing w:after="0"/>
        <w:tabs>
          <w:tab w:leader="none" w:pos="40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We cap annual cash incentive award and long-term performance share award payouts at 200% of the target award.</w:t>
      </w:r>
    </w:p>
    <w:p>
      <w:pPr>
        <w:spacing w:after="0" w:line="47" w:lineRule="exact"/>
        <w:rPr>
          <w:rFonts w:ascii="MS PGothic" w:cs="MS PGothic" w:eastAsia="MS PGothic" w:hAnsi="MS PGothic"/>
          <w:sz w:val="18"/>
          <w:szCs w:val="18"/>
          <w:color w:val="auto"/>
        </w:rPr>
      </w:pPr>
    </w:p>
    <w:p>
      <w:pPr>
        <w:ind w:left="400" w:right="760" w:hanging="393"/>
        <w:spacing w:after="0"/>
        <w:tabs>
          <w:tab w:leader="none" w:pos="40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We utilize three-year performance share awards, the payouts of which vary based on performance and are contingent upon the achievement of three-year performance goals.</w:t>
      </w:r>
    </w:p>
    <w:p>
      <w:pPr>
        <w:spacing w:after="0" w:line="28" w:lineRule="exact"/>
        <w:rPr>
          <w:rFonts w:ascii="MS PGothic" w:cs="MS PGothic" w:eastAsia="MS PGothic" w:hAnsi="MS PGothic"/>
          <w:sz w:val="18"/>
          <w:szCs w:val="18"/>
          <w:color w:val="auto"/>
        </w:rPr>
      </w:pPr>
    </w:p>
    <w:p>
      <w:pPr>
        <w:ind w:left="400" w:hanging="393"/>
        <w:spacing w:after="0"/>
        <w:tabs>
          <w:tab w:leader="none" w:pos="40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We utilize stock options, the value of which is contingent upon long-term stock price performance.</w:t>
      </w:r>
    </w:p>
    <w:p>
      <w:pPr>
        <w:spacing w:after="0" w:line="47" w:lineRule="exact"/>
        <w:rPr>
          <w:rFonts w:ascii="MS PGothic" w:cs="MS PGothic" w:eastAsia="MS PGothic" w:hAnsi="MS PGothic"/>
          <w:sz w:val="18"/>
          <w:szCs w:val="18"/>
          <w:color w:val="auto"/>
        </w:rPr>
      </w:pPr>
    </w:p>
    <w:p>
      <w:pPr>
        <w:ind w:left="400" w:hanging="393"/>
        <w:spacing w:after="0"/>
        <w:tabs>
          <w:tab w:leader="none" w:pos="40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We impose a minimum vesting requirement of three years or more for our time-based equity awards.</w:t>
      </w:r>
    </w:p>
    <w:p>
      <w:pPr>
        <w:spacing w:after="0" w:line="47" w:lineRule="exact"/>
        <w:rPr>
          <w:rFonts w:ascii="MS PGothic" w:cs="MS PGothic" w:eastAsia="MS PGothic" w:hAnsi="MS PGothic"/>
          <w:sz w:val="18"/>
          <w:szCs w:val="18"/>
          <w:color w:val="auto"/>
        </w:rPr>
      </w:pPr>
    </w:p>
    <w:p>
      <w:pPr>
        <w:ind w:left="400" w:hanging="393"/>
        <w:spacing w:after="0"/>
        <w:tabs>
          <w:tab w:leader="none" w:pos="40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We maintain stock ownership guidelines for our executive officers.</w:t>
      </w:r>
    </w:p>
    <w:p>
      <w:pPr>
        <w:spacing w:after="0" w:line="47" w:lineRule="exact"/>
        <w:rPr>
          <w:rFonts w:ascii="MS PGothic" w:cs="MS PGothic" w:eastAsia="MS PGothic" w:hAnsi="MS PGothic"/>
          <w:sz w:val="18"/>
          <w:szCs w:val="18"/>
          <w:color w:val="auto"/>
        </w:rPr>
      </w:pPr>
    </w:p>
    <w:p>
      <w:pPr>
        <w:ind w:left="400" w:hanging="393"/>
        <w:spacing w:after="0"/>
        <w:tabs>
          <w:tab w:leader="none" w:pos="40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We include clawback provisions within our annual cash incentive and long-term incentive awards.</w:t>
      </w:r>
    </w:p>
    <w:p>
      <w:pPr>
        <w:spacing w:after="0" w:line="47" w:lineRule="exact"/>
        <w:rPr>
          <w:rFonts w:ascii="MS PGothic" w:cs="MS PGothic" w:eastAsia="MS PGothic" w:hAnsi="MS PGothic"/>
          <w:sz w:val="18"/>
          <w:szCs w:val="18"/>
          <w:color w:val="auto"/>
        </w:rPr>
      </w:pPr>
    </w:p>
    <w:p>
      <w:pPr>
        <w:ind w:left="400" w:right="280" w:hanging="393"/>
        <w:spacing w:after="0"/>
        <w:tabs>
          <w:tab w:leader="none" w:pos="40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We have an independent Compensation &amp; Human Resources Committee which is advised by an independent external compensation consultant.</w:t>
      </w:r>
    </w:p>
    <w:p>
      <w:pPr>
        <w:spacing w:after="0" w:line="28" w:lineRule="exact"/>
        <w:rPr>
          <w:rFonts w:ascii="MS PGothic" w:cs="MS PGothic" w:eastAsia="MS PGothic" w:hAnsi="MS PGothic"/>
          <w:sz w:val="18"/>
          <w:szCs w:val="18"/>
          <w:color w:val="auto"/>
        </w:rPr>
      </w:pPr>
    </w:p>
    <w:p>
      <w:pPr>
        <w:ind w:left="400" w:hanging="393"/>
        <w:spacing w:after="0"/>
        <w:tabs>
          <w:tab w:leader="none" w:pos="40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We provide our shareholders with the opportunity to cast an advisory say-on-pay vote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-2036445</wp:posOffset>
            </wp:positionV>
            <wp:extent cx="63500" cy="654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3500" cy="6540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-1755775</wp:posOffset>
            </wp:positionV>
            <wp:extent cx="63500" cy="654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3500" cy="6540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-1474470</wp:posOffset>
            </wp:positionV>
            <wp:extent cx="63500" cy="654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3500" cy="6540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-1313180</wp:posOffset>
            </wp:positionV>
            <wp:extent cx="63500" cy="654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3500" cy="6540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-1031875</wp:posOffset>
            </wp:positionV>
            <wp:extent cx="63500" cy="654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3500" cy="6540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-870585</wp:posOffset>
            </wp:positionV>
            <wp:extent cx="63500" cy="654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3500" cy="6540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-708660</wp:posOffset>
            </wp:positionV>
            <wp:extent cx="63500" cy="654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3500" cy="6540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-546735</wp:posOffset>
            </wp:positionV>
            <wp:extent cx="63500" cy="654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3500" cy="6540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-385445</wp:posOffset>
            </wp:positionV>
            <wp:extent cx="63500" cy="654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3500" cy="6540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-104140</wp:posOffset>
            </wp:positionV>
            <wp:extent cx="63500" cy="654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3500" cy="65405"/>
                    </a:xfrm>
                    <a:prstGeom prst="rect">
                      <a:avLst/>
                    </a:prstGeom>
                    <a:noFill/>
                  </pic:spPr>
                </pic:pic>
              </a:graphicData>
            </a:graphic>
          </wp:anchor>
        </w:drawing>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264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3590" cy="264160"/>
                    </a:xfrm>
                    <a:prstGeom prst="rect">
                      <a:avLst/>
                    </a:prstGeom>
                    <a:noFill/>
                  </pic:spPr>
                </pic:pic>
              </a:graphicData>
            </a:graphic>
          </wp:anchor>
        </w:drawing>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 repricing or exchange of any equity awards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10490" cy="1022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0490" cy="102235"/>
                    </a:xfrm>
                    <a:prstGeom prst="rect">
                      <a:avLst/>
                    </a:prstGeom>
                    <a:noFill/>
                  </pic:spPr>
                </pic:pic>
              </a:graphicData>
            </a:graphic>
          </wp:anchor>
        </w:drawing>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 individual employment agreements with our CEO or any other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10490" cy="1022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0490" cy="102235"/>
                    </a:xfrm>
                    <a:prstGeom prst="rect">
                      <a:avLst/>
                    </a:prstGeom>
                    <a:noFill/>
                  </pic:spPr>
                </pic:pic>
              </a:graphicData>
            </a:graphic>
          </wp:anchor>
        </w:drawing>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 excessive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10490" cy="1022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0490" cy="102235"/>
                    </a:xfrm>
                    <a:prstGeom prst="rect">
                      <a:avLst/>
                    </a:prstGeom>
                    <a:noFill/>
                  </pic:spPr>
                </pic:pic>
              </a:graphicData>
            </a:graphic>
          </wp:anchor>
        </w:drawing>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 gross-up payments to cover personal income taxes or excise taxes that pertain to executive or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10490" cy="1022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0490" cy="102235"/>
                    </a:xfrm>
                    <a:prstGeom prst="rect">
                      <a:avLst/>
                    </a:prstGeom>
                    <a:noFill/>
                  </pic:spPr>
                </pic:pic>
              </a:graphicData>
            </a:graphic>
          </wp:anchor>
        </w:drawing>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 hedging or pledging of TTC securities by our executive officers.</w:t>
      </w:r>
    </w:p>
    <w:p>
      <w:pPr>
        <w:spacing w:after="0" w:line="66" w:lineRule="exact"/>
        <w:rPr>
          <w:sz w:val="20"/>
          <w:szCs w:val="20"/>
          <w:color w:val="auto"/>
        </w:rPr>
      </w:pPr>
    </w:p>
    <w:p>
      <w:pPr>
        <w:ind w:firstLine="401"/>
        <w:spacing w:after="0" w:line="249" w:lineRule="auto"/>
        <w:rPr>
          <w:sz w:val="20"/>
          <w:szCs w:val="20"/>
          <w:color w:val="auto"/>
        </w:rPr>
      </w:pPr>
      <w:r>
        <w:rPr>
          <w:rFonts w:ascii="Arial" w:cs="Arial" w:eastAsia="Arial" w:hAnsi="Arial"/>
          <w:sz w:val="18"/>
          <w:szCs w:val="18"/>
          <w:b w:val="1"/>
          <w:bCs w:val="1"/>
          <w:i w:val="1"/>
          <w:iCs w:val="1"/>
          <w:color w:val="auto"/>
        </w:rPr>
        <w:t xml:space="preserve">Pay Levels/Mix. </w:t>
      </w:r>
      <w:r>
        <w:rPr>
          <w:rFonts w:ascii="Arial" w:cs="Arial" w:eastAsia="Arial" w:hAnsi="Arial"/>
          <w:sz w:val="18"/>
          <w:szCs w:val="18"/>
          <w:color w:val="auto"/>
        </w:rPr>
        <w:t>A significant portion of our executive officers’ target total direct compensation is comprised of short- and long-term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variable performance-based, or at risk, compensation to directly link their pay to performance. Generally, higher level executive positions have a higher level of pay that is performance-based. For fiscal 2020:</w:t>
      </w:r>
    </w:p>
    <w:p>
      <w:pPr>
        <w:spacing w:after="0" w:line="61" w:lineRule="exact"/>
        <w:rPr>
          <w:sz w:val="20"/>
          <w:szCs w:val="20"/>
          <w:color w:val="auto"/>
        </w:rPr>
      </w:pPr>
    </w:p>
    <w:p>
      <w:pPr>
        <w:ind w:left="780" w:hanging="384"/>
        <w:spacing w:after="0"/>
        <w:tabs>
          <w:tab w:leader="none" w:pos="780" w:val="left"/>
        </w:tabs>
        <w:numPr>
          <w:ilvl w:val="0"/>
          <w:numId w:val="42"/>
        </w:numPr>
        <w:rPr>
          <w:rFonts w:ascii="Arial" w:cs="Arial" w:eastAsia="Arial" w:hAnsi="Arial"/>
          <w:sz w:val="16"/>
          <w:szCs w:val="16"/>
          <w:color w:val="auto"/>
        </w:rPr>
      </w:pPr>
      <w:r>
        <w:rPr>
          <w:rFonts w:ascii="Arial" w:cs="Arial" w:eastAsia="Arial" w:hAnsi="Arial"/>
          <w:sz w:val="18"/>
          <w:szCs w:val="18"/>
          <w:color w:val="auto"/>
        </w:rPr>
        <w:t>84% of the target total direct compensation for our Chairman and CEO was performance-based, and</w:t>
      </w:r>
    </w:p>
    <w:p>
      <w:pPr>
        <w:spacing w:after="0" w:line="87" w:lineRule="exact"/>
        <w:rPr>
          <w:rFonts w:ascii="Arial" w:cs="Arial" w:eastAsia="Arial" w:hAnsi="Arial"/>
          <w:sz w:val="16"/>
          <w:szCs w:val="16"/>
          <w:color w:val="auto"/>
        </w:rPr>
      </w:pPr>
    </w:p>
    <w:p>
      <w:pPr>
        <w:ind w:left="780" w:hanging="384"/>
        <w:spacing w:after="0"/>
        <w:tabs>
          <w:tab w:leader="none" w:pos="780" w:val="left"/>
        </w:tabs>
        <w:numPr>
          <w:ilvl w:val="0"/>
          <w:numId w:val="42"/>
        </w:numPr>
        <w:rPr>
          <w:rFonts w:ascii="Arial" w:cs="Arial" w:eastAsia="Arial" w:hAnsi="Arial"/>
          <w:sz w:val="16"/>
          <w:szCs w:val="16"/>
          <w:color w:val="auto"/>
        </w:rPr>
      </w:pPr>
      <w:r>
        <w:rPr>
          <w:rFonts w:ascii="Arial" w:cs="Arial" w:eastAsia="Arial" w:hAnsi="Arial"/>
          <w:sz w:val="18"/>
          <w:szCs w:val="18"/>
          <w:color w:val="auto"/>
        </w:rPr>
        <w:t>70% of the target total direct compensation for our other named executive officers was performance-based.</w:t>
      </w:r>
    </w:p>
    <w:p>
      <w:pPr>
        <w:spacing w:after="0" w:line="88" w:lineRule="exact"/>
        <w:rPr>
          <w:sz w:val="20"/>
          <w:szCs w:val="20"/>
          <w:color w:val="auto"/>
        </w:rPr>
      </w:pPr>
    </w:p>
    <w:p>
      <w:pPr>
        <w:ind w:right="100" w:firstLine="401"/>
        <w:spacing w:after="0" w:line="254" w:lineRule="auto"/>
        <w:rPr>
          <w:sz w:val="20"/>
          <w:szCs w:val="20"/>
          <w:color w:val="auto"/>
        </w:rPr>
      </w:pPr>
      <w:r>
        <w:rPr>
          <w:rFonts w:ascii="Arial" w:cs="Arial" w:eastAsia="Arial" w:hAnsi="Arial"/>
          <w:sz w:val="17"/>
          <w:szCs w:val="17"/>
          <w:color w:val="auto"/>
        </w:rPr>
        <w:t>Short-term variable compensation is in the form of annual cash incentive awards. Long-term variable compensation is in the form of stock options that vest over three years and three-year performance share awards. We target pay opportunities within a competitive range of the market 50</w:t>
      </w:r>
      <w:r>
        <w:rPr>
          <w:rFonts w:ascii="Arial" w:cs="Arial" w:eastAsia="Arial" w:hAnsi="Arial"/>
          <w:sz w:val="14"/>
          <w:szCs w:val="14"/>
          <w:color w:val="auto"/>
        </w:rPr>
        <w:t>th</w:t>
      </w:r>
      <w:r>
        <w:rPr>
          <w:rFonts w:ascii="Arial" w:cs="Arial" w:eastAsia="Arial" w:hAnsi="Arial"/>
          <w:sz w:val="17"/>
          <w:szCs w:val="17"/>
          <w:color w:val="auto"/>
        </w:rPr>
        <w:t xml:space="preserve"> percentile for each element of compensation and in total; however, variance around the market 50</w:t>
      </w:r>
      <w:r>
        <w:rPr>
          <w:rFonts w:ascii="Arial" w:cs="Arial" w:eastAsia="Arial" w:hAnsi="Arial"/>
          <w:sz w:val="14"/>
          <w:szCs w:val="14"/>
          <w:color w:val="auto"/>
        </w:rPr>
        <w:t>th</w:t>
      </w:r>
      <w:r>
        <w:rPr>
          <w:rFonts w:ascii="Arial" w:cs="Arial" w:eastAsia="Arial" w:hAnsi="Arial"/>
          <w:sz w:val="17"/>
          <w:szCs w:val="17"/>
          <w:color w:val="auto"/>
        </w:rPr>
        <w:t xml:space="preserve"> percentile is dependent on a number of factors. We also provide our executive officers with modest perquisites and market competitive retirement and benefit plans.</w:t>
      </w:r>
    </w:p>
    <w:p>
      <w:pPr>
        <w:sectPr>
          <w:pgSz w:w="11900" w:h="16838" w:orient="portrait"/>
          <w:cols w:equalWidth="0" w:num="1">
            <w:col w:w="11200"/>
          </w:cols>
          <w:pgMar w:left="320" w:top="140" w:right="379" w:bottom="1440" w:gutter="0" w:footer="0" w:header="0"/>
        </w:sectPr>
      </w:pPr>
    </w:p>
    <w:p>
      <w:pPr>
        <w:spacing w:after="0" w:line="80"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0000"/>
        </w:rPr>
        <w:t>Chairman and CEO</w:t>
      </w:r>
    </w:p>
    <w:p>
      <w:pPr>
        <w:spacing w:after="0" w:line="24"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FF0000"/>
        </w:rPr>
        <w:t>Target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8255</wp:posOffset>
            </wp:positionV>
            <wp:extent cx="2332355" cy="17875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332355" cy="1787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center"/>
        <w:ind w:right="1760"/>
        <w:spacing w:after="0"/>
        <w:rPr>
          <w:sz w:val="20"/>
          <w:szCs w:val="20"/>
          <w:color w:val="auto"/>
        </w:rPr>
      </w:pPr>
      <w:r>
        <w:rPr>
          <w:rFonts w:ascii="Arial" w:cs="Arial" w:eastAsia="Arial" w:hAnsi="Arial"/>
          <w:sz w:val="16"/>
          <w:szCs w:val="16"/>
          <w:b w:val="1"/>
          <w:bCs w:val="1"/>
          <w:color w:val="FF0000"/>
        </w:rPr>
        <w:t>Other Named Executive Officers</w:t>
      </w:r>
    </w:p>
    <w:p>
      <w:pPr>
        <w:spacing w:after="0" w:line="24" w:lineRule="exact"/>
        <w:rPr>
          <w:sz w:val="20"/>
          <w:szCs w:val="20"/>
          <w:color w:val="auto"/>
        </w:rPr>
      </w:pPr>
    </w:p>
    <w:p>
      <w:pPr>
        <w:jc w:val="center"/>
        <w:ind w:right="1760"/>
        <w:spacing w:after="0"/>
        <w:rPr>
          <w:sz w:val="20"/>
          <w:szCs w:val="20"/>
          <w:color w:val="auto"/>
        </w:rPr>
      </w:pPr>
      <w:r>
        <w:rPr>
          <w:rFonts w:ascii="Arial" w:cs="Arial" w:eastAsia="Arial" w:hAnsi="Arial"/>
          <w:sz w:val="15"/>
          <w:szCs w:val="15"/>
          <w:b w:val="1"/>
          <w:bCs w:val="1"/>
          <w:color w:val="FF0000"/>
        </w:rPr>
        <w:t>Target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wp:posOffset>
            </wp:positionV>
            <wp:extent cx="2264410" cy="17875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264410" cy="1787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640"/>
          </w:cols>
          <w:pgMar w:left="320" w:top="1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715010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78" w:lineRule="exact"/>
        <w:rPr>
          <w:sz w:val="20"/>
          <w:szCs w:val="20"/>
          <w:color w:val="auto"/>
        </w:rPr>
      </w:pPr>
    </w:p>
    <w:p>
      <w:pPr>
        <w:ind w:right="80" w:firstLine="401"/>
        <w:spacing w:after="0" w:line="239" w:lineRule="auto"/>
        <w:rPr>
          <w:sz w:val="20"/>
          <w:szCs w:val="20"/>
          <w:color w:val="auto"/>
        </w:rPr>
      </w:pPr>
      <w:r>
        <w:rPr>
          <w:rFonts w:ascii="Arial" w:cs="Arial" w:eastAsia="Arial" w:hAnsi="Arial"/>
          <w:sz w:val="18"/>
          <w:szCs w:val="18"/>
          <w:b w:val="1"/>
          <w:bCs w:val="1"/>
          <w:i w:val="1"/>
          <w:iCs w:val="1"/>
          <w:color w:val="auto"/>
        </w:rPr>
        <w:t xml:space="preserve">Annual Cash Incentives. </w:t>
      </w:r>
      <w:r>
        <w:rPr>
          <w:rFonts w:ascii="Arial" w:cs="Arial" w:eastAsia="Arial" w:hAnsi="Arial"/>
          <w:sz w:val="18"/>
          <w:szCs w:val="18"/>
          <w:color w:val="auto"/>
        </w:rPr>
        <w:t>As described in more detail under “Annual Cash Incentives” beginning on page 35, our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for our annual cash incentive is adjusted to reflect predefined adjustment events, which, for fiscal 2020, resulted in the exclusion of all financial impacts related to the Venture Products acquisition, among other adjustments. We did not adjust our performance measures or goals which were set at the beginning of fiscal 2020 as a result of the COVID-19 pandemic. Accordingly, primarily as a result of the adverse impact of the COVID-19 pandemic on our fiscal 2020 financial results, the corporate performance payout for our fiscal 2020 annual cash incentives was only 30.7% of target: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Corporate:</w:t>
            </w:r>
          </w:p>
        </w:tc>
        <w:tc>
          <w:tcPr>
            <w:tcW w:w="1680" w:type="dxa"/>
            <w:vAlign w:val="bottom"/>
            <w:shd w:val="clear" w:color="auto" w:fill="C00000"/>
          </w:tcPr>
          <w:p>
            <w:pPr>
              <w:jc w:val="center"/>
              <w:ind w:left="249"/>
              <w:spacing w:after="0"/>
              <w:rPr>
                <w:sz w:val="20"/>
                <w:szCs w:val="20"/>
                <w:color w:val="auto"/>
              </w:rPr>
            </w:pPr>
            <w:r>
              <w:rPr>
                <w:rFonts w:ascii="Arial" w:cs="Arial" w:eastAsia="Arial" w:hAnsi="Arial"/>
                <w:sz w:val="14"/>
                <w:szCs w:val="14"/>
                <w:b w:val="1"/>
                <w:bCs w:val="1"/>
                <w:color w:val="FFFFFF"/>
              </w:rPr>
              <w:t>Threshold</w:t>
            </w:r>
          </w:p>
        </w:tc>
        <w:tc>
          <w:tcPr>
            <w:tcW w:w="14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Target</w:t>
            </w:r>
          </w:p>
        </w:tc>
        <w:tc>
          <w:tcPr>
            <w:tcW w:w="1540" w:type="dxa"/>
            <w:vAlign w:val="bottom"/>
            <w:shd w:val="clear" w:color="auto" w:fill="C00000"/>
          </w:tcPr>
          <w:p>
            <w:pPr>
              <w:jc w:val="center"/>
              <w:ind w:right="89"/>
              <w:spacing w:after="0"/>
              <w:rPr>
                <w:sz w:val="20"/>
                <w:szCs w:val="20"/>
                <w:color w:val="auto"/>
              </w:rPr>
            </w:pPr>
            <w:r>
              <w:rPr>
                <w:rFonts w:ascii="Arial" w:cs="Arial" w:eastAsia="Arial" w:hAnsi="Arial"/>
                <w:sz w:val="14"/>
                <w:szCs w:val="14"/>
                <w:b w:val="1"/>
                <w:bCs w:val="1"/>
                <w:color w:val="FFFFFF"/>
              </w:rPr>
              <w:t>Maximum</w:t>
            </w:r>
          </w:p>
        </w:tc>
        <w:tc>
          <w:tcPr>
            <w:tcW w:w="2800" w:type="dxa"/>
            <w:vAlign w:val="bottom"/>
            <w:shd w:val="clear" w:color="auto" w:fill="C00000"/>
          </w:tcPr>
          <w:p>
            <w:pPr>
              <w:spacing w:after="0"/>
              <w:rPr>
                <w:sz w:val="14"/>
                <w:szCs w:val="14"/>
                <w:color w:val="auto"/>
              </w:rPr>
            </w:pPr>
          </w:p>
        </w:tc>
      </w:tr>
      <w:tr>
        <w:trPr>
          <w:trHeight w:val="174"/>
        </w:trPr>
        <w:tc>
          <w:tcPr>
            <w:tcW w:w="38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Fiscal 2020 Performance Measures</w:t>
            </w:r>
          </w:p>
        </w:tc>
        <w:tc>
          <w:tcPr>
            <w:tcW w:w="1680" w:type="dxa"/>
            <w:vAlign w:val="bottom"/>
            <w:shd w:val="clear" w:color="auto" w:fill="C00000"/>
          </w:tcPr>
          <w:p>
            <w:pPr>
              <w:jc w:val="center"/>
              <w:ind w:left="249"/>
              <w:spacing w:after="0"/>
              <w:rPr>
                <w:sz w:val="20"/>
                <w:szCs w:val="20"/>
                <w:color w:val="auto"/>
              </w:rPr>
            </w:pPr>
            <w:r>
              <w:rPr>
                <w:rFonts w:ascii="Arial" w:cs="Arial" w:eastAsia="Arial" w:hAnsi="Arial"/>
                <w:sz w:val="14"/>
                <w:szCs w:val="14"/>
                <w:b w:val="1"/>
                <w:bCs w:val="1"/>
                <w:color w:val="FFFFFF"/>
              </w:rPr>
              <w:t>(40% payout)</w:t>
            </w:r>
          </w:p>
        </w:tc>
        <w:tc>
          <w:tcPr>
            <w:tcW w:w="14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(100% payout)</w:t>
            </w:r>
          </w:p>
        </w:tc>
        <w:tc>
          <w:tcPr>
            <w:tcW w:w="1540" w:type="dxa"/>
            <w:vAlign w:val="bottom"/>
            <w:shd w:val="clear" w:color="auto" w:fill="C00000"/>
          </w:tcPr>
          <w:p>
            <w:pPr>
              <w:jc w:val="center"/>
              <w:ind w:right="89"/>
              <w:spacing w:after="0"/>
              <w:rPr>
                <w:sz w:val="20"/>
                <w:szCs w:val="20"/>
                <w:color w:val="auto"/>
              </w:rPr>
            </w:pPr>
            <w:r>
              <w:rPr>
                <w:rFonts w:ascii="Arial" w:cs="Arial" w:eastAsia="Arial" w:hAnsi="Arial"/>
                <w:sz w:val="14"/>
                <w:szCs w:val="14"/>
                <w:b w:val="1"/>
                <w:bCs w:val="1"/>
                <w:color w:val="FFFFFF"/>
              </w:rPr>
              <w:t>(200% payout)</w:t>
            </w:r>
          </w:p>
        </w:tc>
        <w:tc>
          <w:tcPr>
            <w:tcW w:w="2800" w:type="dxa"/>
            <w:vAlign w:val="bottom"/>
            <w:shd w:val="clear" w:color="auto" w:fill="C00000"/>
          </w:tcPr>
          <w:p>
            <w:pPr>
              <w:jc w:val="center"/>
              <w:ind w:right="9"/>
              <w:spacing w:after="0"/>
              <w:rPr>
                <w:sz w:val="20"/>
                <w:szCs w:val="20"/>
                <w:color w:val="auto"/>
              </w:rPr>
            </w:pPr>
            <w:r>
              <w:rPr>
                <w:rFonts w:ascii="Arial" w:cs="Arial" w:eastAsia="Arial" w:hAnsi="Arial"/>
                <w:sz w:val="14"/>
                <w:szCs w:val="14"/>
                <w:b w:val="1"/>
                <w:bCs w:val="1"/>
                <w:color w:val="FFFFFF"/>
              </w:rPr>
              <w:t>Actual</w:t>
            </w:r>
          </w:p>
        </w:tc>
      </w:tr>
      <w:tr>
        <w:trPr>
          <w:trHeight w:val="179"/>
        </w:trPr>
        <w:tc>
          <w:tcPr>
            <w:tcW w:w="38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0" w:type="dxa"/>
            <w:vAlign w:val="bottom"/>
          </w:tcPr>
          <w:p>
            <w:pPr>
              <w:jc w:val="center"/>
              <w:ind w:right="9"/>
              <w:spacing w:after="0"/>
              <w:rPr>
                <w:sz w:val="20"/>
                <w:szCs w:val="20"/>
                <w:color w:val="auto"/>
              </w:rPr>
            </w:pPr>
            <w:r>
              <w:rPr>
                <w:rFonts w:ascii="Arial" w:cs="Arial" w:eastAsia="Arial" w:hAnsi="Arial"/>
                <w:sz w:val="14"/>
                <w:szCs w:val="14"/>
                <w:color w:val="auto"/>
              </w:rPr>
              <w:t>$2.75</w:t>
            </w:r>
          </w:p>
        </w:tc>
      </w:tr>
      <w:tr>
        <w:trPr>
          <w:trHeight w:val="156"/>
        </w:trPr>
        <w:tc>
          <w:tcPr>
            <w:tcW w:w="3820" w:type="dxa"/>
            <w:vAlign w:val="bottom"/>
          </w:tcPr>
          <w:p>
            <w:pPr>
              <w:spacing w:after="0" w:line="156" w:lineRule="exact"/>
              <w:rPr>
                <w:sz w:val="20"/>
                <w:szCs w:val="20"/>
                <w:color w:val="auto"/>
              </w:rPr>
            </w:pPr>
            <w:r>
              <w:rPr>
                <w:rFonts w:ascii="Arial" w:cs="Arial" w:eastAsia="Arial" w:hAnsi="Arial"/>
                <w:sz w:val="14"/>
                <w:szCs w:val="14"/>
                <w:color w:val="auto"/>
              </w:rPr>
              <w:t>50% diluted net adjusted EPS*</w:t>
            </w:r>
          </w:p>
        </w:tc>
        <w:tc>
          <w:tcPr>
            <w:tcW w:w="1680" w:type="dxa"/>
            <w:vAlign w:val="bottom"/>
          </w:tcPr>
          <w:p>
            <w:pPr>
              <w:jc w:val="center"/>
              <w:ind w:left="249"/>
              <w:spacing w:after="0" w:line="156" w:lineRule="exact"/>
              <w:rPr>
                <w:sz w:val="20"/>
                <w:szCs w:val="20"/>
                <w:color w:val="auto"/>
              </w:rPr>
            </w:pPr>
            <w:r>
              <w:rPr>
                <w:rFonts w:ascii="Arial" w:cs="Arial" w:eastAsia="Arial" w:hAnsi="Arial"/>
                <w:sz w:val="14"/>
                <w:szCs w:val="14"/>
                <w:color w:val="auto"/>
              </w:rPr>
              <w:t>$2.73</w:t>
            </w:r>
          </w:p>
        </w:tc>
        <w:tc>
          <w:tcPr>
            <w:tcW w:w="1400" w:type="dxa"/>
            <w:vAlign w:val="bottom"/>
          </w:tcPr>
          <w:p>
            <w:pPr>
              <w:jc w:val="center"/>
              <w:spacing w:after="0" w:line="156" w:lineRule="exact"/>
              <w:rPr>
                <w:sz w:val="20"/>
                <w:szCs w:val="20"/>
                <w:color w:val="auto"/>
              </w:rPr>
            </w:pPr>
            <w:r>
              <w:rPr>
                <w:rFonts w:ascii="Arial" w:cs="Arial" w:eastAsia="Arial" w:hAnsi="Arial"/>
                <w:sz w:val="14"/>
                <w:szCs w:val="14"/>
                <w:color w:val="auto"/>
              </w:rPr>
              <w:t>$3.41</w:t>
            </w:r>
          </w:p>
        </w:tc>
        <w:tc>
          <w:tcPr>
            <w:tcW w:w="1540" w:type="dxa"/>
            <w:vAlign w:val="bottom"/>
          </w:tcPr>
          <w:p>
            <w:pPr>
              <w:jc w:val="center"/>
              <w:ind w:right="109"/>
              <w:spacing w:after="0" w:line="156" w:lineRule="exact"/>
              <w:rPr>
                <w:sz w:val="20"/>
                <w:szCs w:val="20"/>
                <w:color w:val="auto"/>
              </w:rPr>
            </w:pPr>
            <w:r>
              <w:rPr>
                <w:rFonts w:ascii="Arial" w:cs="Arial" w:eastAsia="Arial" w:hAnsi="Arial"/>
                <w:sz w:val="14"/>
                <w:szCs w:val="14"/>
                <w:color w:val="auto"/>
              </w:rPr>
              <w:t>$4.09</w:t>
            </w:r>
          </w:p>
        </w:tc>
        <w:tc>
          <w:tcPr>
            <w:tcW w:w="2800" w:type="dxa"/>
            <w:vAlign w:val="bottom"/>
          </w:tcPr>
          <w:p>
            <w:pPr>
              <w:jc w:val="center"/>
              <w:ind w:right="29"/>
              <w:spacing w:after="0" w:line="156" w:lineRule="exact"/>
              <w:rPr>
                <w:sz w:val="20"/>
                <w:szCs w:val="20"/>
                <w:color w:val="auto"/>
              </w:rPr>
            </w:pPr>
            <w:r>
              <w:rPr>
                <w:rFonts w:ascii="Arial" w:cs="Arial" w:eastAsia="Arial" w:hAnsi="Arial"/>
                <w:sz w:val="14"/>
                <w:szCs w:val="14"/>
                <w:color w:val="auto"/>
              </w:rPr>
              <w:t>(between threshold and target)</w:t>
            </w:r>
          </w:p>
        </w:tc>
      </w:tr>
      <w:tr>
        <w:trPr>
          <w:trHeight w:val="179"/>
        </w:trPr>
        <w:tc>
          <w:tcPr>
            <w:tcW w:w="3820" w:type="dxa"/>
            <w:vAlign w:val="bottom"/>
            <w:shd w:val="clear" w:color="auto" w:fill="D9D9D9"/>
          </w:tcPr>
          <w:p>
            <w:pPr>
              <w:spacing w:after="0"/>
              <w:rPr>
                <w:sz w:val="15"/>
                <w:szCs w:val="15"/>
                <w:color w:val="auto"/>
              </w:rPr>
            </w:pPr>
          </w:p>
        </w:tc>
        <w:tc>
          <w:tcPr>
            <w:tcW w:w="1680" w:type="dxa"/>
            <w:vAlign w:val="bottom"/>
            <w:shd w:val="clear" w:color="auto" w:fill="D9D9D9"/>
          </w:tcPr>
          <w:p>
            <w:pPr>
              <w:spacing w:after="0"/>
              <w:rPr>
                <w:sz w:val="15"/>
                <w:szCs w:val="15"/>
                <w:color w:val="auto"/>
              </w:rPr>
            </w:pPr>
          </w:p>
        </w:tc>
        <w:tc>
          <w:tcPr>
            <w:tcW w:w="1400" w:type="dxa"/>
            <w:vAlign w:val="bottom"/>
            <w:shd w:val="clear" w:color="auto" w:fill="D9D9D9"/>
          </w:tcPr>
          <w:p>
            <w:pPr>
              <w:spacing w:after="0"/>
              <w:rPr>
                <w:sz w:val="15"/>
                <w:szCs w:val="15"/>
                <w:color w:val="auto"/>
              </w:rPr>
            </w:pPr>
          </w:p>
        </w:tc>
        <w:tc>
          <w:tcPr>
            <w:tcW w:w="1540" w:type="dxa"/>
            <w:vAlign w:val="bottom"/>
            <w:shd w:val="clear" w:color="auto" w:fill="D9D9D9"/>
          </w:tcPr>
          <w:p>
            <w:pPr>
              <w:spacing w:after="0"/>
              <w:rPr>
                <w:sz w:val="15"/>
                <w:szCs w:val="15"/>
                <w:color w:val="auto"/>
              </w:rPr>
            </w:pPr>
          </w:p>
        </w:tc>
        <w:tc>
          <w:tcPr>
            <w:tcW w:w="2800" w:type="dxa"/>
            <w:vAlign w:val="bottom"/>
            <w:shd w:val="clear" w:color="auto" w:fill="D9D9D9"/>
          </w:tcPr>
          <w:p>
            <w:pPr>
              <w:jc w:val="center"/>
              <w:ind w:right="9"/>
              <w:spacing w:after="0"/>
              <w:rPr>
                <w:sz w:val="20"/>
                <w:szCs w:val="20"/>
                <w:color w:val="auto"/>
              </w:rPr>
            </w:pPr>
            <w:r>
              <w:rPr>
                <w:rFonts w:ascii="Arial" w:cs="Arial" w:eastAsia="Arial" w:hAnsi="Arial"/>
                <w:sz w:val="14"/>
                <w:szCs w:val="14"/>
                <w:color w:val="auto"/>
              </w:rPr>
              <w:t>5.8%</w:t>
            </w:r>
          </w:p>
        </w:tc>
      </w:tr>
      <w:tr>
        <w:trPr>
          <w:trHeight w:val="156"/>
        </w:trPr>
        <w:tc>
          <w:tcPr>
            <w:tcW w:w="3820" w:type="dxa"/>
            <w:vAlign w:val="bottom"/>
            <w:shd w:val="clear" w:color="auto" w:fill="D9D9D9"/>
          </w:tcPr>
          <w:p>
            <w:pPr>
              <w:spacing w:after="0" w:line="156" w:lineRule="exact"/>
              <w:rPr>
                <w:sz w:val="20"/>
                <w:szCs w:val="20"/>
                <w:color w:val="auto"/>
              </w:rPr>
            </w:pPr>
            <w:r>
              <w:rPr>
                <w:rFonts w:ascii="Arial" w:cs="Arial" w:eastAsia="Arial" w:hAnsi="Arial"/>
                <w:sz w:val="14"/>
                <w:szCs w:val="14"/>
                <w:color w:val="auto"/>
              </w:rPr>
              <w:t>30% corporate revenue growth</w:t>
            </w:r>
          </w:p>
        </w:tc>
        <w:tc>
          <w:tcPr>
            <w:tcW w:w="1680" w:type="dxa"/>
            <w:vAlign w:val="bottom"/>
            <w:shd w:val="clear" w:color="auto" w:fill="D9D9D9"/>
          </w:tcPr>
          <w:p>
            <w:pPr>
              <w:jc w:val="center"/>
              <w:ind w:left="249"/>
              <w:spacing w:after="0" w:line="156" w:lineRule="exact"/>
              <w:rPr>
                <w:sz w:val="20"/>
                <w:szCs w:val="20"/>
                <w:color w:val="auto"/>
              </w:rPr>
            </w:pPr>
            <w:r>
              <w:rPr>
                <w:rFonts w:ascii="Arial" w:cs="Arial" w:eastAsia="Arial" w:hAnsi="Arial"/>
                <w:sz w:val="14"/>
                <w:szCs w:val="14"/>
                <w:color w:val="auto"/>
              </w:rPr>
              <w:t>13.1%</w:t>
            </w:r>
          </w:p>
        </w:tc>
        <w:tc>
          <w:tcPr>
            <w:tcW w:w="1400" w:type="dxa"/>
            <w:vAlign w:val="bottom"/>
            <w:shd w:val="clear" w:color="auto" w:fill="D9D9D9"/>
          </w:tcPr>
          <w:p>
            <w:pPr>
              <w:jc w:val="center"/>
              <w:spacing w:after="0" w:line="156" w:lineRule="exact"/>
              <w:rPr>
                <w:sz w:val="20"/>
                <w:szCs w:val="20"/>
                <w:color w:val="auto"/>
              </w:rPr>
            </w:pPr>
            <w:r>
              <w:rPr>
                <w:rFonts w:ascii="Arial" w:cs="Arial" w:eastAsia="Arial" w:hAnsi="Arial"/>
                <w:sz w:val="14"/>
                <w:szCs w:val="14"/>
                <w:color w:val="auto"/>
              </w:rPr>
              <w:t>15.1%</w:t>
            </w:r>
          </w:p>
        </w:tc>
        <w:tc>
          <w:tcPr>
            <w:tcW w:w="1540" w:type="dxa"/>
            <w:vAlign w:val="bottom"/>
            <w:shd w:val="clear" w:color="auto" w:fill="D9D9D9"/>
          </w:tcPr>
          <w:p>
            <w:pPr>
              <w:jc w:val="center"/>
              <w:ind w:right="89"/>
              <w:spacing w:after="0" w:line="156" w:lineRule="exact"/>
              <w:rPr>
                <w:sz w:val="20"/>
                <w:szCs w:val="20"/>
                <w:color w:val="auto"/>
              </w:rPr>
            </w:pPr>
            <w:r>
              <w:rPr>
                <w:rFonts w:ascii="Arial" w:cs="Arial" w:eastAsia="Arial" w:hAnsi="Arial"/>
                <w:sz w:val="14"/>
                <w:szCs w:val="14"/>
                <w:color w:val="auto"/>
              </w:rPr>
              <w:t>17.1%</w:t>
            </w:r>
          </w:p>
        </w:tc>
        <w:tc>
          <w:tcPr>
            <w:tcW w:w="2800" w:type="dxa"/>
            <w:vAlign w:val="bottom"/>
            <w:shd w:val="clear" w:color="auto" w:fill="D9D9D9"/>
          </w:tcPr>
          <w:p>
            <w:pPr>
              <w:jc w:val="center"/>
              <w:ind w:right="29"/>
              <w:spacing w:after="0" w:line="156" w:lineRule="exact"/>
              <w:rPr>
                <w:sz w:val="20"/>
                <w:szCs w:val="20"/>
                <w:color w:val="auto"/>
              </w:rPr>
            </w:pPr>
            <w:r>
              <w:rPr>
                <w:rFonts w:ascii="Arial" w:cs="Arial" w:eastAsia="Arial" w:hAnsi="Arial"/>
                <w:sz w:val="14"/>
                <w:szCs w:val="14"/>
                <w:color w:val="auto"/>
              </w:rPr>
              <w:t>(below threshold)</w:t>
            </w:r>
          </w:p>
        </w:tc>
      </w:tr>
      <w:tr>
        <w:trPr>
          <w:trHeight w:val="179"/>
        </w:trPr>
        <w:tc>
          <w:tcPr>
            <w:tcW w:w="38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0" w:type="dxa"/>
            <w:vAlign w:val="bottom"/>
          </w:tcPr>
          <w:p>
            <w:pPr>
              <w:jc w:val="center"/>
              <w:ind w:right="9"/>
              <w:spacing w:after="0"/>
              <w:rPr>
                <w:sz w:val="20"/>
                <w:szCs w:val="20"/>
                <w:color w:val="auto"/>
              </w:rPr>
            </w:pPr>
            <w:r>
              <w:rPr>
                <w:rFonts w:ascii="Arial" w:cs="Arial" w:eastAsia="Arial" w:hAnsi="Arial"/>
                <w:sz w:val="14"/>
                <w:szCs w:val="14"/>
                <w:color w:val="auto"/>
              </w:rPr>
              <w:t>20.59%</w:t>
            </w:r>
          </w:p>
        </w:tc>
      </w:tr>
      <w:tr>
        <w:trPr>
          <w:trHeight w:val="156"/>
        </w:trPr>
        <w:tc>
          <w:tcPr>
            <w:tcW w:w="3820" w:type="dxa"/>
            <w:vAlign w:val="bottom"/>
          </w:tcPr>
          <w:p>
            <w:pPr>
              <w:spacing w:after="0" w:line="156" w:lineRule="exact"/>
              <w:rPr>
                <w:sz w:val="20"/>
                <w:szCs w:val="20"/>
                <w:color w:val="auto"/>
              </w:rPr>
            </w:pPr>
            <w:r>
              <w:rPr>
                <w:rFonts w:ascii="Arial" w:cs="Arial" w:eastAsia="Arial" w:hAnsi="Arial"/>
                <w:sz w:val="14"/>
                <w:szCs w:val="14"/>
                <w:color w:val="auto"/>
              </w:rPr>
              <w:t>20% corporate working capital as a percent of sales</w:t>
            </w:r>
          </w:p>
        </w:tc>
        <w:tc>
          <w:tcPr>
            <w:tcW w:w="1680" w:type="dxa"/>
            <w:vAlign w:val="bottom"/>
          </w:tcPr>
          <w:p>
            <w:pPr>
              <w:jc w:val="center"/>
              <w:ind w:left="249"/>
              <w:spacing w:after="0" w:line="156" w:lineRule="exact"/>
              <w:rPr>
                <w:sz w:val="20"/>
                <w:szCs w:val="20"/>
                <w:color w:val="auto"/>
              </w:rPr>
            </w:pPr>
            <w:r>
              <w:rPr>
                <w:rFonts w:ascii="Arial" w:cs="Arial" w:eastAsia="Arial" w:hAnsi="Arial"/>
                <w:sz w:val="14"/>
                <w:szCs w:val="14"/>
                <w:color w:val="auto"/>
              </w:rPr>
              <w:t>18.80%</w:t>
            </w:r>
          </w:p>
        </w:tc>
        <w:tc>
          <w:tcPr>
            <w:tcW w:w="1400" w:type="dxa"/>
            <w:vAlign w:val="bottom"/>
          </w:tcPr>
          <w:p>
            <w:pPr>
              <w:jc w:val="center"/>
              <w:spacing w:after="0" w:line="156" w:lineRule="exact"/>
              <w:rPr>
                <w:sz w:val="20"/>
                <w:szCs w:val="20"/>
                <w:color w:val="auto"/>
              </w:rPr>
            </w:pPr>
            <w:r>
              <w:rPr>
                <w:rFonts w:ascii="Arial" w:cs="Arial" w:eastAsia="Arial" w:hAnsi="Arial"/>
                <w:sz w:val="14"/>
                <w:szCs w:val="14"/>
                <w:color w:val="auto"/>
              </w:rPr>
              <w:t>16.35%</w:t>
            </w:r>
          </w:p>
        </w:tc>
        <w:tc>
          <w:tcPr>
            <w:tcW w:w="1540" w:type="dxa"/>
            <w:vAlign w:val="bottom"/>
          </w:tcPr>
          <w:p>
            <w:pPr>
              <w:jc w:val="center"/>
              <w:ind w:right="89"/>
              <w:spacing w:after="0" w:line="156" w:lineRule="exact"/>
              <w:rPr>
                <w:sz w:val="20"/>
                <w:szCs w:val="20"/>
                <w:color w:val="auto"/>
              </w:rPr>
            </w:pPr>
            <w:r>
              <w:rPr>
                <w:rFonts w:ascii="Arial" w:cs="Arial" w:eastAsia="Arial" w:hAnsi="Arial"/>
                <w:sz w:val="14"/>
                <w:szCs w:val="14"/>
                <w:color w:val="auto"/>
              </w:rPr>
              <w:t>13.90%</w:t>
            </w:r>
          </w:p>
        </w:tc>
        <w:tc>
          <w:tcPr>
            <w:tcW w:w="2800" w:type="dxa"/>
            <w:vAlign w:val="bottom"/>
          </w:tcPr>
          <w:p>
            <w:pPr>
              <w:jc w:val="center"/>
              <w:ind w:right="29"/>
              <w:spacing w:after="0" w:line="156" w:lineRule="exact"/>
              <w:rPr>
                <w:sz w:val="20"/>
                <w:szCs w:val="20"/>
                <w:color w:val="auto"/>
              </w:rPr>
            </w:pPr>
            <w:r>
              <w:rPr>
                <w:rFonts w:ascii="Arial" w:cs="Arial" w:eastAsia="Arial" w:hAnsi="Arial"/>
                <w:sz w:val="14"/>
                <w:szCs w:val="14"/>
                <w:color w:val="auto"/>
              </w:rPr>
              <w:t>(below threshold)</w:t>
            </w:r>
          </w:p>
        </w:tc>
      </w:tr>
      <w:tr>
        <w:trPr>
          <w:trHeight w:val="228"/>
        </w:trPr>
        <w:tc>
          <w:tcPr>
            <w:tcW w:w="382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Corporate performance payout</w:t>
            </w:r>
          </w:p>
        </w:tc>
        <w:tc>
          <w:tcPr>
            <w:tcW w:w="1680" w:type="dxa"/>
            <w:vAlign w:val="bottom"/>
            <w:shd w:val="clear" w:color="auto" w:fill="D9D9D9"/>
          </w:tcPr>
          <w:p>
            <w:pPr>
              <w:spacing w:after="0"/>
              <w:rPr>
                <w:sz w:val="19"/>
                <w:szCs w:val="19"/>
                <w:color w:val="auto"/>
              </w:rPr>
            </w:pPr>
          </w:p>
        </w:tc>
        <w:tc>
          <w:tcPr>
            <w:tcW w:w="1400" w:type="dxa"/>
            <w:vAlign w:val="bottom"/>
            <w:shd w:val="clear" w:color="auto" w:fill="D9D9D9"/>
          </w:tcPr>
          <w:p>
            <w:pPr>
              <w:spacing w:after="0"/>
              <w:rPr>
                <w:sz w:val="19"/>
                <w:szCs w:val="19"/>
                <w:color w:val="auto"/>
              </w:rPr>
            </w:pPr>
          </w:p>
        </w:tc>
        <w:tc>
          <w:tcPr>
            <w:tcW w:w="1540" w:type="dxa"/>
            <w:vAlign w:val="bottom"/>
            <w:shd w:val="clear" w:color="auto" w:fill="D9D9D9"/>
          </w:tcPr>
          <w:p>
            <w:pPr>
              <w:spacing w:after="0"/>
              <w:rPr>
                <w:sz w:val="19"/>
                <w:szCs w:val="19"/>
                <w:color w:val="auto"/>
              </w:rPr>
            </w:pPr>
          </w:p>
        </w:tc>
        <w:tc>
          <w:tcPr>
            <w:tcW w:w="2800" w:type="dxa"/>
            <w:vAlign w:val="bottom"/>
            <w:shd w:val="clear" w:color="auto" w:fill="D9D9D9"/>
          </w:tcPr>
          <w:p>
            <w:pPr>
              <w:jc w:val="center"/>
              <w:ind w:right="29"/>
              <w:spacing w:after="0"/>
              <w:rPr>
                <w:sz w:val="20"/>
                <w:szCs w:val="20"/>
                <w:color w:val="auto"/>
              </w:rPr>
            </w:pPr>
            <w:r>
              <w:rPr>
                <w:rFonts w:ascii="Arial" w:cs="Arial" w:eastAsia="Arial" w:hAnsi="Arial"/>
                <w:sz w:val="14"/>
                <w:szCs w:val="14"/>
                <w:b w:val="1"/>
                <w:bCs w:val="1"/>
                <w:color w:val="auto"/>
              </w:rPr>
              <w:t>30.7%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203454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53" w:lineRule="exact"/>
        <w:rPr>
          <w:sz w:val="20"/>
          <w:szCs w:val="20"/>
          <w:color w:val="auto"/>
        </w:rPr>
      </w:pPr>
    </w:p>
    <w:p>
      <w:pPr>
        <w:ind w:left="200" w:right="520" w:hanging="193"/>
        <w:spacing w:after="0"/>
        <w:tabs>
          <w:tab w:leader="none" w:pos="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Non-GAAP financial measure. See the investor presentation for fiscal year ended October 31, 2020 for definition and reconciliation to GAAP financial measure.</w:t>
      </w:r>
    </w:p>
    <w:p>
      <w:pPr>
        <w:spacing w:after="0" w:line="181" w:lineRule="exact"/>
        <w:rPr>
          <w:sz w:val="20"/>
          <w:szCs w:val="20"/>
          <w:color w:val="auto"/>
        </w:rPr>
      </w:pPr>
    </w:p>
    <w:p>
      <w:pPr>
        <w:ind w:right="20" w:firstLine="401"/>
        <w:spacing w:after="0" w:line="238" w:lineRule="auto"/>
        <w:rPr>
          <w:sz w:val="20"/>
          <w:szCs w:val="20"/>
          <w:color w:val="auto"/>
        </w:rPr>
      </w:pPr>
      <w:r>
        <w:rPr>
          <w:rFonts w:ascii="Arial" w:cs="Arial" w:eastAsia="Arial" w:hAnsi="Arial"/>
          <w:sz w:val="18"/>
          <w:szCs w:val="18"/>
          <w:b w:val="1"/>
          <w:bCs w:val="1"/>
          <w:i w:val="1"/>
          <w:iCs w:val="1"/>
          <w:color w:val="auto"/>
        </w:rPr>
        <w:t xml:space="preserve">Long-Term Incentives. </w:t>
      </w:r>
      <w:r>
        <w:rPr>
          <w:rFonts w:ascii="Arial" w:cs="Arial" w:eastAsia="Arial" w:hAnsi="Arial"/>
          <w:sz w:val="18"/>
          <w:szCs w:val="18"/>
          <w:color w:val="auto"/>
        </w:rPr>
        <w:t>As described in more detail under “Long-Term Incentives—Performance Measures for the Performance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Ending in Fiscal 2020” beginning on page 40, the three-year cumulative corporate performance for our three-year performance share awards is adjusted to reflect predefined adjustment events, which for fiscal 2018 to fiscal 2020, resulted in the exclusion of all financial impacts related to the CMW and Venture Products acquisitions. We did not adjust our performance measures or goals which were set at the beginning of fiscal 2018 as a result of the COVID-19 pandemic. Primarily as a result of the exclusion of the CMW and Venture Products acquisitions from fiscal 2019 and fiscal 2020 financial results, respectively, the payout for our fiscal 2018 to fiscal 2020 performance share awards was only 68.6% of target:</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Fiscal 2018 to Fiscal 2020</w:t>
            </w:r>
          </w:p>
        </w:tc>
        <w:tc>
          <w:tcPr>
            <w:tcW w:w="1620" w:type="dxa"/>
            <w:vAlign w:val="bottom"/>
            <w:shd w:val="clear" w:color="auto" w:fill="C00000"/>
          </w:tcPr>
          <w:p>
            <w:pPr>
              <w:jc w:val="right"/>
              <w:ind w:right="369"/>
              <w:spacing w:after="0"/>
              <w:rPr>
                <w:sz w:val="20"/>
                <w:szCs w:val="20"/>
                <w:color w:val="auto"/>
              </w:rPr>
            </w:pPr>
            <w:r>
              <w:rPr>
                <w:rFonts w:ascii="Arial" w:cs="Arial" w:eastAsia="Arial" w:hAnsi="Arial"/>
                <w:sz w:val="14"/>
                <w:szCs w:val="14"/>
                <w:b w:val="1"/>
                <w:bCs w:val="1"/>
                <w:color w:val="FFFFFF"/>
              </w:rPr>
              <w:t>Threshold</w:t>
            </w:r>
          </w:p>
        </w:tc>
        <w:tc>
          <w:tcPr>
            <w:tcW w:w="1420" w:type="dxa"/>
            <w:vAlign w:val="bottom"/>
            <w:shd w:val="clear" w:color="auto" w:fill="C00000"/>
          </w:tcPr>
          <w:p>
            <w:pPr>
              <w:jc w:val="right"/>
              <w:ind w:right="509"/>
              <w:spacing w:after="0"/>
              <w:rPr>
                <w:sz w:val="20"/>
                <w:szCs w:val="20"/>
                <w:color w:val="auto"/>
              </w:rPr>
            </w:pPr>
            <w:r>
              <w:rPr>
                <w:rFonts w:ascii="Arial" w:cs="Arial" w:eastAsia="Arial" w:hAnsi="Arial"/>
                <w:sz w:val="14"/>
                <w:szCs w:val="14"/>
                <w:b w:val="1"/>
                <w:bCs w:val="1"/>
                <w:color w:val="FFFFFF"/>
              </w:rPr>
              <w:t>Target</w:t>
            </w:r>
          </w:p>
        </w:tc>
        <w:tc>
          <w:tcPr>
            <w:tcW w:w="1580" w:type="dxa"/>
            <w:vAlign w:val="bottom"/>
            <w:shd w:val="clear" w:color="auto" w:fill="C00000"/>
          </w:tcPr>
          <w:p>
            <w:pPr>
              <w:jc w:val="right"/>
              <w:ind w:right="549"/>
              <w:spacing w:after="0"/>
              <w:rPr>
                <w:sz w:val="20"/>
                <w:szCs w:val="20"/>
                <w:color w:val="auto"/>
              </w:rPr>
            </w:pPr>
            <w:r>
              <w:rPr>
                <w:rFonts w:ascii="Arial" w:cs="Arial" w:eastAsia="Arial" w:hAnsi="Arial"/>
                <w:sz w:val="14"/>
                <w:szCs w:val="14"/>
                <w:b w:val="1"/>
                <w:bCs w:val="1"/>
                <w:color w:val="FFFFFF"/>
              </w:rPr>
              <w:t>Maximum</w:t>
            </w:r>
          </w:p>
        </w:tc>
        <w:tc>
          <w:tcPr>
            <w:tcW w:w="2760" w:type="dxa"/>
            <w:vAlign w:val="bottom"/>
            <w:shd w:val="clear" w:color="auto" w:fill="C00000"/>
          </w:tcPr>
          <w:p>
            <w:pPr>
              <w:spacing w:after="0"/>
              <w:rPr>
                <w:sz w:val="14"/>
                <w:szCs w:val="14"/>
                <w:color w:val="auto"/>
              </w:rPr>
            </w:pPr>
          </w:p>
        </w:tc>
      </w:tr>
      <w:tr>
        <w:trPr>
          <w:trHeight w:val="174"/>
        </w:trPr>
        <w:tc>
          <w:tcPr>
            <w:tcW w:w="340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Performance Measures</w:t>
            </w:r>
          </w:p>
        </w:tc>
        <w:tc>
          <w:tcPr>
            <w:tcW w:w="1620" w:type="dxa"/>
            <w:vAlign w:val="bottom"/>
            <w:shd w:val="clear" w:color="auto" w:fill="C00000"/>
          </w:tcPr>
          <w:p>
            <w:pPr>
              <w:jc w:val="right"/>
              <w:ind w:right="269"/>
              <w:spacing w:after="0"/>
              <w:rPr>
                <w:sz w:val="20"/>
                <w:szCs w:val="20"/>
                <w:color w:val="auto"/>
              </w:rPr>
            </w:pPr>
            <w:r>
              <w:rPr>
                <w:rFonts w:ascii="Arial" w:cs="Arial" w:eastAsia="Arial" w:hAnsi="Arial"/>
                <w:sz w:val="14"/>
                <w:szCs w:val="14"/>
                <w:b w:val="1"/>
                <w:bCs w:val="1"/>
                <w:color w:val="FFFFFF"/>
              </w:rPr>
              <w:t>(40% payout)</w:t>
            </w:r>
          </w:p>
        </w:tc>
        <w:tc>
          <w:tcPr>
            <w:tcW w:w="1420" w:type="dxa"/>
            <w:vAlign w:val="bottom"/>
            <w:shd w:val="clear" w:color="auto" w:fill="C00000"/>
          </w:tcPr>
          <w:p>
            <w:pPr>
              <w:jc w:val="right"/>
              <w:ind w:right="229"/>
              <w:spacing w:after="0"/>
              <w:rPr>
                <w:sz w:val="20"/>
                <w:szCs w:val="20"/>
                <w:color w:val="auto"/>
              </w:rPr>
            </w:pPr>
            <w:r>
              <w:rPr>
                <w:rFonts w:ascii="Arial" w:cs="Arial" w:eastAsia="Arial" w:hAnsi="Arial"/>
                <w:sz w:val="14"/>
                <w:szCs w:val="14"/>
                <w:b w:val="1"/>
                <w:bCs w:val="1"/>
                <w:color w:val="FFFFFF"/>
              </w:rPr>
              <w:t>(100% payout)</w:t>
            </w:r>
          </w:p>
        </w:tc>
        <w:tc>
          <w:tcPr>
            <w:tcW w:w="1580" w:type="dxa"/>
            <w:vAlign w:val="bottom"/>
            <w:shd w:val="clear" w:color="auto" w:fill="C00000"/>
          </w:tcPr>
          <w:p>
            <w:pPr>
              <w:jc w:val="right"/>
              <w:ind w:right="389"/>
              <w:spacing w:after="0"/>
              <w:rPr>
                <w:sz w:val="20"/>
                <w:szCs w:val="20"/>
                <w:color w:val="auto"/>
              </w:rPr>
            </w:pPr>
            <w:r>
              <w:rPr>
                <w:rFonts w:ascii="Arial" w:cs="Arial" w:eastAsia="Arial" w:hAnsi="Arial"/>
                <w:sz w:val="14"/>
                <w:szCs w:val="14"/>
                <w:b w:val="1"/>
                <w:bCs w:val="1"/>
                <w:color w:val="FFFFFF"/>
              </w:rPr>
              <w:t>(200% payout)</w:t>
            </w:r>
          </w:p>
        </w:tc>
        <w:tc>
          <w:tcPr>
            <w:tcW w:w="2760" w:type="dxa"/>
            <w:vAlign w:val="bottom"/>
            <w:shd w:val="clear" w:color="auto" w:fill="C00000"/>
          </w:tcPr>
          <w:p>
            <w:pPr>
              <w:jc w:val="center"/>
              <w:ind w:right="89"/>
              <w:spacing w:after="0"/>
              <w:rPr>
                <w:sz w:val="20"/>
                <w:szCs w:val="20"/>
                <w:color w:val="auto"/>
              </w:rPr>
            </w:pPr>
            <w:r>
              <w:rPr>
                <w:rFonts w:ascii="Arial" w:cs="Arial" w:eastAsia="Arial" w:hAnsi="Arial"/>
                <w:sz w:val="14"/>
                <w:szCs w:val="14"/>
                <w:b w:val="1"/>
                <w:bCs w:val="1"/>
                <w:color w:val="FFFFFF"/>
              </w:rPr>
              <w:t>Actual</w:t>
            </w:r>
          </w:p>
        </w:tc>
      </w:tr>
      <w:tr>
        <w:trPr>
          <w:trHeight w:val="179"/>
        </w:trPr>
        <w:tc>
          <w:tcPr>
            <w:tcW w:w="3400" w:type="dxa"/>
            <w:vAlign w:val="bottom"/>
          </w:tcPr>
          <w:p>
            <w:pPr>
              <w:spacing w:after="0"/>
              <w:rPr>
                <w:sz w:val="20"/>
                <w:szCs w:val="20"/>
                <w:color w:val="auto"/>
              </w:rPr>
            </w:pPr>
            <w:r>
              <w:rPr>
                <w:rFonts w:ascii="Arial" w:cs="Arial" w:eastAsia="Arial" w:hAnsi="Arial"/>
                <w:sz w:val="14"/>
                <w:szCs w:val="14"/>
                <w:color w:val="auto"/>
              </w:rPr>
              <w:t>50% cumulative corporate net income plus</w:t>
            </w:r>
          </w:p>
        </w:tc>
        <w:tc>
          <w:tcPr>
            <w:tcW w:w="16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760" w:type="dxa"/>
            <w:vAlign w:val="bottom"/>
          </w:tcPr>
          <w:p>
            <w:pPr>
              <w:jc w:val="center"/>
              <w:ind w:right="89"/>
              <w:spacing w:after="0"/>
              <w:rPr>
                <w:sz w:val="20"/>
                <w:szCs w:val="20"/>
                <w:color w:val="auto"/>
              </w:rPr>
            </w:pPr>
            <w:r>
              <w:rPr>
                <w:rFonts w:ascii="Arial" w:cs="Arial" w:eastAsia="Arial" w:hAnsi="Arial"/>
                <w:sz w:val="14"/>
                <w:szCs w:val="14"/>
                <w:color w:val="auto"/>
              </w:rPr>
              <w:t>$914,197</w:t>
            </w:r>
          </w:p>
        </w:tc>
      </w:tr>
      <w:tr>
        <w:trPr>
          <w:trHeight w:val="156"/>
        </w:trPr>
        <w:tc>
          <w:tcPr>
            <w:tcW w:w="3400" w:type="dxa"/>
            <w:vAlign w:val="bottom"/>
          </w:tcPr>
          <w:p>
            <w:pPr>
              <w:ind w:left="120"/>
              <w:spacing w:after="0" w:line="156" w:lineRule="exact"/>
              <w:rPr>
                <w:sz w:val="20"/>
                <w:szCs w:val="20"/>
                <w:color w:val="auto"/>
              </w:rPr>
            </w:pPr>
            <w:r>
              <w:rPr>
                <w:rFonts w:ascii="Arial" w:cs="Arial" w:eastAsia="Arial" w:hAnsi="Arial"/>
                <w:sz w:val="14"/>
                <w:szCs w:val="14"/>
                <w:color w:val="auto"/>
              </w:rPr>
              <w:t>after-tax interest (in thousands)*</w:t>
            </w:r>
          </w:p>
        </w:tc>
        <w:tc>
          <w:tcPr>
            <w:tcW w:w="1620" w:type="dxa"/>
            <w:vAlign w:val="bottom"/>
          </w:tcPr>
          <w:p>
            <w:pPr>
              <w:jc w:val="right"/>
              <w:ind w:right="89"/>
              <w:spacing w:after="0" w:line="156" w:lineRule="exact"/>
              <w:rPr>
                <w:sz w:val="20"/>
                <w:szCs w:val="20"/>
                <w:color w:val="auto"/>
              </w:rPr>
            </w:pPr>
            <w:r>
              <w:rPr>
                <w:rFonts w:ascii="Arial" w:cs="Arial" w:eastAsia="Arial" w:hAnsi="Arial"/>
                <w:sz w:val="14"/>
                <w:szCs w:val="14"/>
                <w:color w:val="auto"/>
              </w:rPr>
              <w:t>$788,735</w:t>
            </w:r>
          </w:p>
        </w:tc>
        <w:tc>
          <w:tcPr>
            <w:tcW w:w="1420" w:type="dxa"/>
            <w:vAlign w:val="bottom"/>
          </w:tcPr>
          <w:p>
            <w:pPr>
              <w:jc w:val="right"/>
              <w:ind w:right="69"/>
              <w:spacing w:after="0" w:line="156" w:lineRule="exact"/>
              <w:rPr>
                <w:sz w:val="20"/>
                <w:szCs w:val="20"/>
                <w:color w:val="auto"/>
              </w:rPr>
            </w:pPr>
            <w:r>
              <w:rPr>
                <w:rFonts w:ascii="Arial" w:cs="Arial" w:eastAsia="Arial" w:hAnsi="Arial"/>
                <w:sz w:val="14"/>
                <w:szCs w:val="14"/>
                <w:color w:val="auto"/>
              </w:rPr>
              <w:t>$985,919</w:t>
            </w:r>
          </w:p>
        </w:tc>
        <w:tc>
          <w:tcPr>
            <w:tcW w:w="1580" w:type="dxa"/>
            <w:vAlign w:val="bottom"/>
          </w:tcPr>
          <w:p>
            <w:pPr>
              <w:jc w:val="right"/>
              <w:ind w:right="229"/>
              <w:spacing w:after="0" w:line="156" w:lineRule="exact"/>
              <w:rPr>
                <w:sz w:val="20"/>
                <w:szCs w:val="20"/>
                <w:color w:val="auto"/>
              </w:rPr>
            </w:pPr>
            <w:r>
              <w:rPr>
                <w:rFonts w:ascii="Arial" w:cs="Arial" w:eastAsia="Arial" w:hAnsi="Arial"/>
                <w:sz w:val="14"/>
                <w:szCs w:val="14"/>
                <w:color w:val="auto"/>
              </w:rPr>
              <w:t>$1,183,103</w:t>
            </w:r>
          </w:p>
        </w:tc>
        <w:tc>
          <w:tcPr>
            <w:tcW w:w="2760" w:type="dxa"/>
            <w:vAlign w:val="bottom"/>
          </w:tcPr>
          <w:p>
            <w:pPr>
              <w:jc w:val="center"/>
              <w:ind w:right="109"/>
              <w:spacing w:after="0" w:line="156" w:lineRule="exact"/>
              <w:rPr>
                <w:sz w:val="20"/>
                <w:szCs w:val="20"/>
                <w:color w:val="auto"/>
              </w:rPr>
            </w:pPr>
            <w:r>
              <w:rPr>
                <w:rFonts w:ascii="Arial" w:cs="Arial" w:eastAsia="Arial" w:hAnsi="Arial"/>
                <w:sz w:val="14"/>
                <w:szCs w:val="14"/>
                <w:color w:val="auto"/>
              </w:rPr>
              <w:t>(between threshold and target)</w:t>
            </w:r>
          </w:p>
        </w:tc>
      </w:tr>
      <w:tr>
        <w:trPr>
          <w:trHeight w:val="179"/>
        </w:trPr>
        <w:tc>
          <w:tcPr>
            <w:tcW w:w="3400" w:type="dxa"/>
            <w:vAlign w:val="bottom"/>
            <w:shd w:val="clear" w:color="auto" w:fill="D9D9D9"/>
          </w:tcPr>
          <w:p>
            <w:pPr>
              <w:spacing w:after="0"/>
              <w:rPr>
                <w:sz w:val="20"/>
                <w:szCs w:val="20"/>
                <w:color w:val="auto"/>
              </w:rPr>
            </w:pPr>
            <w:r>
              <w:rPr>
                <w:rFonts w:ascii="Arial" w:cs="Arial" w:eastAsia="Arial" w:hAnsi="Arial"/>
                <w:sz w:val="14"/>
                <w:szCs w:val="14"/>
                <w:color w:val="auto"/>
              </w:rPr>
              <w:t>20% cumulative corporate revenue</w:t>
            </w:r>
          </w:p>
        </w:tc>
        <w:tc>
          <w:tcPr>
            <w:tcW w:w="1620" w:type="dxa"/>
            <w:vAlign w:val="bottom"/>
            <w:shd w:val="clear" w:color="auto" w:fill="D9D9D9"/>
          </w:tcPr>
          <w:p>
            <w:pPr>
              <w:spacing w:after="0"/>
              <w:rPr>
                <w:sz w:val="15"/>
                <w:szCs w:val="15"/>
                <w:color w:val="auto"/>
              </w:rPr>
            </w:pPr>
          </w:p>
        </w:tc>
        <w:tc>
          <w:tcPr>
            <w:tcW w:w="1420" w:type="dxa"/>
            <w:vAlign w:val="bottom"/>
            <w:shd w:val="clear" w:color="auto" w:fill="D9D9D9"/>
          </w:tcPr>
          <w:p>
            <w:pPr>
              <w:spacing w:after="0"/>
              <w:rPr>
                <w:sz w:val="15"/>
                <w:szCs w:val="15"/>
                <w:color w:val="auto"/>
              </w:rPr>
            </w:pPr>
          </w:p>
        </w:tc>
        <w:tc>
          <w:tcPr>
            <w:tcW w:w="1580" w:type="dxa"/>
            <w:vAlign w:val="bottom"/>
            <w:shd w:val="clear" w:color="auto" w:fill="D9D9D9"/>
          </w:tcPr>
          <w:p>
            <w:pPr>
              <w:spacing w:after="0"/>
              <w:rPr>
                <w:sz w:val="15"/>
                <w:szCs w:val="15"/>
                <w:color w:val="auto"/>
              </w:rPr>
            </w:pPr>
          </w:p>
        </w:tc>
        <w:tc>
          <w:tcPr>
            <w:tcW w:w="2760" w:type="dxa"/>
            <w:vAlign w:val="bottom"/>
            <w:shd w:val="clear" w:color="auto" w:fill="D9D9D9"/>
          </w:tcPr>
          <w:p>
            <w:pPr>
              <w:jc w:val="center"/>
              <w:ind w:right="89"/>
              <w:spacing w:after="0"/>
              <w:rPr>
                <w:sz w:val="20"/>
                <w:szCs w:val="20"/>
                <w:color w:val="auto"/>
              </w:rPr>
            </w:pPr>
            <w:r>
              <w:rPr>
                <w:rFonts w:ascii="Arial" w:cs="Arial" w:eastAsia="Arial" w:hAnsi="Arial"/>
                <w:sz w:val="14"/>
                <w:szCs w:val="14"/>
                <w:color w:val="auto"/>
              </w:rPr>
              <w:t>$7,921,132</w:t>
            </w:r>
          </w:p>
        </w:tc>
      </w:tr>
      <w:tr>
        <w:trPr>
          <w:trHeight w:val="156"/>
        </w:trPr>
        <w:tc>
          <w:tcPr>
            <w:tcW w:w="3400" w:type="dxa"/>
            <w:vAlign w:val="bottom"/>
            <w:shd w:val="clear" w:color="auto" w:fill="D9D9D9"/>
          </w:tcPr>
          <w:p>
            <w:pPr>
              <w:ind w:left="120"/>
              <w:spacing w:after="0" w:line="156" w:lineRule="exact"/>
              <w:rPr>
                <w:sz w:val="20"/>
                <w:szCs w:val="20"/>
                <w:color w:val="auto"/>
              </w:rPr>
            </w:pPr>
            <w:r>
              <w:rPr>
                <w:rFonts w:ascii="Arial" w:cs="Arial" w:eastAsia="Arial" w:hAnsi="Arial"/>
                <w:sz w:val="14"/>
                <w:szCs w:val="14"/>
                <w:color w:val="auto"/>
              </w:rPr>
              <w:t>(in thousands)</w:t>
            </w:r>
          </w:p>
        </w:tc>
        <w:tc>
          <w:tcPr>
            <w:tcW w:w="1620" w:type="dxa"/>
            <w:vAlign w:val="bottom"/>
            <w:shd w:val="clear" w:color="auto" w:fill="D9D9D9"/>
          </w:tcPr>
          <w:p>
            <w:pPr>
              <w:jc w:val="right"/>
              <w:ind w:right="89"/>
              <w:spacing w:after="0" w:line="156" w:lineRule="exact"/>
              <w:rPr>
                <w:sz w:val="20"/>
                <w:szCs w:val="20"/>
                <w:color w:val="auto"/>
              </w:rPr>
            </w:pPr>
            <w:r>
              <w:rPr>
                <w:rFonts w:ascii="Arial" w:cs="Arial" w:eastAsia="Arial" w:hAnsi="Arial"/>
                <w:sz w:val="14"/>
                <w:szCs w:val="14"/>
                <w:color w:val="auto"/>
              </w:rPr>
              <w:t>$7,848,871</w:t>
            </w:r>
          </w:p>
        </w:tc>
        <w:tc>
          <w:tcPr>
            <w:tcW w:w="1420" w:type="dxa"/>
            <w:vAlign w:val="bottom"/>
            <w:shd w:val="clear" w:color="auto" w:fill="D9D9D9"/>
          </w:tcPr>
          <w:p>
            <w:pPr>
              <w:jc w:val="right"/>
              <w:ind w:right="69"/>
              <w:spacing w:after="0" w:line="156" w:lineRule="exact"/>
              <w:rPr>
                <w:sz w:val="20"/>
                <w:szCs w:val="20"/>
                <w:color w:val="auto"/>
              </w:rPr>
            </w:pPr>
            <w:r>
              <w:rPr>
                <w:rFonts w:ascii="Arial" w:cs="Arial" w:eastAsia="Arial" w:hAnsi="Arial"/>
                <w:sz w:val="14"/>
                <w:szCs w:val="14"/>
                <w:color w:val="auto"/>
              </w:rPr>
              <w:t>$8,336,515</w:t>
            </w:r>
          </w:p>
        </w:tc>
        <w:tc>
          <w:tcPr>
            <w:tcW w:w="1580" w:type="dxa"/>
            <w:vAlign w:val="bottom"/>
            <w:shd w:val="clear" w:color="auto" w:fill="D9D9D9"/>
          </w:tcPr>
          <w:p>
            <w:pPr>
              <w:jc w:val="right"/>
              <w:ind w:right="229"/>
              <w:spacing w:after="0" w:line="156" w:lineRule="exact"/>
              <w:rPr>
                <w:sz w:val="20"/>
                <w:szCs w:val="20"/>
                <w:color w:val="auto"/>
              </w:rPr>
            </w:pPr>
            <w:r>
              <w:rPr>
                <w:rFonts w:ascii="Arial" w:cs="Arial" w:eastAsia="Arial" w:hAnsi="Arial"/>
                <w:sz w:val="14"/>
                <w:szCs w:val="14"/>
                <w:color w:val="auto"/>
              </w:rPr>
              <w:t>$8,814,440</w:t>
            </w:r>
          </w:p>
        </w:tc>
        <w:tc>
          <w:tcPr>
            <w:tcW w:w="2760" w:type="dxa"/>
            <w:vAlign w:val="bottom"/>
            <w:shd w:val="clear" w:color="auto" w:fill="D9D9D9"/>
          </w:tcPr>
          <w:p>
            <w:pPr>
              <w:jc w:val="center"/>
              <w:ind w:right="109"/>
              <w:spacing w:after="0" w:line="156" w:lineRule="exact"/>
              <w:rPr>
                <w:sz w:val="20"/>
                <w:szCs w:val="20"/>
                <w:color w:val="auto"/>
              </w:rPr>
            </w:pPr>
            <w:r>
              <w:rPr>
                <w:rFonts w:ascii="Arial" w:cs="Arial" w:eastAsia="Arial" w:hAnsi="Arial"/>
                <w:sz w:val="14"/>
                <w:szCs w:val="14"/>
                <w:color w:val="auto"/>
              </w:rPr>
              <w:t>(between threshold and target)</w:t>
            </w:r>
          </w:p>
        </w:tc>
      </w:tr>
      <w:tr>
        <w:trPr>
          <w:trHeight w:val="179"/>
        </w:trPr>
        <w:tc>
          <w:tcPr>
            <w:tcW w:w="3400" w:type="dxa"/>
            <w:vAlign w:val="bottom"/>
          </w:tcPr>
          <w:p>
            <w:pPr>
              <w:spacing w:after="0"/>
              <w:rPr>
                <w:sz w:val="20"/>
                <w:szCs w:val="20"/>
                <w:color w:val="auto"/>
              </w:rPr>
            </w:pPr>
            <w:r>
              <w:rPr>
                <w:rFonts w:ascii="Arial" w:cs="Arial" w:eastAsia="Arial" w:hAnsi="Arial"/>
                <w:sz w:val="14"/>
                <w:szCs w:val="14"/>
                <w:color w:val="auto"/>
              </w:rPr>
              <w:t>30% cumulative corporate average</w:t>
            </w:r>
          </w:p>
        </w:tc>
        <w:tc>
          <w:tcPr>
            <w:tcW w:w="16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760" w:type="dxa"/>
            <w:vAlign w:val="bottom"/>
          </w:tcPr>
          <w:p>
            <w:pPr>
              <w:jc w:val="center"/>
              <w:ind w:right="89"/>
              <w:spacing w:after="0"/>
              <w:rPr>
                <w:sz w:val="20"/>
                <w:szCs w:val="20"/>
                <w:color w:val="auto"/>
              </w:rPr>
            </w:pPr>
            <w:r>
              <w:rPr>
                <w:rFonts w:ascii="Arial" w:cs="Arial" w:eastAsia="Arial" w:hAnsi="Arial"/>
                <w:sz w:val="14"/>
                <w:szCs w:val="14"/>
                <w:color w:val="auto"/>
              </w:rPr>
              <w:t>6.73214</w:t>
            </w:r>
          </w:p>
        </w:tc>
      </w:tr>
      <w:tr>
        <w:trPr>
          <w:trHeight w:val="156"/>
        </w:trPr>
        <w:tc>
          <w:tcPr>
            <w:tcW w:w="3400" w:type="dxa"/>
            <w:vAlign w:val="bottom"/>
          </w:tcPr>
          <w:p>
            <w:pPr>
              <w:ind w:left="120"/>
              <w:spacing w:after="0" w:line="156" w:lineRule="exact"/>
              <w:rPr>
                <w:sz w:val="20"/>
                <w:szCs w:val="20"/>
                <w:color w:val="auto"/>
              </w:rPr>
            </w:pPr>
            <w:r>
              <w:rPr>
                <w:rFonts w:ascii="Arial" w:cs="Arial" w:eastAsia="Arial" w:hAnsi="Arial"/>
                <w:sz w:val="14"/>
                <w:szCs w:val="14"/>
                <w:color w:val="auto"/>
              </w:rPr>
              <w:t>net assets turns**</w:t>
            </w:r>
          </w:p>
        </w:tc>
        <w:tc>
          <w:tcPr>
            <w:tcW w:w="1620" w:type="dxa"/>
            <w:vAlign w:val="bottom"/>
          </w:tcPr>
          <w:p>
            <w:pPr>
              <w:jc w:val="right"/>
              <w:ind w:right="89"/>
              <w:spacing w:after="0" w:line="156" w:lineRule="exact"/>
              <w:rPr>
                <w:sz w:val="20"/>
                <w:szCs w:val="20"/>
                <w:color w:val="auto"/>
              </w:rPr>
            </w:pPr>
            <w:r>
              <w:rPr>
                <w:rFonts w:ascii="Arial" w:cs="Arial" w:eastAsia="Arial" w:hAnsi="Arial"/>
                <w:sz w:val="14"/>
                <w:szCs w:val="14"/>
                <w:color w:val="auto"/>
              </w:rPr>
              <w:t>6.11783</w:t>
            </w:r>
          </w:p>
        </w:tc>
        <w:tc>
          <w:tcPr>
            <w:tcW w:w="1420" w:type="dxa"/>
            <w:vAlign w:val="bottom"/>
          </w:tcPr>
          <w:p>
            <w:pPr>
              <w:jc w:val="right"/>
              <w:ind w:right="69"/>
              <w:spacing w:after="0" w:line="156" w:lineRule="exact"/>
              <w:rPr>
                <w:sz w:val="20"/>
                <w:szCs w:val="20"/>
                <w:color w:val="auto"/>
              </w:rPr>
            </w:pPr>
            <w:r>
              <w:rPr>
                <w:rFonts w:ascii="Arial" w:cs="Arial" w:eastAsia="Arial" w:hAnsi="Arial"/>
                <w:sz w:val="14"/>
                <w:szCs w:val="14"/>
                <w:color w:val="auto"/>
              </w:rPr>
              <w:t>7.19745</w:t>
            </w:r>
          </w:p>
        </w:tc>
        <w:tc>
          <w:tcPr>
            <w:tcW w:w="1580" w:type="dxa"/>
            <w:vAlign w:val="bottom"/>
          </w:tcPr>
          <w:p>
            <w:pPr>
              <w:jc w:val="right"/>
              <w:ind w:right="229"/>
              <w:spacing w:after="0" w:line="156" w:lineRule="exact"/>
              <w:rPr>
                <w:sz w:val="20"/>
                <w:szCs w:val="20"/>
                <w:color w:val="auto"/>
              </w:rPr>
            </w:pPr>
            <w:r>
              <w:rPr>
                <w:rFonts w:ascii="Arial" w:cs="Arial" w:eastAsia="Arial" w:hAnsi="Arial"/>
                <w:sz w:val="14"/>
                <w:szCs w:val="14"/>
                <w:color w:val="auto"/>
              </w:rPr>
              <w:t>8.27707</w:t>
            </w:r>
          </w:p>
        </w:tc>
        <w:tc>
          <w:tcPr>
            <w:tcW w:w="2760" w:type="dxa"/>
            <w:vAlign w:val="bottom"/>
          </w:tcPr>
          <w:p>
            <w:pPr>
              <w:jc w:val="center"/>
              <w:ind w:right="109"/>
              <w:spacing w:after="0" w:line="156" w:lineRule="exact"/>
              <w:rPr>
                <w:sz w:val="20"/>
                <w:szCs w:val="20"/>
                <w:color w:val="auto"/>
              </w:rPr>
            </w:pPr>
            <w:r>
              <w:rPr>
                <w:rFonts w:ascii="Arial" w:cs="Arial" w:eastAsia="Arial" w:hAnsi="Arial"/>
                <w:sz w:val="14"/>
                <w:szCs w:val="14"/>
                <w:color w:val="auto"/>
              </w:rPr>
              <w:t>(between threshold and target)</w:t>
            </w:r>
          </w:p>
        </w:tc>
      </w:tr>
      <w:tr>
        <w:trPr>
          <w:trHeight w:val="161"/>
        </w:trPr>
        <w:tc>
          <w:tcPr>
            <w:tcW w:w="340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Fiscal 2018 to fiscal 2020 performance share</w:t>
            </w:r>
          </w:p>
        </w:tc>
        <w:tc>
          <w:tcPr>
            <w:tcW w:w="1620" w:type="dxa"/>
            <w:vAlign w:val="bottom"/>
            <w:shd w:val="clear" w:color="auto" w:fill="D9D9D9"/>
          </w:tcPr>
          <w:p>
            <w:pPr>
              <w:spacing w:after="0"/>
              <w:rPr>
                <w:sz w:val="14"/>
                <w:szCs w:val="14"/>
                <w:color w:val="auto"/>
              </w:rPr>
            </w:pPr>
          </w:p>
        </w:tc>
        <w:tc>
          <w:tcPr>
            <w:tcW w:w="1420" w:type="dxa"/>
            <w:vAlign w:val="bottom"/>
            <w:shd w:val="clear" w:color="auto" w:fill="D9D9D9"/>
          </w:tcPr>
          <w:p>
            <w:pPr>
              <w:spacing w:after="0"/>
              <w:rPr>
                <w:sz w:val="14"/>
                <w:szCs w:val="14"/>
                <w:color w:val="auto"/>
              </w:rPr>
            </w:pPr>
          </w:p>
        </w:tc>
        <w:tc>
          <w:tcPr>
            <w:tcW w:w="1580" w:type="dxa"/>
            <w:vAlign w:val="bottom"/>
            <w:shd w:val="clear" w:color="auto" w:fill="D9D9D9"/>
          </w:tcPr>
          <w:p>
            <w:pPr>
              <w:spacing w:after="0"/>
              <w:rPr>
                <w:sz w:val="14"/>
                <w:szCs w:val="14"/>
                <w:color w:val="auto"/>
              </w:rPr>
            </w:pPr>
          </w:p>
        </w:tc>
        <w:tc>
          <w:tcPr>
            <w:tcW w:w="2760" w:type="dxa"/>
            <w:vAlign w:val="bottom"/>
            <w:shd w:val="clear" w:color="auto" w:fill="D9D9D9"/>
          </w:tcPr>
          <w:p>
            <w:pPr>
              <w:spacing w:after="0"/>
              <w:rPr>
                <w:sz w:val="14"/>
                <w:szCs w:val="14"/>
                <w:color w:val="auto"/>
              </w:rPr>
            </w:pPr>
          </w:p>
        </w:tc>
      </w:tr>
      <w:tr>
        <w:trPr>
          <w:trHeight w:val="174"/>
        </w:trPr>
        <w:tc>
          <w:tcPr>
            <w:tcW w:w="340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award payout</w:t>
            </w:r>
          </w:p>
        </w:tc>
        <w:tc>
          <w:tcPr>
            <w:tcW w:w="1620" w:type="dxa"/>
            <w:vAlign w:val="bottom"/>
            <w:shd w:val="clear" w:color="auto" w:fill="D9D9D9"/>
          </w:tcPr>
          <w:p>
            <w:pPr>
              <w:spacing w:after="0"/>
              <w:rPr>
                <w:sz w:val="15"/>
                <w:szCs w:val="15"/>
                <w:color w:val="auto"/>
              </w:rPr>
            </w:pPr>
          </w:p>
        </w:tc>
        <w:tc>
          <w:tcPr>
            <w:tcW w:w="1420" w:type="dxa"/>
            <w:vAlign w:val="bottom"/>
            <w:shd w:val="clear" w:color="auto" w:fill="D9D9D9"/>
          </w:tcPr>
          <w:p>
            <w:pPr>
              <w:spacing w:after="0"/>
              <w:rPr>
                <w:sz w:val="15"/>
                <w:szCs w:val="15"/>
                <w:color w:val="auto"/>
              </w:rPr>
            </w:pPr>
          </w:p>
        </w:tc>
        <w:tc>
          <w:tcPr>
            <w:tcW w:w="1580" w:type="dxa"/>
            <w:vAlign w:val="bottom"/>
            <w:shd w:val="clear" w:color="auto" w:fill="D9D9D9"/>
          </w:tcPr>
          <w:p>
            <w:pPr>
              <w:spacing w:after="0"/>
              <w:rPr>
                <w:sz w:val="15"/>
                <w:szCs w:val="15"/>
                <w:color w:val="auto"/>
              </w:rPr>
            </w:pPr>
          </w:p>
        </w:tc>
        <w:tc>
          <w:tcPr>
            <w:tcW w:w="2760" w:type="dxa"/>
            <w:vAlign w:val="bottom"/>
            <w:shd w:val="clear" w:color="auto" w:fill="D9D9D9"/>
          </w:tcPr>
          <w:p>
            <w:pPr>
              <w:jc w:val="center"/>
              <w:ind w:right="109"/>
              <w:spacing w:after="0"/>
              <w:rPr>
                <w:sz w:val="20"/>
                <w:szCs w:val="20"/>
                <w:color w:val="auto"/>
              </w:rPr>
            </w:pPr>
            <w:r>
              <w:rPr>
                <w:rFonts w:ascii="Arial" w:cs="Arial" w:eastAsia="Arial" w:hAnsi="Arial"/>
                <w:sz w:val="14"/>
                <w:szCs w:val="14"/>
                <w:b w:val="1"/>
                <w:bCs w:val="1"/>
                <w:color w:val="auto"/>
              </w:rPr>
              <w:t>68.6%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203454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67" w:lineRule="exact"/>
        <w:rPr>
          <w:sz w:val="20"/>
          <w:szCs w:val="20"/>
          <w:color w:val="auto"/>
        </w:rPr>
      </w:pPr>
    </w:p>
    <w:p>
      <w:pPr>
        <w:ind w:left="200" w:hanging="193"/>
        <w:spacing w:after="0"/>
        <w:tabs>
          <w:tab w:leader="none" w:pos="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Cumulative corporate net income plus after-tax interest is defined as net earnings plus interest expense, net of taxes.</w:t>
      </w:r>
    </w:p>
    <w:p>
      <w:pPr>
        <w:spacing w:after="0" w:line="101" w:lineRule="exact"/>
        <w:rPr>
          <w:rFonts w:ascii="Arial" w:cs="Arial" w:eastAsia="Arial" w:hAnsi="Arial"/>
          <w:sz w:val="18"/>
          <w:szCs w:val="18"/>
          <w:color w:val="auto"/>
        </w:rPr>
      </w:pPr>
    </w:p>
    <w:p>
      <w:pPr>
        <w:ind w:left="200" w:right="80" w:hanging="189"/>
        <w:spacing w:after="0" w:line="238" w:lineRule="auto"/>
        <w:tabs>
          <w:tab w:leader="none" w:pos="191"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Corporate average net assets turns is defined as total cost of goods sold divided by the twelve month average of net assets less the twelve month average of cash and cash equivalents. Net assets is defined as the fiscal year monthly average of total assets less accounts payables, accrued liabilities, income taxes and other long-term liabilities.</w:t>
      </w:r>
    </w:p>
    <w:p>
      <w:pPr>
        <w:spacing w:after="0" w:line="180" w:lineRule="exact"/>
        <w:rPr>
          <w:sz w:val="20"/>
          <w:szCs w:val="20"/>
          <w:color w:val="auto"/>
        </w:rPr>
      </w:pPr>
    </w:p>
    <w:p>
      <w:pPr>
        <w:ind w:right="140" w:firstLine="401"/>
        <w:spacing w:after="0" w:line="244" w:lineRule="auto"/>
        <w:rPr>
          <w:sz w:val="20"/>
          <w:szCs w:val="20"/>
          <w:color w:val="auto"/>
        </w:rPr>
      </w:pPr>
      <w:r>
        <w:rPr>
          <w:rFonts w:ascii="Arial" w:cs="Arial" w:eastAsia="Arial" w:hAnsi="Arial"/>
          <w:sz w:val="18"/>
          <w:szCs w:val="18"/>
          <w:b w:val="1"/>
          <w:bCs w:val="1"/>
          <w:color w:val="auto"/>
        </w:rPr>
        <w:t xml:space="preserve">How We Make Compensation Decisions. </w:t>
      </w:r>
      <w:r>
        <w:rPr>
          <w:rFonts w:ascii="Arial" w:cs="Arial" w:eastAsia="Arial" w:hAnsi="Arial"/>
          <w:sz w:val="18"/>
          <w:szCs w:val="18"/>
          <w:color w:val="auto"/>
        </w:rPr>
        <w:t>There are several elements to our executive officer compensation decision-making, which</w:t>
      </w:r>
      <w:r>
        <w:rPr>
          <w:rFonts w:ascii="Arial" w:cs="Arial" w:eastAsia="Arial" w:hAnsi="Arial"/>
          <w:sz w:val="18"/>
          <w:szCs w:val="18"/>
          <w:b w:val="1"/>
          <w:bCs w:val="1"/>
          <w:color w:val="auto"/>
        </w:rPr>
        <w:t xml:space="preserve"> </w:t>
      </w:r>
      <w:r>
        <w:rPr>
          <w:rFonts w:ascii="Arial" w:cs="Arial" w:eastAsia="Arial" w:hAnsi="Arial"/>
          <w:sz w:val="18"/>
          <w:szCs w:val="18"/>
          <w:color w:val="auto"/>
        </w:rPr>
        <w:t>we believe allow us to most effectively implement our established compensation philosophy. The Compensation &amp; Human Resources Committee, its independent external compensation consultant and Management all have a role in the decision making process for executive officer compensation. These roles are described below:</w:t>
      </w:r>
    </w:p>
    <w:p>
      <w:pPr>
        <w:spacing w:after="0" w:line="70" w:lineRule="exact"/>
        <w:rPr>
          <w:sz w:val="20"/>
          <w:szCs w:val="20"/>
          <w:color w:val="auto"/>
        </w:rPr>
      </w:pPr>
    </w:p>
    <w:p>
      <w:pPr>
        <w:jc w:val="both"/>
        <w:ind w:right="720" w:firstLine="401"/>
        <w:spacing w:after="0" w:line="244" w:lineRule="auto"/>
        <w:rPr>
          <w:sz w:val="20"/>
          <w:szCs w:val="20"/>
          <w:color w:val="auto"/>
        </w:rPr>
      </w:pPr>
      <w:r>
        <w:rPr>
          <w:rFonts w:ascii="Arial" w:cs="Arial" w:eastAsia="Arial" w:hAnsi="Arial"/>
          <w:sz w:val="18"/>
          <w:szCs w:val="18"/>
          <w:b w:val="1"/>
          <w:bCs w:val="1"/>
          <w:i w:val="1"/>
          <w:iCs w:val="1"/>
          <w:color w:val="auto"/>
        </w:rPr>
        <w:t xml:space="preserve">Role of the Compensation &amp; Human Resources Committee. </w:t>
      </w:r>
      <w:r>
        <w:rPr>
          <w:rFonts w:ascii="Arial" w:cs="Arial" w:eastAsia="Arial" w:hAnsi="Arial"/>
          <w:sz w:val="18"/>
          <w:szCs w:val="18"/>
          <w:color w:val="auto"/>
        </w:rPr>
        <w:t>The Compensation &amp; Human Resources Committee, which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comprised solely of independent directors, oversees our executive compensation program. Within its duties, the Committee approves compensation for each of our executive officers. In addition, compensation approved by the Committee for our Chairman and CEO is submitted to the independent directors of the Board for ratification. In doing so, the Committee:</w:t>
      </w:r>
    </w:p>
    <w:p>
      <w:pPr>
        <w:spacing w:after="0" w:line="92" w:lineRule="exact"/>
        <w:rPr>
          <w:sz w:val="20"/>
          <w:szCs w:val="20"/>
          <w:color w:val="auto"/>
        </w:rPr>
      </w:pPr>
    </w:p>
    <w:p>
      <w:pPr>
        <w:ind w:left="780" w:right="200" w:hanging="384"/>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8"/>
          <w:szCs w:val="18"/>
          <w:color w:val="auto"/>
        </w:rPr>
        <w:t>Approves the total direct executive compensation package for each executive officer, including his or her base salary, annual cash incentive award and long-term incentive awards;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01" w:lineRule="exact"/>
        <w:rPr>
          <w:sz w:val="20"/>
          <w:szCs w:val="20"/>
          <w:color w:val="auto"/>
        </w:rPr>
      </w:pPr>
    </w:p>
    <w:p>
      <w:pPr>
        <w:ind w:left="780" w:right="880" w:hanging="384"/>
        <w:spacing w:after="0"/>
        <w:tabs>
          <w:tab w:leader="none" w:pos="780" w:val="left"/>
        </w:tabs>
        <w:numPr>
          <w:ilvl w:val="0"/>
          <w:numId w:val="46"/>
        </w:numPr>
        <w:rPr>
          <w:rFonts w:ascii="Arial" w:cs="Arial" w:eastAsia="Arial" w:hAnsi="Arial"/>
          <w:sz w:val="16"/>
          <w:szCs w:val="16"/>
          <w:color w:val="auto"/>
        </w:rPr>
      </w:pPr>
      <w:r>
        <w:rPr>
          <w:rFonts w:ascii="Arial" w:cs="Arial" w:eastAsia="Arial" w:hAnsi="Arial"/>
          <w:sz w:val="18"/>
          <w:szCs w:val="18"/>
          <w:color w:val="auto"/>
        </w:rPr>
        <w:t>Reviews and approves corporate, division and plant financial performance measures, weightings, goals and performance adjustment events, if any, related to our annual and long-term incentive awards;</w:t>
      </w:r>
    </w:p>
    <w:p>
      <w:pPr>
        <w:spacing w:after="0" w:line="95" w:lineRule="exact"/>
        <w:rPr>
          <w:rFonts w:ascii="Arial" w:cs="Arial" w:eastAsia="Arial" w:hAnsi="Arial"/>
          <w:sz w:val="16"/>
          <w:szCs w:val="16"/>
          <w:color w:val="auto"/>
        </w:rPr>
      </w:pPr>
    </w:p>
    <w:p>
      <w:pPr>
        <w:ind w:left="780" w:hanging="384"/>
        <w:spacing w:after="0"/>
        <w:tabs>
          <w:tab w:leader="none" w:pos="780" w:val="left"/>
        </w:tabs>
        <w:numPr>
          <w:ilvl w:val="0"/>
          <w:numId w:val="46"/>
        </w:numPr>
        <w:rPr>
          <w:rFonts w:ascii="Arial" w:cs="Arial" w:eastAsia="Arial" w:hAnsi="Arial"/>
          <w:sz w:val="16"/>
          <w:szCs w:val="16"/>
          <w:color w:val="auto"/>
        </w:rPr>
      </w:pPr>
      <w:r>
        <w:rPr>
          <w:rFonts w:ascii="Arial" w:cs="Arial" w:eastAsia="Arial" w:hAnsi="Arial"/>
          <w:sz w:val="18"/>
          <w:szCs w:val="18"/>
          <w:color w:val="auto"/>
        </w:rPr>
        <w:t>Reviews and approves annual cash incentive award payouts and long-term performance share award payouts;</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46"/>
        </w:numPr>
        <w:rPr>
          <w:rFonts w:ascii="Arial" w:cs="Arial" w:eastAsia="Arial" w:hAnsi="Arial"/>
          <w:sz w:val="16"/>
          <w:szCs w:val="16"/>
          <w:color w:val="auto"/>
        </w:rPr>
      </w:pPr>
      <w:r>
        <w:rPr>
          <w:rFonts w:ascii="Arial" w:cs="Arial" w:eastAsia="Arial" w:hAnsi="Arial"/>
          <w:sz w:val="18"/>
          <w:szCs w:val="18"/>
          <w:color w:val="auto"/>
        </w:rPr>
        <w:t>Evaluates market competitiveness of each of our executive officer’s compensation (in total and by each individual element);</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46"/>
        </w:numPr>
        <w:rPr>
          <w:rFonts w:ascii="Arial" w:cs="Arial" w:eastAsia="Arial" w:hAnsi="Arial"/>
          <w:sz w:val="16"/>
          <w:szCs w:val="16"/>
          <w:color w:val="auto"/>
        </w:rPr>
      </w:pPr>
      <w:r>
        <w:rPr>
          <w:rFonts w:ascii="Arial" w:cs="Arial" w:eastAsia="Arial" w:hAnsi="Arial"/>
          <w:sz w:val="18"/>
          <w:szCs w:val="18"/>
          <w:color w:val="auto"/>
        </w:rPr>
        <w:t>Evaluates proposed changes to other elements of our executive compensation program; and</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46"/>
        </w:numPr>
        <w:rPr>
          <w:rFonts w:ascii="Arial" w:cs="Arial" w:eastAsia="Arial" w:hAnsi="Arial"/>
          <w:sz w:val="16"/>
          <w:szCs w:val="16"/>
          <w:color w:val="auto"/>
        </w:rPr>
      </w:pPr>
      <w:r>
        <w:rPr>
          <w:rFonts w:ascii="Arial" w:cs="Arial" w:eastAsia="Arial" w:hAnsi="Arial"/>
          <w:sz w:val="18"/>
          <w:szCs w:val="18"/>
          <w:color w:val="auto"/>
        </w:rPr>
        <w:t>Approves any executive officer compensation changes in connection with merger and acquisition transactions.</w:t>
      </w:r>
    </w:p>
    <w:p>
      <w:pPr>
        <w:spacing w:after="0" w:line="101" w:lineRule="exact"/>
        <w:rPr>
          <w:sz w:val="20"/>
          <w:szCs w:val="20"/>
          <w:color w:val="auto"/>
        </w:rPr>
      </w:pPr>
    </w:p>
    <w:p>
      <w:pPr>
        <w:ind w:right="100" w:firstLine="401"/>
        <w:spacing w:after="0" w:line="238" w:lineRule="auto"/>
        <w:rPr>
          <w:sz w:val="20"/>
          <w:szCs w:val="20"/>
          <w:color w:val="auto"/>
        </w:rPr>
      </w:pPr>
      <w:r>
        <w:rPr>
          <w:rFonts w:ascii="Arial" w:cs="Arial" w:eastAsia="Arial" w:hAnsi="Arial"/>
          <w:sz w:val="18"/>
          <w:szCs w:val="18"/>
          <w:color w:val="auto"/>
        </w:rPr>
        <w:t>During fiscal 2020, the Committee received input from Willis Towers Watson, its independent external compensation consultant, and our Management, including our Chairman and CEO, Vice President, Human Resources and General Counsel and our Managing Director, Total Rewards and Employee Services.</w:t>
      </w:r>
    </w:p>
    <w:p>
      <w:pPr>
        <w:spacing w:after="0" w:line="73" w:lineRule="exact"/>
        <w:rPr>
          <w:sz w:val="20"/>
          <w:szCs w:val="20"/>
          <w:color w:val="auto"/>
        </w:rPr>
      </w:pPr>
    </w:p>
    <w:p>
      <w:pPr>
        <w:ind w:right="200" w:firstLine="401"/>
        <w:spacing w:after="0" w:line="266" w:lineRule="auto"/>
        <w:rPr>
          <w:sz w:val="20"/>
          <w:szCs w:val="20"/>
          <w:color w:val="auto"/>
        </w:rPr>
      </w:pPr>
      <w:r>
        <w:rPr>
          <w:rFonts w:ascii="Arial" w:cs="Arial" w:eastAsia="Arial" w:hAnsi="Arial"/>
          <w:sz w:val="18"/>
          <w:szCs w:val="18"/>
          <w:b w:val="1"/>
          <w:bCs w:val="1"/>
          <w:i w:val="1"/>
          <w:iCs w:val="1"/>
          <w:color w:val="auto"/>
        </w:rPr>
        <w:t xml:space="preserve">Role of the Independent External Compensation Consultant. </w:t>
      </w:r>
      <w:r>
        <w:rPr>
          <w:rFonts w:ascii="Arial" w:cs="Arial" w:eastAsia="Arial" w:hAnsi="Arial"/>
          <w:sz w:val="18"/>
          <w:szCs w:val="18"/>
          <w:color w:val="auto"/>
        </w:rPr>
        <w:t>The Committee has sole authority to hire consultants, approve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and determine the nature and scope of their work. The Committee may replace consultants or hire additional consultants at any time.</w:t>
      </w:r>
    </w:p>
    <w:p>
      <w:pPr>
        <w:spacing w:after="0" w:line="73" w:lineRule="exact"/>
        <w:rPr>
          <w:sz w:val="20"/>
          <w:szCs w:val="20"/>
          <w:color w:val="auto"/>
        </w:rPr>
      </w:pPr>
    </w:p>
    <w:p>
      <w:pPr>
        <w:ind w:firstLine="401"/>
        <w:spacing w:after="0" w:line="249" w:lineRule="auto"/>
        <w:rPr>
          <w:sz w:val="20"/>
          <w:szCs w:val="20"/>
          <w:color w:val="auto"/>
        </w:rPr>
      </w:pPr>
      <w:r>
        <w:rPr>
          <w:rFonts w:ascii="Arial" w:cs="Arial" w:eastAsia="Arial" w:hAnsi="Arial"/>
          <w:sz w:val="17"/>
          <w:szCs w:val="17"/>
          <w:color w:val="auto"/>
        </w:rPr>
        <w:t>A representative from Willis Towers Watson attended three Committee meetings in fiscal 2020, including attendance in executive session without Management present. During fiscal 2020, Willis Towers Watson reviewed and discussed executive compensation structure and trends with Management and the Committee and provided market data for all of our executive officers, including our named executive officers, along with a comparison of those executive officers’ current base salaries, target total cash compensation and total direct compensation to the market 25</w:t>
      </w:r>
      <w:r>
        <w:rPr>
          <w:rFonts w:ascii="Arial" w:cs="Arial" w:eastAsia="Arial" w:hAnsi="Arial"/>
          <w:sz w:val="14"/>
          <w:szCs w:val="14"/>
          <w:color w:val="auto"/>
        </w:rPr>
        <w:t>th</w:t>
      </w:r>
      <w:r>
        <w:rPr>
          <w:rFonts w:ascii="Arial" w:cs="Arial" w:eastAsia="Arial" w:hAnsi="Arial"/>
          <w:sz w:val="17"/>
          <w:szCs w:val="17"/>
          <w:color w:val="auto"/>
        </w:rPr>
        <w:t>, 50</w:t>
      </w:r>
      <w:r>
        <w:rPr>
          <w:rFonts w:ascii="Arial" w:cs="Arial" w:eastAsia="Arial" w:hAnsi="Arial"/>
          <w:sz w:val="14"/>
          <w:szCs w:val="14"/>
          <w:color w:val="auto"/>
        </w:rPr>
        <w:t>th</w:t>
      </w:r>
      <w:r>
        <w:rPr>
          <w:rFonts w:ascii="Arial" w:cs="Arial" w:eastAsia="Arial" w:hAnsi="Arial"/>
          <w:sz w:val="17"/>
          <w:szCs w:val="17"/>
          <w:color w:val="auto"/>
        </w:rPr>
        <w:t xml:space="preserve"> and 75</w:t>
      </w:r>
      <w:r>
        <w:rPr>
          <w:rFonts w:ascii="Arial" w:cs="Arial" w:eastAsia="Arial" w:hAnsi="Arial"/>
          <w:sz w:val="14"/>
          <w:szCs w:val="14"/>
          <w:color w:val="auto"/>
        </w:rPr>
        <w:t>th</w:t>
      </w:r>
      <w:r>
        <w:rPr>
          <w:rFonts w:ascii="Arial" w:cs="Arial" w:eastAsia="Arial" w:hAnsi="Arial"/>
          <w:sz w:val="17"/>
          <w:szCs w:val="17"/>
          <w:color w:val="auto"/>
        </w:rPr>
        <w:t xml:space="preserve"> percentiles. Additionally, during fiscal 2020, Willis Towers Watson reviewed executive officer compensation recommendations made by Management in advance of applicable Committee meetings and participated in discussions at the Committee meetings regarding those recommendations. Willis Towers Watson is engaged by the Committee from time to time to perform other compensation consulting services, which in fiscal 2020 included a review of non-employee director compensation, an assessment of risk as it relates to our incentive plans, compensation consulting services relating to incentive plan performance measures and marketplace practices, and compensation consulting advice relating to how companies were navigating compensation matters during the COVID-19 pandemic.</w:t>
      </w:r>
    </w:p>
    <w:p>
      <w:pPr>
        <w:spacing w:after="0" w:line="68" w:lineRule="exact"/>
        <w:rPr>
          <w:sz w:val="20"/>
          <w:szCs w:val="20"/>
          <w:color w:val="auto"/>
        </w:rPr>
      </w:pPr>
    </w:p>
    <w:p>
      <w:pPr>
        <w:ind w:firstLine="401"/>
        <w:spacing w:after="0" w:line="237" w:lineRule="auto"/>
        <w:rPr>
          <w:sz w:val="20"/>
          <w:szCs w:val="20"/>
          <w:color w:val="auto"/>
        </w:rPr>
      </w:pPr>
      <w:r>
        <w:rPr>
          <w:rFonts w:ascii="Arial" w:cs="Arial" w:eastAsia="Arial" w:hAnsi="Arial"/>
          <w:sz w:val="18"/>
          <w:szCs w:val="18"/>
          <w:b w:val="1"/>
          <w:bCs w:val="1"/>
          <w:i w:val="1"/>
          <w:iCs w:val="1"/>
          <w:color w:val="auto"/>
        </w:rPr>
        <w:t xml:space="preserve">Role of Management. </w:t>
      </w:r>
      <w:r>
        <w:rPr>
          <w:rFonts w:ascii="Arial" w:cs="Arial" w:eastAsia="Arial" w:hAnsi="Arial"/>
          <w:sz w:val="18"/>
          <w:szCs w:val="18"/>
          <w:color w:val="auto"/>
        </w:rPr>
        <w:t>Management’s role is to provide current compensation information and information regarding executive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duties and responsibilities to Willis Towers Watson and provide analysis and recommendations on executive officer compensation to the Committee based on the comparison to market; the executive’s level of professional experience; the executive’s duties and responsibilities, including as a result of the completion and/or integration of significant acquisitions; individual performance; future potential; tenure in the position; corporate and/or division performance, as applicable; internal pay comparisons; and outside market factors, including general economic conditions. None of our executive officers provides input or recommendations with respect to his or her own compensation. In April 2020, in light of the ongoing COVID-19 pandemic, Management recommended and the Committee approved proactive base salary reductions for the executive officers and certain other employees for the remainder of fiscal 2020 as one of the several cost measures to partially mitigate the anticipated impact of COVID-19 pandemic on our business at that time.</w:t>
      </w:r>
    </w:p>
    <w:p>
      <w:pPr>
        <w:spacing w:after="0" w:line="77" w:lineRule="exact"/>
        <w:rPr>
          <w:sz w:val="20"/>
          <w:szCs w:val="20"/>
          <w:color w:val="auto"/>
        </w:rPr>
      </w:pPr>
    </w:p>
    <w:p>
      <w:pPr>
        <w:ind w:firstLine="401"/>
        <w:spacing w:after="0" w:line="238" w:lineRule="auto"/>
        <w:rPr>
          <w:sz w:val="20"/>
          <w:szCs w:val="20"/>
          <w:color w:val="auto"/>
        </w:rPr>
      </w:pPr>
      <w:r>
        <w:rPr>
          <w:rFonts w:ascii="Arial" w:cs="Arial" w:eastAsia="Arial" w:hAnsi="Arial"/>
          <w:sz w:val="18"/>
          <w:szCs w:val="18"/>
          <w:b w:val="1"/>
          <w:bCs w:val="1"/>
          <w:i w:val="1"/>
          <w:iCs w:val="1"/>
          <w:color w:val="auto"/>
        </w:rPr>
        <w:t xml:space="preserve">Use of Market Data. </w:t>
      </w:r>
      <w:r>
        <w:rPr>
          <w:rFonts w:ascii="Arial" w:cs="Arial" w:eastAsia="Arial" w:hAnsi="Arial"/>
          <w:sz w:val="18"/>
          <w:szCs w:val="18"/>
          <w:color w:val="auto"/>
        </w:rPr>
        <w:t>Since one of the objectives of our executive compensation program is to provide market competitive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opportunities, during fiscal 2020 the Committee used market data provided by Willis Towers Watson to help evaluate and make compensation decisions. Market data, which is size-adjusted, is provided by Willis Towers Watson through its executive compensation database, which includes roughly 500 participating companies. We believe that the market for our executive officer talent is not limited to the manufacturing industry; therefore, we do not focus specifically on manufacturing companies within the database, nor do we identify a separate group of peer companies within the manufacturing industry for executive compensation purposes. The market data provided by Willis Towers Watson was in aggregate form and, therefore, individual data for participating companies in the survey was not considered when determining executive officer compensation in total or for any individual officer or element.</w:t>
      </w:r>
    </w:p>
    <w:p>
      <w:pPr>
        <w:spacing w:after="0" w:line="181" w:lineRule="exact"/>
        <w:rPr>
          <w:sz w:val="20"/>
          <w:szCs w:val="20"/>
          <w:color w:val="auto"/>
        </w:rPr>
      </w:pPr>
    </w:p>
    <w:p>
      <w:pPr>
        <w:ind w:right="140" w:firstLine="401"/>
        <w:spacing w:after="0" w:line="249" w:lineRule="auto"/>
        <w:rPr>
          <w:sz w:val="20"/>
          <w:szCs w:val="20"/>
          <w:color w:val="auto"/>
        </w:rPr>
      </w:pPr>
      <w:r>
        <w:rPr>
          <w:rFonts w:ascii="Arial" w:cs="Arial" w:eastAsia="Arial" w:hAnsi="Arial"/>
          <w:sz w:val="18"/>
          <w:szCs w:val="18"/>
          <w:b w:val="1"/>
          <w:bCs w:val="1"/>
          <w:color w:val="auto"/>
        </w:rPr>
        <w:t xml:space="preserve">Elements of Our Executive Compensation Program. </w:t>
      </w:r>
      <w:r>
        <w:rPr>
          <w:rFonts w:ascii="Arial" w:cs="Arial" w:eastAsia="Arial" w:hAnsi="Arial"/>
          <w:sz w:val="18"/>
          <w:szCs w:val="18"/>
          <w:color w:val="auto"/>
        </w:rPr>
        <w:t>During fiscal 2020, our executive compensation program consisted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key elements: base salary, annual cash incentive, long-term incentives in the form of stock options and performance share awards, health and welfare benefits, retirement plans and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ind w:right="100"/>
        <w:spacing w:after="0"/>
        <w:rPr>
          <w:sz w:val="20"/>
          <w:szCs w:val="20"/>
          <w:color w:val="auto"/>
        </w:rPr>
      </w:pPr>
      <w:r>
        <w:rPr>
          <w:rFonts w:ascii="Arial" w:cs="Arial" w:eastAsia="Arial" w:hAnsi="Arial"/>
          <w:sz w:val="18"/>
          <w:szCs w:val="18"/>
          <w:color w:val="auto"/>
        </w:rPr>
        <w:t>perquisites. The following table provides some of the key characteristics of and purpose for each element along with key actions taken during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3590" cy="1276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spacing w:after="0" w:line="76" w:lineRule="exact"/>
        <w:rPr>
          <w:sz w:val="20"/>
          <w:szCs w:val="20"/>
          <w:color w:val="auto"/>
        </w:rPr>
      </w:pPr>
    </w:p>
    <w:p>
      <w:pPr>
        <w:ind w:left="40"/>
        <w:spacing w:after="0"/>
        <w:tabs>
          <w:tab w:leader="none" w:pos="2020" w:val="left"/>
          <w:tab w:leader="none" w:pos="5260" w:val="left"/>
          <w:tab w:leader="none" w:pos="8280" w:val="left"/>
        </w:tabs>
        <w:rPr>
          <w:sz w:val="20"/>
          <w:szCs w:val="20"/>
          <w:color w:val="auto"/>
        </w:rPr>
      </w:pPr>
      <w:r>
        <w:rPr>
          <w:rFonts w:ascii="Arial" w:cs="Arial" w:eastAsia="Arial" w:hAnsi="Arial"/>
          <w:sz w:val="14"/>
          <w:szCs w:val="14"/>
          <w:b w:val="1"/>
          <w:bCs w:val="1"/>
          <w:color w:val="FFFFFF"/>
        </w:rPr>
        <w:t>Element</w:t>
      </w:r>
      <w:r>
        <w:rPr>
          <w:sz w:val="20"/>
          <w:szCs w:val="20"/>
          <w:color w:val="auto"/>
        </w:rPr>
        <w:tab/>
      </w:r>
      <w:r>
        <w:rPr>
          <w:rFonts w:ascii="Arial" w:cs="Arial" w:eastAsia="Arial" w:hAnsi="Arial"/>
          <w:sz w:val="14"/>
          <w:szCs w:val="14"/>
          <w:b w:val="1"/>
          <w:bCs w:val="1"/>
          <w:color w:val="FFFFFF"/>
        </w:rPr>
        <w:t>Key Characteristics</w:t>
      </w:r>
      <w:r>
        <w:rPr>
          <w:sz w:val="20"/>
          <w:szCs w:val="20"/>
          <w:color w:val="auto"/>
        </w:rPr>
        <w:tab/>
      </w:r>
      <w:r>
        <w:rPr>
          <w:rFonts w:ascii="Arial" w:cs="Arial" w:eastAsia="Arial" w:hAnsi="Arial"/>
          <w:sz w:val="14"/>
          <w:szCs w:val="14"/>
          <w:b w:val="1"/>
          <w:bCs w:val="1"/>
          <w:color w:val="FFFFFF"/>
        </w:rPr>
        <w:t>Purpose</w:t>
      </w:r>
      <w:r>
        <w:rPr>
          <w:sz w:val="20"/>
          <w:szCs w:val="20"/>
          <w:color w:val="auto"/>
        </w:rPr>
        <w:tab/>
      </w:r>
      <w:r>
        <w:rPr>
          <w:rFonts w:ascii="Arial" w:cs="Arial" w:eastAsia="Arial" w:hAnsi="Arial"/>
          <w:sz w:val="14"/>
          <w:szCs w:val="14"/>
          <w:b w:val="1"/>
          <w:bCs w:val="1"/>
          <w:color w:val="FFFFFF"/>
        </w:rPr>
        <w:t>Key Fiscal 2020 Actions</w:t>
      </w:r>
    </w:p>
    <w:p>
      <w:pPr>
        <w:sectPr>
          <w:pgSz w:w="11900" w:h="16838" w:orient="portrait"/>
          <w:cols w:equalWidth="0" w:num="1">
            <w:col w:w="11240"/>
          </w:cols>
          <w:pgMar w:left="320" w:top="133" w:right="339" w:bottom="1440" w:gutter="0" w:footer="0" w:header="0"/>
        </w:sectPr>
      </w:pPr>
    </w:p>
    <w:p>
      <w:pPr>
        <w:spacing w:after="0" w:line="5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6"/>
          <w:szCs w:val="16"/>
          <w:color w:val="auto"/>
        </w:rPr>
        <w:t>Base Salary</w:t>
      </w:r>
      <w:r>
        <w:rPr>
          <w:sz w:val="20"/>
          <w:szCs w:val="20"/>
          <w:color w:val="auto"/>
        </w:rPr>
        <w:tab/>
      </w:r>
      <w:r>
        <w:rPr>
          <w:rFonts w:ascii="Arial" w:cs="Arial" w:eastAsia="Arial" w:hAnsi="Arial"/>
          <w:sz w:val="16"/>
          <w:szCs w:val="16"/>
          <w:color w:val="auto"/>
        </w:rPr>
        <w:t>A fixed amount, paid in cash and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reviewed annually and,</w:t>
      </w:r>
    </w:p>
    <w:p>
      <w:pPr>
        <w:spacing w:after="0" w:line="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appropriate, adjusted.</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Provide a source of fixed income that is market competitive and reflects scope and responsibility of the position held.</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All of our named executive officers received salary increases ranging from 3.1% to 16.3% of their then current annual base salaries effective as of the beginning of fiscal 2020.</w:t>
      </w:r>
    </w:p>
    <w:p>
      <w:pPr>
        <w:spacing w:after="0" w:line="232"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Effective as of May 1, 2020, Mr. Olson’s annual salary was reduced by 30% and the annual salaries for all of our other named executive officers were reduced by 20% for the remainder of fiscal 2020 in light of COVID-19.</w:t>
      </w:r>
    </w:p>
    <w:p>
      <w:pPr>
        <w:spacing w:after="0" w:line="232"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Effective as of May 16, 2020, Mr. Rodier received a 23.5% increase to his annual salary in connection with his expanded responsibilities for our contractor and residential businesses; however, he continued to be subject to the executive officer base salary reductions.</w:t>
      </w:r>
    </w:p>
    <w:p>
      <w:pPr>
        <w:spacing w:after="0" w:line="9" w:lineRule="exact"/>
        <w:rPr>
          <w:sz w:val="20"/>
          <w:szCs w:val="20"/>
          <w:color w:val="auto"/>
        </w:rPr>
      </w:pPr>
    </w:p>
    <w:p>
      <w:pPr>
        <w:sectPr>
          <w:pgSz w:w="11900" w:h="16838" w:orient="portrait"/>
          <w:cols w:equalWidth="0" w:num="3">
            <w:col w:w="3640" w:space="540"/>
            <w:col w:w="2760" w:space="80"/>
            <w:col w:w="4220"/>
          </w:cols>
          <w:pgMar w:left="320" w:top="133"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140" w:type="dxa"/>
            <w:vAlign w:val="bottom"/>
            <w:shd w:val="clear" w:color="auto" w:fill="D9D9D9"/>
          </w:tcPr>
          <w:p>
            <w:pPr>
              <w:ind w:left="40"/>
              <w:spacing w:after="0"/>
              <w:rPr>
                <w:sz w:val="20"/>
                <w:szCs w:val="20"/>
                <w:color w:val="auto"/>
              </w:rPr>
            </w:pPr>
            <w:r>
              <w:rPr>
                <w:rFonts w:ascii="Arial" w:cs="Arial" w:eastAsia="Arial" w:hAnsi="Arial"/>
                <w:sz w:val="16"/>
                <w:szCs w:val="16"/>
                <w:color w:val="auto"/>
              </w:rPr>
              <w:t>Annual Cash</w:t>
            </w:r>
          </w:p>
        </w:tc>
        <w:tc>
          <w:tcPr>
            <w:tcW w:w="2960" w:type="dxa"/>
            <w:vAlign w:val="bottom"/>
            <w:shd w:val="clear" w:color="auto" w:fill="D9D9D9"/>
          </w:tcPr>
          <w:p>
            <w:pPr>
              <w:ind w:left="160"/>
              <w:spacing w:after="0"/>
              <w:rPr>
                <w:sz w:val="20"/>
                <w:szCs w:val="20"/>
                <w:color w:val="auto"/>
              </w:rPr>
            </w:pPr>
            <w:r>
              <w:rPr>
                <w:rFonts w:ascii="Arial" w:cs="Arial" w:eastAsia="Arial" w:hAnsi="Arial"/>
                <w:sz w:val="16"/>
                <w:szCs w:val="16"/>
                <w:color w:val="auto"/>
              </w:rPr>
              <w:t>A variable, short-term element of</w:t>
            </w:r>
          </w:p>
        </w:tc>
        <w:tc>
          <w:tcPr>
            <w:tcW w:w="2760" w:type="dxa"/>
            <w:vAlign w:val="bottom"/>
            <w:shd w:val="clear" w:color="auto" w:fill="D9D9D9"/>
          </w:tcPr>
          <w:p>
            <w:pPr>
              <w:ind w:left="80"/>
              <w:spacing w:after="0"/>
              <w:rPr>
                <w:sz w:val="20"/>
                <w:szCs w:val="20"/>
                <w:color w:val="auto"/>
              </w:rPr>
            </w:pPr>
            <w:r>
              <w:rPr>
                <w:rFonts w:ascii="Arial" w:cs="Arial" w:eastAsia="Arial" w:hAnsi="Arial"/>
                <w:sz w:val="16"/>
                <w:szCs w:val="16"/>
                <w:color w:val="auto"/>
              </w:rPr>
              <w:t>Motivate and reward our executive</w:t>
            </w:r>
          </w:p>
        </w:tc>
        <w:tc>
          <w:tcPr>
            <w:tcW w:w="4380" w:type="dxa"/>
            <w:vAlign w:val="bottom"/>
            <w:shd w:val="clear" w:color="auto" w:fill="D9D9D9"/>
          </w:tcPr>
          <w:p>
            <w:pPr>
              <w:ind w:left="160"/>
              <w:spacing w:after="0"/>
              <w:rPr>
                <w:sz w:val="20"/>
                <w:szCs w:val="20"/>
                <w:color w:val="auto"/>
              </w:rPr>
            </w:pPr>
            <w:r>
              <w:rPr>
                <w:rFonts w:ascii="Arial" w:cs="Arial" w:eastAsia="Arial" w:hAnsi="Arial"/>
                <w:sz w:val="16"/>
                <w:szCs w:val="16"/>
                <w:color w:val="auto"/>
              </w:rPr>
              <w:t>At the beginning of fiscal 2020, target awards as a percent</w:t>
            </w:r>
          </w:p>
        </w:tc>
      </w:tr>
      <w:tr>
        <w:trPr>
          <w:trHeight w:val="188"/>
        </w:trPr>
        <w:tc>
          <w:tcPr>
            <w:tcW w:w="1140" w:type="dxa"/>
            <w:vAlign w:val="bottom"/>
            <w:shd w:val="clear" w:color="auto" w:fill="D9D9D9"/>
          </w:tcPr>
          <w:p>
            <w:pPr>
              <w:ind w:left="40"/>
              <w:spacing w:after="0"/>
              <w:rPr>
                <w:sz w:val="20"/>
                <w:szCs w:val="20"/>
                <w:color w:val="auto"/>
              </w:rPr>
            </w:pPr>
            <w:r>
              <w:rPr>
                <w:rFonts w:ascii="Arial" w:cs="Arial" w:eastAsia="Arial" w:hAnsi="Arial"/>
                <w:sz w:val="16"/>
                <w:szCs w:val="16"/>
                <w:color w:val="auto"/>
              </w:rPr>
              <w:t>Incentive</w:t>
            </w:r>
          </w:p>
        </w:tc>
        <w:tc>
          <w:tcPr>
            <w:tcW w:w="2960" w:type="dxa"/>
            <w:vAlign w:val="bottom"/>
            <w:shd w:val="clear" w:color="auto" w:fill="D9D9D9"/>
          </w:tcPr>
          <w:p>
            <w:pPr>
              <w:ind w:left="160"/>
              <w:spacing w:after="0"/>
              <w:rPr>
                <w:sz w:val="20"/>
                <w:szCs w:val="20"/>
                <w:color w:val="auto"/>
              </w:rPr>
            </w:pPr>
            <w:r>
              <w:rPr>
                <w:rFonts w:ascii="Arial" w:cs="Arial" w:eastAsia="Arial" w:hAnsi="Arial"/>
                <w:sz w:val="16"/>
                <w:szCs w:val="16"/>
                <w:color w:val="auto"/>
              </w:rPr>
              <w:t>compensation that is payable in cash</w:t>
            </w:r>
          </w:p>
        </w:tc>
        <w:tc>
          <w:tcPr>
            <w:tcW w:w="2760" w:type="dxa"/>
            <w:vAlign w:val="bottom"/>
            <w:shd w:val="clear" w:color="auto" w:fill="D9D9D9"/>
          </w:tcPr>
          <w:p>
            <w:pPr>
              <w:ind w:left="80"/>
              <w:spacing w:after="0"/>
              <w:rPr>
                <w:sz w:val="20"/>
                <w:szCs w:val="20"/>
                <w:color w:val="auto"/>
              </w:rPr>
            </w:pPr>
            <w:r>
              <w:rPr>
                <w:rFonts w:ascii="Arial" w:cs="Arial" w:eastAsia="Arial" w:hAnsi="Arial"/>
                <w:sz w:val="16"/>
                <w:szCs w:val="16"/>
                <w:color w:val="auto"/>
              </w:rPr>
              <w:t>officers for achievement of annual</w:t>
            </w:r>
          </w:p>
        </w:tc>
        <w:tc>
          <w:tcPr>
            <w:tcW w:w="4380" w:type="dxa"/>
            <w:vAlign w:val="bottom"/>
            <w:shd w:val="clear" w:color="auto" w:fill="D9D9D9"/>
          </w:tcPr>
          <w:p>
            <w:pPr>
              <w:ind w:left="160"/>
              <w:spacing w:after="0"/>
              <w:rPr>
                <w:sz w:val="20"/>
                <w:szCs w:val="20"/>
                <w:color w:val="auto"/>
              </w:rPr>
            </w:pPr>
            <w:r>
              <w:rPr>
                <w:rFonts w:ascii="Arial" w:cs="Arial" w:eastAsia="Arial" w:hAnsi="Arial"/>
                <w:sz w:val="16"/>
                <w:szCs w:val="16"/>
                <w:color w:val="auto"/>
              </w:rPr>
              <w:t>of base salary for named executive officers were</w:t>
            </w:r>
          </w:p>
        </w:tc>
      </w:tr>
      <w:tr>
        <w:trPr>
          <w:trHeight w:val="188"/>
        </w:trPr>
        <w:tc>
          <w:tcPr>
            <w:tcW w:w="1140" w:type="dxa"/>
            <w:vAlign w:val="bottom"/>
            <w:shd w:val="clear" w:color="auto" w:fill="D9D9D9"/>
          </w:tcPr>
          <w:p>
            <w:pPr>
              <w:spacing w:after="0"/>
              <w:rPr>
                <w:sz w:val="16"/>
                <w:szCs w:val="16"/>
                <w:color w:val="auto"/>
              </w:rPr>
            </w:pPr>
          </w:p>
        </w:tc>
        <w:tc>
          <w:tcPr>
            <w:tcW w:w="2960" w:type="dxa"/>
            <w:vAlign w:val="bottom"/>
            <w:shd w:val="clear" w:color="auto" w:fill="D9D9D9"/>
          </w:tcPr>
          <w:p>
            <w:pPr>
              <w:ind w:left="160"/>
              <w:spacing w:after="0"/>
              <w:rPr>
                <w:sz w:val="20"/>
                <w:szCs w:val="20"/>
                <w:color w:val="auto"/>
              </w:rPr>
            </w:pPr>
            <w:r>
              <w:rPr>
                <w:rFonts w:ascii="Arial" w:cs="Arial" w:eastAsia="Arial" w:hAnsi="Arial"/>
                <w:sz w:val="16"/>
                <w:szCs w:val="16"/>
                <w:color w:val="auto"/>
              </w:rPr>
              <w:t>based on achievement of key pre-</w:t>
            </w:r>
          </w:p>
        </w:tc>
        <w:tc>
          <w:tcPr>
            <w:tcW w:w="2760" w:type="dxa"/>
            <w:vAlign w:val="bottom"/>
            <w:shd w:val="clear" w:color="auto" w:fill="D9D9D9"/>
          </w:tcPr>
          <w:p>
            <w:pPr>
              <w:ind w:left="80"/>
              <w:spacing w:after="0"/>
              <w:rPr>
                <w:sz w:val="20"/>
                <w:szCs w:val="20"/>
                <w:color w:val="auto"/>
              </w:rPr>
            </w:pPr>
            <w:r>
              <w:rPr>
                <w:rFonts w:ascii="Arial" w:cs="Arial" w:eastAsia="Arial" w:hAnsi="Arial"/>
                <w:sz w:val="16"/>
                <w:szCs w:val="16"/>
                <w:color w:val="auto"/>
              </w:rPr>
              <w:t>financial business goals intended to</w:t>
            </w:r>
          </w:p>
        </w:tc>
        <w:tc>
          <w:tcPr>
            <w:tcW w:w="4380" w:type="dxa"/>
            <w:vAlign w:val="bottom"/>
            <w:shd w:val="clear" w:color="auto" w:fill="D9D9D9"/>
          </w:tcPr>
          <w:p>
            <w:pPr>
              <w:ind w:left="160"/>
              <w:spacing w:after="0"/>
              <w:rPr>
                <w:sz w:val="20"/>
                <w:szCs w:val="20"/>
                <w:color w:val="auto"/>
              </w:rPr>
            </w:pPr>
            <w:r>
              <w:rPr>
                <w:rFonts w:ascii="Arial" w:cs="Arial" w:eastAsia="Arial" w:hAnsi="Arial"/>
                <w:sz w:val="16"/>
                <w:szCs w:val="16"/>
                <w:color w:val="auto"/>
              </w:rPr>
              <w:t>established at 60% to 115% of fiscal year base salary</w:t>
            </w:r>
          </w:p>
        </w:tc>
      </w:tr>
      <w:tr>
        <w:trPr>
          <w:trHeight w:val="201"/>
        </w:trPr>
        <w:tc>
          <w:tcPr>
            <w:tcW w:w="1140" w:type="dxa"/>
            <w:vAlign w:val="bottom"/>
            <w:shd w:val="clear" w:color="auto" w:fill="D9D9D9"/>
          </w:tcPr>
          <w:p>
            <w:pPr>
              <w:spacing w:after="0"/>
              <w:rPr>
                <w:sz w:val="17"/>
                <w:szCs w:val="17"/>
                <w:color w:val="auto"/>
              </w:rPr>
            </w:pPr>
          </w:p>
        </w:tc>
        <w:tc>
          <w:tcPr>
            <w:tcW w:w="2960" w:type="dxa"/>
            <w:vAlign w:val="bottom"/>
            <w:shd w:val="clear" w:color="auto" w:fill="D9D9D9"/>
          </w:tcPr>
          <w:p>
            <w:pPr>
              <w:ind w:left="160"/>
              <w:spacing w:after="0"/>
              <w:rPr>
                <w:sz w:val="20"/>
                <w:szCs w:val="20"/>
                <w:color w:val="auto"/>
              </w:rPr>
            </w:pPr>
            <w:r>
              <w:rPr>
                <w:rFonts w:ascii="Arial" w:cs="Arial" w:eastAsia="Arial" w:hAnsi="Arial"/>
                <w:sz w:val="16"/>
                <w:szCs w:val="16"/>
                <w:color w:val="auto"/>
              </w:rPr>
              <w:t>established annual corporate financial</w:t>
            </w:r>
          </w:p>
        </w:tc>
        <w:tc>
          <w:tcPr>
            <w:tcW w:w="2760" w:type="dxa"/>
            <w:vAlign w:val="bottom"/>
            <w:shd w:val="clear" w:color="auto" w:fill="D9D9D9"/>
          </w:tcPr>
          <w:p>
            <w:pPr>
              <w:ind w:left="80"/>
              <w:spacing w:after="0"/>
              <w:rPr>
                <w:sz w:val="20"/>
                <w:szCs w:val="20"/>
                <w:color w:val="auto"/>
              </w:rPr>
            </w:pPr>
            <w:r>
              <w:rPr>
                <w:rFonts w:ascii="Arial" w:cs="Arial" w:eastAsia="Arial" w:hAnsi="Arial"/>
                <w:sz w:val="16"/>
                <w:szCs w:val="16"/>
                <w:color w:val="auto"/>
              </w:rPr>
              <w:t>drive overall company and division</w:t>
            </w:r>
          </w:p>
        </w:tc>
        <w:tc>
          <w:tcPr>
            <w:tcW w:w="4380" w:type="dxa"/>
            <w:vAlign w:val="bottom"/>
            <w:shd w:val="clear" w:color="auto" w:fill="D9D9D9"/>
          </w:tcPr>
          <w:p>
            <w:pPr>
              <w:ind w:left="160"/>
              <w:spacing w:after="0"/>
              <w:rPr>
                <w:sz w:val="20"/>
                <w:szCs w:val="20"/>
                <w:color w:val="auto"/>
              </w:rPr>
            </w:pPr>
            <w:r>
              <w:rPr>
                <w:rFonts w:ascii="Arial" w:cs="Arial" w:eastAsia="Arial" w:hAnsi="Arial"/>
                <w:sz w:val="16"/>
                <w:szCs w:val="16"/>
                <w:color w:val="auto"/>
              </w:rPr>
              <w:t>earnings.</w:t>
            </w:r>
          </w:p>
        </w:tc>
      </w:tr>
      <w:tr>
        <w:trPr>
          <w:trHeight w:val="188"/>
        </w:trPr>
        <w:tc>
          <w:tcPr>
            <w:tcW w:w="1140" w:type="dxa"/>
            <w:vAlign w:val="bottom"/>
            <w:shd w:val="clear" w:color="auto" w:fill="D9D9D9"/>
          </w:tcPr>
          <w:p>
            <w:pPr>
              <w:spacing w:after="0"/>
              <w:rPr>
                <w:sz w:val="16"/>
                <w:szCs w:val="16"/>
                <w:color w:val="auto"/>
              </w:rPr>
            </w:pPr>
          </w:p>
        </w:tc>
        <w:tc>
          <w:tcPr>
            <w:tcW w:w="2960" w:type="dxa"/>
            <w:vAlign w:val="bottom"/>
            <w:shd w:val="clear" w:color="auto" w:fill="D9D9D9"/>
          </w:tcPr>
          <w:p>
            <w:pPr>
              <w:ind w:left="160"/>
              <w:spacing w:after="0"/>
              <w:rPr>
                <w:sz w:val="20"/>
                <w:szCs w:val="20"/>
                <w:color w:val="auto"/>
              </w:rPr>
            </w:pPr>
            <w:r>
              <w:rPr>
                <w:rFonts w:ascii="Arial" w:cs="Arial" w:eastAsia="Arial" w:hAnsi="Arial"/>
                <w:sz w:val="16"/>
                <w:szCs w:val="16"/>
                <w:color w:val="auto"/>
              </w:rPr>
              <w:t>goals and, for division participants,</w:t>
            </w:r>
          </w:p>
        </w:tc>
        <w:tc>
          <w:tcPr>
            <w:tcW w:w="2760" w:type="dxa"/>
            <w:vAlign w:val="bottom"/>
            <w:shd w:val="clear" w:color="auto" w:fill="D9D9D9"/>
          </w:tcPr>
          <w:p>
            <w:pPr>
              <w:ind w:left="80"/>
              <w:spacing w:after="0"/>
              <w:rPr>
                <w:sz w:val="20"/>
                <w:szCs w:val="20"/>
                <w:color w:val="auto"/>
              </w:rPr>
            </w:pPr>
            <w:r>
              <w:rPr>
                <w:rFonts w:ascii="Arial" w:cs="Arial" w:eastAsia="Arial" w:hAnsi="Arial"/>
                <w:sz w:val="16"/>
                <w:szCs w:val="16"/>
                <w:color w:val="auto"/>
              </w:rPr>
              <w:t>and/or business performance.</w:t>
            </w:r>
          </w:p>
        </w:tc>
        <w:tc>
          <w:tcPr>
            <w:tcW w:w="4380" w:type="dxa"/>
            <w:vAlign w:val="bottom"/>
            <w:shd w:val="clear" w:color="auto" w:fill="D9D9D9"/>
          </w:tcPr>
          <w:p>
            <w:pPr>
              <w:spacing w:after="0"/>
              <w:rPr>
                <w:sz w:val="16"/>
                <w:szCs w:val="16"/>
                <w:color w:val="auto"/>
              </w:rPr>
            </w:pPr>
          </w:p>
        </w:tc>
      </w:tr>
      <w:tr>
        <w:trPr>
          <w:trHeight w:val="188"/>
        </w:trPr>
        <w:tc>
          <w:tcPr>
            <w:tcW w:w="1140" w:type="dxa"/>
            <w:vAlign w:val="bottom"/>
            <w:shd w:val="clear" w:color="auto" w:fill="D9D9D9"/>
          </w:tcPr>
          <w:p>
            <w:pPr>
              <w:spacing w:after="0"/>
              <w:rPr>
                <w:sz w:val="16"/>
                <w:szCs w:val="16"/>
                <w:color w:val="auto"/>
              </w:rPr>
            </w:pPr>
          </w:p>
        </w:tc>
        <w:tc>
          <w:tcPr>
            <w:tcW w:w="2960" w:type="dxa"/>
            <w:vAlign w:val="bottom"/>
            <w:shd w:val="clear" w:color="auto" w:fill="D9D9D9"/>
          </w:tcPr>
          <w:p>
            <w:pPr>
              <w:ind w:left="160"/>
              <w:spacing w:after="0"/>
              <w:rPr>
                <w:sz w:val="20"/>
                <w:szCs w:val="20"/>
                <w:color w:val="auto"/>
              </w:rPr>
            </w:pPr>
            <w:r>
              <w:rPr>
                <w:rFonts w:ascii="Arial" w:cs="Arial" w:eastAsia="Arial" w:hAnsi="Arial"/>
                <w:sz w:val="16"/>
                <w:szCs w:val="16"/>
                <w:color w:val="auto"/>
              </w:rPr>
              <w:t>division and/or business financial</w:t>
            </w:r>
          </w:p>
        </w:tc>
        <w:tc>
          <w:tcPr>
            <w:tcW w:w="2760" w:type="dxa"/>
            <w:vAlign w:val="bottom"/>
            <w:shd w:val="clear" w:color="auto" w:fill="D9D9D9"/>
          </w:tcPr>
          <w:p>
            <w:pPr>
              <w:spacing w:after="0"/>
              <w:rPr>
                <w:sz w:val="16"/>
                <w:szCs w:val="16"/>
                <w:color w:val="auto"/>
              </w:rPr>
            </w:pPr>
          </w:p>
        </w:tc>
        <w:tc>
          <w:tcPr>
            <w:tcW w:w="4380" w:type="dxa"/>
            <w:vAlign w:val="bottom"/>
            <w:shd w:val="clear" w:color="auto" w:fill="D9D9D9"/>
          </w:tcPr>
          <w:p>
            <w:pPr>
              <w:ind w:left="160"/>
              <w:spacing w:after="0"/>
              <w:rPr>
                <w:sz w:val="20"/>
                <w:szCs w:val="20"/>
                <w:color w:val="auto"/>
              </w:rPr>
            </w:pPr>
            <w:r>
              <w:rPr>
                <w:rFonts w:ascii="Arial" w:cs="Arial" w:eastAsia="Arial" w:hAnsi="Arial"/>
                <w:sz w:val="16"/>
                <w:szCs w:val="16"/>
                <w:color w:val="auto"/>
              </w:rPr>
              <w:t>As a result of the COVID-19 related salary reductions, the</w:t>
            </w:r>
          </w:p>
        </w:tc>
      </w:tr>
      <w:tr>
        <w:trPr>
          <w:trHeight w:val="207"/>
        </w:trPr>
        <w:tc>
          <w:tcPr>
            <w:tcW w:w="1140" w:type="dxa"/>
            <w:vAlign w:val="bottom"/>
            <w:shd w:val="clear" w:color="auto" w:fill="D9D9D9"/>
          </w:tcPr>
          <w:p>
            <w:pPr>
              <w:spacing w:after="0"/>
              <w:rPr>
                <w:sz w:val="18"/>
                <w:szCs w:val="18"/>
                <w:color w:val="auto"/>
              </w:rPr>
            </w:pPr>
          </w:p>
        </w:tc>
        <w:tc>
          <w:tcPr>
            <w:tcW w:w="2960" w:type="dxa"/>
            <w:vAlign w:val="bottom"/>
            <w:shd w:val="clear" w:color="auto" w:fill="D9D9D9"/>
          </w:tcPr>
          <w:p>
            <w:pPr>
              <w:ind w:left="160"/>
              <w:spacing w:after="0"/>
              <w:rPr>
                <w:sz w:val="20"/>
                <w:szCs w:val="20"/>
                <w:color w:val="auto"/>
              </w:rPr>
            </w:pPr>
            <w:r>
              <w:rPr>
                <w:rFonts w:ascii="Arial" w:cs="Arial" w:eastAsia="Arial" w:hAnsi="Arial"/>
                <w:sz w:val="16"/>
                <w:szCs w:val="16"/>
                <w:color w:val="auto"/>
              </w:rPr>
              <w:t>goals.</w:t>
            </w:r>
          </w:p>
        </w:tc>
        <w:tc>
          <w:tcPr>
            <w:tcW w:w="2760" w:type="dxa"/>
            <w:vAlign w:val="bottom"/>
            <w:shd w:val="clear" w:color="auto" w:fill="D9D9D9"/>
          </w:tcPr>
          <w:p>
            <w:pPr>
              <w:spacing w:after="0"/>
              <w:rPr>
                <w:sz w:val="18"/>
                <w:szCs w:val="18"/>
                <w:color w:val="auto"/>
              </w:rPr>
            </w:pPr>
          </w:p>
        </w:tc>
        <w:tc>
          <w:tcPr>
            <w:tcW w:w="4380" w:type="dxa"/>
            <w:vAlign w:val="bottom"/>
            <w:shd w:val="clear" w:color="auto" w:fill="D9D9D9"/>
          </w:tcPr>
          <w:p>
            <w:pPr>
              <w:ind w:left="160"/>
              <w:spacing w:after="0"/>
              <w:rPr>
                <w:sz w:val="20"/>
                <w:szCs w:val="20"/>
                <w:color w:val="auto"/>
              </w:rPr>
            </w:pPr>
            <w:r>
              <w:rPr>
                <w:rFonts w:ascii="Arial" w:cs="Arial" w:eastAsia="Arial" w:hAnsi="Arial"/>
                <w:sz w:val="16"/>
                <w:szCs w:val="16"/>
                <w:color w:val="auto"/>
              </w:rPr>
              <w:t>annual cash incentive opportunities were also reduced.</w:t>
            </w:r>
          </w:p>
        </w:tc>
      </w:tr>
      <w:tr>
        <w:trPr>
          <w:trHeight w:val="436"/>
        </w:trPr>
        <w:tc>
          <w:tcPr>
            <w:tcW w:w="1140" w:type="dxa"/>
            <w:vAlign w:val="bottom"/>
            <w:shd w:val="clear" w:color="auto" w:fill="D9D9D9"/>
          </w:tcPr>
          <w:p>
            <w:pPr>
              <w:spacing w:after="0"/>
              <w:rPr>
                <w:sz w:val="24"/>
                <w:szCs w:val="24"/>
                <w:color w:val="auto"/>
              </w:rPr>
            </w:pPr>
          </w:p>
        </w:tc>
        <w:tc>
          <w:tcPr>
            <w:tcW w:w="2960" w:type="dxa"/>
            <w:vAlign w:val="bottom"/>
            <w:shd w:val="clear" w:color="auto" w:fill="D9D9D9"/>
          </w:tcPr>
          <w:p>
            <w:pPr>
              <w:spacing w:after="0"/>
              <w:rPr>
                <w:sz w:val="24"/>
                <w:szCs w:val="24"/>
                <w:color w:val="auto"/>
              </w:rPr>
            </w:pPr>
          </w:p>
        </w:tc>
        <w:tc>
          <w:tcPr>
            <w:tcW w:w="2760" w:type="dxa"/>
            <w:vAlign w:val="bottom"/>
            <w:shd w:val="clear" w:color="auto" w:fill="D9D9D9"/>
          </w:tcPr>
          <w:p>
            <w:pPr>
              <w:spacing w:after="0"/>
              <w:rPr>
                <w:sz w:val="24"/>
                <w:szCs w:val="24"/>
                <w:color w:val="auto"/>
              </w:rPr>
            </w:pPr>
          </w:p>
        </w:tc>
        <w:tc>
          <w:tcPr>
            <w:tcW w:w="4380" w:type="dxa"/>
            <w:vAlign w:val="bottom"/>
            <w:shd w:val="clear" w:color="auto" w:fill="D9D9D9"/>
          </w:tcPr>
          <w:p>
            <w:pPr>
              <w:ind w:left="160"/>
              <w:spacing w:after="0"/>
              <w:rPr>
                <w:sz w:val="20"/>
                <w:szCs w:val="20"/>
                <w:color w:val="auto"/>
              </w:rPr>
            </w:pPr>
            <w:r>
              <w:rPr>
                <w:rFonts w:ascii="Arial" w:cs="Arial" w:eastAsia="Arial" w:hAnsi="Arial"/>
                <w:sz w:val="16"/>
                <w:szCs w:val="16"/>
                <w:color w:val="auto"/>
              </w:rPr>
              <w:t>On May 16, 2020, Mr. Rodier’s target award as a percent</w:t>
            </w:r>
          </w:p>
        </w:tc>
      </w:tr>
      <w:tr>
        <w:trPr>
          <w:trHeight w:val="188"/>
        </w:trPr>
        <w:tc>
          <w:tcPr>
            <w:tcW w:w="1140" w:type="dxa"/>
            <w:vAlign w:val="bottom"/>
            <w:shd w:val="clear" w:color="auto" w:fill="D9D9D9"/>
          </w:tcPr>
          <w:p>
            <w:pPr>
              <w:spacing w:after="0"/>
              <w:rPr>
                <w:sz w:val="16"/>
                <w:szCs w:val="16"/>
                <w:color w:val="auto"/>
              </w:rPr>
            </w:pPr>
          </w:p>
        </w:tc>
        <w:tc>
          <w:tcPr>
            <w:tcW w:w="2960" w:type="dxa"/>
            <w:vAlign w:val="bottom"/>
            <w:shd w:val="clear" w:color="auto" w:fill="D9D9D9"/>
          </w:tcPr>
          <w:p>
            <w:pPr>
              <w:spacing w:after="0"/>
              <w:rPr>
                <w:sz w:val="16"/>
                <w:szCs w:val="16"/>
                <w:color w:val="auto"/>
              </w:rPr>
            </w:pPr>
          </w:p>
        </w:tc>
        <w:tc>
          <w:tcPr>
            <w:tcW w:w="2760" w:type="dxa"/>
            <w:vAlign w:val="bottom"/>
            <w:shd w:val="clear" w:color="auto" w:fill="D9D9D9"/>
          </w:tcPr>
          <w:p>
            <w:pPr>
              <w:spacing w:after="0"/>
              <w:rPr>
                <w:sz w:val="16"/>
                <w:szCs w:val="16"/>
                <w:color w:val="auto"/>
              </w:rPr>
            </w:pPr>
          </w:p>
        </w:tc>
        <w:tc>
          <w:tcPr>
            <w:tcW w:w="4380" w:type="dxa"/>
            <w:vAlign w:val="bottom"/>
            <w:shd w:val="clear" w:color="auto" w:fill="D9D9D9"/>
          </w:tcPr>
          <w:p>
            <w:pPr>
              <w:ind w:left="160"/>
              <w:spacing w:after="0"/>
              <w:rPr>
                <w:sz w:val="20"/>
                <w:szCs w:val="20"/>
                <w:color w:val="auto"/>
              </w:rPr>
            </w:pPr>
            <w:r>
              <w:rPr>
                <w:rFonts w:ascii="Arial" w:cs="Arial" w:eastAsia="Arial" w:hAnsi="Arial"/>
                <w:sz w:val="16"/>
                <w:szCs w:val="16"/>
                <w:color w:val="auto"/>
              </w:rPr>
              <w:t>of his base salary earnings was increased from 60% to</w:t>
            </w:r>
          </w:p>
        </w:tc>
      </w:tr>
      <w:tr>
        <w:trPr>
          <w:trHeight w:val="194"/>
        </w:trPr>
        <w:tc>
          <w:tcPr>
            <w:tcW w:w="1140" w:type="dxa"/>
            <w:vAlign w:val="bottom"/>
            <w:shd w:val="clear" w:color="auto" w:fill="D9D9D9"/>
          </w:tcPr>
          <w:p>
            <w:pPr>
              <w:spacing w:after="0"/>
              <w:rPr>
                <w:sz w:val="16"/>
                <w:szCs w:val="16"/>
                <w:color w:val="auto"/>
              </w:rPr>
            </w:pPr>
          </w:p>
        </w:tc>
        <w:tc>
          <w:tcPr>
            <w:tcW w:w="2960" w:type="dxa"/>
            <w:vAlign w:val="bottom"/>
            <w:shd w:val="clear" w:color="auto" w:fill="D9D9D9"/>
          </w:tcPr>
          <w:p>
            <w:pPr>
              <w:spacing w:after="0"/>
              <w:rPr>
                <w:sz w:val="16"/>
                <w:szCs w:val="16"/>
                <w:color w:val="auto"/>
              </w:rPr>
            </w:pPr>
          </w:p>
        </w:tc>
        <w:tc>
          <w:tcPr>
            <w:tcW w:w="2760" w:type="dxa"/>
            <w:vAlign w:val="bottom"/>
            <w:shd w:val="clear" w:color="auto" w:fill="D9D9D9"/>
          </w:tcPr>
          <w:p>
            <w:pPr>
              <w:spacing w:after="0"/>
              <w:rPr>
                <w:sz w:val="16"/>
                <w:szCs w:val="16"/>
                <w:color w:val="auto"/>
              </w:rPr>
            </w:pPr>
          </w:p>
        </w:tc>
        <w:tc>
          <w:tcPr>
            <w:tcW w:w="4380" w:type="dxa"/>
            <w:vAlign w:val="bottom"/>
            <w:shd w:val="clear" w:color="auto" w:fill="D9D9D9"/>
          </w:tcPr>
          <w:p>
            <w:pPr>
              <w:ind w:left="160"/>
              <w:spacing w:after="0"/>
              <w:rPr>
                <w:sz w:val="20"/>
                <w:szCs w:val="20"/>
                <w:color w:val="auto"/>
              </w:rPr>
            </w:pPr>
            <w:r>
              <w:rPr>
                <w:rFonts w:ascii="Arial" w:cs="Arial" w:eastAsia="Arial" w:hAnsi="Arial"/>
                <w:sz w:val="16"/>
                <w:szCs w:val="16"/>
                <w:color w:val="auto"/>
              </w:rPr>
              <w:t>70% in connection with his expanded responsibilities.</w:t>
            </w:r>
          </w:p>
        </w:tc>
      </w:tr>
      <w:tr>
        <w:trPr>
          <w:trHeight w:val="383"/>
        </w:trPr>
        <w:tc>
          <w:tcPr>
            <w:tcW w:w="1140" w:type="dxa"/>
            <w:vAlign w:val="bottom"/>
            <w:shd w:val="clear" w:color="auto" w:fill="D9D9D9"/>
          </w:tcPr>
          <w:p>
            <w:pPr>
              <w:spacing w:after="0"/>
              <w:rPr>
                <w:sz w:val="24"/>
                <w:szCs w:val="24"/>
                <w:color w:val="auto"/>
              </w:rPr>
            </w:pPr>
          </w:p>
        </w:tc>
        <w:tc>
          <w:tcPr>
            <w:tcW w:w="2960" w:type="dxa"/>
            <w:vAlign w:val="bottom"/>
            <w:shd w:val="clear" w:color="auto" w:fill="D9D9D9"/>
          </w:tcPr>
          <w:p>
            <w:pPr>
              <w:spacing w:after="0"/>
              <w:rPr>
                <w:sz w:val="24"/>
                <w:szCs w:val="24"/>
                <w:color w:val="auto"/>
              </w:rPr>
            </w:pPr>
          </w:p>
        </w:tc>
        <w:tc>
          <w:tcPr>
            <w:tcW w:w="2760" w:type="dxa"/>
            <w:vAlign w:val="bottom"/>
            <w:shd w:val="clear" w:color="auto" w:fill="D9D9D9"/>
          </w:tcPr>
          <w:p>
            <w:pPr>
              <w:spacing w:after="0"/>
              <w:rPr>
                <w:sz w:val="24"/>
                <w:szCs w:val="24"/>
                <w:color w:val="auto"/>
              </w:rPr>
            </w:pPr>
          </w:p>
        </w:tc>
        <w:tc>
          <w:tcPr>
            <w:tcW w:w="4380" w:type="dxa"/>
            <w:vAlign w:val="bottom"/>
            <w:shd w:val="clear" w:color="auto" w:fill="D9D9D9"/>
          </w:tcPr>
          <w:p>
            <w:pPr>
              <w:ind w:left="160"/>
              <w:spacing w:after="0"/>
              <w:rPr>
                <w:sz w:val="20"/>
                <w:szCs w:val="20"/>
                <w:color w:val="auto"/>
              </w:rPr>
            </w:pPr>
            <w:r>
              <w:rPr>
                <w:rFonts w:ascii="Arial" w:cs="Arial" w:eastAsia="Arial" w:hAnsi="Arial"/>
                <w:sz w:val="16"/>
                <w:szCs w:val="16"/>
                <w:color w:val="auto"/>
              </w:rPr>
              <w:t>Corporate performance measures and weightings were</w:t>
            </w:r>
          </w:p>
        </w:tc>
      </w:tr>
      <w:tr>
        <w:trPr>
          <w:trHeight w:val="186"/>
        </w:trPr>
        <w:tc>
          <w:tcPr>
            <w:tcW w:w="1140" w:type="dxa"/>
            <w:vAlign w:val="bottom"/>
            <w:shd w:val="clear" w:color="auto" w:fill="D9D9D9"/>
          </w:tcPr>
          <w:p>
            <w:pPr>
              <w:spacing w:after="0"/>
              <w:rPr>
                <w:sz w:val="16"/>
                <w:szCs w:val="16"/>
                <w:color w:val="auto"/>
              </w:rPr>
            </w:pPr>
          </w:p>
        </w:tc>
        <w:tc>
          <w:tcPr>
            <w:tcW w:w="2960" w:type="dxa"/>
            <w:vAlign w:val="bottom"/>
            <w:shd w:val="clear" w:color="auto" w:fill="D9D9D9"/>
          </w:tcPr>
          <w:p>
            <w:pPr>
              <w:spacing w:after="0"/>
              <w:rPr>
                <w:sz w:val="16"/>
                <w:szCs w:val="16"/>
                <w:color w:val="auto"/>
              </w:rPr>
            </w:pPr>
          </w:p>
        </w:tc>
        <w:tc>
          <w:tcPr>
            <w:tcW w:w="2760" w:type="dxa"/>
            <w:vAlign w:val="bottom"/>
            <w:shd w:val="clear" w:color="auto" w:fill="D9D9D9"/>
          </w:tcPr>
          <w:p>
            <w:pPr>
              <w:spacing w:after="0"/>
              <w:rPr>
                <w:sz w:val="16"/>
                <w:szCs w:val="16"/>
                <w:color w:val="auto"/>
              </w:rPr>
            </w:pPr>
          </w:p>
        </w:tc>
        <w:tc>
          <w:tcPr>
            <w:tcW w:w="4380" w:type="dxa"/>
            <w:vAlign w:val="bottom"/>
            <w:shd w:val="clear" w:color="auto" w:fill="D9D9D9"/>
          </w:tcPr>
          <w:p>
            <w:pPr>
              <w:ind w:left="160"/>
              <w:spacing w:after="0"/>
              <w:rPr>
                <w:sz w:val="20"/>
                <w:szCs w:val="20"/>
                <w:color w:val="auto"/>
              </w:rPr>
            </w:pPr>
            <w:r>
              <w:rPr>
                <w:rFonts w:ascii="Arial" w:cs="Arial" w:eastAsia="Arial" w:hAnsi="Arial"/>
                <w:sz w:val="16"/>
                <w:szCs w:val="16"/>
                <w:color w:val="auto"/>
              </w:rPr>
              <w:t>established for all of our named executive officers.</w:t>
            </w:r>
          </w:p>
        </w:tc>
      </w:tr>
    </w:tbl>
    <w:p>
      <w:pPr>
        <w:spacing w:after="0" w:line="15" w:lineRule="exact"/>
        <w:rPr>
          <w:sz w:val="20"/>
          <w:szCs w:val="20"/>
          <w:color w:val="auto"/>
        </w:rPr>
      </w:pPr>
    </w:p>
    <w:p>
      <w:pPr>
        <w:sectPr>
          <w:pgSz w:w="11900" w:h="16838" w:orient="portrait"/>
          <w:cols w:equalWidth="0" w:num="1">
            <w:col w:w="11240"/>
          </w:cols>
          <w:pgMar w:left="320" w:top="133" w:right="339" w:bottom="1440" w:gutter="0" w:footer="0" w:header="0"/>
          <w:type w:val="continuous"/>
        </w:sectPr>
      </w:pPr>
    </w:p>
    <w:p>
      <w:pPr>
        <w:ind w:left="40"/>
        <w:spacing w:after="0"/>
        <w:tabs>
          <w:tab w:leader="none" w:pos="1280" w:val="left"/>
        </w:tabs>
        <w:rPr>
          <w:sz w:val="20"/>
          <w:szCs w:val="20"/>
          <w:color w:val="auto"/>
        </w:rPr>
      </w:pPr>
      <w:r>
        <w:rPr>
          <w:rFonts w:ascii="Arial" w:cs="Arial" w:eastAsia="Arial" w:hAnsi="Arial"/>
          <w:sz w:val="16"/>
          <w:szCs w:val="16"/>
          <w:color w:val="auto"/>
        </w:rPr>
        <w:t>Long-Term</w:t>
      </w:r>
      <w:r>
        <w:rPr>
          <w:sz w:val="20"/>
          <w:szCs w:val="20"/>
          <w:color w:val="auto"/>
        </w:rPr>
        <w:tab/>
      </w:r>
      <w:r>
        <w:rPr>
          <w:rFonts w:ascii="Arial" w:cs="Arial" w:eastAsia="Arial" w:hAnsi="Arial"/>
          <w:sz w:val="16"/>
          <w:szCs w:val="16"/>
          <w:color w:val="auto"/>
        </w:rPr>
        <w:t>A variable, long-term element of</w:t>
      </w:r>
    </w:p>
    <w:p>
      <w:pPr>
        <w:spacing w:after="0" w:line="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6"/>
          <w:szCs w:val="16"/>
          <w:color w:val="auto"/>
        </w:rPr>
        <w:t>Incentives</w:t>
      </w:r>
      <w:r>
        <w:rPr>
          <w:sz w:val="20"/>
          <w:szCs w:val="20"/>
          <w:color w:val="auto"/>
        </w:rPr>
        <w:tab/>
      </w:r>
      <w:r>
        <w:rPr>
          <w:rFonts w:ascii="Arial" w:cs="Arial" w:eastAsia="Arial" w:hAnsi="Arial"/>
          <w:sz w:val="16"/>
          <w:szCs w:val="16"/>
          <w:color w:val="auto"/>
        </w:rPr>
        <w:t>compensation that is provided in the</w:t>
      </w:r>
    </w:p>
    <w:p>
      <w:pPr>
        <w:spacing w:after="0" w:line="4" w:lineRule="exact"/>
        <w:rPr>
          <w:sz w:val="20"/>
          <w:szCs w:val="20"/>
          <w:color w:val="auto"/>
        </w:rPr>
      </w:pPr>
    </w:p>
    <w:p>
      <w:pPr>
        <w:ind w:left="1300"/>
        <w:spacing w:after="0" w:line="246" w:lineRule="auto"/>
        <w:rPr>
          <w:sz w:val="20"/>
          <w:szCs w:val="20"/>
          <w:color w:val="auto"/>
        </w:rPr>
      </w:pPr>
      <w:r>
        <w:rPr>
          <w:rFonts w:ascii="Arial" w:cs="Arial" w:eastAsia="Arial" w:hAnsi="Arial"/>
          <w:sz w:val="16"/>
          <w:szCs w:val="16"/>
          <w:color w:val="auto"/>
        </w:rPr>
        <w:t>form of stock options and performance share awards. Stock options are time-based and vest no more frequently than ratably over three years and performance share awards are payable based on achievement of cumulative financial goals after three years and are paid out in shares of our common stock.</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Arial" w:cs="Arial" w:eastAsia="Arial" w:hAnsi="Arial"/>
          <w:sz w:val="16"/>
          <w:szCs w:val="16"/>
          <w:color w:val="auto"/>
        </w:rPr>
        <w:t>Align the interests of our executive officers with our shareholders; encourage focus on long-term company financial performance measures that are deemed strategically and operationally important to our Company; promote retention of our executive officers; and encourage significant ownership of our common stock.</w:t>
      </w:r>
    </w:p>
    <w:p>
      <w:pPr>
        <w:spacing w:after="0" w:line="20" w:lineRule="exact"/>
        <w:rPr>
          <w:sz w:val="20"/>
          <w:szCs w:val="20"/>
          <w:color w:val="auto"/>
        </w:rPr>
      </w:pPr>
      <w:r>
        <w:rPr>
          <w:sz w:val="20"/>
          <w:szCs w:val="20"/>
          <w:color w:val="auto"/>
        </w:rPr>
        <w:br w:type="column"/>
      </w:r>
    </w:p>
    <w:p>
      <w:pPr>
        <w:ind w:right="60"/>
        <w:spacing w:after="0" w:line="248" w:lineRule="auto"/>
        <w:rPr>
          <w:sz w:val="20"/>
          <w:szCs w:val="20"/>
          <w:color w:val="auto"/>
        </w:rPr>
      </w:pPr>
      <w:r>
        <w:rPr>
          <w:rFonts w:ascii="Arial" w:cs="Arial" w:eastAsia="Arial" w:hAnsi="Arial"/>
          <w:sz w:val="16"/>
          <w:szCs w:val="16"/>
          <w:color w:val="auto"/>
        </w:rPr>
        <w:t>All of our named executive officers were granted stock options and performance share awards. On May 19, 2020, Mr. Rodier was granted stock options and restricted stock units in connection with his expanded responsibilities.</w:t>
      </w:r>
    </w:p>
    <w:p>
      <w:pPr>
        <w:spacing w:after="0" w:line="1512" w:lineRule="exact"/>
        <w:rPr>
          <w:sz w:val="20"/>
          <w:szCs w:val="20"/>
          <w:color w:val="auto"/>
        </w:rPr>
      </w:pPr>
    </w:p>
    <w:p>
      <w:pPr>
        <w:sectPr>
          <w:pgSz w:w="11900" w:h="16838" w:orient="portrait"/>
          <w:cols w:equalWidth="0" w:num="3">
            <w:col w:w="4100" w:space="80"/>
            <w:col w:w="2740" w:space="100"/>
            <w:col w:w="4220"/>
          </w:cols>
          <w:pgMar w:left="320" w:top="133" w:right="339" w:bottom="144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715010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3590" cy="1276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3590" cy="127635"/>
                    </a:xfrm>
                    <a:prstGeom prst="rect">
                      <a:avLst/>
                    </a:prstGeom>
                    <a:noFill/>
                  </pic:spPr>
                </pic:pic>
              </a:graphicData>
            </a:graphic>
          </wp:anchor>
        </w:drawing>
      </w:r>
    </w:p>
    <w:p>
      <w:pPr>
        <w:ind w:left="40"/>
        <w:spacing w:after="0"/>
        <w:tabs>
          <w:tab w:leader="none" w:pos="2020" w:val="left"/>
          <w:tab w:leader="none" w:pos="5260" w:val="left"/>
          <w:tab w:leader="none" w:pos="8280" w:val="left"/>
        </w:tabs>
        <w:rPr>
          <w:sz w:val="20"/>
          <w:szCs w:val="20"/>
          <w:color w:val="auto"/>
        </w:rPr>
      </w:pPr>
      <w:r>
        <w:rPr>
          <w:rFonts w:ascii="Arial" w:cs="Arial" w:eastAsia="Arial" w:hAnsi="Arial"/>
          <w:sz w:val="14"/>
          <w:szCs w:val="14"/>
          <w:b w:val="1"/>
          <w:bCs w:val="1"/>
          <w:color w:val="FFFFFF"/>
        </w:rPr>
        <w:t>Element</w:t>
      </w:r>
      <w:r>
        <w:rPr>
          <w:sz w:val="20"/>
          <w:szCs w:val="20"/>
          <w:color w:val="auto"/>
        </w:rPr>
        <w:tab/>
      </w:r>
      <w:r>
        <w:rPr>
          <w:rFonts w:ascii="Arial" w:cs="Arial" w:eastAsia="Arial" w:hAnsi="Arial"/>
          <w:sz w:val="14"/>
          <w:szCs w:val="14"/>
          <w:b w:val="1"/>
          <w:bCs w:val="1"/>
          <w:color w:val="FFFFFF"/>
        </w:rPr>
        <w:t>Key Characteristics</w:t>
      </w:r>
      <w:r>
        <w:rPr>
          <w:sz w:val="20"/>
          <w:szCs w:val="20"/>
          <w:color w:val="auto"/>
        </w:rPr>
        <w:tab/>
      </w:r>
      <w:r>
        <w:rPr>
          <w:rFonts w:ascii="Arial" w:cs="Arial" w:eastAsia="Arial" w:hAnsi="Arial"/>
          <w:sz w:val="14"/>
          <w:szCs w:val="14"/>
          <w:b w:val="1"/>
          <w:bCs w:val="1"/>
          <w:color w:val="FFFFFF"/>
        </w:rPr>
        <w:t>Purpose</w:t>
      </w:r>
      <w:r>
        <w:rPr>
          <w:sz w:val="20"/>
          <w:szCs w:val="20"/>
          <w:color w:val="auto"/>
        </w:rPr>
        <w:tab/>
      </w:r>
      <w:r>
        <w:rPr>
          <w:rFonts w:ascii="Arial" w:cs="Arial" w:eastAsia="Arial" w:hAnsi="Arial"/>
          <w:sz w:val="14"/>
          <w:szCs w:val="14"/>
          <w:b w:val="1"/>
          <w:bCs w:val="1"/>
          <w:color w:val="FFFFFF"/>
        </w:rPr>
        <w:t>Key Fiscal 2020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3590" cy="15919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3590" cy="15919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4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6"/>
          <w:szCs w:val="16"/>
          <w:color w:val="auto"/>
        </w:rPr>
        <w:t>Health and</w:t>
      </w:r>
      <w:r>
        <w:rPr>
          <w:sz w:val="20"/>
          <w:szCs w:val="20"/>
          <w:color w:val="auto"/>
        </w:rPr>
        <w:tab/>
      </w:r>
      <w:r>
        <w:rPr>
          <w:rFonts w:ascii="Arial" w:cs="Arial" w:eastAsia="Arial" w:hAnsi="Arial"/>
          <w:sz w:val="16"/>
          <w:szCs w:val="16"/>
          <w:color w:val="auto"/>
        </w:rPr>
        <w:t>Includes medical and dental insurance;</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Welfare Benefits life, accidental death and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dismemberment insurance; and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disability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6"/>
          <w:szCs w:val="16"/>
          <w:color w:val="auto"/>
        </w:rPr>
        <w:t>Retirement</w:t>
      </w:r>
      <w:r>
        <w:rPr>
          <w:sz w:val="20"/>
          <w:szCs w:val="20"/>
          <w:color w:val="auto"/>
        </w:rPr>
        <w:tab/>
      </w:r>
      <w:r>
        <w:rPr>
          <w:rFonts w:ascii="Arial" w:cs="Arial" w:eastAsia="Arial" w:hAnsi="Arial"/>
          <w:sz w:val="16"/>
          <w:szCs w:val="16"/>
          <w:color w:val="auto"/>
        </w:rPr>
        <w:t>Includes a defined contribution</w:t>
      </w:r>
    </w:p>
    <w:p>
      <w:pPr>
        <w:spacing w:after="0" w:line="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6"/>
          <w:szCs w:val="16"/>
          <w:color w:val="auto"/>
        </w:rPr>
        <w:t>Plans</w:t>
      </w:r>
      <w:r>
        <w:rPr>
          <w:sz w:val="20"/>
          <w:szCs w:val="20"/>
          <w:color w:val="auto"/>
        </w:rPr>
        <w:tab/>
      </w:r>
      <w:r>
        <w:rPr>
          <w:rFonts w:ascii="Arial" w:cs="Arial" w:eastAsia="Arial" w:hAnsi="Arial"/>
          <w:sz w:val="16"/>
          <w:szCs w:val="16"/>
          <w:color w:val="auto"/>
        </w:rPr>
        <w:t>retirement plan and certain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nonqualified retirement plans.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Provide competitive health and welfare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Provide an opportunity for employees to save and prepare financially for retirement.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Effective as of the beginning of calendar 2020, changes were made to several of our health and welfare benefits for our U.S. office employees, including our named executive officers. These include a new medical plan offering, additional optional life insurance, enhanced disability benefits and enhanced and expanded voluntary benefit offerings.</w:t>
      </w:r>
    </w:p>
    <w:p>
      <w:pPr>
        <w:spacing w:after="0" w:line="235"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We also implemented new benefits to address the COVID-19 pandemic, including a special</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leave policy, fully covered virtual doctor visits without a co-pay, and permitted changes to dependent care flexible spending amounts.</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Although no significant changes were made to retirement plans for fiscal 2020, we implemented several of the CARES Act provisions, including providing for withdrawals from our Retirement Plan pursuant to the CARES Act consistent with actions taken by many other employers. No discretionary contributions were made for calendar 2020.</w:t>
      </w:r>
    </w:p>
    <w:p>
      <w:pPr>
        <w:spacing w:after="0" w:line="16" w:lineRule="exact"/>
        <w:rPr>
          <w:sz w:val="20"/>
          <w:szCs w:val="20"/>
          <w:color w:val="auto"/>
        </w:rPr>
      </w:pPr>
    </w:p>
    <w:p>
      <w:pPr>
        <w:sectPr>
          <w:pgSz w:w="11900" w:h="16838" w:orient="portrait"/>
          <w:cols w:equalWidth="0" w:num="3">
            <w:col w:w="4080" w:space="100"/>
            <w:col w:w="2760" w:space="80"/>
            <w:col w:w="422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1060" w:type="dxa"/>
            <w:vAlign w:val="bottom"/>
            <w:shd w:val="clear" w:color="auto" w:fill="D9D9D9"/>
          </w:tcPr>
          <w:p>
            <w:pPr>
              <w:ind w:left="40"/>
              <w:spacing w:after="0"/>
              <w:rPr>
                <w:sz w:val="20"/>
                <w:szCs w:val="20"/>
                <w:color w:val="auto"/>
              </w:rPr>
            </w:pPr>
            <w:r>
              <w:rPr>
                <w:rFonts w:ascii="Arial" w:cs="Arial" w:eastAsia="Arial" w:hAnsi="Arial"/>
                <w:sz w:val="16"/>
                <w:szCs w:val="16"/>
                <w:color w:val="auto"/>
              </w:rPr>
              <w:t>Perquisites</w:t>
            </w:r>
          </w:p>
        </w:tc>
        <w:tc>
          <w:tcPr>
            <w:tcW w:w="2860" w:type="dxa"/>
            <w:vAlign w:val="bottom"/>
            <w:shd w:val="clear" w:color="auto" w:fill="D9D9D9"/>
          </w:tcPr>
          <w:p>
            <w:pPr>
              <w:ind w:left="240"/>
              <w:spacing w:after="0"/>
              <w:rPr>
                <w:sz w:val="20"/>
                <w:szCs w:val="20"/>
                <w:color w:val="auto"/>
              </w:rPr>
            </w:pPr>
            <w:r>
              <w:rPr>
                <w:rFonts w:ascii="Arial" w:cs="Arial" w:eastAsia="Arial" w:hAnsi="Arial"/>
                <w:sz w:val="16"/>
                <w:szCs w:val="16"/>
                <w:color w:val="auto"/>
              </w:rPr>
              <w:t>Includes a financial planning</w:t>
            </w:r>
          </w:p>
        </w:tc>
        <w:tc>
          <w:tcPr>
            <w:tcW w:w="3060" w:type="dxa"/>
            <w:vAlign w:val="bottom"/>
            <w:shd w:val="clear" w:color="auto" w:fill="D9D9D9"/>
          </w:tcPr>
          <w:p>
            <w:pPr>
              <w:ind w:left="260"/>
              <w:spacing w:after="0"/>
              <w:rPr>
                <w:sz w:val="20"/>
                <w:szCs w:val="20"/>
                <w:color w:val="auto"/>
              </w:rPr>
            </w:pPr>
            <w:r>
              <w:rPr>
                <w:rFonts w:ascii="Arial" w:cs="Arial" w:eastAsia="Arial" w:hAnsi="Arial"/>
                <w:sz w:val="16"/>
                <w:szCs w:val="16"/>
                <w:color w:val="auto"/>
              </w:rPr>
              <w:t>Assist in promoting the personal</w:t>
            </w:r>
          </w:p>
        </w:tc>
        <w:tc>
          <w:tcPr>
            <w:tcW w:w="4260" w:type="dxa"/>
            <w:vAlign w:val="bottom"/>
            <w:shd w:val="clear" w:color="auto" w:fill="D9D9D9"/>
          </w:tcPr>
          <w:p>
            <w:pPr>
              <w:ind w:left="40"/>
              <w:spacing w:after="0"/>
              <w:rPr>
                <w:sz w:val="20"/>
                <w:szCs w:val="20"/>
                <w:color w:val="auto"/>
              </w:rPr>
            </w:pPr>
            <w:r>
              <w:rPr>
                <w:rFonts w:ascii="Arial" w:cs="Arial" w:eastAsia="Arial" w:hAnsi="Arial"/>
                <w:sz w:val="16"/>
                <w:szCs w:val="16"/>
                <w:color w:val="auto"/>
              </w:rPr>
              <w:t>No significant changes were made to perquisites for fiscal</w:t>
            </w:r>
          </w:p>
        </w:tc>
      </w:tr>
      <w:tr>
        <w:trPr>
          <w:trHeight w:val="188"/>
        </w:trPr>
        <w:tc>
          <w:tcPr>
            <w:tcW w:w="1060" w:type="dxa"/>
            <w:vAlign w:val="bottom"/>
            <w:shd w:val="clear" w:color="auto" w:fill="D9D9D9"/>
          </w:tcPr>
          <w:p>
            <w:pPr>
              <w:spacing w:after="0"/>
              <w:rPr>
                <w:sz w:val="16"/>
                <w:szCs w:val="16"/>
                <w:color w:val="auto"/>
              </w:rPr>
            </w:pPr>
          </w:p>
        </w:tc>
        <w:tc>
          <w:tcPr>
            <w:tcW w:w="2860" w:type="dxa"/>
            <w:vAlign w:val="bottom"/>
            <w:shd w:val="clear" w:color="auto" w:fill="D9D9D9"/>
          </w:tcPr>
          <w:p>
            <w:pPr>
              <w:ind w:left="240"/>
              <w:spacing w:after="0"/>
              <w:rPr>
                <w:sz w:val="20"/>
                <w:szCs w:val="20"/>
                <w:color w:val="auto"/>
              </w:rPr>
            </w:pPr>
            <w:r>
              <w:rPr>
                <w:rFonts w:ascii="Arial" w:cs="Arial" w:eastAsia="Arial" w:hAnsi="Arial"/>
                <w:sz w:val="16"/>
                <w:szCs w:val="16"/>
                <w:color w:val="auto"/>
              </w:rPr>
              <w:t>allowance, Company products,</w:t>
            </w:r>
          </w:p>
        </w:tc>
        <w:tc>
          <w:tcPr>
            <w:tcW w:w="3060" w:type="dxa"/>
            <w:vAlign w:val="bottom"/>
            <w:shd w:val="clear" w:color="auto" w:fill="D9D9D9"/>
          </w:tcPr>
          <w:p>
            <w:pPr>
              <w:ind w:left="260"/>
              <w:spacing w:after="0"/>
              <w:rPr>
                <w:sz w:val="20"/>
                <w:szCs w:val="20"/>
                <w:color w:val="auto"/>
              </w:rPr>
            </w:pPr>
            <w:r>
              <w:rPr>
                <w:rFonts w:ascii="Arial" w:cs="Arial" w:eastAsia="Arial" w:hAnsi="Arial"/>
                <w:sz w:val="16"/>
                <w:szCs w:val="16"/>
                <w:color w:val="auto"/>
              </w:rPr>
              <w:t>financial security of our executive</w:t>
            </w:r>
          </w:p>
        </w:tc>
        <w:tc>
          <w:tcPr>
            <w:tcW w:w="4260" w:type="dxa"/>
            <w:vAlign w:val="bottom"/>
            <w:shd w:val="clear" w:color="auto" w:fill="D9D9D9"/>
          </w:tcPr>
          <w:p>
            <w:pPr>
              <w:ind w:left="40"/>
              <w:spacing w:after="0"/>
              <w:rPr>
                <w:sz w:val="20"/>
                <w:szCs w:val="20"/>
                <w:color w:val="auto"/>
              </w:rPr>
            </w:pPr>
            <w:r>
              <w:rPr>
                <w:rFonts w:ascii="Arial" w:cs="Arial" w:eastAsia="Arial" w:hAnsi="Arial"/>
                <w:sz w:val="16"/>
                <w:szCs w:val="16"/>
                <w:color w:val="auto"/>
              </w:rPr>
              <w:t>2020.</w:t>
            </w:r>
          </w:p>
        </w:tc>
      </w:tr>
      <w:tr>
        <w:trPr>
          <w:trHeight w:val="188"/>
        </w:trPr>
        <w:tc>
          <w:tcPr>
            <w:tcW w:w="1060" w:type="dxa"/>
            <w:vAlign w:val="bottom"/>
            <w:shd w:val="clear" w:color="auto" w:fill="D9D9D9"/>
          </w:tcPr>
          <w:p>
            <w:pPr>
              <w:spacing w:after="0"/>
              <w:rPr>
                <w:sz w:val="16"/>
                <w:szCs w:val="16"/>
                <w:color w:val="auto"/>
              </w:rPr>
            </w:pPr>
          </w:p>
        </w:tc>
        <w:tc>
          <w:tcPr>
            <w:tcW w:w="2860" w:type="dxa"/>
            <w:vAlign w:val="bottom"/>
            <w:shd w:val="clear" w:color="auto" w:fill="D9D9D9"/>
          </w:tcPr>
          <w:p>
            <w:pPr>
              <w:ind w:left="240"/>
              <w:spacing w:after="0"/>
              <w:rPr>
                <w:sz w:val="20"/>
                <w:szCs w:val="20"/>
                <w:color w:val="auto"/>
              </w:rPr>
            </w:pPr>
            <w:r>
              <w:rPr>
                <w:rFonts w:ascii="Arial" w:cs="Arial" w:eastAsia="Arial" w:hAnsi="Arial"/>
                <w:sz w:val="16"/>
                <w:szCs w:val="16"/>
                <w:color w:val="auto"/>
              </w:rPr>
              <w:t>company-leased automobile, and</w:t>
            </w:r>
          </w:p>
        </w:tc>
        <w:tc>
          <w:tcPr>
            <w:tcW w:w="3060" w:type="dxa"/>
            <w:vAlign w:val="bottom"/>
            <w:shd w:val="clear" w:color="auto" w:fill="D9D9D9"/>
          </w:tcPr>
          <w:p>
            <w:pPr>
              <w:ind w:left="260"/>
              <w:spacing w:after="0"/>
              <w:rPr>
                <w:sz w:val="20"/>
                <w:szCs w:val="20"/>
                <w:color w:val="auto"/>
              </w:rPr>
            </w:pPr>
            <w:r>
              <w:rPr>
                <w:rFonts w:ascii="Arial" w:cs="Arial" w:eastAsia="Arial" w:hAnsi="Arial"/>
                <w:sz w:val="16"/>
                <w:szCs w:val="16"/>
                <w:color w:val="auto"/>
              </w:rPr>
              <w:t>officers; promote the personal use of</w:t>
            </w:r>
          </w:p>
        </w:tc>
        <w:tc>
          <w:tcPr>
            <w:tcW w:w="4260" w:type="dxa"/>
            <w:vAlign w:val="bottom"/>
            <w:shd w:val="clear" w:color="auto" w:fill="D9D9D9"/>
          </w:tcPr>
          <w:p>
            <w:pPr>
              <w:spacing w:after="0"/>
              <w:rPr>
                <w:sz w:val="16"/>
                <w:szCs w:val="16"/>
                <w:color w:val="auto"/>
              </w:rPr>
            </w:pPr>
          </w:p>
        </w:tc>
      </w:tr>
      <w:tr>
        <w:trPr>
          <w:trHeight w:val="188"/>
        </w:trPr>
        <w:tc>
          <w:tcPr>
            <w:tcW w:w="1060" w:type="dxa"/>
            <w:vAlign w:val="bottom"/>
            <w:shd w:val="clear" w:color="auto" w:fill="D9D9D9"/>
          </w:tcPr>
          <w:p>
            <w:pPr>
              <w:spacing w:after="0"/>
              <w:rPr>
                <w:sz w:val="16"/>
                <w:szCs w:val="16"/>
                <w:color w:val="auto"/>
              </w:rPr>
            </w:pPr>
          </w:p>
        </w:tc>
        <w:tc>
          <w:tcPr>
            <w:tcW w:w="2860" w:type="dxa"/>
            <w:vAlign w:val="bottom"/>
            <w:shd w:val="clear" w:color="auto" w:fill="D9D9D9"/>
          </w:tcPr>
          <w:p>
            <w:pPr>
              <w:ind w:left="240"/>
              <w:spacing w:after="0"/>
              <w:rPr>
                <w:sz w:val="20"/>
                <w:szCs w:val="20"/>
                <w:color w:val="auto"/>
              </w:rPr>
            </w:pPr>
            <w:r>
              <w:rPr>
                <w:rFonts w:ascii="Arial" w:cs="Arial" w:eastAsia="Arial" w:hAnsi="Arial"/>
                <w:sz w:val="16"/>
                <w:szCs w:val="16"/>
                <w:color w:val="auto"/>
              </w:rPr>
              <w:t>executive physical.</w:t>
            </w:r>
          </w:p>
        </w:tc>
        <w:tc>
          <w:tcPr>
            <w:tcW w:w="3060" w:type="dxa"/>
            <w:vAlign w:val="bottom"/>
            <w:shd w:val="clear" w:color="auto" w:fill="D9D9D9"/>
          </w:tcPr>
          <w:p>
            <w:pPr>
              <w:ind w:left="260"/>
              <w:spacing w:after="0"/>
              <w:rPr>
                <w:sz w:val="20"/>
                <w:szCs w:val="20"/>
                <w:color w:val="auto"/>
              </w:rPr>
            </w:pPr>
            <w:r>
              <w:rPr>
                <w:rFonts w:ascii="Arial" w:cs="Arial" w:eastAsia="Arial" w:hAnsi="Arial"/>
                <w:sz w:val="16"/>
                <w:szCs w:val="16"/>
                <w:color w:val="auto"/>
              </w:rPr>
              <w:t>our products by our executive officers;</w:t>
            </w:r>
          </w:p>
        </w:tc>
        <w:tc>
          <w:tcPr>
            <w:tcW w:w="4260" w:type="dxa"/>
            <w:vAlign w:val="bottom"/>
            <w:shd w:val="clear" w:color="auto" w:fill="D9D9D9"/>
          </w:tcPr>
          <w:p>
            <w:pPr>
              <w:spacing w:after="0"/>
              <w:rPr>
                <w:sz w:val="16"/>
                <w:szCs w:val="16"/>
                <w:color w:val="auto"/>
              </w:rPr>
            </w:pPr>
          </w:p>
        </w:tc>
      </w:tr>
      <w:tr>
        <w:trPr>
          <w:trHeight w:val="188"/>
        </w:trPr>
        <w:tc>
          <w:tcPr>
            <w:tcW w:w="1060" w:type="dxa"/>
            <w:vAlign w:val="bottom"/>
            <w:shd w:val="clear" w:color="auto" w:fill="D9D9D9"/>
          </w:tcPr>
          <w:p>
            <w:pPr>
              <w:spacing w:after="0"/>
              <w:rPr>
                <w:sz w:val="16"/>
                <w:szCs w:val="16"/>
                <w:color w:val="auto"/>
              </w:rPr>
            </w:pPr>
          </w:p>
        </w:tc>
        <w:tc>
          <w:tcPr>
            <w:tcW w:w="2860" w:type="dxa"/>
            <w:vAlign w:val="bottom"/>
            <w:shd w:val="clear" w:color="auto" w:fill="D9D9D9"/>
          </w:tcPr>
          <w:p>
            <w:pPr>
              <w:spacing w:after="0"/>
              <w:rPr>
                <w:sz w:val="16"/>
                <w:szCs w:val="16"/>
                <w:color w:val="auto"/>
              </w:rPr>
            </w:pPr>
          </w:p>
        </w:tc>
        <w:tc>
          <w:tcPr>
            <w:tcW w:w="3060" w:type="dxa"/>
            <w:vAlign w:val="bottom"/>
            <w:shd w:val="clear" w:color="auto" w:fill="D9D9D9"/>
          </w:tcPr>
          <w:p>
            <w:pPr>
              <w:ind w:left="260"/>
              <w:spacing w:after="0"/>
              <w:rPr>
                <w:sz w:val="20"/>
                <w:szCs w:val="20"/>
                <w:color w:val="auto"/>
              </w:rPr>
            </w:pPr>
            <w:r>
              <w:rPr>
                <w:rFonts w:ascii="Arial" w:cs="Arial" w:eastAsia="Arial" w:hAnsi="Arial"/>
                <w:sz w:val="16"/>
                <w:szCs w:val="16"/>
                <w:color w:val="auto"/>
              </w:rPr>
              <w:t>promote the attraction and retention of</w:t>
            </w:r>
          </w:p>
        </w:tc>
        <w:tc>
          <w:tcPr>
            <w:tcW w:w="4260" w:type="dxa"/>
            <w:vAlign w:val="bottom"/>
            <w:shd w:val="clear" w:color="auto" w:fill="D9D9D9"/>
          </w:tcPr>
          <w:p>
            <w:pPr>
              <w:spacing w:after="0"/>
              <w:rPr>
                <w:sz w:val="16"/>
                <w:szCs w:val="16"/>
                <w:color w:val="auto"/>
              </w:rPr>
            </w:pPr>
          </w:p>
        </w:tc>
      </w:tr>
      <w:tr>
        <w:trPr>
          <w:trHeight w:val="188"/>
        </w:trPr>
        <w:tc>
          <w:tcPr>
            <w:tcW w:w="1060" w:type="dxa"/>
            <w:vAlign w:val="bottom"/>
            <w:shd w:val="clear" w:color="auto" w:fill="D9D9D9"/>
          </w:tcPr>
          <w:p>
            <w:pPr>
              <w:spacing w:after="0"/>
              <w:rPr>
                <w:sz w:val="16"/>
                <w:szCs w:val="16"/>
                <w:color w:val="auto"/>
              </w:rPr>
            </w:pPr>
          </w:p>
        </w:tc>
        <w:tc>
          <w:tcPr>
            <w:tcW w:w="2860" w:type="dxa"/>
            <w:vAlign w:val="bottom"/>
            <w:shd w:val="clear" w:color="auto" w:fill="D9D9D9"/>
          </w:tcPr>
          <w:p>
            <w:pPr>
              <w:spacing w:after="0"/>
              <w:rPr>
                <w:sz w:val="16"/>
                <w:szCs w:val="16"/>
                <w:color w:val="auto"/>
              </w:rPr>
            </w:pPr>
          </w:p>
        </w:tc>
        <w:tc>
          <w:tcPr>
            <w:tcW w:w="3060" w:type="dxa"/>
            <w:vAlign w:val="bottom"/>
            <w:shd w:val="clear" w:color="auto" w:fill="D9D9D9"/>
          </w:tcPr>
          <w:p>
            <w:pPr>
              <w:ind w:left="260"/>
              <w:spacing w:after="0"/>
              <w:rPr>
                <w:sz w:val="20"/>
                <w:szCs w:val="20"/>
                <w:color w:val="auto"/>
              </w:rPr>
            </w:pPr>
            <w:r>
              <w:rPr>
                <w:rFonts w:ascii="Arial" w:cs="Arial" w:eastAsia="Arial" w:hAnsi="Arial"/>
                <w:sz w:val="16"/>
                <w:szCs w:val="16"/>
                <w:color w:val="auto"/>
              </w:rPr>
              <w:t>our executive officers; and promote the</w:t>
            </w:r>
          </w:p>
        </w:tc>
        <w:tc>
          <w:tcPr>
            <w:tcW w:w="4260" w:type="dxa"/>
            <w:vAlign w:val="bottom"/>
            <w:shd w:val="clear" w:color="auto" w:fill="D9D9D9"/>
          </w:tcPr>
          <w:p>
            <w:pPr>
              <w:spacing w:after="0"/>
              <w:rPr>
                <w:sz w:val="16"/>
                <w:szCs w:val="16"/>
                <w:color w:val="auto"/>
              </w:rPr>
            </w:pPr>
          </w:p>
        </w:tc>
      </w:tr>
      <w:tr>
        <w:trPr>
          <w:trHeight w:val="213"/>
        </w:trPr>
        <w:tc>
          <w:tcPr>
            <w:tcW w:w="1060" w:type="dxa"/>
            <w:vAlign w:val="bottom"/>
            <w:shd w:val="clear" w:color="auto" w:fill="D9D9D9"/>
          </w:tcPr>
          <w:p>
            <w:pPr>
              <w:spacing w:after="0"/>
              <w:rPr>
                <w:sz w:val="18"/>
                <w:szCs w:val="18"/>
                <w:color w:val="auto"/>
              </w:rPr>
            </w:pPr>
          </w:p>
        </w:tc>
        <w:tc>
          <w:tcPr>
            <w:tcW w:w="2860" w:type="dxa"/>
            <w:vAlign w:val="bottom"/>
            <w:shd w:val="clear" w:color="auto" w:fill="D9D9D9"/>
          </w:tcPr>
          <w:p>
            <w:pPr>
              <w:spacing w:after="0"/>
              <w:rPr>
                <w:sz w:val="18"/>
                <w:szCs w:val="18"/>
                <w:color w:val="auto"/>
              </w:rPr>
            </w:pPr>
          </w:p>
        </w:tc>
        <w:tc>
          <w:tcPr>
            <w:tcW w:w="3060" w:type="dxa"/>
            <w:vAlign w:val="bottom"/>
            <w:shd w:val="clear" w:color="auto" w:fill="D9D9D9"/>
          </w:tcPr>
          <w:p>
            <w:pPr>
              <w:ind w:left="260"/>
              <w:spacing w:after="0"/>
              <w:rPr>
                <w:sz w:val="20"/>
                <w:szCs w:val="20"/>
                <w:color w:val="auto"/>
              </w:rPr>
            </w:pPr>
            <w:r>
              <w:rPr>
                <w:rFonts w:ascii="Arial" w:cs="Arial" w:eastAsia="Arial" w:hAnsi="Arial"/>
                <w:sz w:val="16"/>
                <w:szCs w:val="16"/>
                <w:color w:val="auto"/>
              </w:rPr>
              <w:t>wellbeing of our executive officers.</w:t>
            </w:r>
          </w:p>
        </w:tc>
        <w:tc>
          <w:tcPr>
            <w:tcW w:w="4260" w:type="dxa"/>
            <w:vAlign w:val="bottom"/>
            <w:shd w:val="clear" w:color="auto" w:fill="D9D9D9"/>
          </w:tcPr>
          <w:p>
            <w:pPr>
              <w:spacing w:after="0"/>
              <w:rPr>
                <w:sz w:val="18"/>
                <w:szCs w:val="18"/>
                <w:color w:val="auto"/>
              </w:rPr>
            </w:pPr>
          </w:p>
        </w:tc>
      </w:tr>
    </w:tbl>
    <w:p>
      <w:pPr>
        <w:spacing w:after="0" w:line="106" w:lineRule="exact"/>
        <w:rPr>
          <w:sz w:val="20"/>
          <w:szCs w:val="20"/>
          <w:color w:val="auto"/>
        </w:rPr>
      </w:pPr>
    </w:p>
    <w:p>
      <w:pPr>
        <w:ind w:right="1120" w:firstLine="401"/>
        <w:spacing w:after="0"/>
        <w:rPr>
          <w:sz w:val="20"/>
          <w:szCs w:val="20"/>
          <w:color w:val="auto"/>
        </w:rPr>
      </w:pPr>
      <w:r>
        <w:rPr>
          <w:rFonts w:ascii="Arial" w:cs="Arial" w:eastAsia="Arial" w:hAnsi="Arial"/>
          <w:sz w:val="18"/>
          <w:szCs w:val="18"/>
          <w:color w:val="auto"/>
        </w:rPr>
        <w:t>We describe each key element of our executive compensation program in more detail in the following pages, along with the compensation decisions made in fiscal 2020.</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Base Salary.</w:t>
      </w:r>
    </w:p>
    <w:p>
      <w:pPr>
        <w:spacing w:after="0" w:line="105" w:lineRule="exact"/>
        <w:rPr>
          <w:sz w:val="20"/>
          <w:szCs w:val="20"/>
          <w:color w:val="auto"/>
        </w:rPr>
      </w:pPr>
    </w:p>
    <w:p>
      <w:pPr>
        <w:ind w:right="160" w:firstLine="401"/>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review base salaries for our executive officers on an annual basis to ensure that they remain market competitive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reflect the scope and responsibility of their positions. Base salaries for our executive officers are reviewed and discussed at the regular meeting of the Compensation &amp; Human Resources Committee held in November or December of each year. Additionally, base salaries for executive officers are periodically reviewed upon a significant change in an executive officer’s responsibilities or role or for broad-based mid-year changes like the COVID-19 related salary reductions.</w:t>
      </w:r>
    </w:p>
    <w:p>
      <w:pPr>
        <w:spacing w:after="0" w:line="78" w:lineRule="exact"/>
        <w:rPr>
          <w:sz w:val="20"/>
          <w:szCs w:val="20"/>
          <w:color w:val="auto"/>
        </w:rPr>
      </w:pPr>
    </w:p>
    <w:p>
      <w:pPr>
        <w:ind w:right="20" w:firstLine="401"/>
        <w:spacing w:after="0" w:line="238" w:lineRule="auto"/>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When we recommended fiscal 2020 base salaries for our named executive officers, the following factors were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current base salary; positioning relative to competitive market data; scope and complexity of the position; experience; tenure; historical and current levels of function, division, and individual performance; future potential; and internal pay comparisons. Subsequent to the determination of fiscal 2020 salaries, annual base salaries for our executive officers and other certain employees were reduced on a tiered structure, effective as of May 1, 2020 for the remainder of fiscal 2020 as a result of the uncertainty of the COVID-19 pandemic on our business at that time. In addition, effective as of May 16, 2020, the annual base salary for Mr. Rodier was increased in connection with his expanded responsibilities for our contractor and residential businesses.</w:t>
      </w:r>
    </w:p>
    <w:p>
      <w:pPr>
        <w:spacing w:after="0" w:line="96" w:lineRule="exact"/>
        <w:rPr>
          <w:sz w:val="20"/>
          <w:szCs w:val="20"/>
          <w:color w:val="auto"/>
        </w:rPr>
      </w:pPr>
    </w:p>
    <w:p>
      <w:pPr>
        <w:ind w:right="20" w:firstLine="401"/>
        <w:spacing w:after="0" w:line="236" w:lineRule="auto"/>
        <w:rPr>
          <w:sz w:val="20"/>
          <w:szCs w:val="20"/>
          <w:color w:val="auto"/>
        </w:rPr>
      </w:pPr>
      <w:r>
        <w:rPr>
          <w:rFonts w:ascii="Arial" w:cs="Arial" w:eastAsia="Arial" w:hAnsi="Arial"/>
          <w:sz w:val="18"/>
          <w:szCs w:val="18"/>
          <w:color w:val="auto"/>
        </w:rPr>
        <w:t>Fiscal 2020 annual base salaries, fiscal 2020 annual base salary increases compared to fiscal 2019 and fiscal 2020 annual base salaries compared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as of the time the fiscal 2020 base salaries were established at the beginning of fiscal 2020 are provided in the table below for our named executive officers. Additionally, the table reflects the COVID-19 related base salary reductions that were effective as of May 1, 2020 as well as the total base salary earnings for fiscal 2020. The total fiscal 2020 base salary earnings are also reflected in the “Salary” column of the “Summary Compensation Table” beginning on page 44.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shd w:val="clear" w:color="auto" w:fill="C00000"/>
          </w:tcPr>
          <w:p>
            <w:pPr>
              <w:spacing w:after="0"/>
              <w:rPr>
                <w:sz w:val="14"/>
                <w:szCs w:val="14"/>
                <w:color w:val="auto"/>
              </w:rPr>
            </w:pPr>
          </w:p>
        </w:tc>
        <w:tc>
          <w:tcPr>
            <w:tcW w:w="2240" w:type="dxa"/>
            <w:vAlign w:val="bottom"/>
            <w:shd w:val="clear" w:color="auto" w:fill="C00000"/>
          </w:tcPr>
          <w:p>
            <w:pPr>
              <w:spacing w:after="0"/>
              <w:rPr>
                <w:sz w:val="14"/>
                <w:szCs w:val="14"/>
                <w:color w:val="auto"/>
              </w:rPr>
            </w:pPr>
          </w:p>
        </w:tc>
        <w:tc>
          <w:tcPr>
            <w:tcW w:w="2520" w:type="dxa"/>
            <w:vAlign w:val="bottom"/>
            <w:shd w:val="clear" w:color="auto" w:fill="C00000"/>
          </w:tcPr>
          <w:p>
            <w:pPr>
              <w:spacing w:after="0"/>
              <w:rPr>
                <w:sz w:val="14"/>
                <w:szCs w:val="14"/>
                <w:color w:val="auto"/>
              </w:rPr>
            </w:pPr>
          </w:p>
        </w:tc>
        <w:tc>
          <w:tcPr>
            <w:tcW w:w="2640" w:type="dxa"/>
            <w:vAlign w:val="bottom"/>
            <w:shd w:val="clear" w:color="auto" w:fill="C00000"/>
          </w:tcPr>
          <w:p>
            <w:pPr>
              <w:spacing w:after="0"/>
              <w:rPr>
                <w:sz w:val="14"/>
                <w:szCs w:val="14"/>
                <w:color w:val="auto"/>
              </w:rPr>
            </w:pPr>
          </w:p>
        </w:tc>
        <w:tc>
          <w:tcPr>
            <w:tcW w:w="9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Base</w:t>
            </w:r>
          </w:p>
        </w:tc>
        <w:tc>
          <w:tcPr>
            <w:tcW w:w="1240" w:type="dxa"/>
            <w:vAlign w:val="bottom"/>
            <w:shd w:val="clear" w:color="auto" w:fill="C00000"/>
          </w:tcPr>
          <w:p>
            <w:pPr>
              <w:spacing w:after="0"/>
              <w:rPr>
                <w:sz w:val="14"/>
                <w:szCs w:val="14"/>
                <w:color w:val="auto"/>
              </w:rPr>
            </w:pPr>
          </w:p>
        </w:tc>
      </w:tr>
      <w:tr>
        <w:trPr>
          <w:trHeight w:val="161"/>
        </w:trPr>
        <w:tc>
          <w:tcPr>
            <w:tcW w:w="1700" w:type="dxa"/>
            <w:vAlign w:val="bottom"/>
            <w:shd w:val="clear" w:color="auto" w:fill="C00000"/>
          </w:tcPr>
          <w:p>
            <w:pPr>
              <w:spacing w:after="0"/>
              <w:rPr>
                <w:sz w:val="13"/>
                <w:szCs w:val="13"/>
                <w:color w:val="auto"/>
              </w:rPr>
            </w:pPr>
          </w:p>
        </w:tc>
        <w:tc>
          <w:tcPr>
            <w:tcW w:w="2240" w:type="dxa"/>
            <w:vAlign w:val="bottom"/>
            <w:shd w:val="clear" w:color="auto" w:fill="C00000"/>
          </w:tcPr>
          <w:p>
            <w:pPr>
              <w:jc w:val="center"/>
              <w:ind w:left="543"/>
              <w:spacing w:after="0"/>
              <w:rPr>
                <w:sz w:val="20"/>
                <w:szCs w:val="20"/>
                <w:color w:val="auto"/>
              </w:rPr>
            </w:pPr>
            <w:r>
              <w:rPr>
                <w:rFonts w:ascii="Arial" w:cs="Arial" w:eastAsia="Arial" w:hAnsi="Arial"/>
                <w:sz w:val="14"/>
                <w:szCs w:val="14"/>
                <w:b w:val="1"/>
                <w:bCs w:val="1"/>
                <w:color w:val="FFFFFF"/>
              </w:rPr>
              <w:t>Fiscal 2020</w:t>
            </w:r>
          </w:p>
        </w:tc>
        <w:tc>
          <w:tcPr>
            <w:tcW w:w="25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Fiscal 2020 Annual Base Salary</w:t>
            </w:r>
          </w:p>
        </w:tc>
        <w:tc>
          <w:tcPr>
            <w:tcW w:w="2640" w:type="dxa"/>
            <w:vAlign w:val="bottom"/>
            <w:shd w:val="clear" w:color="auto" w:fill="C00000"/>
          </w:tcPr>
          <w:p>
            <w:pPr>
              <w:spacing w:after="0"/>
              <w:rPr>
                <w:sz w:val="13"/>
                <w:szCs w:val="13"/>
                <w:color w:val="auto"/>
              </w:rPr>
            </w:pPr>
          </w:p>
        </w:tc>
        <w:tc>
          <w:tcPr>
            <w:tcW w:w="9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9"/>
              </w:rPr>
              <w:t>Salary</w:t>
            </w:r>
          </w:p>
        </w:tc>
        <w:tc>
          <w:tcPr>
            <w:tcW w:w="1240" w:type="dxa"/>
            <w:vAlign w:val="bottom"/>
            <w:shd w:val="clear" w:color="auto" w:fill="C00000"/>
          </w:tcPr>
          <w:p>
            <w:pPr>
              <w:jc w:val="center"/>
              <w:ind w:right="43"/>
              <w:spacing w:after="0"/>
              <w:rPr>
                <w:sz w:val="20"/>
                <w:szCs w:val="20"/>
                <w:color w:val="auto"/>
              </w:rPr>
            </w:pPr>
            <w:r>
              <w:rPr>
                <w:rFonts w:ascii="Arial" w:cs="Arial" w:eastAsia="Arial" w:hAnsi="Arial"/>
                <w:sz w:val="14"/>
                <w:szCs w:val="14"/>
                <w:b w:val="1"/>
                <w:bCs w:val="1"/>
                <w:color w:val="FFFFFF"/>
              </w:rPr>
              <w:t>Fiscal 2020</w:t>
            </w:r>
          </w:p>
        </w:tc>
      </w:tr>
      <w:tr>
        <w:trPr>
          <w:trHeight w:val="157"/>
        </w:trPr>
        <w:tc>
          <w:tcPr>
            <w:tcW w:w="1700" w:type="dxa"/>
            <w:vAlign w:val="bottom"/>
            <w:shd w:val="clear" w:color="auto" w:fill="C00000"/>
          </w:tcPr>
          <w:p>
            <w:pPr>
              <w:spacing w:after="0"/>
              <w:rPr>
                <w:sz w:val="13"/>
                <w:szCs w:val="13"/>
                <w:color w:val="auto"/>
              </w:rPr>
            </w:pPr>
          </w:p>
        </w:tc>
        <w:tc>
          <w:tcPr>
            <w:tcW w:w="2240" w:type="dxa"/>
            <w:vAlign w:val="bottom"/>
            <w:shd w:val="clear" w:color="auto" w:fill="C00000"/>
          </w:tcPr>
          <w:p>
            <w:pPr>
              <w:jc w:val="center"/>
              <w:ind w:left="543"/>
              <w:spacing w:after="0" w:line="157" w:lineRule="exact"/>
              <w:rPr>
                <w:sz w:val="20"/>
                <w:szCs w:val="20"/>
                <w:color w:val="auto"/>
              </w:rPr>
            </w:pPr>
            <w:r>
              <w:rPr>
                <w:rFonts w:ascii="Arial" w:cs="Arial" w:eastAsia="Arial" w:hAnsi="Arial"/>
                <w:sz w:val="14"/>
                <w:szCs w:val="14"/>
                <w:b w:val="1"/>
                <w:bCs w:val="1"/>
                <w:color w:val="FFFFFF"/>
              </w:rPr>
              <w:t>Annual Base Salary</w:t>
            </w:r>
          </w:p>
        </w:tc>
        <w:tc>
          <w:tcPr>
            <w:tcW w:w="2520" w:type="dxa"/>
            <w:vAlign w:val="bottom"/>
            <w:shd w:val="clear" w:color="auto" w:fill="C00000"/>
          </w:tcPr>
          <w:p>
            <w:pPr>
              <w:jc w:val="center"/>
              <w:spacing w:after="0" w:line="157" w:lineRule="exact"/>
              <w:rPr>
                <w:sz w:val="20"/>
                <w:szCs w:val="20"/>
                <w:color w:val="auto"/>
              </w:rPr>
            </w:pPr>
            <w:r>
              <w:rPr>
                <w:rFonts w:ascii="Arial" w:cs="Arial" w:eastAsia="Arial" w:hAnsi="Arial"/>
                <w:sz w:val="14"/>
                <w:szCs w:val="14"/>
                <w:b w:val="1"/>
                <w:bCs w:val="1"/>
                <w:color w:val="FFFFFF"/>
              </w:rPr>
              <w:t>Change Compared to Fiscal 2019</w:t>
            </w:r>
          </w:p>
        </w:tc>
        <w:tc>
          <w:tcPr>
            <w:tcW w:w="2640" w:type="dxa"/>
            <w:vAlign w:val="bottom"/>
            <w:shd w:val="clear" w:color="auto" w:fill="C00000"/>
          </w:tcPr>
          <w:p>
            <w:pPr>
              <w:jc w:val="right"/>
              <w:ind w:right="164"/>
              <w:spacing w:after="0" w:line="157" w:lineRule="exact"/>
              <w:rPr>
                <w:sz w:val="20"/>
                <w:szCs w:val="20"/>
                <w:color w:val="auto"/>
              </w:rPr>
            </w:pPr>
            <w:r>
              <w:rPr>
                <w:rFonts w:ascii="Arial" w:cs="Arial" w:eastAsia="Arial" w:hAnsi="Arial"/>
                <w:sz w:val="14"/>
                <w:szCs w:val="14"/>
                <w:b w:val="1"/>
                <w:bCs w:val="1"/>
                <w:color w:val="FFFFFF"/>
              </w:rPr>
              <w:t>Fiscal 2020 Annual Base Salary</w:t>
            </w:r>
          </w:p>
        </w:tc>
        <w:tc>
          <w:tcPr>
            <w:tcW w:w="900" w:type="dxa"/>
            <w:vAlign w:val="bottom"/>
            <w:shd w:val="clear" w:color="auto" w:fill="C00000"/>
          </w:tcPr>
          <w:p>
            <w:pPr>
              <w:jc w:val="right"/>
              <w:ind w:right="44"/>
              <w:spacing w:after="0" w:line="157" w:lineRule="exact"/>
              <w:rPr>
                <w:sz w:val="20"/>
                <w:szCs w:val="20"/>
                <w:color w:val="auto"/>
              </w:rPr>
            </w:pPr>
            <w:r>
              <w:rPr>
                <w:rFonts w:ascii="Arial" w:cs="Arial" w:eastAsia="Arial" w:hAnsi="Arial"/>
                <w:sz w:val="14"/>
                <w:szCs w:val="14"/>
                <w:b w:val="1"/>
                <w:bCs w:val="1"/>
                <w:color w:val="FFFFFF"/>
              </w:rPr>
              <w:t>Reduction</w:t>
            </w:r>
          </w:p>
        </w:tc>
        <w:tc>
          <w:tcPr>
            <w:tcW w:w="1240" w:type="dxa"/>
            <w:vAlign w:val="bottom"/>
            <w:shd w:val="clear" w:color="auto" w:fill="C00000"/>
          </w:tcPr>
          <w:p>
            <w:pPr>
              <w:jc w:val="center"/>
              <w:ind w:right="43"/>
              <w:spacing w:after="0" w:line="157" w:lineRule="exact"/>
              <w:rPr>
                <w:sz w:val="20"/>
                <w:szCs w:val="20"/>
                <w:color w:val="auto"/>
              </w:rPr>
            </w:pPr>
            <w:r>
              <w:rPr>
                <w:rFonts w:ascii="Arial" w:cs="Arial" w:eastAsia="Arial" w:hAnsi="Arial"/>
                <w:sz w:val="14"/>
                <w:szCs w:val="14"/>
                <w:b w:val="1"/>
                <w:bCs w:val="1"/>
                <w:color w:val="FFFFFF"/>
              </w:rPr>
              <w:t>Base Salary</w:t>
            </w:r>
          </w:p>
        </w:tc>
      </w:tr>
      <w:tr>
        <w:trPr>
          <w:trHeight w:val="178"/>
        </w:trPr>
        <w:tc>
          <w:tcPr>
            <w:tcW w:w="170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2240" w:type="dxa"/>
            <w:vAlign w:val="bottom"/>
            <w:shd w:val="clear" w:color="auto" w:fill="C00000"/>
          </w:tcPr>
          <w:p>
            <w:pPr>
              <w:jc w:val="center"/>
              <w:ind w:left="543"/>
              <w:spacing w:after="0"/>
              <w:rPr>
                <w:sz w:val="20"/>
                <w:szCs w:val="20"/>
                <w:color w:val="auto"/>
              </w:rPr>
            </w:pPr>
            <w:r>
              <w:rPr>
                <w:rFonts w:ascii="Arial" w:cs="Arial" w:eastAsia="Arial" w:hAnsi="Arial"/>
                <w:sz w:val="14"/>
                <w:szCs w:val="14"/>
                <w:b w:val="1"/>
                <w:bCs w:val="1"/>
                <w:color w:val="FFFFFF"/>
              </w:rPr>
              <w:t>($)</w:t>
            </w:r>
          </w:p>
        </w:tc>
        <w:tc>
          <w:tcPr>
            <w:tcW w:w="25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2640" w:type="dxa"/>
            <w:vAlign w:val="bottom"/>
            <w:shd w:val="clear" w:color="auto" w:fill="C00000"/>
          </w:tcPr>
          <w:p>
            <w:pPr>
              <w:jc w:val="right"/>
              <w:ind w:right="4"/>
              <w:spacing w:after="0" w:line="178" w:lineRule="exact"/>
              <w:rPr>
                <w:sz w:val="20"/>
                <w:szCs w:val="20"/>
                <w:color w:val="auto"/>
              </w:rPr>
            </w:pPr>
            <w:r>
              <w:rPr>
                <w:rFonts w:ascii="Arial" w:cs="Arial" w:eastAsia="Arial" w:hAnsi="Arial"/>
                <w:sz w:val="12"/>
                <w:szCs w:val="12"/>
                <w:b w:val="1"/>
                <w:bCs w:val="1"/>
                <w:color w:val="FFFFFF"/>
              </w:rPr>
              <w:t>Compared to Market 50</w:t>
            </w:r>
            <w:r>
              <w:rPr>
                <w:rFonts w:ascii="Arial" w:cs="Arial" w:eastAsia="Arial" w:hAnsi="Arial"/>
                <w:sz w:val="20"/>
                <w:szCs w:val="20"/>
                <w:b w:val="1"/>
                <w:bCs w:val="1"/>
                <w:color w:val="FFFFFF"/>
                <w:vertAlign w:val="superscript"/>
              </w:rPr>
              <w:t>th</w:t>
            </w:r>
            <w:r>
              <w:rPr>
                <w:rFonts w:ascii="Arial" w:cs="Arial" w:eastAsia="Arial" w:hAnsi="Arial"/>
                <w:sz w:val="12"/>
                <w:szCs w:val="12"/>
                <w:b w:val="1"/>
                <w:bCs w:val="1"/>
                <w:color w:val="FFFFFF"/>
              </w:rPr>
              <w:t xml:space="preserve"> Percentile</w:t>
            </w:r>
          </w:p>
        </w:tc>
        <w:tc>
          <w:tcPr>
            <w:tcW w:w="9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C00000"/>
          </w:tcPr>
          <w:p>
            <w:pPr>
              <w:jc w:val="center"/>
              <w:ind w:right="63"/>
              <w:spacing w:after="0"/>
              <w:rPr>
                <w:sz w:val="20"/>
                <w:szCs w:val="20"/>
                <w:color w:val="auto"/>
              </w:rPr>
            </w:pPr>
            <w:r>
              <w:rPr>
                <w:rFonts w:ascii="Arial" w:cs="Arial" w:eastAsia="Arial" w:hAnsi="Arial"/>
                <w:sz w:val="14"/>
                <w:szCs w:val="14"/>
                <w:b w:val="1"/>
                <w:bCs w:val="1"/>
                <w:color w:val="FFFFFF"/>
              </w:rPr>
              <w:t>Earnings ($)</w:t>
            </w:r>
          </w:p>
        </w:tc>
      </w:tr>
      <w:tr>
        <w:trPr>
          <w:trHeight w:val="201"/>
        </w:trPr>
        <w:tc>
          <w:tcPr>
            <w:tcW w:w="1700" w:type="dxa"/>
            <w:vAlign w:val="bottom"/>
          </w:tcPr>
          <w:p>
            <w:pPr>
              <w:spacing w:after="0"/>
              <w:rPr>
                <w:sz w:val="20"/>
                <w:szCs w:val="20"/>
                <w:color w:val="auto"/>
              </w:rPr>
            </w:pPr>
            <w:r>
              <w:rPr>
                <w:rFonts w:ascii="Arial" w:cs="Arial" w:eastAsia="Arial" w:hAnsi="Arial"/>
                <w:sz w:val="16"/>
                <w:szCs w:val="16"/>
                <w:color w:val="auto"/>
              </w:rPr>
              <w:t>Mr. Olson</w:t>
            </w:r>
          </w:p>
        </w:tc>
        <w:tc>
          <w:tcPr>
            <w:tcW w:w="2240" w:type="dxa"/>
            <w:vAlign w:val="bottom"/>
          </w:tcPr>
          <w:p>
            <w:pPr>
              <w:jc w:val="right"/>
              <w:ind w:right="43"/>
              <w:spacing w:after="0"/>
              <w:rPr>
                <w:sz w:val="20"/>
                <w:szCs w:val="20"/>
                <w:color w:val="auto"/>
              </w:rPr>
            </w:pPr>
            <w:r>
              <w:rPr>
                <w:rFonts w:ascii="Arial" w:cs="Arial" w:eastAsia="Arial" w:hAnsi="Arial"/>
                <w:sz w:val="16"/>
                <w:szCs w:val="16"/>
                <w:color w:val="auto"/>
              </w:rPr>
              <w:t>1,025,000</w:t>
            </w:r>
          </w:p>
        </w:tc>
        <w:tc>
          <w:tcPr>
            <w:tcW w:w="2520" w:type="dxa"/>
            <w:vAlign w:val="bottom"/>
          </w:tcPr>
          <w:p>
            <w:pPr>
              <w:jc w:val="right"/>
              <w:ind w:right="63"/>
              <w:spacing w:after="0"/>
              <w:rPr>
                <w:sz w:val="20"/>
                <w:szCs w:val="20"/>
                <w:color w:val="auto"/>
              </w:rPr>
            </w:pPr>
            <w:r>
              <w:rPr>
                <w:rFonts w:ascii="Arial" w:cs="Arial" w:eastAsia="Arial" w:hAnsi="Arial"/>
                <w:sz w:val="16"/>
                <w:szCs w:val="16"/>
                <w:color w:val="auto"/>
              </w:rPr>
              <w:t>10.8</w:t>
            </w:r>
          </w:p>
        </w:tc>
        <w:tc>
          <w:tcPr>
            <w:tcW w:w="2640" w:type="dxa"/>
            <w:vAlign w:val="bottom"/>
          </w:tcPr>
          <w:p>
            <w:pPr>
              <w:jc w:val="right"/>
              <w:ind w:right="4"/>
              <w:spacing w:after="0"/>
              <w:rPr>
                <w:sz w:val="20"/>
                <w:szCs w:val="20"/>
                <w:color w:val="auto"/>
              </w:rPr>
            </w:pPr>
            <w:r>
              <w:rPr>
                <w:rFonts w:ascii="Arial" w:cs="Arial" w:eastAsia="Arial" w:hAnsi="Arial"/>
                <w:sz w:val="16"/>
                <w:szCs w:val="16"/>
                <w:color w:val="auto"/>
              </w:rPr>
              <w:t>1% above</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30</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871,250</w:t>
            </w:r>
          </w:p>
        </w:tc>
      </w:tr>
      <w:tr>
        <w:trPr>
          <w:trHeight w:val="201"/>
        </w:trPr>
        <w:tc>
          <w:tcPr>
            <w:tcW w:w="170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2240" w:type="dxa"/>
            <w:vAlign w:val="bottom"/>
            <w:shd w:val="clear" w:color="auto" w:fill="D9D9D9"/>
          </w:tcPr>
          <w:p>
            <w:pPr>
              <w:jc w:val="right"/>
              <w:ind w:right="43"/>
              <w:spacing w:after="0"/>
              <w:rPr>
                <w:sz w:val="20"/>
                <w:szCs w:val="20"/>
                <w:color w:val="auto"/>
              </w:rPr>
            </w:pPr>
            <w:r>
              <w:rPr>
                <w:rFonts w:ascii="Arial" w:cs="Arial" w:eastAsia="Arial" w:hAnsi="Arial"/>
                <w:sz w:val="16"/>
                <w:szCs w:val="16"/>
                <w:color w:val="auto"/>
              </w:rPr>
              <w:t>552,000</w:t>
            </w:r>
          </w:p>
        </w:tc>
        <w:tc>
          <w:tcPr>
            <w:tcW w:w="2520" w:type="dxa"/>
            <w:vAlign w:val="bottom"/>
            <w:shd w:val="clear" w:color="auto" w:fill="D9D9D9"/>
          </w:tcPr>
          <w:p>
            <w:pPr>
              <w:jc w:val="right"/>
              <w:ind w:right="63"/>
              <w:spacing w:after="0"/>
              <w:rPr>
                <w:sz w:val="20"/>
                <w:szCs w:val="20"/>
                <w:color w:val="auto"/>
              </w:rPr>
            </w:pPr>
            <w:r>
              <w:rPr>
                <w:rFonts w:ascii="Arial" w:cs="Arial" w:eastAsia="Arial" w:hAnsi="Arial"/>
                <w:sz w:val="16"/>
                <w:szCs w:val="16"/>
                <w:color w:val="auto"/>
              </w:rPr>
              <w:t>3.1</w:t>
            </w:r>
          </w:p>
        </w:tc>
        <w:tc>
          <w:tcPr>
            <w:tcW w:w="2640" w:type="dxa"/>
            <w:vAlign w:val="bottom"/>
            <w:shd w:val="clear" w:color="auto" w:fill="D9D9D9"/>
          </w:tcPr>
          <w:p>
            <w:pPr>
              <w:jc w:val="right"/>
              <w:ind w:right="4"/>
              <w:spacing w:after="0"/>
              <w:rPr>
                <w:sz w:val="20"/>
                <w:szCs w:val="20"/>
                <w:color w:val="auto"/>
              </w:rPr>
            </w:pPr>
            <w:r>
              <w:rPr>
                <w:rFonts w:ascii="Arial" w:cs="Arial" w:eastAsia="Arial" w:hAnsi="Arial"/>
                <w:sz w:val="16"/>
                <w:szCs w:val="16"/>
                <w:color w:val="auto"/>
              </w:rPr>
              <w:t>1% below</w:t>
            </w:r>
          </w:p>
        </w:tc>
        <w:tc>
          <w:tcPr>
            <w:tcW w:w="900" w:type="dxa"/>
            <w:vAlign w:val="bottom"/>
            <w:shd w:val="clear" w:color="auto" w:fill="D9D9D9"/>
          </w:tcPr>
          <w:p>
            <w:pPr>
              <w:jc w:val="right"/>
              <w:ind w:right="44"/>
              <w:spacing w:after="0"/>
              <w:rPr>
                <w:sz w:val="20"/>
                <w:szCs w:val="20"/>
                <w:color w:val="auto"/>
              </w:rPr>
            </w:pPr>
            <w:r>
              <w:rPr>
                <w:rFonts w:ascii="Arial" w:cs="Arial" w:eastAsia="Arial" w:hAnsi="Arial"/>
                <w:sz w:val="16"/>
                <w:szCs w:val="16"/>
                <w:color w:val="auto"/>
              </w:rPr>
              <w:t>20</w:t>
            </w:r>
          </w:p>
        </w:tc>
        <w:tc>
          <w:tcPr>
            <w:tcW w:w="1240" w:type="dxa"/>
            <w:vAlign w:val="bottom"/>
            <w:shd w:val="clear" w:color="auto" w:fill="D9D9D9"/>
          </w:tcPr>
          <w:p>
            <w:pPr>
              <w:jc w:val="right"/>
              <w:ind w:right="43"/>
              <w:spacing w:after="0"/>
              <w:rPr>
                <w:sz w:val="20"/>
                <w:szCs w:val="20"/>
                <w:color w:val="auto"/>
              </w:rPr>
            </w:pPr>
            <w:r>
              <w:rPr>
                <w:rFonts w:ascii="Arial" w:cs="Arial" w:eastAsia="Arial" w:hAnsi="Arial"/>
                <w:sz w:val="16"/>
                <w:szCs w:val="16"/>
                <w:color w:val="auto"/>
              </w:rPr>
              <w:t>496,800</w:t>
            </w:r>
          </w:p>
        </w:tc>
      </w:tr>
      <w:tr>
        <w:trPr>
          <w:trHeight w:val="201"/>
        </w:trPr>
        <w:tc>
          <w:tcPr>
            <w:tcW w:w="1700" w:type="dxa"/>
            <w:vAlign w:val="bottom"/>
          </w:tcPr>
          <w:p>
            <w:pPr>
              <w:spacing w:after="0" w:line="201" w:lineRule="exact"/>
              <w:rPr>
                <w:sz w:val="20"/>
                <w:szCs w:val="20"/>
                <w:color w:val="auto"/>
              </w:rPr>
            </w:pPr>
            <w:r>
              <w:rPr>
                <w:rFonts w:ascii="Arial" w:cs="Arial" w:eastAsia="Arial" w:hAnsi="Arial"/>
                <w:sz w:val="14"/>
                <w:szCs w:val="14"/>
                <w:color w:val="auto"/>
              </w:rPr>
              <w:t>Mr. Rodier</w:t>
            </w:r>
            <w:r>
              <w:rPr>
                <w:rFonts w:ascii="Arial" w:cs="Arial" w:eastAsia="Arial" w:hAnsi="Arial"/>
                <w:sz w:val="23"/>
                <w:szCs w:val="23"/>
                <w:color w:val="auto"/>
                <w:vertAlign w:val="superscript"/>
              </w:rPr>
              <w:t>(1)</w:t>
            </w:r>
          </w:p>
        </w:tc>
        <w:tc>
          <w:tcPr>
            <w:tcW w:w="2240" w:type="dxa"/>
            <w:vAlign w:val="bottom"/>
          </w:tcPr>
          <w:p>
            <w:pPr>
              <w:jc w:val="right"/>
              <w:ind w:right="43"/>
              <w:spacing w:after="0"/>
              <w:rPr>
                <w:sz w:val="20"/>
                <w:szCs w:val="20"/>
                <w:color w:val="auto"/>
              </w:rPr>
            </w:pPr>
            <w:r>
              <w:rPr>
                <w:rFonts w:ascii="Arial" w:cs="Arial" w:eastAsia="Arial" w:hAnsi="Arial"/>
                <w:sz w:val="16"/>
                <w:szCs w:val="16"/>
                <w:color w:val="auto"/>
              </w:rPr>
              <w:t>500,000</w:t>
            </w:r>
          </w:p>
        </w:tc>
        <w:tc>
          <w:tcPr>
            <w:tcW w:w="2520" w:type="dxa"/>
            <w:vAlign w:val="bottom"/>
          </w:tcPr>
          <w:p>
            <w:pPr>
              <w:jc w:val="right"/>
              <w:ind w:right="63"/>
              <w:spacing w:after="0"/>
              <w:rPr>
                <w:sz w:val="20"/>
                <w:szCs w:val="20"/>
                <w:color w:val="auto"/>
              </w:rPr>
            </w:pPr>
            <w:r>
              <w:rPr>
                <w:rFonts w:ascii="Arial" w:cs="Arial" w:eastAsia="Arial" w:hAnsi="Arial"/>
                <w:sz w:val="16"/>
                <w:szCs w:val="16"/>
                <w:color w:val="auto"/>
              </w:rPr>
              <w:t>23.5</w:t>
            </w:r>
          </w:p>
        </w:tc>
        <w:tc>
          <w:tcPr>
            <w:tcW w:w="2640" w:type="dxa"/>
            <w:vAlign w:val="bottom"/>
          </w:tcPr>
          <w:p>
            <w:pPr>
              <w:jc w:val="right"/>
              <w:ind w:right="4"/>
              <w:spacing w:after="0"/>
              <w:rPr>
                <w:sz w:val="20"/>
                <w:szCs w:val="20"/>
                <w:color w:val="auto"/>
              </w:rPr>
            </w:pPr>
            <w:r>
              <w:rPr>
                <w:rFonts w:ascii="Arial" w:cs="Arial" w:eastAsia="Arial" w:hAnsi="Arial"/>
                <w:sz w:val="16"/>
                <w:szCs w:val="16"/>
                <w:color w:val="auto"/>
              </w:rPr>
              <w:t>4% below</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20</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399,333</w:t>
            </w:r>
          </w:p>
        </w:tc>
      </w:tr>
      <w:tr>
        <w:trPr>
          <w:trHeight w:val="201"/>
        </w:trPr>
        <w:tc>
          <w:tcPr>
            <w:tcW w:w="1700" w:type="dxa"/>
            <w:vAlign w:val="bottom"/>
            <w:shd w:val="clear" w:color="auto" w:fill="D9D9D9"/>
          </w:tcPr>
          <w:p>
            <w:pPr>
              <w:spacing w:after="0"/>
              <w:rPr>
                <w:sz w:val="20"/>
                <w:szCs w:val="20"/>
                <w:color w:val="auto"/>
              </w:rPr>
            </w:pPr>
            <w:r>
              <w:rPr>
                <w:rFonts w:ascii="Arial" w:cs="Arial" w:eastAsia="Arial" w:hAnsi="Arial"/>
                <w:sz w:val="16"/>
                <w:szCs w:val="16"/>
                <w:color w:val="auto"/>
              </w:rPr>
              <w:t>Mr. Hamilton</w:t>
            </w:r>
          </w:p>
        </w:tc>
        <w:tc>
          <w:tcPr>
            <w:tcW w:w="2240" w:type="dxa"/>
            <w:vAlign w:val="bottom"/>
            <w:shd w:val="clear" w:color="auto" w:fill="D9D9D9"/>
          </w:tcPr>
          <w:p>
            <w:pPr>
              <w:jc w:val="right"/>
              <w:ind w:right="43"/>
              <w:spacing w:after="0"/>
              <w:rPr>
                <w:sz w:val="20"/>
                <w:szCs w:val="20"/>
                <w:color w:val="auto"/>
              </w:rPr>
            </w:pPr>
            <w:r>
              <w:rPr>
                <w:rFonts w:ascii="Arial" w:cs="Arial" w:eastAsia="Arial" w:hAnsi="Arial"/>
                <w:sz w:val="16"/>
                <w:szCs w:val="16"/>
                <w:color w:val="auto"/>
              </w:rPr>
              <w:t>420,000</w:t>
            </w:r>
          </w:p>
        </w:tc>
        <w:tc>
          <w:tcPr>
            <w:tcW w:w="2520" w:type="dxa"/>
            <w:vAlign w:val="bottom"/>
            <w:shd w:val="clear" w:color="auto" w:fill="D9D9D9"/>
          </w:tcPr>
          <w:p>
            <w:pPr>
              <w:jc w:val="right"/>
              <w:ind w:right="63"/>
              <w:spacing w:after="0"/>
              <w:rPr>
                <w:sz w:val="20"/>
                <w:szCs w:val="20"/>
                <w:color w:val="auto"/>
              </w:rPr>
            </w:pPr>
            <w:r>
              <w:rPr>
                <w:rFonts w:ascii="Arial" w:cs="Arial" w:eastAsia="Arial" w:hAnsi="Arial"/>
                <w:sz w:val="16"/>
                <w:szCs w:val="16"/>
                <w:color w:val="auto"/>
              </w:rPr>
              <w:t>5.0</w:t>
            </w:r>
          </w:p>
        </w:tc>
        <w:tc>
          <w:tcPr>
            <w:tcW w:w="2640" w:type="dxa"/>
            <w:vAlign w:val="bottom"/>
            <w:shd w:val="clear" w:color="auto" w:fill="D9D9D9"/>
          </w:tcPr>
          <w:p>
            <w:pPr>
              <w:jc w:val="right"/>
              <w:ind w:right="4"/>
              <w:spacing w:after="0"/>
              <w:rPr>
                <w:sz w:val="20"/>
                <w:szCs w:val="20"/>
                <w:color w:val="auto"/>
              </w:rPr>
            </w:pPr>
            <w:r>
              <w:rPr>
                <w:rFonts w:ascii="Arial" w:cs="Arial" w:eastAsia="Arial" w:hAnsi="Arial"/>
                <w:sz w:val="16"/>
                <w:szCs w:val="16"/>
                <w:color w:val="auto"/>
              </w:rPr>
              <w:t>10% below</w:t>
            </w:r>
          </w:p>
        </w:tc>
        <w:tc>
          <w:tcPr>
            <w:tcW w:w="900" w:type="dxa"/>
            <w:vAlign w:val="bottom"/>
            <w:shd w:val="clear" w:color="auto" w:fill="D9D9D9"/>
          </w:tcPr>
          <w:p>
            <w:pPr>
              <w:jc w:val="right"/>
              <w:ind w:right="44"/>
              <w:spacing w:after="0"/>
              <w:rPr>
                <w:sz w:val="20"/>
                <w:szCs w:val="20"/>
                <w:color w:val="auto"/>
              </w:rPr>
            </w:pPr>
            <w:r>
              <w:rPr>
                <w:rFonts w:ascii="Arial" w:cs="Arial" w:eastAsia="Arial" w:hAnsi="Arial"/>
                <w:sz w:val="16"/>
                <w:szCs w:val="16"/>
                <w:color w:val="auto"/>
              </w:rPr>
              <w:t>20</w:t>
            </w:r>
          </w:p>
        </w:tc>
        <w:tc>
          <w:tcPr>
            <w:tcW w:w="1240" w:type="dxa"/>
            <w:vAlign w:val="bottom"/>
            <w:shd w:val="clear" w:color="auto" w:fill="D9D9D9"/>
          </w:tcPr>
          <w:p>
            <w:pPr>
              <w:jc w:val="right"/>
              <w:ind w:right="43"/>
              <w:spacing w:after="0"/>
              <w:rPr>
                <w:sz w:val="20"/>
                <w:szCs w:val="20"/>
                <w:color w:val="auto"/>
              </w:rPr>
            </w:pPr>
            <w:r>
              <w:rPr>
                <w:rFonts w:ascii="Arial" w:cs="Arial" w:eastAsia="Arial" w:hAnsi="Arial"/>
                <w:sz w:val="16"/>
                <w:szCs w:val="16"/>
                <w:color w:val="auto"/>
              </w:rPr>
              <w:t>378,000</w:t>
            </w:r>
          </w:p>
        </w:tc>
      </w:tr>
      <w:tr>
        <w:trPr>
          <w:trHeight w:val="360"/>
        </w:trPr>
        <w:tc>
          <w:tcPr>
            <w:tcW w:w="1700" w:type="dxa"/>
            <w:vAlign w:val="bottom"/>
          </w:tcPr>
          <w:p>
            <w:pPr>
              <w:spacing w:after="0"/>
              <w:rPr>
                <w:sz w:val="20"/>
                <w:szCs w:val="20"/>
                <w:color w:val="auto"/>
              </w:rPr>
            </w:pPr>
            <w:r>
              <w:rPr>
                <w:rFonts w:ascii="Arial" w:cs="Arial" w:eastAsia="Arial" w:hAnsi="Arial"/>
                <w:sz w:val="16"/>
                <w:szCs w:val="16"/>
                <w:color w:val="auto"/>
              </w:rPr>
              <w:t>Ms. Dahl</w:t>
            </w:r>
            <w:r>
              <w:rPr>
                <w:rFonts w:ascii="Arial" w:cs="Arial" w:eastAsia="Arial" w:hAnsi="Arial"/>
                <w:sz w:val="27"/>
                <w:szCs w:val="27"/>
                <w:color w:val="auto"/>
                <w:vertAlign w:val="superscript"/>
              </w:rPr>
              <w:t>(2)</w:t>
            </w:r>
          </w:p>
        </w:tc>
        <w:tc>
          <w:tcPr>
            <w:tcW w:w="2240" w:type="dxa"/>
            <w:vAlign w:val="bottom"/>
          </w:tcPr>
          <w:p>
            <w:pPr>
              <w:jc w:val="right"/>
              <w:ind w:right="43"/>
              <w:spacing w:after="0"/>
              <w:rPr>
                <w:sz w:val="20"/>
                <w:szCs w:val="20"/>
                <w:color w:val="auto"/>
              </w:rPr>
            </w:pPr>
            <w:r>
              <w:rPr>
                <w:rFonts w:ascii="Arial" w:cs="Arial" w:eastAsia="Arial" w:hAnsi="Arial"/>
                <w:sz w:val="16"/>
                <w:szCs w:val="16"/>
                <w:color w:val="auto"/>
              </w:rPr>
              <w:t>465,000</w:t>
            </w:r>
          </w:p>
        </w:tc>
        <w:tc>
          <w:tcPr>
            <w:tcW w:w="2520" w:type="dxa"/>
            <w:vAlign w:val="bottom"/>
          </w:tcPr>
          <w:p>
            <w:pPr>
              <w:jc w:val="right"/>
              <w:ind w:right="63"/>
              <w:spacing w:after="0"/>
              <w:rPr>
                <w:sz w:val="20"/>
                <w:szCs w:val="20"/>
                <w:color w:val="auto"/>
              </w:rPr>
            </w:pPr>
            <w:r>
              <w:rPr>
                <w:rFonts w:ascii="Arial" w:cs="Arial" w:eastAsia="Arial" w:hAnsi="Arial"/>
                <w:sz w:val="16"/>
                <w:szCs w:val="16"/>
                <w:color w:val="auto"/>
              </w:rPr>
              <w:t>16.3</w:t>
            </w:r>
          </w:p>
        </w:tc>
        <w:tc>
          <w:tcPr>
            <w:tcW w:w="2640" w:type="dxa"/>
            <w:vAlign w:val="bottom"/>
          </w:tcPr>
          <w:p>
            <w:pPr>
              <w:jc w:val="right"/>
              <w:ind w:right="4"/>
              <w:spacing w:after="0"/>
              <w:rPr>
                <w:sz w:val="20"/>
                <w:szCs w:val="20"/>
                <w:color w:val="auto"/>
              </w:rPr>
            </w:pPr>
            <w:r>
              <w:rPr>
                <w:rFonts w:ascii="Arial" w:cs="Arial" w:eastAsia="Arial" w:hAnsi="Arial"/>
                <w:sz w:val="16"/>
                <w:szCs w:val="16"/>
                <w:color w:val="auto"/>
              </w:rPr>
              <w:t>19% above</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20</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418,500</w:t>
            </w:r>
          </w:p>
        </w:tc>
      </w:tr>
    </w:tbl>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47" w:lineRule="exact"/>
        <w:rPr>
          <w:sz w:val="20"/>
          <w:szCs w:val="20"/>
          <w:color w:val="auto"/>
        </w:rPr>
      </w:pPr>
    </w:p>
    <w:p>
      <w:pPr>
        <w:ind w:left="400" w:right="160" w:hanging="393"/>
        <w:spacing w:after="0" w:line="236" w:lineRule="auto"/>
        <w:tabs>
          <w:tab w:leader="none" w:pos="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“Fiscal 2020 Annual Base Salary” reflects Mr. Rodier’s fiscal annual base salary as increased on May 16, 2020 in connection with his expanded responsibilities. “Fiscal 2020 Annual Base Salary Change Compared to Fiscal 2019” and “Fiscal 2020 Annual Base Salary Compared to Market 50</w:t>
      </w:r>
      <w:r>
        <w:rPr>
          <w:rFonts w:ascii="Arial" w:cs="Arial" w:eastAsia="Arial" w:hAnsi="Arial"/>
          <w:sz w:val="15"/>
          <w:szCs w:val="15"/>
          <w:color w:val="auto"/>
        </w:rPr>
        <w:t>th</w:t>
      </w:r>
      <w:r>
        <w:rPr>
          <w:rFonts w:ascii="Arial" w:cs="Arial" w:eastAsia="Arial" w:hAnsi="Arial"/>
          <w:sz w:val="18"/>
          <w:szCs w:val="18"/>
          <w:color w:val="auto"/>
        </w:rPr>
        <w:t xml:space="preserve"> Percentile” columns reflect the percent increase over his then current annual base salary and the comparison of his base salary as increased on May 16, 2020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of a group vice president role for the revenue scope reflecting his expanded responsibilities for our contractor and residential businesses.</w:t>
      </w:r>
    </w:p>
    <w:p>
      <w:pPr>
        <w:spacing w:after="0" w:line="38" w:lineRule="exact"/>
        <w:rPr>
          <w:rFonts w:ascii="Arial" w:cs="Arial" w:eastAsia="Arial" w:hAnsi="Arial"/>
          <w:sz w:val="18"/>
          <w:szCs w:val="18"/>
          <w:color w:val="auto"/>
        </w:rPr>
      </w:pPr>
    </w:p>
    <w:p>
      <w:pPr>
        <w:ind w:left="400" w:right="260" w:hanging="379"/>
        <w:spacing w:after="0" w:line="259" w:lineRule="auto"/>
        <w:tabs>
          <w:tab w:leader="none" w:pos="328"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“Fiscal 2020 Annual Base Salary Compared to Market 50</w:t>
      </w:r>
      <w:r>
        <w:rPr>
          <w:rFonts w:ascii="Arial" w:cs="Arial" w:eastAsia="Arial" w:hAnsi="Arial"/>
          <w:sz w:val="14"/>
          <w:szCs w:val="14"/>
          <w:color w:val="auto"/>
        </w:rPr>
        <w:t>th</w:t>
      </w:r>
      <w:r>
        <w:rPr>
          <w:rFonts w:ascii="Arial" w:cs="Arial" w:eastAsia="Arial" w:hAnsi="Arial"/>
          <w:sz w:val="17"/>
          <w:szCs w:val="17"/>
          <w:color w:val="auto"/>
        </w:rPr>
        <w:t xml:space="preserve"> Percentile” column for Ms. Dahl is reflective of her market position as compared to an executive officer with oversight for only the human resources function as a market comparison for an executive officer with oversight over two separate significant functions was not available at the time her fiscal 2020 base salary was determined.</w:t>
      </w:r>
    </w:p>
    <w:p>
      <w:pPr>
        <w:spacing w:after="0" w:line="80" w:lineRule="exact"/>
        <w:rPr>
          <w:sz w:val="20"/>
          <w:szCs w:val="20"/>
          <w:color w:val="auto"/>
        </w:rPr>
      </w:pPr>
    </w:p>
    <w:p>
      <w:pPr>
        <w:ind w:firstLine="401"/>
        <w:spacing w:after="0" w:line="234" w:lineRule="auto"/>
        <w:rPr>
          <w:sz w:val="20"/>
          <w:szCs w:val="20"/>
          <w:color w:val="auto"/>
        </w:rPr>
      </w:pPr>
      <w:r>
        <w:rPr>
          <w:rFonts w:ascii="Arial" w:cs="Arial" w:eastAsia="Arial" w:hAnsi="Arial"/>
          <w:sz w:val="18"/>
          <w:szCs w:val="18"/>
          <w:color w:val="auto"/>
        </w:rPr>
        <w:t>As of the beginning of fiscal 2020, Mr. Olson’s fiscal 2020 annual base salary was increased to $1,025,000; this 10.8% increase was intended to bring his base salary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Base salary increases for Ms. Peterson and Mr. Hamilton were intended to bring their respective annual base salaries closer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and those increases are generally representative of market merit increases for executive officers. At the beginning of fiscal 2020, in connection with his role as Group Vice President, Construction Businesses, Mr. Rodier received a 5.2% increase, from $385,000 to $405,000, which was intended to bring his base salary closer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for a group vice president role for the revenue scope of his role at that time. On May 16, 2020, in connection with his expanded responsibilities for our contractor and residential businesses, Mr. Rodier’s base salary was increased an additional 23.5% to $500,000 to compensate him for his increased responsibilities and to bring his base salary closer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for a group vice president that has the breadth and revenue scope of the role that Mr. Rodier has at TTC. The General Counsel transition to Ms. Dahl was announced in November 2019, and accordingly, the base salary increase for Ms. Dahl was reflective of the expanded scope of her responsibilities to include the General Counsel role in addition to her already existing executive officer roles of Vice President, Human Resources and Distributor Development. Ms. Dahl became TTC’s Vice President, Human Resources, Distributor Development and General Counsel on January 10, 2020. The Compensation &amp; Human Resources Committee believes that this increase was appropriate given her significant expanded responsibilities as TTC’s General Counsel.</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105" w:lineRule="exact"/>
        <w:rPr>
          <w:sz w:val="20"/>
          <w:szCs w:val="20"/>
          <w:color w:val="auto"/>
        </w:rPr>
      </w:pPr>
    </w:p>
    <w:p>
      <w:pPr>
        <w:ind w:firstLine="401"/>
        <w:spacing w:after="0" w:line="24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To help ensure we meet our compensation program objective of linking pay to performance, we provide the opportunity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to earn an annual cash incentive, which is designed to motivate attainment and reward accomplishment of annual financial business goals. This is done by establishing financial goals that link to our annual financial plan.</w:t>
      </w:r>
    </w:p>
    <w:p>
      <w:pPr>
        <w:spacing w:after="0" w:line="89" w:lineRule="exact"/>
        <w:rPr>
          <w:sz w:val="20"/>
          <w:szCs w:val="20"/>
          <w:color w:val="auto"/>
        </w:rPr>
      </w:pPr>
    </w:p>
    <w:p>
      <w:pPr>
        <w:ind w:firstLine="401"/>
        <w:spacing w:after="0" w:line="249" w:lineRule="auto"/>
        <w:rPr>
          <w:sz w:val="20"/>
          <w:szCs w:val="20"/>
          <w:color w:val="auto"/>
        </w:rPr>
      </w:pPr>
      <w:r>
        <w:rPr>
          <w:rFonts w:ascii="Arial" w:cs="Arial" w:eastAsia="Arial" w:hAnsi="Arial"/>
          <w:sz w:val="17"/>
          <w:szCs w:val="17"/>
          <w:color w:val="auto"/>
        </w:rPr>
        <w:t>At the beginning of each fiscal year, during its regular meeting held in November or December, the Compensation &amp; Human Resources Committee approves a target award expressed as a percentage of base salary for each executive officer. Additionally, the Committee approves specific performance measures, weightings, goals and performance adjustment events, if any, at the corporate and division and/or business level for the fiscal year. The performance measures are derived from a list of performance measures included in our 2010 Plan. For each performance measure, a threshold, target and maximum level of performance is defined, which have corresponding payout percentages. During the fiscal year, the Committee reviews progress against the pre-established goals. In addition, as needed during the fiscal year, the Committee reviews significant events that have occurred at our Company and assesses whether such events necessitate a change in target awards or performance measures, weightings and goals for any annual cash incentive award granted to our executive officers. Following the end of the fiscal year, at the Committee’s regular meeting held in November or December, Management presents a summary of, and the Committee certifies, actual performance as compared to the pre-established goals along with a corresponding payout percentage, which is expressed as a percent of target performance. Annual cash incentive awards are paid out to the executive officers in December.</w:t>
      </w:r>
    </w:p>
    <w:p>
      <w:pPr>
        <w:spacing w:after="0" w:line="70" w:lineRule="exact"/>
        <w:rPr>
          <w:sz w:val="20"/>
          <w:szCs w:val="20"/>
          <w:color w:val="auto"/>
        </w:rPr>
      </w:pPr>
    </w:p>
    <w:p>
      <w:pPr>
        <w:ind w:right="60" w:firstLine="401"/>
        <w:spacing w:after="0" w:line="238" w:lineRule="auto"/>
        <w:rPr>
          <w:sz w:val="20"/>
          <w:szCs w:val="20"/>
          <w:color w:val="auto"/>
        </w:rPr>
      </w:pPr>
      <w:r>
        <w:rPr>
          <w:rFonts w:ascii="Arial" w:cs="Arial" w:eastAsia="Arial" w:hAnsi="Arial"/>
          <w:sz w:val="18"/>
          <w:szCs w:val="18"/>
          <w:i w:val="1"/>
          <w:iCs w:val="1"/>
          <w:color w:val="auto"/>
        </w:rPr>
        <w:t>Target Awards</w:t>
      </w:r>
      <w:r>
        <w:rPr>
          <w:rFonts w:ascii="Arial" w:cs="Arial" w:eastAsia="Arial" w:hAnsi="Arial"/>
          <w:sz w:val="18"/>
          <w:szCs w:val="18"/>
          <w:color w:val="auto"/>
        </w:rPr>
        <w:t>. When determining the target award for each executive officer, the Committee reviews the market 50</w:t>
      </w:r>
      <w:r>
        <w:rPr>
          <w:rFonts w:ascii="Arial" w:cs="Arial" w:eastAsia="Arial" w:hAnsi="Arial"/>
          <w:sz w:val="15"/>
          <w:szCs w:val="15"/>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percentile for</w:t>
      </w:r>
      <w:r>
        <w:rPr>
          <w:rFonts w:ascii="Arial" w:cs="Arial" w:eastAsia="Arial" w:hAnsi="Arial"/>
          <w:sz w:val="18"/>
          <w:szCs w:val="18"/>
          <w:i w:val="1"/>
          <w:iCs w:val="1"/>
          <w:color w:val="auto"/>
        </w:rPr>
        <w:t xml:space="preserve"> </w:t>
      </w:r>
      <w:r>
        <w:rPr>
          <w:rFonts w:ascii="Arial" w:cs="Arial" w:eastAsia="Arial" w:hAnsi="Arial"/>
          <w:sz w:val="18"/>
          <w:szCs w:val="18"/>
          <w:color w:val="auto"/>
        </w:rPr>
        <w:t>target total cash compensation (sum of base salary and target annual cash incentive) for the position in which such executive officer serves. Our objective is that when we achieve target levels of performance for each measure, resulting total cash compensation paid to our executive officers is within a reasonable range of the market 50</w:t>
      </w:r>
      <w:r>
        <w:rPr>
          <w:rFonts w:ascii="Arial" w:cs="Arial" w:eastAsia="Arial" w:hAnsi="Arial"/>
          <w:sz w:val="15"/>
          <w:szCs w:val="15"/>
          <w:color w:val="auto"/>
        </w:rPr>
        <w:t>th</w:t>
      </w:r>
      <w:r>
        <w:rPr>
          <w:rFonts w:ascii="Arial" w:cs="Arial" w:eastAsia="Arial" w:hAnsi="Arial"/>
          <w:sz w:val="18"/>
          <w:szCs w:val="18"/>
          <w:color w:val="auto"/>
        </w:rPr>
        <w:t xml:space="preserve"> percentile. Actual total cash compensation will generally exceed the market 50</w:t>
      </w:r>
      <w:r>
        <w:rPr>
          <w:rFonts w:ascii="Arial" w:cs="Arial" w:eastAsia="Arial" w:hAnsi="Arial"/>
          <w:sz w:val="15"/>
          <w:szCs w:val="15"/>
          <w:color w:val="auto"/>
        </w:rPr>
        <w:t>th</w:t>
      </w:r>
      <w:r>
        <w:rPr>
          <w:rFonts w:ascii="Arial" w:cs="Arial" w:eastAsia="Arial" w:hAnsi="Arial"/>
          <w:sz w:val="18"/>
          <w:szCs w:val="18"/>
          <w:color w:val="auto"/>
        </w:rPr>
        <w:t xml:space="preserve"> percentile if actual performance for each measure exceeds the pre-established target annual financial business goals and will generally be less than the market 50</w:t>
      </w:r>
      <w:r>
        <w:rPr>
          <w:rFonts w:ascii="Arial" w:cs="Arial" w:eastAsia="Arial" w:hAnsi="Arial"/>
          <w:sz w:val="15"/>
          <w:szCs w:val="15"/>
          <w:color w:val="auto"/>
        </w:rPr>
        <w:t>th</w:t>
      </w:r>
      <w:r>
        <w:rPr>
          <w:rFonts w:ascii="Arial" w:cs="Arial" w:eastAsia="Arial" w:hAnsi="Arial"/>
          <w:sz w:val="18"/>
          <w:szCs w:val="18"/>
          <w:color w:val="auto"/>
        </w:rPr>
        <w:t xml:space="preserve"> percentile if actual performance for each measure is below the pre-established target annual financial business goals. In addition to considering the market data, the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0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Committee also considers experience, tenure, scope and complexity of the executive officer’s position, individual contributions and performance, as well as internal pay equity. Actual awards can range from 0% (if threshold levels of performance are not met) to 200% of the target award (if maximum levels of performance are met for all of the performance measures) and the resulting competitiveness of total cash compensation will also vary accordingly.</w:t>
      </w:r>
    </w:p>
    <w:p>
      <w:pPr>
        <w:spacing w:after="0" w:line="97" w:lineRule="exact"/>
        <w:rPr>
          <w:sz w:val="20"/>
          <w:szCs w:val="20"/>
          <w:color w:val="auto"/>
        </w:rPr>
      </w:pPr>
    </w:p>
    <w:p>
      <w:pPr>
        <w:ind w:right="100" w:firstLine="401"/>
        <w:spacing w:after="0" w:line="235" w:lineRule="auto"/>
        <w:rPr>
          <w:sz w:val="20"/>
          <w:szCs w:val="20"/>
          <w:color w:val="auto"/>
        </w:rPr>
      </w:pPr>
      <w:r>
        <w:rPr>
          <w:rFonts w:ascii="Arial" w:cs="Arial" w:eastAsia="Arial" w:hAnsi="Arial"/>
          <w:sz w:val="18"/>
          <w:szCs w:val="18"/>
          <w:color w:val="auto"/>
        </w:rPr>
        <w:t>In December 2019, the Committee approved the fiscal 2020 target awards for our named executive officers. After the fiscal 2020 target awards had been established, the adverse global economic impact from the COVID-19 pandemic began. As discussed, fiscal 2020 annual base salaries for executive officers were reduced on May 1, 2020 for the remainder of our fiscal 2020. As a result, the fiscal 2020 target awards and the fiscal 2020 target total cash compensation, which are expressed as a percentage of base salary earnings, for our named executive officers were reduced accordingly. Information regarding our fiscal 2020 target annual cash incentive awards and the impact of the COVID-19 pandemic are provided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shd w:val="clear" w:color="auto" w:fill="C00000"/>
          </w:tcPr>
          <w:p>
            <w:pPr>
              <w:spacing w:after="0"/>
              <w:rPr>
                <w:sz w:val="13"/>
                <w:szCs w:val="13"/>
                <w:color w:val="auto"/>
              </w:rPr>
            </w:pPr>
          </w:p>
        </w:tc>
        <w:tc>
          <w:tcPr>
            <w:tcW w:w="1280" w:type="dxa"/>
            <w:vAlign w:val="bottom"/>
            <w:shd w:val="clear" w:color="auto" w:fill="C00000"/>
          </w:tcPr>
          <w:p>
            <w:pPr>
              <w:spacing w:after="0"/>
              <w:rPr>
                <w:sz w:val="13"/>
                <w:szCs w:val="13"/>
                <w:color w:val="auto"/>
              </w:rPr>
            </w:pPr>
          </w:p>
        </w:tc>
        <w:tc>
          <w:tcPr>
            <w:tcW w:w="1260" w:type="dxa"/>
            <w:vAlign w:val="bottom"/>
            <w:shd w:val="clear" w:color="auto" w:fill="C00000"/>
          </w:tcPr>
          <w:p>
            <w:pPr>
              <w:spacing w:after="0"/>
              <w:rPr>
                <w:sz w:val="13"/>
                <w:szCs w:val="13"/>
                <w:color w:val="auto"/>
              </w:rPr>
            </w:pPr>
          </w:p>
        </w:tc>
        <w:tc>
          <w:tcPr>
            <w:tcW w:w="1020" w:type="dxa"/>
            <w:vAlign w:val="bottom"/>
            <w:shd w:val="clear" w:color="auto" w:fill="C00000"/>
          </w:tcPr>
          <w:p>
            <w:pPr>
              <w:spacing w:after="0"/>
              <w:rPr>
                <w:sz w:val="13"/>
                <w:szCs w:val="13"/>
                <w:color w:val="auto"/>
              </w:rPr>
            </w:pPr>
          </w:p>
        </w:tc>
        <w:tc>
          <w:tcPr>
            <w:tcW w:w="1440" w:type="dxa"/>
            <w:vAlign w:val="bottom"/>
            <w:shd w:val="clear" w:color="auto" w:fill="C00000"/>
          </w:tcPr>
          <w:p>
            <w:pPr>
              <w:spacing w:after="0"/>
              <w:rPr>
                <w:sz w:val="13"/>
                <w:szCs w:val="13"/>
                <w:color w:val="auto"/>
              </w:rPr>
            </w:pPr>
          </w:p>
        </w:tc>
        <w:tc>
          <w:tcPr>
            <w:tcW w:w="1240" w:type="dxa"/>
            <w:vAlign w:val="bottom"/>
            <w:shd w:val="clear" w:color="auto" w:fill="C00000"/>
          </w:tcPr>
          <w:p>
            <w:pPr>
              <w:spacing w:after="0"/>
              <w:rPr>
                <w:sz w:val="13"/>
                <w:szCs w:val="13"/>
                <w:color w:val="auto"/>
              </w:rPr>
            </w:pPr>
          </w:p>
        </w:tc>
        <w:tc>
          <w:tcPr>
            <w:tcW w:w="1520" w:type="dxa"/>
            <w:vAlign w:val="bottom"/>
            <w:shd w:val="clear" w:color="auto" w:fill="C00000"/>
          </w:tcPr>
          <w:p>
            <w:pPr>
              <w:spacing w:after="0"/>
              <w:rPr>
                <w:sz w:val="13"/>
                <w:szCs w:val="13"/>
                <w:color w:val="auto"/>
              </w:rPr>
            </w:pPr>
          </w:p>
        </w:tc>
        <w:tc>
          <w:tcPr>
            <w:tcW w:w="2120" w:type="dxa"/>
            <w:vAlign w:val="bottom"/>
            <w:gridSpan w:val="2"/>
            <w:shd w:val="clear" w:color="auto" w:fill="C00000"/>
          </w:tcPr>
          <w:p>
            <w:pPr>
              <w:jc w:val="right"/>
              <w:ind w:right="29"/>
              <w:spacing w:after="0"/>
              <w:rPr>
                <w:sz w:val="20"/>
                <w:szCs w:val="20"/>
                <w:color w:val="auto"/>
              </w:rPr>
            </w:pPr>
            <w:r>
              <w:rPr>
                <w:rFonts w:ascii="Arial" w:cs="Arial" w:eastAsia="Arial" w:hAnsi="Arial"/>
                <w:sz w:val="13"/>
                <w:szCs w:val="13"/>
                <w:b w:val="1"/>
                <w:bCs w:val="1"/>
                <w:color w:val="FFFFFF"/>
                <w:w w:val="97"/>
              </w:rPr>
              <w:t>Resulting Amounts due to May 1,</w:t>
            </w:r>
          </w:p>
        </w:tc>
      </w:tr>
      <w:tr>
        <w:trPr>
          <w:trHeight w:val="161"/>
        </w:trPr>
        <w:tc>
          <w:tcPr>
            <w:tcW w:w="1360" w:type="dxa"/>
            <w:vAlign w:val="bottom"/>
            <w:shd w:val="clear" w:color="auto" w:fill="C00000"/>
          </w:tcPr>
          <w:p>
            <w:pPr>
              <w:spacing w:after="0"/>
              <w:rPr>
                <w:sz w:val="13"/>
                <w:szCs w:val="13"/>
                <w:color w:val="auto"/>
              </w:rPr>
            </w:pPr>
          </w:p>
        </w:tc>
        <w:tc>
          <w:tcPr>
            <w:tcW w:w="1280" w:type="dxa"/>
            <w:vAlign w:val="bottom"/>
            <w:shd w:val="clear" w:color="auto" w:fill="C00000"/>
          </w:tcPr>
          <w:p>
            <w:pPr>
              <w:spacing w:after="0"/>
              <w:rPr>
                <w:sz w:val="13"/>
                <w:szCs w:val="13"/>
                <w:color w:val="auto"/>
              </w:rPr>
            </w:pPr>
          </w:p>
        </w:tc>
        <w:tc>
          <w:tcPr>
            <w:tcW w:w="3720" w:type="dxa"/>
            <w:vAlign w:val="bottom"/>
            <w:gridSpan w:val="3"/>
            <w:shd w:val="clear" w:color="auto" w:fill="C00000"/>
          </w:tcPr>
          <w:p>
            <w:pPr>
              <w:jc w:val="right"/>
              <w:spacing w:after="0"/>
              <w:rPr>
                <w:sz w:val="20"/>
                <w:szCs w:val="20"/>
                <w:color w:val="auto"/>
              </w:rPr>
            </w:pPr>
            <w:r>
              <w:rPr>
                <w:rFonts w:ascii="Arial" w:cs="Arial" w:eastAsia="Arial" w:hAnsi="Arial"/>
                <w:sz w:val="13"/>
                <w:szCs w:val="13"/>
                <w:b w:val="1"/>
                <w:bCs w:val="1"/>
                <w:color w:val="FFFFFF"/>
                <w:w w:val="97"/>
              </w:rPr>
              <w:t>As Established Without May 1, 2010 Base Salary Reduction</w:t>
            </w:r>
            <w:r>
              <w:rPr>
                <w:rFonts w:ascii="Arial" w:cs="Arial" w:eastAsia="Arial" w:hAnsi="Arial"/>
                <w:sz w:val="10"/>
                <w:szCs w:val="10"/>
                <w:b w:val="1"/>
                <w:bCs w:val="1"/>
                <w:color w:val="FFFFFF"/>
                <w:w w:val="97"/>
              </w:rPr>
              <w:t>(1)</w:t>
            </w:r>
          </w:p>
        </w:tc>
        <w:tc>
          <w:tcPr>
            <w:tcW w:w="1240" w:type="dxa"/>
            <w:vAlign w:val="bottom"/>
            <w:shd w:val="clear" w:color="auto" w:fill="C00000"/>
          </w:tcPr>
          <w:p>
            <w:pPr>
              <w:spacing w:after="0"/>
              <w:rPr>
                <w:sz w:val="13"/>
                <w:szCs w:val="13"/>
                <w:color w:val="auto"/>
              </w:rPr>
            </w:pPr>
          </w:p>
        </w:tc>
        <w:tc>
          <w:tcPr>
            <w:tcW w:w="1520" w:type="dxa"/>
            <w:vAlign w:val="bottom"/>
            <w:shd w:val="clear" w:color="auto" w:fill="C00000"/>
          </w:tcPr>
          <w:p>
            <w:pPr>
              <w:spacing w:after="0"/>
              <w:rPr>
                <w:sz w:val="13"/>
                <w:szCs w:val="13"/>
                <w:color w:val="auto"/>
              </w:rPr>
            </w:pPr>
          </w:p>
        </w:tc>
        <w:tc>
          <w:tcPr>
            <w:tcW w:w="2120" w:type="dxa"/>
            <w:vAlign w:val="bottom"/>
            <w:gridSpan w:val="2"/>
            <w:shd w:val="clear" w:color="auto" w:fill="C00000"/>
          </w:tcPr>
          <w:p>
            <w:pPr>
              <w:jc w:val="right"/>
              <w:ind w:right="149"/>
              <w:spacing w:after="0"/>
              <w:rPr>
                <w:sz w:val="20"/>
                <w:szCs w:val="20"/>
                <w:color w:val="auto"/>
              </w:rPr>
            </w:pPr>
            <w:r>
              <w:rPr>
                <w:rFonts w:ascii="Arial" w:cs="Arial" w:eastAsia="Arial" w:hAnsi="Arial"/>
                <w:sz w:val="13"/>
                <w:szCs w:val="13"/>
                <w:b w:val="1"/>
                <w:bCs w:val="1"/>
                <w:color w:val="FFFFFF"/>
              </w:rPr>
              <w:t>2020 Base Salary Reductions</w:t>
            </w:r>
          </w:p>
        </w:tc>
      </w:tr>
      <w:tr>
        <w:trPr>
          <w:trHeight w:val="134"/>
        </w:trPr>
        <w:tc>
          <w:tcPr>
            <w:tcW w:w="1360" w:type="dxa"/>
            <w:vAlign w:val="bottom"/>
            <w:shd w:val="clear" w:color="auto" w:fill="C00000"/>
          </w:tcPr>
          <w:p>
            <w:pPr>
              <w:spacing w:after="0"/>
              <w:rPr>
                <w:sz w:val="11"/>
                <w:szCs w:val="11"/>
                <w:color w:val="auto"/>
              </w:rPr>
            </w:pPr>
          </w:p>
        </w:tc>
        <w:tc>
          <w:tcPr>
            <w:tcW w:w="1280" w:type="dxa"/>
            <w:vAlign w:val="bottom"/>
            <w:shd w:val="clear" w:color="auto" w:fill="C00000"/>
          </w:tcPr>
          <w:p>
            <w:pPr>
              <w:spacing w:after="0"/>
              <w:rPr>
                <w:sz w:val="11"/>
                <w:szCs w:val="11"/>
                <w:color w:val="auto"/>
              </w:rPr>
            </w:pPr>
          </w:p>
        </w:tc>
        <w:tc>
          <w:tcPr>
            <w:tcW w:w="1260" w:type="dxa"/>
            <w:vAlign w:val="bottom"/>
            <w:shd w:val="clear" w:color="auto" w:fill="C00000"/>
          </w:tcPr>
          <w:p>
            <w:pPr>
              <w:spacing w:after="0"/>
              <w:rPr>
                <w:sz w:val="11"/>
                <w:szCs w:val="11"/>
                <w:color w:val="auto"/>
              </w:rPr>
            </w:pPr>
          </w:p>
        </w:tc>
        <w:tc>
          <w:tcPr>
            <w:tcW w:w="1020" w:type="dxa"/>
            <w:vAlign w:val="bottom"/>
            <w:shd w:val="clear" w:color="auto" w:fill="C00000"/>
          </w:tcPr>
          <w:p>
            <w:pPr>
              <w:spacing w:after="0"/>
              <w:rPr>
                <w:sz w:val="11"/>
                <w:szCs w:val="11"/>
                <w:color w:val="auto"/>
              </w:rPr>
            </w:pPr>
          </w:p>
        </w:tc>
        <w:tc>
          <w:tcPr>
            <w:tcW w:w="1440" w:type="dxa"/>
            <w:vAlign w:val="bottom"/>
            <w:shd w:val="clear" w:color="auto" w:fill="C00000"/>
          </w:tcPr>
          <w:p>
            <w:pPr>
              <w:spacing w:after="0"/>
              <w:rPr>
                <w:sz w:val="11"/>
                <w:szCs w:val="11"/>
                <w:color w:val="auto"/>
              </w:rPr>
            </w:pPr>
          </w:p>
        </w:tc>
        <w:tc>
          <w:tcPr>
            <w:tcW w:w="1240" w:type="dxa"/>
            <w:vAlign w:val="bottom"/>
            <w:shd w:val="clear" w:color="auto" w:fill="C00000"/>
          </w:tcPr>
          <w:p>
            <w:pPr>
              <w:spacing w:after="0"/>
              <w:rPr>
                <w:sz w:val="11"/>
                <w:szCs w:val="11"/>
                <w:color w:val="auto"/>
              </w:rPr>
            </w:pPr>
          </w:p>
        </w:tc>
        <w:tc>
          <w:tcPr>
            <w:tcW w:w="1520" w:type="dxa"/>
            <w:vAlign w:val="bottom"/>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5"/>
              </w:rPr>
              <w:t>Fiscal 2020 Target</w:t>
            </w:r>
          </w:p>
        </w:tc>
        <w:tc>
          <w:tcPr>
            <w:tcW w:w="1120" w:type="dxa"/>
            <w:vAlign w:val="bottom"/>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7"/>
              </w:rPr>
              <w:t>Fiscal 2020</w:t>
            </w:r>
          </w:p>
        </w:tc>
        <w:tc>
          <w:tcPr>
            <w:tcW w:w="1000" w:type="dxa"/>
            <w:vAlign w:val="bottom"/>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5"/>
              </w:rPr>
              <w:t>Fiscal 2020</w:t>
            </w:r>
          </w:p>
        </w:tc>
      </w:tr>
      <w:tr>
        <w:trPr>
          <w:trHeight w:val="134"/>
        </w:trPr>
        <w:tc>
          <w:tcPr>
            <w:tcW w:w="1360" w:type="dxa"/>
            <w:vAlign w:val="bottom"/>
            <w:shd w:val="clear" w:color="auto" w:fill="C00000"/>
          </w:tcPr>
          <w:p>
            <w:pPr>
              <w:spacing w:after="0"/>
              <w:rPr>
                <w:sz w:val="11"/>
                <w:szCs w:val="11"/>
                <w:color w:val="auto"/>
              </w:rPr>
            </w:pPr>
          </w:p>
        </w:tc>
        <w:tc>
          <w:tcPr>
            <w:tcW w:w="1280" w:type="dxa"/>
            <w:vAlign w:val="bottom"/>
            <w:shd w:val="clear" w:color="auto" w:fill="C00000"/>
          </w:tcPr>
          <w:p>
            <w:pPr>
              <w:jc w:val="center"/>
              <w:ind w:left="188"/>
              <w:spacing w:after="0" w:line="134" w:lineRule="exact"/>
              <w:rPr>
                <w:sz w:val="20"/>
                <w:szCs w:val="20"/>
                <w:color w:val="auto"/>
              </w:rPr>
            </w:pPr>
            <w:r>
              <w:rPr>
                <w:rFonts w:ascii="Arial" w:cs="Arial" w:eastAsia="Arial" w:hAnsi="Arial"/>
                <w:sz w:val="13"/>
                <w:szCs w:val="13"/>
                <w:b w:val="1"/>
                <w:bCs w:val="1"/>
                <w:color w:val="FFFFFF"/>
                <w:w w:val="95"/>
              </w:rPr>
              <w:t>Fiscal 2020</w:t>
            </w:r>
          </w:p>
        </w:tc>
        <w:tc>
          <w:tcPr>
            <w:tcW w:w="1260" w:type="dxa"/>
            <w:vAlign w:val="bottom"/>
            <w:shd w:val="clear" w:color="auto" w:fill="C00000"/>
          </w:tcPr>
          <w:p>
            <w:pPr>
              <w:spacing w:after="0"/>
              <w:rPr>
                <w:sz w:val="11"/>
                <w:szCs w:val="11"/>
                <w:color w:val="auto"/>
              </w:rPr>
            </w:pPr>
          </w:p>
        </w:tc>
        <w:tc>
          <w:tcPr>
            <w:tcW w:w="1020" w:type="dxa"/>
            <w:vAlign w:val="bottom"/>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7"/>
              </w:rPr>
              <w:t>Fiscal 2020</w:t>
            </w:r>
          </w:p>
        </w:tc>
        <w:tc>
          <w:tcPr>
            <w:tcW w:w="1440" w:type="dxa"/>
            <w:vAlign w:val="bottom"/>
            <w:shd w:val="clear" w:color="auto" w:fill="C00000"/>
          </w:tcPr>
          <w:p>
            <w:pPr>
              <w:jc w:val="center"/>
              <w:ind w:right="28"/>
              <w:spacing w:after="0" w:line="134" w:lineRule="exact"/>
              <w:rPr>
                <w:sz w:val="20"/>
                <w:szCs w:val="20"/>
                <w:color w:val="auto"/>
              </w:rPr>
            </w:pPr>
            <w:r>
              <w:rPr>
                <w:rFonts w:ascii="Arial" w:cs="Arial" w:eastAsia="Arial" w:hAnsi="Arial"/>
                <w:sz w:val="13"/>
                <w:szCs w:val="13"/>
                <w:b w:val="1"/>
                <w:bCs w:val="1"/>
                <w:color w:val="FFFFFF"/>
                <w:w w:val="95"/>
              </w:rPr>
              <w:t>Fiscal 2020</w:t>
            </w:r>
          </w:p>
        </w:tc>
        <w:tc>
          <w:tcPr>
            <w:tcW w:w="1240" w:type="dxa"/>
            <w:vAlign w:val="bottom"/>
            <w:shd w:val="clear" w:color="auto" w:fill="C00000"/>
          </w:tcPr>
          <w:p>
            <w:pPr>
              <w:jc w:val="center"/>
              <w:ind w:right="108"/>
              <w:spacing w:after="0" w:line="134" w:lineRule="exact"/>
              <w:rPr>
                <w:sz w:val="20"/>
                <w:szCs w:val="20"/>
                <w:color w:val="auto"/>
              </w:rPr>
            </w:pPr>
            <w:r>
              <w:rPr>
                <w:rFonts w:ascii="Arial" w:cs="Arial" w:eastAsia="Arial" w:hAnsi="Arial"/>
                <w:sz w:val="13"/>
                <w:szCs w:val="13"/>
                <w:b w:val="1"/>
                <w:bCs w:val="1"/>
                <w:color w:val="FFFFFF"/>
                <w:w w:val="95"/>
              </w:rPr>
              <w:t>Fiscal 2020</w:t>
            </w:r>
          </w:p>
        </w:tc>
        <w:tc>
          <w:tcPr>
            <w:tcW w:w="1520" w:type="dxa"/>
            <w:vAlign w:val="bottom"/>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6"/>
              </w:rPr>
              <w:t>Total Cash</w:t>
            </w:r>
          </w:p>
        </w:tc>
        <w:tc>
          <w:tcPr>
            <w:tcW w:w="1120" w:type="dxa"/>
            <w:vAlign w:val="bottom"/>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6"/>
              </w:rPr>
              <w:t>Target Annual</w:t>
            </w:r>
          </w:p>
        </w:tc>
        <w:tc>
          <w:tcPr>
            <w:tcW w:w="1000" w:type="dxa"/>
            <w:vAlign w:val="bottom"/>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4"/>
              </w:rPr>
              <w:t>Target Total</w:t>
            </w:r>
          </w:p>
        </w:tc>
      </w:tr>
      <w:tr>
        <w:trPr>
          <w:trHeight w:val="134"/>
        </w:trPr>
        <w:tc>
          <w:tcPr>
            <w:tcW w:w="1360" w:type="dxa"/>
            <w:vAlign w:val="bottom"/>
            <w:shd w:val="clear" w:color="auto" w:fill="C00000"/>
          </w:tcPr>
          <w:p>
            <w:pPr>
              <w:spacing w:after="0"/>
              <w:rPr>
                <w:sz w:val="11"/>
                <w:szCs w:val="11"/>
                <w:color w:val="auto"/>
              </w:rPr>
            </w:pPr>
          </w:p>
        </w:tc>
        <w:tc>
          <w:tcPr>
            <w:tcW w:w="1280" w:type="dxa"/>
            <w:vAlign w:val="bottom"/>
            <w:shd w:val="clear" w:color="auto" w:fill="C00000"/>
          </w:tcPr>
          <w:p>
            <w:pPr>
              <w:jc w:val="center"/>
              <w:ind w:left="208"/>
              <w:spacing w:after="0" w:line="134" w:lineRule="exact"/>
              <w:rPr>
                <w:sz w:val="20"/>
                <w:szCs w:val="20"/>
                <w:color w:val="auto"/>
              </w:rPr>
            </w:pPr>
            <w:r>
              <w:rPr>
                <w:rFonts w:ascii="Arial" w:cs="Arial" w:eastAsia="Arial" w:hAnsi="Arial"/>
                <w:sz w:val="13"/>
                <w:szCs w:val="13"/>
                <w:b w:val="1"/>
                <w:bCs w:val="1"/>
                <w:color w:val="FFFFFF"/>
                <w:w w:val="96"/>
              </w:rPr>
              <w:t>Annual Base</w:t>
            </w:r>
          </w:p>
        </w:tc>
        <w:tc>
          <w:tcPr>
            <w:tcW w:w="1260" w:type="dxa"/>
            <w:vAlign w:val="bottom"/>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5"/>
              </w:rPr>
              <w:t>Fiscal 2020</w:t>
            </w:r>
          </w:p>
        </w:tc>
        <w:tc>
          <w:tcPr>
            <w:tcW w:w="1020" w:type="dxa"/>
            <w:vAlign w:val="bottom"/>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6"/>
              </w:rPr>
              <w:t>Target Award</w:t>
            </w:r>
          </w:p>
        </w:tc>
        <w:tc>
          <w:tcPr>
            <w:tcW w:w="1440" w:type="dxa"/>
            <w:vAlign w:val="bottom"/>
            <w:shd w:val="clear" w:color="auto" w:fill="C00000"/>
          </w:tcPr>
          <w:p>
            <w:pPr>
              <w:jc w:val="center"/>
              <w:ind w:right="48"/>
              <w:spacing w:after="0" w:line="134" w:lineRule="exact"/>
              <w:rPr>
                <w:sz w:val="20"/>
                <w:szCs w:val="20"/>
                <w:color w:val="auto"/>
              </w:rPr>
            </w:pPr>
            <w:r>
              <w:rPr>
                <w:rFonts w:ascii="Arial" w:cs="Arial" w:eastAsia="Arial" w:hAnsi="Arial"/>
                <w:sz w:val="13"/>
                <w:szCs w:val="13"/>
                <w:b w:val="1"/>
                <w:bCs w:val="1"/>
                <w:color w:val="FFFFFF"/>
                <w:w w:val="94"/>
              </w:rPr>
              <w:t>Target Annual Cash</w:t>
            </w:r>
          </w:p>
        </w:tc>
        <w:tc>
          <w:tcPr>
            <w:tcW w:w="1240" w:type="dxa"/>
            <w:vAlign w:val="bottom"/>
            <w:shd w:val="clear" w:color="auto" w:fill="C00000"/>
          </w:tcPr>
          <w:p>
            <w:pPr>
              <w:jc w:val="center"/>
              <w:ind w:right="108"/>
              <w:spacing w:after="0" w:line="134" w:lineRule="exact"/>
              <w:rPr>
                <w:sz w:val="20"/>
                <w:szCs w:val="20"/>
                <w:color w:val="auto"/>
              </w:rPr>
            </w:pPr>
            <w:r>
              <w:rPr>
                <w:rFonts w:ascii="Arial" w:cs="Arial" w:eastAsia="Arial" w:hAnsi="Arial"/>
                <w:sz w:val="13"/>
                <w:szCs w:val="13"/>
                <w:b w:val="1"/>
                <w:bCs w:val="1"/>
                <w:color w:val="FFFFFF"/>
                <w:w w:val="92"/>
              </w:rPr>
              <w:t>Target Total Cash</w:t>
            </w:r>
          </w:p>
        </w:tc>
        <w:tc>
          <w:tcPr>
            <w:tcW w:w="1520" w:type="dxa"/>
            <w:vAlign w:val="bottom"/>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7"/>
              </w:rPr>
              <w:t>Compensation</w:t>
            </w:r>
          </w:p>
        </w:tc>
        <w:tc>
          <w:tcPr>
            <w:tcW w:w="1120" w:type="dxa"/>
            <w:vAlign w:val="bottom"/>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5"/>
              </w:rPr>
              <w:t>Cash Incentive</w:t>
            </w:r>
          </w:p>
        </w:tc>
        <w:tc>
          <w:tcPr>
            <w:tcW w:w="1000" w:type="dxa"/>
            <w:vAlign w:val="bottom"/>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4"/>
              </w:rPr>
              <w:t>Cash</w:t>
            </w:r>
          </w:p>
        </w:tc>
      </w:tr>
      <w:tr>
        <w:trPr>
          <w:trHeight w:val="134"/>
        </w:trPr>
        <w:tc>
          <w:tcPr>
            <w:tcW w:w="1360" w:type="dxa"/>
            <w:vAlign w:val="bottom"/>
            <w:shd w:val="clear" w:color="auto" w:fill="C00000"/>
          </w:tcPr>
          <w:p>
            <w:pPr>
              <w:spacing w:after="0"/>
              <w:rPr>
                <w:sz w:val="11"/>
                <w:szCs w:val="11"/>
                <w:color w:val="auto"/>
              </w:rPr>
            </w:pPr>
          </w:p>
        </w:tc>
        <w:tc>
          <w:tcPr>
            <w:tcW w:w="1280" w:type="dxa"/>
            <w:vAlign w:val="bottom"/>
            <w:shd w:val="clear" w:color="auto" w:fill="C00000"/>
          </w:tcPr>
          <w:p>
            <w:pPr>
              <w:jc w:val="center"/>
              <w:ind w:left="188"/>
              <w:spacing w:after="0" w:line="134" w:lineRule="exact"/>
              <w:rPr>
                <w:sz w:val="20"/>
                <w:szCs w:val="20"/>
                <w:color w:val="auto"/>
              </w:rPr>
            </w:pPr>
            <w:r>
              <w:rPr>
                <w:rFonts w:ascii="Arial" w:cs="Arial" w:eastAsia="Arial" w:hAnsi="Arial"/>
                <w:sz w:val="13"/>
                <w:szCs w:val="13"/>
                <w:b w:val="1"/>
                <w:bCs w:val="1"/>
                <w:color w:val="FFFFFF"/>
                <w:w w:val="97"/>
              </w:rPr>
              <w:t>Salary</w:t>
            </w:r>
          </w:p>
        </w:tc>
        <w:tc>
          <w:tcPr>
            <w:tcW w:w="1260" w:type="dxa"/>
            <w:vAlign w:val="bottom"/>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5"/>
              </w:rPr>
              <w:t>Award at Target</w:t>
            </w:r>
          </w:p>
        </w:tc>
        <w:tc>
          <w:tcPr>
            <w:tcW w:w="1020" w:type="dxa"/>
            <w:vAlign w:val="bottom"/>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6"/>
              </w:rPr>
              <w:t>Percentage</w:t>
            </w:r>
          </w:p>
        </w:tc>
        <w:tc>
          <w:tcPr>
            <w:tcW w:w="1440" w:type="dxa"/>
            <w:vAlign w:val="bottom"/>
            <w:shd w:val="clear" w:color="auto" w:fill="C00000"/>
          </w:tcPr>
          <w:p>
            <w:pPr>
              <w:jc w:val="center"/>
              <w:ind w:right="48"/>
              <w:spacing w:after="0" w:line="134" w:lineRule="exact"/>
              <w:rPr>
                <w:sz w:val="20"/>
                <w:szCs w:val="20"/>
                <w:color w:val="auto"/>
              </w:rPr>
            </w:pPr>
            <w:r>
              <w:rPr>
                <w:rFonts w:ascii="Arial" w:cs="Arial" w:eastAsia="Arial" w:hAnsi="Arial"/>
                <w:sz w:val="13"/>
                <w:szCs w:val="13"/>
                <w:b w:val="1"/>
                <w:bCs w:val="1"/>
                <w:color w:val="FFFFFF"/>
                <w:w w:val="96"/>
              </w:rPr>
              <w:t>Incentive Award</w:t>
            </w:r>
          </w:p>
        </w:tc>
        <w:tc>
          <w:tcPr>
            <w:tcW w:w="1240" w:type="dxa"/>
            <w:vAlign w:val="bottom"/>
            <w:shd w:val="clear" w:color="auto" w:fill="C00000"/>
          </w:tcPr>
          <w:p>
            <w:pPr>
              <w:jc w:val="center"/>
              <w:ind w:right="108"/>
              <w:spacing w:after="0" w:line="134" w:lineRule="exact"/>
              <w:rPr>
                <w:sz w:val="20"/>
                <w:szCs w:val="20"/>
                <w:color w:val="auto"/>
              </w:rPr>
            </w:pPr>
            <w:r>
              <w:rPr>
                <w:rFonts w:ascii="Arial" w:cs="Arial" w:eastAsia="Arial" w:hAnsi="Arial"/>
                <w:sz w:val="13"/>
                <w:szCs w:val="13"/>
                <w:b w:val="1"/>
                <w:bCs w:val="1"/>
                <w:color w:val="FFFFFF"/>
                <w:w w:val="95"/>
              </w:rPr>
              <w:t>Compensation</w:t>
            </w:r>
          </w:p>
        </w:tc>
        <w:tc>
          <w:tcPr>
            <w:tcW w:w="1520" w:type="dxa"/>
            <w:vAlign w:val="bottom"/>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5"/>
              </w:rPr>
              <w:t>Compared to Market</w:t>
            </w:r>
          </w:p>
        </w:tc>
        <w:tc>
          <w:tcPr>
            <w:tcW w:w="1120" w:type="dxa"/>
            <w:vAlign w:val="bottom"/>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7"/>
              </w:rPr>
              <w:t>Award, as</w:t>
            </w:r>
          </w:p>
        </w:tc>
        <w:tc>
          <w:tcPr>
            <w:tcW w:w="1000" w:type="dxa"/>
            <w:vAlign w:val="bottom"/>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5"/>
              </w:rPr>
              <w:t>Compensation,</w:t>
            </w:r>
          </w:p>
        </w:tc>
      </w:tr>
      <w:tr>
        <w:trPr>
          <w:trHeight w:val="156"/>
        </w:trPr>
        <w:tc>
          <w:tcPr>
            <w:tcW w:w="1360" w:type="dxa"/>
            <w:vAlign w:val="bottom"/>
            <w:shd w:val="clear" w:color="auto" w:fill="C00000"/>
          </w:tcPr>
          <w:p>
            <w:pPr>
              <w:spacing w:after="0"/>
              <w:rPr>
                <w:sz w:val="20"/>
                <w:szCs w:val="20"/>
                <w:color w:val="auto"/>
              </w:rPr>
            </w:pPr>
            <w:r>
              <w:rPr>
                <w:rFonts w:ascii="Arial" w:cs="Arial" w:eastAsia="Arial" w:hAnsi="Arial"/>
                <w:sz w:val="13"/>
                <w:szCs w:val="13"/>
                <w:b w:val="1"/>
                <w:bCs w:val="1"/>
                <w:color w:val="FFFFFF"/>
              </w:rPr>
              <w:t>Name</w:t>
            </w:r>
          </w:p>
        </w:tc>
        <w:tc>
          <w:tcPr>
            <w:tcW w:w="1280" w:type="dxa"/>
            <w:vAlign w:val="bottom"/>
            <w:shd w:val="clear" w:color="auto" w:fill="C00000"/>
          </w:tcPr>
          <w:p>
            <w:pPr>
              <w:jc w:val="center"/>
              <w:ind w:left="188"/>
              <w:spacing w:after="0"/>
              <w:rPr>
                <w:sz w:val="20"/>
                <w:szCs w:val="20"/>
                <w:color w:val="auto"/>
              </w:rPr>
            </w:pPr>
            <w:r>
              <w:rPr>
                <w:rFonts w:ascii="Arial" w:cs="Arial" w:eastAsia="Arial" w:hAnsi="Arial"/>
                <w:sz w:val="13"/>
                <w:szCs w:val="13"/>
                <w:b w:val="1"/>
                <w:bCs w:val="1"/>
                <w:color w:val="FFFFFF"/>
                <w:w w:val="87"/>
              </w:rPr>
              <w:t>($)</w:t>
            </w:r>
          </w:p>
        </w:tc>
        <w:tc>
          <w:tcPr>
            <w:tcW w:w="126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5"/>
              </w:rPr>
              <w:t>(% of base salary)</w:t>
            </w:r>
          </w:p>
        </w:tc>
        <w:tc>
          <w:tcPr>
            <w:tcW w:w="102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6"/>
              </w:rPr>
              <w:t>Change</w:t>
            </w:r>
          </w:p>
        </w:tc>
        <w:tc>
          <w:tcPr>
            <w:tcW w:w="1440" w:type="dxa"/>
            <w:vAlign w:val="bottom"/>
            <w:shd w:val="clear" w:color="auto" w:fill="C00000"/>
          </w:tcPr>
          <w:p>
            <w:pPr>
              <w:jc w:val="center"/>
              <w:ind w:right="48"/>
              <w:spacing w:after="0"/>
              <w:rPr>
                <w:sz w:val="20"/>
                <w:szCs w:val="20"/>
                <w:color w:val="auto"/>
              </w:rPr>
            </w:pPr>
            <w:r>
              <w:rPr>
                <w:rFonts w:ascii="Arial" w:cs="Arial" w:eastAsia="Arial" w:hAnsi="Arial"/>
                <w:sz w:val="13"/>
                <w:szCs w:val="13"/>
                <w:b w:val="1"/>
                <w:bCs w:val="1"/>
                <w:color w:val="FFFFFF"/>
              </w:rPr>
              <w:t>($)</w:t>
            </w:r>
          </w:p>
        </w:tc>
        <w:tc>
          <w:tcPr>
            <w:tcW w:w="1240" w:type="dxa"/>
            <w:vAlign w:val="bottom"/>
            <w:shd w:val="clear" w:color="auto" w:fill="C00000"/>
          </w:tcPr>
          <w:p>
            <w:pPr>
              <w:jc w:val="center"/>
              <w:ind w:right="108"/>
              <w:spacing w:after="0"/>
              <w:rPr>
                <w:sz w:val="20"/>
                <w:szCs w:val="20"/>
                <w:color w:val="auto"/>
              </w:rPr>
            </w:pPr>
            <w:r>
              <w:rPr>
                <w:rFonts w:ascii="Arial" w:cs="Arial" w:eastAsia="Arial" w:hAnsi="Arial"/>
                <w:sz w:val="13"/>
                <w:szCs w:val="13"/>
                <w:b w:val="1"/>
                <w:bCs w:val="1"/>
                <w:color w:val="FFFFFF"/>
                <w:w w:val="87"/>
              </w:rPr>
              <w:t>($)</w:t>
            </w:r>
          </w:p>
        </w:tc>
        <w:tc>
          <w:tcPr>
            <w:tcW w:w="152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8"/>
              </w:rPr>
              <w:t>50</w:t>
            </w:r>
            <w:r>
              <w:rPr>
                <w:rFonts w:ascii="Arial" w:cs="Arial" w:eastAsia="Arial" w:hAnsi="Arial"/>
                <w:sz w:val="10"/>
                <w:szCs w:val="10"/>
                <w:b w:val="1"/>
                <w:bCs w:val="1"/>
                <w:color w:val="FFFFFF"/>
                <w:w w:val="98"/>
              </w:rPr>
              <w:t>th</w:t>
            </w:r>
            <w:r>
              <w:rPr>
                <w:rFonts w:ascii="Arial" w:cs="Arial" w:eastAsia="Arial" w:hAnsi="Arial"/>
                <w:sz w:val="13"/>
                <w:szCs w:val="13"/>
                <w:b w:val="1"/>
                <w:bCs w:val="1"/>
                <w:color w:val="FFFFFF"/>
                <w:w w:val="98"/>
              </w:rPr>
              <w:t xml:space="preserve"> Percentile</w:t>
            </w:r>
          </w:p>
        </w:tc>
        <w:tc>
          <w:tcPr>
            <w:tcW w:w="112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6"/>
              </w:rPr>
              <w:t>Reduced ($)</w:t>
            </w:r>
          </w:p>
        </w:tc>
        <w:tc>
          <w:tcPr>
            <w:tcW w:w="100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95"/>
              </w:rPr>
              <w:t>as Reduced ($)</w:t>
            </w:r>
          </w:p>
        </w:tc>
      </w:tr>
      <w:tr>
        <w:trPr>
          <w:trHeight w:val="214"/>
        </w:trPr>
        <w:tc>
          <w:tcPr>
            <w:tcW w:w="1360" w:type="dxa"/>
            <w:vAlign w:val="bottom"/>
          </w:tcPr>
          <w:p>
            <w:pPr>
              <w:spacing w:after="0"/>
              <w:rPr>
                <w:sz w:val="20"/>
                <w:szCs w:val="20"/>
                <w:color w:val="auto"/>
              </w:rPr>
            </w:pPr>
            <w:r>
              <w:rPr>
                <w:rFonts w:ascii="Arial" w:cs="Arial" w:eastAsia="Arial" w:hAnsi="Arial"/>
                <w:sz w:val="16"/>
                <w:szCs w:val="16"/>
                <w:color w:val="auto"/>
              </w:rPr>
              <w:t>Mr. Olson</w:t>
            </w:r>
          </w:p>
        </w:tc>
        <w:tc>
          <w:tcPr>
            <w:tcW w:w="1280" w:type="dxa"/>
            <w:vAlign w:val="bottom"/>
          </w:tcPr>
          <w:p>
            <w:pPr>
              <w:jc w:val="right"/>
              <w:spacing w:after="0"/>
              <w:rPr>
                <w:sz w:val="20"/>
                <w:szCs w:val="20"/>
                <w:color w:val="auto"/>
              </w:rPr>
            </w:pPr>
            <w:r>
              <w:rPr>
                <w:rFonts w:ascii="Arial" w:cs="Arial" w:eastAsia="Arial" w:hAnsi="Arial"/>
                <w:sz w:val="16"/>
                <w:szCs w:val="16"/>
                <w:color w:val="auto"/>
              </w:rPr>
              <w:t>1,025,000</w:t>
            </w:r>
          </w:p>
        </w:tc>
        <w:tc>
          <w:tcPr>
            <w:tcW w:w="1260" w:type="dxa"/>
            <w:vAlign w:val="bottom"/>
          </w:tcPr>
          <w:p>
            <w:pPr>
              <w:jc w:val="right"/>
              <w:ind w:right="28"/>
              <w:spacing w:after="0"/>
              <w:rPr>
                <w:sz w:val="20"/>
                <w:szCs w:val="20"/>
                <w:color w:val="auto"/>
              </w:rPr>
            </w:pPr>
            <w:r>
              <w:rPr>
                <w:rFonts w:ascii="Arial" w:cs="Arial" w:eastAsia="Arial" w:hAnsi="Arial"/>
                <w:sz w:val="16"/>
                <w:szCs w:val="16"/>
                <w:color w:val="auto"/>
              </w:rPr>
              <w:t>115%</w:t>
            </w:r>
          </w:p>
        </w:tc>
        <w:tc>
          <w:tcPr>
            <w:tcW w:w="1020" w:type="dxa"/>
            <w:vAlign w:val="bottom"/>
          </w:tcPr>
          <w:p>
            <w:pPr>
              <w:jc w:val="right"/>
              <w:ind w:right="8"/>
              <w:spacing w:after="0"/>
              <w:rPr>
                <w:sz w:val="20"/>
                <w:szCs w:val="20"/>
                <w:color w:val="auto"/>
              </w:rPr>
            </w:pPr>
            <w:r>
              <w:rPr>
                <w:rFonts w:ascii="Arial" w:cs="Arial" w:eastAsia="Arial" w:hAnsi="Arial"/>
                <w:sz w:val="16"/>
                <w:szCs w:val="16"/>
                <w:color w:val="auto"/>
              </w:rPr>
              <w:t>+5%</w:t>
            </w:r>
          </w:p>
        </w:tc>
        <w:tc>
          <w:tcPr>
            <w:tcW w:w="1440" w:type="dxa"/>
            <w:vAlign w:val="bottom"/>
          </w:tcPr>
          <w:p>
            <w:pPr>
              <w:jc w:val="right"/>
              <w:ind w:right="108"/>
              <w:spacing w:after="0"/>
              <w:rPr>
                <w:sz w:val="20"/>
                <w:szCs w:val="20"/>
                <w:color w:val="auto"/>
              </w:rPr>
            </w:pPr>
            <w:r>
              <w:rPr>
                <w:rFonts w:ascii="Arial" w:cs="Arial" w:eastAsia="Arial" w:hAnsi="Arial"/>
                <w:sz w:val="16"/>
                <w:szCs w:val="16"/>
                <w:color w:val="auto"/>
              </w:rPr>
              <w:t>1,178,750</w:t>
            </w:r>
          </w:p>
        </w:tc>
        <w:tc>
          <w:tcPr>
            <w:tcW w:w="1240" w:type="dxa"/>
            <w:vAlign w:val="bottom"/>
          </w:tcPr>
          <w:p>
            <w:pPr>
              <w:jc w:val="right"/>
              <w:ind w:right="68"/>
              <w:spacing w:after="0"/>
              <w:rPr>
                <w:sz w:val="20"/>
                <w:szCs w:val="20"/>
                <w:color w:val="auto"/>
              </w:rPr>
            </w:pPr>
            <w:r>
              <w:rPr>
                <w:rFonts w:ascii="Arial" w:cs="Arial" w:eastAsia="Arial" w:hAnsi="Arial"/>
                <w:sz w:val="16"/>
                <w:szCs w:val="16"/>
                <w:color w:val="auto"/>
              </w:rPr>
              <w:t>2,203,750</w:t>
            </w:r>
          </w:p>
        </w:tc>
        <w:tc>
          <w:tcPr>
            <w:tcW w:w="1520" w:type="dxa"/>
            <w:vAlign w:val="bottom"/>
          </w:tcPr>
          <w:p>
            <w:pPr>
              <w:jc w:val="right"/>
              <w:spacing w:after="0"/>
              <w:rPr>
                <w:sz w:val="20"/>
                <w:szCs w:val="20"/>
                <w:color w:val="auto"/>
              </w:rPr>
            </w:pPr>
            <w:r>
              <w:rPr>
                <w:rFonts w:ascii="Arial" w:cs="Arial" w:eastAsia="Arial" w:hAnsi="Arial"/>
                <w:sz w:val="16"/>
                <w:szCs w:val="16"/>
                <w:color w:val="auto"/>
              </w:rPr>
              <w:t>4% above</w:t>
            </w:r>
          </w:p>
        </w:tc>
        <w:tc>
          <w:tcPr>
            <w:tcW w:w="1120" w:type="dxa"/>
            <w:vAlign w:val="bottom"/>
          </w:tcPr>
          <w:p>
            <w:pPr>
              <w:jc w:val="right"/>
              <w:ind w:right="10"/>
              <w:spacing w:after="0"/>
              <w:rPr>
                <w:sz w:val="20"/>
                <w:szCs w:val="20"/>
                <w:color w:val="auto"/>
              </w:rPr>
            </w:pPr>
            <w:r>
              <w:rPr>
                <w:rFonts w:ascii="Arial" w:cs="Arial" w:eastAsia="Arial" w:hAnsi="Arial"/>
                <w:sz w:val="16"/>
                <w:szCs w:val="16"/>
                <w:color w:val="auto"/>
              </w:rPr>
              <w:t>1,001,938</w:t>
            </w:r>
          </w:p>
        </w:tc>
        <w:tc>
          <w:tcPr>
            <w:tcW w:w="1000" w:type="dxa"/>
            <w:vAlign w:val="bottom"/>
          </w:tcPr>
          <w:p>
            <w:pPr>
              <w:jc w:val="right"/>
              <w:spacing w:after="0"/>
              <w:rPr>
                <w:sz w:val="20"/>
                <w:szCs w:val="20"/>
                <w:color w:val="auto"/>
              </w:rPr>
            </w:pPr>
            <w:r>
              <w:rPr>
                <w:rFonts w:ascii="Arial" w:cs="Arial" w:eastAsia="Arial" w:hAnsi="Arial"/>
                <w:sz w:val="16"/>
                <w:szCs w:val="16"/>
                <w:color w:val="auto"/>
              </w:rPr>
              <w:t>1,813,188</w:t>
            </w:r>
          </w:p>
        </w:tc>
      </w:tr>
      <w:tr>
        <w:trPr>
          <w:trHeight w:val="214"/>
        </w:trPr>
        <w:tc>
          <w:tcPr>
            <w:tcW w:w="136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12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552,000</w:t>
            </w:r>
          </w:p>
        </w:tc>
        <w:tc>
          <w:tcPr>
            <w:tcW w:w="1260" w:type="dxa"/>
            <w:vAlign w:val="bottom"/>
            <w:shd w:val="clear" w:color="auto" w:fill="D9D9D9"/>
          </w:tcPr>
          <w:p>
            <w:pPr>
              <w:jc w:val="right"/>
              <w:ind w:right="28"/>
              <w:spacing w:after="0"/>
              <w:rPr>
                <w:sz w:val="20"/>
                <w:szCs w:val="20"/>
                <w:color w:val="auto"/>
              </w:rPr>
            </w:pPr>
            <w:r>
              <w:rPr>
                <w:rFonts w:ascii="Arial" w:cs="Arial" w:eastAsia="Arial" w:hAnsi="Arial"/>
                <w:sz w:val="16"/>
                <w:szCs w:val="16"/>
                <w:color w:val="auto"/>
              </w:rPr>
              <w:t>75%</w:t>
            </w:r>
          </w:p>
        </w:tc>
        <w:tc>
          <w:tcPr>
            <w:tcW w:w="1020" w:type="dxa"/>
            <w:vAlign w:val="bottom"/>
            <w:shd w:val="clear" w:color="auto" w:fill="D9D9D9"/>
          </w:tcPr>
          <w:p>
            <w:pPr>
              <w:jc w:val="right"/>
              <w:ind w:right="8"/>
              <w:spacing w:after="0"/>
              <w:rPr>
                <w:sz w:val="20"/>
                <w:szCs w:val="20"/>
                <w:color w:val="auto"/>
              </w:rPr>
            </w:pPr>
            <w:r>
              <w:rPr>
                <w:rFonts w:ascii="Arial" w:cs="Arial" w:eastAsia="Arial" w:hAnsi="Arial"/>
                <w:sz w:val="16"/>
                <w:szCs w:val="16"/>
                <w:color w:val="auto"/>
              </w:rPr>
              <w:t>No Change</w:t>
            </w:r>
          </w:p>
        </w:tc>
        <w:tc>
          <w:tcPr>
            <w:tcW w:w="1440" w:type="dxa"/>
            <w:vAlign w:val="bottom"/>
            <w:shd w:val="clear" w:color="auto" w:fill="D9D9D9"/>
          </w:tcPr>
          <w:p>
            <w:pPr>
              <w:jc w:val="right"/>
              <w:ind w:right="108"/>
              <w:spacing w:after="0"/>
              <w:rPr>
                <w:sz w:val="20"/>
                <w:szCs w:val="20"/>
                <w:color w:val="auto"/>
              </w:rPr>
            </w:pPr>
            <w:r>
              <w:rPr>
                <w:rFonts w:ascii="Arial" w:cs="Arial" w:eastAsia="Arial" w:hAnsi="Arial"/>
                <w:sz w:val="16"/>
                <w:szCs w:val="16"/>
                <w:color w:val="auto"/>
              </w:rPr>
              <w:t>414,000</w:t>
            </w:r>
          </w:p>
        </w:tc>
        <w:tc>
          <w:tcPr>
            <w:tcW w:w="1240" w:type="dxa"/>
            <w:vAlign w:val="bottom"/>
            <w:shd w:val="clear" w:color="auto" w:fill="D9D9D9"/>
          </w:tcPr>
          <w:p>
            <w:pPr>
              <w:jc w:val="right"/>
              <w:ind w:right="68"/>
              <w:spacing w:after="0"/>
              <w:rPr>
                <w:sz w:val="20"/>
                <w:szCs w:val="20"/>
                <w:color w:val="auto"/>
              </w:rPr>
            </w:pPr>
            <w:r>
              <w:rPr>
                <w:rFonts w:ascii="Arial" w:cs="Arial" w:eastAsia="Arial" w:hAnsi="Arial"/>
                <w:sz w:val="16"/>
                <w:szCs w:val="16"/>
                <w:color w:val="auto"/>
              </w:rPr>
              <w:t>966,000</w:t>
            </w:r>
          </w:p>
        </w:tc>
        <w:tc>
          <w:tcPr>
            <w:tcW w:w="15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 below</w:t>
            </w:r>
          </w:p>
        </w:tc>
        <w:tc>
          <w:tcPr>
            <w:tcW w:w="1120" w:type="dxa"/>
            <w:vAlign w:val="bottom"/>
            <w:shd w:val="clear" w:color="auto" w:fill="D9D9D9"/>
          </w:tcPr>
          <w:p>
            <w:pPr>
              <w:jc w:val="right"/>
              <w:ind w:right="10"/>
              <w:spacing w:after="0"/>
              <w:rPr>
                <w:sz w:val="20"/>
                <w:szCs w:val="20"/>
                <w:color w:val="auto"/>
              </w:rPr>
            </w:pPr>
            <w:r>
              <w:rPr>
                <w:rFonts w:ascii="Arial" w:cs="Arial" w:eastAsia="Arial" w:hAnsi="Arial"/>
                <w:sz w:val="16"/>
                <w:szCs w:val="16"/>
                <w:color w:val="auto"/>
              </w:rPr>
              <w:t>372,600</w:t>
            </w:r>
          </w:p>
        </w:tc>
        <w:tc>
          <w:tcPr>
            <w:tcW w:w="10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869,400</w:t>
            </w: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5"/>
                <w:szCs w:val="15"/>
                <w:color w:val="auto"/>
              </w:rPr>
              <w:t>Mr. Rodier</w:t>
            </w:r>
            <w:r>
              <w:rPr>
                <w:rFonts w:ascii="Arial" w:cs="Arial" w:eastAsia="Arial" w:hAnsi="Arial"/>
                <w:sz w:val="24"/>
                <w:szCs w:val="24"/>
                <w:color w:val="auto"/>
                <w:vertAlign w:val="superscript"/>
              </w:rPr>
              <w:t>(2)</w:t>
            </w:r>
          </w:p>
        </w:tc>
        <w:tc>
          <w:tcPr>
            <w:tcW w:w="12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60" w:type="dxa"/>
            <w:vAlign w:val="bottom"/>
          </w:tcPr>
          <w:p>
            <w:pPr>
              <w:jc w:val="right"/>
              <w:ind w:right="28"/>
              <w:spacing w:after="0"/>
              <w:rPr>
                <w:sz w:val="20"/>
                <w:szCs w:val="20"/>
                <w:color w:val="auto"/>
              </w:rPr>
            </w:pPr>
            <w:r>
              <w:rPr>
                <w:rFonts w:ascii="Arial" w:cs="Arial" w:eastAsia="Arial" w:hAnsi="Arial"/>
                <w:sz w:val="16"/>
                <w:szCs w:val="16"/>
                <w:color w:val="auto"/>
              </w:rPr>
              <w:t>70%</w:t>
            </w:r>
          </w:p>
        </w:tc>
        <w:tc>
          <w:tcPr>
            <w:tcW w:w="1020" w:type="dxa"/>
            <w:vAlign w:val="bottom"/>
          </w:tcPr>
          <w:p>
            <w:pPr>
              <w:jc w:val="right"/>
              <w:ind w:right="8"/>
              <w:spacing w:after="0"/>
              <w:rPr>
                <w:sz w:val="20"/>
                <w:szCs w:val="20"/>
                <w:color w:val="auto"/>
              </w:rPr>
            </w:pPr>
            <w:r>
              <w:rPr>
                <w:rFonts w:ascii="Arial" w:cs="Arial" w:eastAsia="Arial" w:hAnsi="Arial"/>
                <w:sz w:val="16"/>
                <w:szCs w:val="16"/>
                <w:color w:val="auto"/>
              </w:rPr>
              <w:t>+10%</w:t>
            </w:r>
          </w:p>
        </w:tc>
        <w:tc>
          <w:tcPr>
            <w:tcW w:w="1440" w:type="dxa"/>
            <w:vAlign w:val="bottom"/>
          </w:tcPr>
          <w:p>
            <w:pPr>
              <w:jc w:val="right"/>
              <w:ind w:right="108"/>
              <w:spacing w:after="0"/>
              <w:rPr>
                <w:sz w:val="20"/>
                <w:szCs w:val="20"/>
                <w:color w:val="auto"/>
              </w:rPr>
            </w:pPr>
            <w:r>
              <w:rPr>
                <w:rFonts w:ascii="Arial" w:cs="Arial" w:eastAsia="Arial" w:hAnsi="Arial"/>
                <w:sz w:val="16"/>
                <w:szCs w:val="16"/>
                <w:color w:val="auto"/>
              </w:rPr>
              <w:t>292,042</w:t>
            </w:r>
          </w:p>
        </w:tc>
        <w:tc>
          <w:tcPr>
            <w:tcW w:w="1240" w:type="dxa"/>
            <w:vAlign w:val="bottom"/>
          </w:tcPr>
          <w:p>
            <w:pPr>
              <w:jc w:val="right"/>
              <w:ind w:right="68"/>
              <w:spacing w:after="0"/>
              <w:rPr>
                <w:sz w:val="20"/>
                <w:szCs w:val="20"/>
                <w:color w:val="auto"/>
              </w:rPr>
            </w:pPr>
            <w:r>
              <w:rPr>
                <w:rFonts w:ascii="Arial" w:cs="Arial" w:eastAsia="Arial" w:hAnsi="Arial"/>
                <w:sz w:val="16"/>
                <w:szCs w:val="16"/>
                <w:color w:val="auto"/>
              </w:rPr>
              <w:t>853,542</w:t>
            </w:r>
          </w:p>
        </w:tc>
        <w:tc>
          <w:tcPr>
            <w:tcW w:w="1520" w:type="dxa"/>
            <w:vAlign w:val="bottom"/>
          </w:tcPr>
          <w:p>
            <w:pPr>
              <w:jc w:val="right"/>
              <w:spacing w:after="0"/>
              <w:rPr>
                <w:sz w:val="20"/>
                <w:szCs w:val="20"/>
                <w:color w:val="auto"/>
              </w:rPr>
            </w:pPr>
            <w:r>
              <w:rPr>
                <w:rFonts w:ascii="Arial" w:cs="Arial" w:eastAsia="Arial" w:hAnsi="Arial"/>
                <w:sz w:val="16"/>
                <w:szCs w:val="16"/>
                <w:color w:val="auto"/>
              </w:rPr>
              <w:t>9% below</w:t>
            </w:r>
          </w:p>
        </w:tc>
        <w:tc>
          <w:tcPr>
            <w:tcW w:w="1120" w:type="dxa"/>
            <w:vAlign w:val="bottom"/>
          </w:tcPr>
          <w:p>
            <w:pPr>
              <w:jc w:val="right"/>
              <w:ind w:right="10"/>
              <w:spacing w:after="0"/>
              <w:rPr>
                <w:sz w:val="20"/>
                <w:szCs w:val="20"/>
                <w:color w:val="auto"/>
              </w:rPr>
            </w:pPr>
            <w:r>
              <w:rPr>
                <w:rFonts w:ascii="Arial" w:cs="Arial" w:eastAsia="Arial" w:hAnsi="Arial"/>
                <w:sz w:val="16"/>
                <w:szCs w:val="16"/>
                <w:color w:val="auto"/>
              </w:rPr>
              <w:t>257,933</w:t>
            </w:r>
          </w:p>
        </w:tc>
        <w:tc>
          <w:tcPr>
            <w:tcW w:w="1000" w:type="dxa"/>
            <w:vAlign w:val="bottom"/>
          </w:tcPr>
          <w:p>
            <w:pPr>
              <w:jc w:val="right"/>
              <w:spacing w:after="0"/>
              <w:rPr>
                <w:sz w:val="20"/>
                <w:szCs w:val="20"/>
                <w:color w:val="auto"/>
              </w:rPr>
            </w:pPr>
            <w:r>
              <w:rPr>
                <w:rFonts w:ascii="Arial" w:cs="Arial" w:eastAsia="Arial" w:hAnsi="Arial"/>
                <w:sz w:val="16"/>
                <w:szCs w:val="16"/>
                <w:color w:val="auto"/>
              </w:rPr>
              <w:t>657,266</w:t>
            </w:r>
          </w:p>
        </w:tc>
      </w:tr>
      <w:tr>
        <w:trPr>
          <w:trHeight w:val="214"/>
        </w:trPr>
        <w:tc>
          <w:tcPr>
            <w:tcW w:w="1360" w:type="dxa"/>
            <w:vAlign w:val="bottom"/>
            <w:shd w:val="clear" w:color="auto" w:fill="D9D9D9"/>
          </w:tcPr>
          <w:p>
            <w:pPr>
              <w:spacing w:after="0"/>
              <w:rPr>
                <w:sz w:val="20"/>
                <w:szCs w:val="20"/>
                <w:color w:val="auto"/>
              </w:rPr>
            </w:pPr>
            <w:r>
              <w:rPr>
                <w:rFonts w:ascii="Arial" w:cs="Arial" w:eastAsia="Arial" w:hAnsi="Arial"/>
                <w:sz w:val="16"/>
                <w:szCs w:val="16"/>
                <w:color w:val="auto"/>
              </w:rPr>
              <w:t>Mr. Hamilton</w:t>
            </w:r>
          </w:p>
        </w:tc>
        <w:tc>
          <w:tcPr>
            <w:tcW w:w="12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420,000</w:t>
            </w:r>
          </w:p>
        </w:tc>
        <w:tc>
          <w:tcPr>
            <w:tcW w:w="1260" w:type="dxa"/>
            <w:vAlign w:val="bottom"/>
            <w:shd w:val="clear" w:color="auto" w:fill="D9D9D9"/>
          </w:tcPr>
          <w:p>
            <w:pPr>
              <w:jc w:val="right"/>
              <w:ind w:right="28"/>
              <w:spacing w:after="0"/>
              <w:rPr>
                <w:sz w:val="20"/>
                <w:szCs w:val="20"/>
                <w:color w:val="auto"/>
              </w:rPr>
            </w:pPr>
            <w:r>
              <w:rPr>
                <w:rFonts w:ascii="Arial" w:cs="Arial" w:eastAsia="Arial" w:hAnsi="Arial"/>
                <w:sz w:val="16"/>
                <w:szCs w:val="16"/>
                <w:color w:val="auto"/>
              </w:rPr>
              <w:t>60%</w:t>
            </w:r>
          </w:p>
        </w:tc>
        <w:tc>
          <w:tcPr>
            <w:tcW w:w="1020" w:type="dxa"/>
            <w:vAlign w:val="bottom"/>
            <w:shd w:val="clear" w:color="auto" w:fill="D9D9D9"/>
          </w:tcPr>
          <w:p>
            <w:pPr>
              <w:jc w:val="right"/>
              <w:ind w:right="8"/>
              <w:spacing w:after="0"/>
              <w:rPr>
                <w:sz w:val="20"/>
                <w:szCs w:val="20"/>
                <w:color w:val="auto"/>
              </w:rPr>
            </w:pPr>
            <w:r>
              <w:rPr>
                <w:rFonts w:ascii="Arial" w:cs="Arial" w:eastAsia="Arial" w:hAnsi="Arial"/>
                <w:sz w:val="16"/>
                <w:szCs w:val="16"/>
                <w:color w:val="auto"/>
              </w:rPr>
              <w:t>No Change</w:t>
            </w:r>
          </w:p>
        </w:tc>
        <w:tc>
          <w:tcPr>
            <w:tcW w:w="1440" w:type="dxa"/>
            <w:vAlign w:val="bottom"/>
            <w:shd w:val="clear" w:color="auto" w:fill="D9D9D9"/>
          </w:tcPr>
          <w:p>
            <w:pPr>
              <w:jc w:val="right"/>
              <w:ind w:right="108"/>
              <w:spacing w:after="0"/>
              <w:rPr>
                <w:sz w:val="20"/>
                <w:szCs w:val="20"/>
                <w:color w:val="auto"/>
              </w:rPr>
            </w:pPr>
            <w:r>
              <w:rPr>
                <w:rFonts w:ascii="Arial" w:cs="Arial" w:eastAsia="Arial" w:hAnsi="Arial"/>
                <w:sz w:val="16"/>
                <w:szCs w:val="16"/>
                <w:color w:val="auto"/>
              </w:rPr>
              <w:t>252,000</w:t>
            </w:r>
          </w:p>
        </w:tc>
        <w:tc>
          <w:tcPr>
            <w:tcW w:w="1240" w:type="dxa"/>
            <w:vAlign w:val="bottom"/>
            <w:shd w:val="clear" w:color="auto" w:fill="D9D9D9"/>
          </w:tcPr>
          <w:p>
            <w:pPr>
              <w:jc w:val="right"/>
              <w:ind w:right="68"/>
              <w:spacing w:after="0"/>
              <w:rPr>
                <w:sz w:val="20"/>
                <w:szCs w:val="20"/>
                <w:color w:val="auto"/>
              </w:rPr>
            </w:pPr>
            <w:r>
              <w:rPr>
                <w:rFonts w:ascii="Arial" w:cs="Arial" w:eastAsia="Arial" w:hAnsi="Arial"/>
                <w:sz w:val="16"/>
                <w:szCs w:val="16"/>
                <w:color w:val="auto"/>
              </w:rPr>
              <w:t>672,000</w:t>
            </w:r>
          </w:p>
        </w:tc>
        <w:tc>
          <w:tcPr>
            <w:tcW w:w="15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16% below</w:t>
            </w:r>
          </w:p>
        </w:tc>
        <w:tc>
          <w:tcPr>
            <w:tcW w:w="1120" w:type="dxa"/>
            <w:vAlign w:val="bottom"/>
            <w:shd w:val="clear" w:color="auto" w:fill="D9D9D9"/>
          </w:tcPr>
          <w:p>
            <w:pPr>
              <w:jc w:val="right"/>
              <w:ind w:right="10"/>
              <w:spacing w:after="0"/>
              <w:rPr>
                <w:sz w:val="20"/>
                <w:szCs w:val="20"/>
                <w:color w:val="auto"/>
              </w:rPr>
            </w:pPr>
            <w:r>
              <w:rPr>
                <w:rFonts w:ascii="Arial" w:cs="Arial" w:eastAsia="Arial" w:hAnsi="Arial"/>
                <w:sz w:val="16"/>
                <w:szCs w:val="16"/>
                <w:color w:val="auto"/>
              </w:rPr>
              <w:t>226,800</w:t>
            </w:r>
          </w:p>
        </w:tc>
        <w:tc>
          <w:tcPr>
            <w:tcW w:w="10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604,800</w:t>
            </w:r>
          </w:p>
        </w:tc>
      </w:tr>
      <w:tr>
        <w:trPr>
          <w:trHeight w:val="222"/>
        </w:trPr>
        <w:tc>
          <w:tcPr>
            <w:tcW w:w="1360" w:type="dxa"/>
            <w:vAlign w:val="bottom"/>
          </w:tcPr>
          <w:p>
            <w:pPr>
              <w:spacing w:after="0"/>
              <w:rPr>
                <w:sz w:val="20"/>
                <w:szCs w:val="20"/>
                <w:color w:val="auto"/>
              </w:rPr>
            </w:pPr>
            <w:r>
              <w:rPr>
                <w:rFonts w:ascii="Arial" w:cs="Arial" w:eastAsia="Arial" w:hAnsi="Arial"/>
                <w:sz w:val="16"/>
                <w:szCs w:val="16"/>
                <w:color w:val="auto"/>
              </w:rPr>
              <w:t>Ms. Dahl</w:t>
            </w:r>
          </w:p>
        </w:tc>
        <w:tc>
          <w:tcPr>
            <w:tcW w:w="1280" w:type="dxa"/>
            <w:vAlign w:val="bottom"/>
          </w:tcPr>
          <w:p>
            <w:pPr>
              <w:jc w:val="right"/>
              <w:spacing w:after="0"/>
              <w:rPr>
                <w:sz w:val="20"/>
                <w:szCs w:val="20"/>
                <w:color w:val="auto"/>
              </w:rPr>
            </w:pPr>
            <w:r>
              <w:rPr>
                <w:rFonts w:ascii="Arial" w:cs="Arial" w:eastAsia="Arial" w:hAnsi="Arial"/>
                <w:sz w:val="16"/>
                <w:szCs w:val="16"/>
                <w:color w:val="auto"/>
              </w:rPr>
              <w:t>465,000</w:t>
            </w:r>
          </w:p>
        </w:tc>
        <w:tc>
          <w:tcPr>
            <w:tcW w:w="1260" w:type="dxa"/>
            <w:vAlign w:val="bottom"/>
          </w:tcPr>
          <w:p>
            <w:pPr>
              <w:jc w:val="right"/>
              <w:ind w:right="28"/>
              <w:spacing w:after="0"/>
              <w:rPr>
                <w:sz w:val="20"/>
                <w:szCs w:val="20"/>
                <w:color w:val="auto"/>
              </w:rPr>
            </w:pPr>
            <w:r>
              <w:rPr>
                <w:rFonts w:ascii="Arial" w:cs="Arial" w:eastAsia="Arial" w:hAnsi="Arial"/>
                <w:sz w:val="16"/>
                <w:szCs w:val="16"/>
                <w:color w:val="auto"/>
              </w:rPr>
              <w:t>60%</w:t>
            </w:r>
          </w:p>
        </w:tc>
        <w:tc>
          <w:tcPr>
            <w:tcW w:w="1020" w:type="dxa"/>
            <w:vAlign w:val="bottom"/>
          </w:tcPr>
          <w:p>
            <w:pPr>
              <w:jc w:val="right"/>
              <w:ind w:right="8"/>
              <w:spacing w:after="0"/>
              <w:rPr>
                <w:sz w:val="20"/>
                <w:szCs w:val="20"/>
                <w:color w:val="auto"/>
              </w:rPr>
            </w:pPr>
            <w:r>
              <w:rPr>
                <w:rFonts w:ascii="Arial" w:cs="Arial" w:eastAsia="Arial" w:hAnsi="Arial"/>
                <w:sz w:val="16"/>
                <w:szCs w:val="16"/>
                <w:color w:val="auto"/>
              </w:rPr>
              <w:t>+5%</w:t>
            </w:r>
          </w:p>
        </w:tc>
        <w:tc>
          <w:tcPr>
            <w:tcW w:w="1440" w:type="dxa"/>
            <w:vAlign w:val="bottom"/>
          </w:tcPr>
          <w:p>
            <w:pPr>
              <w:jc w:val="right"/>
              <w:ind w:right="108"/>
              <w:spacing w:after="0"/>
              <w:rPr>
                <w:sz w:val="20"/>
                <w:szCs w:val="20"/>
                <w:color w:val="auto"/>
              </w:rPr>
            </w:pPr>
            <w:r>
              <w:rPr>
                <w:rFonts w:ascii="Arial" w:cs="Arial" w:eastAsia="Arial" w:hAnsi="Arial"/>
                <w:sz w:val="16"/>
                <w:szCs w:val="16"/>
                <w:color w:val="auto"/>
              </w:rPr>
              <w:t>279,000</w:t>
            </w:r>
          </w:p>
        </w:tc>
        <w:tc>
          <w:tcPr>
            <w:tcW w:w="1240" w:type="dxa"/>
            <w:vAlign w:val="bottom"/>
          </w:tcPr>
          <w:p>
            <w:pPr>
              <w:jc w:val="right"/>
              <w:ind w:right="68"/>
              <w:spacing w:after="0"/>
              <w:rPr>
                <w:sz w:val="20"/>
                <w:szCs w:val="20"/>
                <w:color w:val="auto"/>
              </w:rPr>
            </w:pPr>
            <w:r>
              <w:rPr>
                <w:rFonts w:ascii="Arial" w:cs="Arial" w:eastAsia="Arial" w:hAnsi="Arial"/>
                <w:sz w:val="16"/>
                <w:szCs w:val="16"/>
                <w:color w:val="auto"/>
              </w:rPr>
              <w:t>744,000</w:t>
            </w:r>
          </w:p>
        </w:tc>
        <w:tc>
          <w:tcPr>
            <w:tcW w:w="1520" w:type="dxa"/>
            <w:vAlign w:val="bottom"/>
          </w:tcPr>
          <w:p>
            <w:pPr>
              <w:jc w:val="right"/>
              <w:spacing w:after="0"/>
              <w:rPr>
                <w:sz w:val="20"/>
                <w:szCs w:val="20"/>
                <w:color w:val="auto"/>
              </w:rPr>
            </w:pPr>
            <w:r>
              <w:rPr>
                <w:rFonts w:ascii="Arial" w:cs="Arial" w:eastAsia="Arial" w:hAnsi="Arial"/>
                <w:sz w:val="16"/>
                <w:szCs w:val="16"/>
                <w:color w:val="auto"/>
              </w:rPr>
              <w:t>18% above</w:t>
            </w:r>
          </w:p>
        </w:tc>
        <w:tc>
          <w:tcPr>
            <w:tcW w:w="1120" w:type="dxa"/>
            <w:vAlign w:val="bottom"/>
          </w:tcPr>
          <w:p>
            <w:pPr>
              <w:jc w:val="right"/>
              <w:ind w:right="10"/>
              <w:spacing w:after="0"/>
              <w:rPr>
                <w:sz w:val="20"/>
                <w:szCs w:val="20"/>
                <w:color w:val="auto"/>
              </w:rPr>
            </w:pPr>
            <w:r>
              <w:rPr>
                <w:rFonts w:ascii="Arial" w:cs="Arial" w:eastAsia="Arial" w:hAnsi="Arial"/>
                <w:sz w:val="16"/>
                <w:szCs w:val="16"/>
                <w:color w:val="auto"/>
              </w:rPr>
              <w:t>251,100</w:t>
            </w:r>
          </w:p>
        </w:tc>
        <w:tc>
          <w:tcPr>
            <w:tcW w:w="1000" w:type="dxa"/>
            <w:vAlign w:val="bottom"/>
          </w:tcPr>
          <w:p>
            <w:pPr>
              <w:jc w:val="right"/>
              <w:spacing w:after="0"/>
              <w:rPr>
                <w:sz w:val="20"/>
                <w:szCs w:val="20"/>
                <w:color w:val="auto"/>
              </w:rPr>
            </w:pPr>
            <w:r>
              <w:rPr>
                <w:rFonts w:ascii="Arial" w:cs="Arial" w:eastAsia="Arial" w:hAnsi="Arial"/>
                <w:sz w:val="16"/>
                <w:szCs w:val="16"/>
                <w:color w:val="auto"/>
              </w:rPr>
              <w:t>669,600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-1127760</wp:posOffset>
            </wp:positionV>
            <wp:extent cx="71335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62865</wp:posOffset>
            </wp:positionV>
            <wp:extent cx="20345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46" w:lineRule="exact"/>
        <w:rPr>
          <w:sz w:val="20"/>
          <w:szCs w:val="20"/>
          <w:color w:val="auto"/>
        </w:rPr>
      </w:pPr>
    </w:p>
    <w:p>
      <w:pPr>
        <w:ind w:left="400" w:right="660" w:hanging="393"/>
        <w:spacing w:after="0"/>
        <w:tabs>
          <w:tab w:leader="none" w:pos="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Fiscal 2020 target annual cash incentive awards were set by the Committee at the beginning of fiscal 2020, which was before the adverse global economic impact from the COVID-19 pandemic in the United States.</w:t>
      </w:r>
    </w:p>
    <w:p>
      <w:pPr>
        <w:spacing w:after="0" w:line="149" w:lineRule="exact"/>
        <w:rPr>
          <w:rFonts w:ascii="Arial" w:cs="Arial" w:eastAsia="Arial" w:hAnsi="Arial"/>
          <w:sz w:val="18"/>
          <w:szCs w:val="18"/>
          <w:color w:val="auto"/>
        </w:rPr>
      </w:pPr>
    </w:p>
    <w:p>
      <w:pPr>
        <w:ind w:left="400" w:right="40" w:hanging="393"/>
        <w:spacing w:after="0" w:line="236" w:lineRule="auto"/>
        <w:tabs>
          <w:tab w:leader="none" w:pos="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the beginning of fiscal 2020, Mr. Rodier’s annual cash incentive percentage was 60% of fiscal 2020 base salary earnings. On May 16, 2020, in connection with his expanded responsibilities, Mr. Rodier’s percentage was increased to 70% of fiscal 2020 base salary earnings. Mr. Rodier’s target annual cash incentive at the beginning of fiscal 2020 and in connection with his expanded responsibilities are each disclosed in the “Estimated Future Payouts Under Non-Equity Incentive Plan Awards” column of the “Grants of Plan-Based Awards for Fiscal 2020” table beginning on page 47.</w:t>
      </w:r>
    </w:p>
    <w:p>
      <w:pPr>
        <w:spacing w:after="0" w:line="202" w:lineRule="exact"/>
        <w:rPr>
          <w:sz w:val="20"/>
          <w:szCs w:val="20"/>
          <w:color w:val="auto"/>
        </w:rPr>
      </w:pPr>
    </w:p>
    <w:p>
      <w:pPr>
        <w:ind w:right="60" w:firstLine="401"/>
        <w:spacing w:after="0" w:line="234" w:lineRule="auto"/>
        <w:rPr>
          <w:sz w:val="20"/>
          <w:szCs w:val="20"/>
          <w:color w:val="auto"/>
        </w:rPr>
      </w:pPr>
      <w:r>
        <w:rPr>
          <w:rFonts w:ascii="Arial" w:cs="Arial" w:eastAsia="Arial" w:hAnsi="Arial"/>
          <w:sz w:val="18"/>
          <w:szCs w:val="18"/>
          <w:color w:val="auto"/>
        </w:rPr>
        <w:t>We believe that the fiscal 2020 target annual cash incentive awards that were established at the beginning of fiscal 2020 and, for Mr. Rodier, that were established on May 16, 2020 in connection with his expanded responsibilities, are within a reasonable range of market competitive annual cash incentive opportunities given all relevant factors described previously and that the differentiation of target awards among our named executive officers was appropriate given the scope and responsibility of their respective positions. The change in the target award for Mr. Olson was made to align his total cash compensation closer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The change in the target award for Mr. Rodier was made to reflect the expanded scope of his responsibilities to include our contractor and residential businesses. The change in the target award for Ms. Dahl was made to reflect the significant increase in her duties and responsibilities to include the role of General Counsel, which was added to her responsibilities on January 10, 2020. The Committee determined it was appropriate to keep the target awards for fiscal 2020 consistent with those in fiscal 2019 for the other named executive officers. In addition, given the reduction in fiscal 2020 annual base salaries for our executive officers and certain other employees on May 1, 2020, the Committee determined that no additional changes were necessary for the annual cash incentive target percentage as a result of the COVID-19 pandemic. The fiscal 2020 annual base salary reductions that went into effect on May 1, 2020 for our executive officers impact the fiscal year base salary earnings used in the calculation for the actual cash incentive amounts. Details regarding actual total cash compensation for fiscal 2020 can be found under “Annual Cash Incentives—Actual Cash Compensation Discussion and Analysis” beginning on page 38.</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82" w:lineRule="exact"/>
        <w:rPr>
          <w:sz w:val="20"/>
          <w:szCs w:val="20"/>
          <w:color w:val="auto"/>
        </w:rPr>
      </w:pPr>
    </w:p>
    <w:p>
      <w:pPr>
        <w:ind w:right="40" w:firstLine="401"/>
        <w:spacing w:after="0" w:line="239" w:lineRule="auto"/>
        <w:rPr>
          <w:sz w:val="20"/>
          <w:szCs w:val="20"/>
          <w:color w:val="auto"/>
        </w:rPr>
      </w:pPr>
      <w:r>
        <w:rPr>
          <w:rFonts w:ascii="Arial" w:cs="Arial" w:eastAsia="Arial" w:hAnsi="Arial"/>
          <w:sz w:val="18"/>
          <w:szCs w:val="18"/>
          <w:i w:val="1"/>
          <w:iCs w:val="1"/>
          <w:color w:val="auto"/>
        </w:rPr>
        <w:t xml:space="preserve">Performance Measures, Weightings and Goals. </w:t>
      </w:r>
      <w:r>
        <w:rPr>
          <w:rFonts w:ascii="Arial" w:cs="Arial" w:eastAsia="Arial" w:hAnsi="Arial"/>
          <w:sz w:val="18"/>
          <w:szCs w:val="18"/>
          <w:color w:val="auto"/>
        </w:rPr>
        <w:t>Each year, the Committee determines performance measures, weightings, goals and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adjustment events, if any, for the annual cash incentive awards. We believe that in order to motivate our executive officers to achieve annual financial business goals, it is important to select performance measures designed to motivate our executive officers to achieve our annual financial plan, as well as drive shareholder value. Key drivers in our annual financial plan for fiscal 2020 included profitability, revenue growth, and asset efficiency; and, accordingly, the performance measures for fiscal 2020 and their weightings were intended to support these key drivers.</w:t>
      </w:r>
    </w:p>
    <w:p>
      <w:pPr>
        <w:spacing w:after="0" w:line="95" w:lineRule="exact"/>
        <w:rPr>
          <w:sz w:val="20"/>
          <w:szCs w:val="20"/>
          <w:color w:val="auto"/>
        </w:rPr>
      </w:pPr>
    </w:p>
    <w:p>
      <w:pPr>
        <w:ind w:right="180" w:firstLine="401"/>
        <w:spacing w:after="0" w:line="238" w:lineRule="auto"/>
        <w:rPr>
          <w:sz w:val="20"/>
          <w:szCs w:val="20"/>
          <w:color w:val="auto"/>
        </w:rPr>
      </w:pPr>
      <w:r>
        <w:rPr>
          <w:rFonts w:ascii="Arial" w:cs="Arial" w:eastAsia="Arial" w:hAnsi="Arial"/>
          <w:sz w:val="18"/>
          <w:szCs w:val="18"/>
          <w:color w:val="auto"/>
        </w:rPr>
        <w:t>Our executive officers with all corporate responsibilities for the full fiscal year, which includes all of our named executive officers, had 100% of their annual cash incentive tied to corporate performance to encourage an enterprise-wide performance perspective. The corporate performance measures and weightings established at the beginning of fiscal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60960</wp:posOffset>
            </wp:positionV>
            <wp:extent cx="5702935" cy="1104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02935" cy="110490"/>
                    </a:xfrm>
                    <a:prstGeom prst="rect">
                      <a:avLst/>
                    </a:prstGeom>
                    <a:noFill/>
                  </pic:spPr>
                </pic:pic>
              </a:graphicData>
            </a:graphic>
          </wp:anchor>
        </w:drawing>
      </w:r>
    </w:p>
    <w:p>
      <w:pPr>
        <w:spacing w:after="0" w:line="76"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FFFFFF"/>
        </w:rPr>
        <w:t>Corporate Performance Measures</w:t>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50% diluted net 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1270</wp:posOffset>
            </wp:positionV>
            <wp:extent cx="5702935" cy="1276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02935" cy="12763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30% corporate revenue growth</w:t>
      </w:r>
    </w:p>
    <w:p>
      <w:pPr>
        <w:spacing w:after="0" w:line="1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20% corporate working capital as a percent of sales</w:t>
      </w:r>
    </w:p>
    <w:p>
      <w:pPr>
        <w:spacing w:after="0" w:line="108" w:lineRule="exact"/>
        <w:rPr>
          <w:sz w:val="20"/>
          <w:szCs w:val="20"/>
          <w:color w:val="auto"/>
        </w:rPr>
      </w:pPr>
    </w:p>
    <w:p>
      <w:pPr>
        <w:ind w:right="20" w:firstLine="401"/>
        <w:spacing w:after="0" w:line="236" w:lineRule="auto"/>
        <w:rPr>
          <w:sz w:val="20"/>
          <w:szCs w:val="20"/>
          <w:color w:val="auto"/>
        </w:rPr>
      </w:pPr>
      <w:r>
        <w:rPr>
          <w:rFonts w:ascii="Arial" w:cs="Arial" w:eastAsia="Arial" w:hAnsi="Arial"/>
          <w:sz w:val="18"/>
          <w:szCs w:val="18"/>
          <w:color w:val="auto"/>
        </w:rPr>
        <w:t>At its meeting in December 2019, the Committee’s first meeting of fiscal 2020, threshold, target and maximum goals were established by the Committee for each corporate performance measure. Target levels of performance were established based on our annual financial business plan, which takes into account our prior fiscal year actual financial business results, our competitive situation and the general outlook for our business during the current fiscal year. Additionally, the diluted net adjusted EPS threshold goal, which was set at 80% of plan, must have been met in order for there to be any payout for corporate participants.</w:t>
      </w:r>
    </w:p>
    <w:p>
      <w:pPr>
        <w:spacing w:after="0" w:line="95" w:lineRule="exact"/>
        <w:rPr>
          <w:sz w:val="20"/>
          <w:szCs w:val="20"/>
          <w:color w:val="auto"/>
        </w:rPr>
      </w:pPr>
    </w:p>
    <w:p>
      <w:pPr>
        <w:ind w:right="280" w:firstLine="401"/>
        <w:spacing w:after="0" w:line="236" w:lineRule="auto"/>
        <w:rPr>
          <w:sz w:val="20"/>
          <w:szCs w:val="20"/>
          <w:color w:val="auto"/>
        </w:rPr>
      </w:pPr>
      <w:r>
        <w:rPr>
          <w:rFonts w:ascii="Arial" w:cs="Arial" w:eastAsia="Arial" w:hAnsi="Arial"/>
          <w:sz w:val="18"/>
          <w:szCs w:val="18"/>
          <w:color w:val="auto"/>
        </w:rPr>
        <w:t>As provided for and in accordance with our 2010 Plan, the Committee also established specific adjustment events for determining corporate performance payouts under the fiscal 2020 annual cash incentive awards. The impact of an acquisition on the fiscal 2020 annual cash incentive award payouts was determined by the size of the acquisition based on projected annual revenue for the first twelve months following the closing of an acquisition, as follows:</w:t>
      </w:r>
    </w:p>
    <w:p>
      <w:pPr>
        <w:spacing w:after="0" w:line="97" w:lineRule="exact"/>
        <w:rPr>
          <w:sz w:val="20"/>
          <w:szCs w:val="20"/>
          <w:color w:val="auto"/>
        </w:rPr>
      </w:pPr>
    </w:p>
    <w:p>
      <w:pPr>
        <w:ind w:left="780" w:right="160" w:hanging="384"/>
        <w:spacing w:after="0"/>
        <w:tabs>
          <w:tab w:leader="none" w:pos="780" w:val="left"/>
        </w:tabs>
        <w:numPr>
          <w:ilvl w:val="0"/>
          <w:numId w:val="49"/>
        </w:numPr>
        <w:rPr>
          <w:rFonts w:ascii="Arial" w:cs="Arial" w:eastAsia="Arial" w:hAnsi="Arial"/>
          <w:sz w:val="16"/>
          <w:szCs w:val="16"/>
          <w:color w:val="auto"/>
        </w:rPr>
      </w:pPr>
      <w:r>
        <w:rPr>
          <w:rFonts w:ascii="Arial" w:cs="Arial" w:eastAsia="Arial" w:hAnsi="Arial"/>
          <w:sz w:val="18"/>
          <w:szCs w:val="18"/>
          <w:color w:val="auto"/>
        </w:rPr>
        <w:t>The impact of any acquisition greater than $10 million was to be excluded from the payout calculation, unless such acquisition was included in the fiscal 2020 goals; and</w:t>
      </w:r>
    </w:p>
    <w:p>
      <w:pPr>
        <w:spacing w:after="0" w:line="95" w:lineRule="exact"/>
        <w:rPr>
          <w:rFonts w:ascii="Arial" w:cs="Arial" w:eastAsia="Arial" w:hAnsi="Arial"/>
          <w:sz w:val="16"/>
          <w:szCs w:val="16"/>
          <w:color w:val="auto"/>
        </w:rPr>
      </w:pPr>
    </w:p>
    <w:p>
      <w:pPr>
        <w:ind w:left="780" w:hanging="384"/>
        <w:spacing w:after="0"/>
        <w:tabs>
          <w:tab w:leader="none" w:pos="780" w:val="left"/>
        </w:tabs>
        <w:numPr>
          <w:ilvl w:val="0"/>
          <w:numId w:val="49"/>
        </w:numPr>
        <w:rPr>
          <w:rFonts w:ascii="Arial" w:cs="Arial" w:eastAsia="Arial" w:hAnsi="Arial"/>
          <w:sz w:val="16"/>
          <w:szCs w:val="16"/>
          <w:color w:val="auto"/>
        </w:rPr>
      </w:pPr>
      <w:r>
        <w:rPr>
          <w:rFonts w:ascii="Arial" w:cs="Arial" w:eastAsia="Arial" w:hAnsi="Arial"/>
          <w:sz w:val="18"/>
          <w:szCs w:val="18"/>
          <w:color w:val="auto"/>
        </w:rPr>
        <w:t>The impact of any acquisition less than $10 million was to be included in the payout calculation.</w:t>
      </w:r>
    </w:p>
    <w:p>
      <w:pPr>
        <w:spacing w:after="0" w:line="101"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In addition, any externally driven changes in accounting principles and standards were to be excluded if the cumulative net impact on the payout of all such accounting adjustments affected the award payout by more than 2%. The COVID-19 pandemic was not factored into the annual cash incentive award performance metrics, goals or adjustment events.</w:t>
      </w:r>
    </w:p>
    <w:p>
      <w:pPr>
        <w:spacing w:after="0" w:line="77" w:lineRule="exact"/>
        <w:rPr>
          <w:sz w:val="20"/>
          <w:szCs w:val="20"/>
          <w:color w:val="auto"/>
        </w:rPr>
      </w:pPr>
    </w:p>
    <w:p>
      <w:pPr>
        <w:ind w:right="40" w:firstLine="401"/>
        <w:spacing w:after="0" w:line="242" w:lineRule="auto"/>
        <w:rPr>
          <w:sz w:val="20"/>
          <w:szCs w:val="20"/>
          <w:color w:val="auto"/>
        </w:rPr>
      </w:pPr>
      <w:r>
        <w:rPr>
          <w:rFonts w:ascii="Arial" w:cs="Arial" w:eastAsia="Arial" w:hAnsi="Arial"/>
          <w:sz w:val="18"/>
          <w:szCs w:val="18"/>
          <w:i w:val="1"/>
          <w:iCs w:val="1"/>
          <w:color w:val="auto"/>
        </w:rPr>
        <w:t xml:space="preserve">Corporate Performance Measures and Goals. </w:t>
      </w:r>
      <w:r>
        <w:rPr>
          <w:rFonts w:ascii="Arial" w:cs="Arial" w:eastAsia="Arial" w:hAnsi="Arial"/>
          <w:sz w:val="18"/>
          <w:szCs w:val="18"/>
          <w:color w:val="auto"/>
        </w:rPr>
        <w:t>The table below summarizes the fiscal 2020 corporate performance measures and goals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our named executive officers. In fiscal 2020, pursuant to the predefined adjustment events, all financial impacts related to the Venture Products acquisition, among other adjustment events, were excluded from the payout calculation. We did not adjust our performance measures or goals which were set at the beginning of fiscal 2020 as a result of the COVID-19 pandemic.</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shd w:val="clear" w:color="auto" w:fill="BE0000"/>
          </w:tcPr>
          <w:p>
            <w:pPr>
              <w:spacing w:after="0"/>
              <w:rPr>
                <w:sz w:val="20"/>
                <w:szCs w:val="20"/>
                <w:color w:val="auto"/>
              </w:rPr>
            </w:pPr>
            <w:r>
              <w:rPr>
                <w:rFonts w:ascii="Arial" w:cs="Arial" w:eastAsia="Arial" w:hAnsi="Arial"/>
                <w:sz w:val="14"/>
                <w:szCs w:val="14"/>
                <w:b w:val="1"/>
                <w:bCs w:val="1"/>
                <w:color w:val="FFFFFF"/>
              </w:rPr>
              <w:t>Corporate:</w:t>
            </w:r>
          </w:p>
        </w:tc>
        <w:tc>
          <w:tcPr>
            <w:tcW w:w="1680" w:type="dxa"/>
            <w:vAlign w:val="bottom"/>
            <w:shd w:val="clear" w:color="auto" w:fill="BE0000"/>
          </w:tcPr>
          <w:p>
            <w:pPr>
              <w:jc w:val="center"/>
              <w:ind w:left="249"/>
              <w:spacing w:after="0"/>
              <w:rPr>
                <w:sz w:val="20"/>
                <w:szCs w:val="20"/>
                <w:color w:val="auto"/>
              </w:rPr>
            </w:pPr>
            <w:r>
              <w:rPr>
                <w:rFonts w:ascii="Arial" w:cs="Arial" w:eastAsia="Arial" w:hAnsi="Arial"/>
                <w:sz w:val="14"/>
                <w:szCs w:val="14"/>
                <w:b w:val="1"/>
                <w:bCs w:val="1"/>
                <w:color w:val="FFFFFF"/>
              </w:rPr>
              <w:t>Threshold</w:t>
            </w:r>
          </w:p>
        </w:tc>
        <w:tc>
          <w:tcPr>
            <w:tcW w:w="1400" w:type="dxa"/>
            <w:vAlign w:val="bottom"/>
            <w:shd w:val="clear" w:color="auto" w:fill="BE0000"/>
          </w:tcPr>
          <w:p>
            <w:pPr>
              <w:jc w:val="center"/>
              <w:spacing w:after="0"/>
              <w:rPr>
                <w:sz w:val="20"/>
                <w:szCs w:val="20"/>
                <w:color w:val="auto"/>
              </w:rPr>
            </w:pPr>
            <w:r>
              <w:rPr>
                <w:rFonts w:ascii="Arial" w:cs="Arial" w:eastAsia="Arial" w:hAnsi="Arial"/>
                <w:sz w:val="14"/>
                <w:szCs w:val="14"/>
                <w:b w:val="1"/>
                <w:bCs w:val="1"/>
                <w:color w:val="FFFFFF"/>
              </w:rPr>
              <w:t>Target</w:t>
            </w:r>
          </w:p>
        </w:tc>
        <w:tc>
          <w:tcPr>
            <w:tcW w:w="1540" w:type="dxa"/>
            <w:vAlign w:val="bottom"/>
            <w:shd w:val="clear" w:color="auto" w:fill="BE0000"/>
          </w:tcPr>
          <w:p>
            <w:pPr>
              <w:jc w:val="center"/>
              <w:ind w:right="89"/>
              <w:spacing w:after="0"/>
              <w:rPr>
                <w:sz w:val="20"/>
                <w:szCs w:val="20"/>
                <w:color w:val="auto"/>
              </w:rPr>
            </w:pPr>
            <w:r>
              <w:rPr>
                <w:rFonts w:ascii="Arial" w:cs="Arial" w:eastAsia="Arial" w:hAnsi="Arial"/>
                <w:sz w:val="14"/>
                <w:szCs w:val="14"/>
                <w:b w:val="1"/>
                <w:bCs w:val="1"/>
                <w:color w:val="FFFFFF"/>
              </w:rPr>
              <w:t>Maximum</w:t>
            </w:r>
          </w:p>
        </w:tc>
        <w:tc>
          <w:tcPr>
            <w:tcW w:w="2800" w:type="dxa"/>
            <w:vAlign w:val="bottom"/>
            <w:shd w:val="clear" w:color="auto" w:fill="BE0000"/>
          </w:tcPr>
          <w:p>
            <w:pPr>
              <w:spacing w:after="0"/>
              <w:rPr>
                <w:sz w:val="14"/>
                <w:szCs w:val="14"/>
                <w:color w:val="auto"/>
              </w:rPr>
            </w:pPr>
          </w:p>
        </w:tc>
      </w:tr>
      <w:tr>
        <w:trPr>
          <w:trHeight w:val="174"/>
        </w:trPr>
        <w:tc>
          <w:tcPr>
            <w:tcW w:w="3820" w:type="dxa"/>
            <w:vAlign w:val="bottom"/>
            <w:shd w:val="clear" w:color="auto" w:fill="BE0000"/>
          </w:tcPr>
          <w:p>
            <w:pPr>
              <w:spacing w:after="0"/>
              <w:rPr>
                <w:sz w:val="20"/>
                <w:szCs w:val="20"/>
                <w:color w:val="auto"/>
              </w:rPr>
            </w:pPr>
            <w:r>
              <w:rPr>
                <w:rFonts w:ascii="Arial" w:cs="Arial" w:eastAsia="Arial" w:hAnsi="Arial"/>
                <w:sz w:val="14"/>
                <w:szCs w:val="14"/>
                <w:b w:val="1"/>
                <w:bCs w:val="1"/>
                <w:color w:val="FFFFFF"/>
              </w:rPr>
              <w:t>Fiscal 2020 Performance Measures</w:t>
            </w:r>
          </w:p>
        </w:tc>
        <w:tc>
          <w:tcPr>
            <w:tcW w:w="1680" w:type="dxa"/>
            <w:vAlign w:val="bottom"/>
            <w:shd w:val="clear" w:color="auto" w:fill="BE0000"/>
          </w:tcPr>
          <w:p>
            <w:pPr>
              <w:jc w:val="center"/>
              <w:ind w:left="249"/>
              <w:spacing w:after="0"/>
              <w:rPr>
                <w:sz w:val="20"/>
                <w:szCs w:val="20"/>
                <w:color w:val="auto"/>
              </w:rPr>
            </w:pPr>
            <w:r>
              <w:rPr>
                <w:rFonts w:ascii="Arial" w:cs="Arial" w:eastAsia="Arial" w:hAnsi="Arial"/>
                <w:sz w:val="14"/>
                <w:szCs w:val="14"/>
                <w:b w:val="1"/>
                <w:bCs w:val="1"/>
                <w:color w:val="FFFFFF"/>
              </w:rPr>
              <w:t>(40% payout)</w:t>
            </w:r>
          </w:p>
        </w:tc>
        <w:tc>
          <w:tcPr>
            <w:tcW w:w="1400" w:type="dxa"/>
            <w:vAlign w:val="bottom"/>
            <w:shd w:val="clear" w:color="auto" w:fill="BE0000"/>
          </w:tcPr>
          <w:p>
            <w:pPr>
              <w:jc w:val="center"/>
              <w:spacing w:after="0"/>
              <w:rPr>
                <w:sz w:val="20"/>
                <w:szCs w:val="20"/>
                <w:color w:val="auto"/>
              </w:rPr>
            </w:pPr>
            <w:r>
              <w:rPr>
                <w:rFonts w:ascii="Arial" w:cs="Arial" w:eastAsia="Arial" w:hAnsi="Arial"/>
                <w:sz w:val="14"/>
                <w:szCs w:val="14"/>
                <w:b w:val="1"/>
                <w:bCs w:val="1"/>
                <w:color w:val="FFFFFF"/>
              </w:rPr>
              <w:t>(100% payout)</w:t>
            </w:r>
          </w:p>
        </w:tc>
        <w:tc>
          <w:tcPr>
            <w:tcW w:w="1540" w:type="dxa"/>
            <w:vAlign w:val="bottom"/>
            <w:shd w:val="clear" w:color="auto" w:fill="BE0000"/>
          </w:tcPr>
          <w:p>
            <w:pPr>
              <w:jc w:val="center"/>
              <w:ind w:right="89"/>
              <w:spacing w:after="0"/>
              <w:rPr>
                <w:sz w:val="20"/>
                <w:szCs w:val="20"/>
                <w:color w:val="auto"/>
              </w:rPr>
            </w:pPr>
            <w:r>
              <w:rPr>
                <w:rFonts w:ascii="Arial" w:cs="Arial" w:eastAsia="Arial" w:hAnsi="Arial"/>
                <w:sz w:val="14"/>
                <w:szCs w:val="14"/>
                <w:b w:val="1"/>
                <w:bCs w:val="1"/>
                <w:color w:val="FFFFFF"/>
              </w:rPr>
              <w:t>(200% payout)</w:t>
            </w:r>
          </w:p>
        </w:tc>
        <w:tc>
          <w:tcPr>
            <w:tcW w:w="2800" w:type="dxa"/>
            <w:vAlign w:val="bottom"/>
            <w:shd w:val="clear" w:color="auto" w:fill="BE0000"/>
          </w:tcPr>
          <w:p>
            <w:pPr>
              <w:jc w:val="center"/>
              <w:ind w:right="9"/>
              <w:spacing w:after="0"/>
              <w:rPr>
                <w:sz w:val="20"/>
                <w:szCs w:val="20"/>
                <w:color w:val="auto"/>
              </w:rPr>
            </w:pPr>
            <w:r>
              <w:rPr>
                <w:rFonts w:ascii="Arial" w:cs="Arial" w:eastAsia="Arial" w:hAnsi="Arial"/>
                <w:sz w:val="14"/>
                <w:szCs w:val="14"/>
                <w:b w:val="1"/>
                <w:bCs w:val="1"/>
                <w:color w:val="FFFFFF"/>
              </w:rPr>
              <w:t>Actual</w:t>
            </w:r>
          </w:p>
        </w:tc>
      </w:tr>
      <w:tr>
        <w:trPr>
          <w:trHeight w:val="179"/>
        </w:trPr>
        <w:tc>
          <w:tcPr>
            <w:tcW w:w="38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0" w:type="dxa"/>
            <w:vAlign w:val="bottom"/>
          </w:tcPr>
          <w:p>
            <w:pPr>
              <w:jc w:val="center"/>
              <w:ind w:right="9"/>
              <w:spacing w:after="0"/>
              <w:rPr>
                <w:sz w:val="20"/>
                <w:szCs w:val="20"/>
                <w:color w:val="auto"/>
              </w:rPr>
            </w:pPr>
            <w:r>
              <w:rPr>
                <w:rFonts w:ascii="Arial" w:cs="Arial" w:eastAsia="Arial" w:hAnsi="Arial"/>
                <w:sz w:val="14"/>
                <w:szCs w:val="14"/>
                <w:color w:val="auto"/>
              </w:rPr>
              <w:t>$2.75</w:t>
            </w:r>
          </w:p>
        </w:tc>
      </w:tr>
      <w:tr>
        <w:trPr>
          <w:trHeight w:val="156"/>
        </w:trPr>
        <w:tc>
          <w:tcPr>
            <w:tcW w:w="3820" w:type="dxa"/>
            <w:vAlign w:val="bottom"/>
          </w:tcPr>
          <w:p>
            <w:pPr>
              <w:spacing w:after="0" w:line="156" w:lineRule="exact"/>
              <w:rPr>
                <w:sz w:val="20"/>
                <w:szCs w:val="20"/>
                <w:color w:val="auto"/>
              </w:rPr>
            </w:pPr>
            <w:r>
              <w:rPr>
                <w:rFonts w:ascii="Arial" w:cs="Arial" w:eastAsia="Arial" w:hAnsi="Arial"/>
                <w:sz w:val="14"/>
                <w:szCs w:val="14"/>
                <w:color w:val="auto"/>
              </w:rPr>
              <w:t>50% diluted net adjusted EPS</w:t>
            </w:r>
          </w:p>
        </w:tc>
        <w:tc>
          <w:tcPr>
            <w:tcW w:w="1680" w:type="dxa"/>
            <w:vAlign w:val="bottom"/>
          </w:tcPr>
          <w:p>
            <w:pPr>
              <w:jc w:val="center"/>
              <w:ind w:left="249"/>
              <w:spacing w:after="0" w:line="156" w:lineRule="exact"/>
              <w:rPr>
                <w:sz w:val="20"/>
                <w:szCs w:val="20"/>
                <w:color w:val="auto"/>
              </w:rPr>
            </w:pPr>
            <w:r>
              <w:rPr>
                <w:rFonts w:ascii="Arial" w:cs="Arial" w:eastAsia="Arial" w:hAnsi="Arial"/>
                <w:sz w:val="14"/>
                <w:szCs w:val="14"/>
                <w:color w:val="auto"/>
              </w:rPr>
              <w:t>$2.73</w:t>
            </w:r>
          </w:p>
        </w:tc>
        <w:tc>
          <w:tcPr>
            <w:tcW w:w="1400" w:type="dxa"/>
            <w:vAlign w:val="bottom"/>
          </w:tcPr>
          <w:p>
            <w:pPr>
              <w:jc w:val="center"/>
              <w:spacing w:after="0" w:line="156" w:lineRule="exact"/>
              <w:rPr>
                <w:sz w:val="20"/>
                <w:szCs w:val="20"/>
                <w:color w:val="auto"/>
              </w:rPr>
            </w:pPr>
            <w:r>
              <w:rPr>
                <w:rFonts w:ascii="Arial" w:cs="Arial" w:eastAsia="Arial" w:hAnsi="Arial"/>
                <w:sz w:val="14"/>
                <w:szCs w:val="14"/>
                <w:color w:val="auto"/>
              </w:rPr>
              <w:t>$3.41</w:t>
            </w:r>
          </w:p>
        </w:tc>
        <w:tc>
          <w:tcPr>
            <w:tcW w:w="1540" w:type="dxa"/>
            <w:vAlign w:val="bottom"/>
          </w:tcPr>
          <w:p>
            <w:pPr>
              <w:jc w:val="center"/>
              <w:ind w:right="109"/>
              <w:spacing w:after="0" w:line="156" w:lineRule="exact"/>
              <w:rPr>
                <w:sz w:val="20"/>
                <w:szCs w:val="20"/>
                <w:color w:val="auto"/>
              </w:rPr>
            </w:pPr>
            <w:r>
              <w:rPr>
                <w:rFonts w:ascii="Arial" w:cs="Arial" w:eastAsia="Arial" w:hAnsi="Arial"/>
                <w:sz w:val="14"/>
                <w:szCs w:val="14"/>
                <w:color w:val="auto"/>
              </w:rPr>
              <w:t>$4.09</w:t>
            </w:r>
          </w:p>
        </w:tc>
        <w:tc>
          <w:tcPr>
            <w:tcW w:w="2800" w:type="dxa"/>
            <w:vAlign w:val="bottom"/>
          </w:tcPr>
          <w:p>
            <w:pPr>
              <w:jc w:val="center"/>
              <w:ind w:right="29"/>
              <w:spacing w:after="0" w:line="156" w:lineRule="exact"/>
              <w:rPr>
                <w:sz w:val="20"/>
                <w:szCs w:val="20"/>
                <w:color w:val="auto"/>
              </w:rPr>
            </w:pPr>
            <w:r>
              <w:rPr>
                <w:rFonts w:ascii="Arial" w:cs="Arial" w:eastAsia="Arial" w:hAnsi="Arial"/>
                <w:sz w:val="14"/>
                <w:szCs w:val="14"/>
                <w:color w:val="auto"/>
              </w:rPr>
              <w:t>(between threshold and target)</w:t>
            </w:r>
          </w:p>
        </w:tc>
      </w:tr>
      <w:tr>
        <w:trPr>
          <w:trHeight w:val="179"/>
        </w:trPr>
        <w:tc>
          <w:tcPr>
            <w:tcW w:w="3820" w:type="dxa"/>
            <w:vAlign w:val="bottom"/>
            <w:shd w:val="clear" w:color="auto" w:fill="D9D9D9"/>
          </w:tcPr>
          <w:p>
            <w:pPr>
              <w:spacing w:after="0"/>
              <w:rPr>
                <w:sz w:val="15"/>
                <w:szCs w:val="15"/>
                <w:color w:val="auto"/>
              </w:rPr>
            </w:pPr>
          </w:p>
        </w:tc>
        <w:tc>
          <w:tcPr>
            <w:tcW w:w="1680" w:type="dxa"/>
            <w:vAlign w:val="bottom"/>
            <w:shd w:val="clear" w:color="auto" w:fill="D9D9D9"/>
          </w:tcPr>
          <w:p>
            <w:pPr>
              <w:spacing w:after="0"/>
              <w:rPr>
                <w:sz w:val="15"/>
                <w:szCs w:val="15"/>
                <w:color w:val="auto"/>
              </w:rPr>
            </w:pPr>
          </w:p>
        </w:tc>
        <w:tc>
          <w:tcPr>
            <w:tcW w:w="1400" w:type="dxa"/>
            <w:vAlign w:val="bottom"/>
            <w:shd w:val="clear" w:color="auto" w:fill="D9D9D9"/>
          </w:tcPr>
          <w:p>
            <w:pPr>
              <w:spacing w:after="0"/>
              <w:rPr>
                <w:sz w:val="15"/>
                <w:szCs w:val="15"/>
                <w:color w:val="auto"/>
              </w:rPr>
            </w:pPr>
          </w:p>
        </w:tc>
        <w:tc>
          <w:tcPr>
            <w:tcW w:w="1540" w:type="dxa"/>
            <w:vAlign w:val="bottom"/>
            <w:shd w:val="clear" w:color="auto" w:fill="D9D9D9"/>
          </w:tcPr>
          <w:p>
            <w:pPr>
              <w:spacing w:after="0"/>
              <w:rPr>
                <w:sz w:val="15"/>
                <w:szCs w:val="15"/>
                <w:color w:val="auto"/>
              </w:rPr>
            </w:pPr>
          </w:p>
        </w:tc>
        <w:tc>
          <w:tcPr>
            <w:tcW w:w="2800" w:type="dxa"/>
            <w:vAlign w:val="bottom"/>
            <w:shd w:val="clear" w:color="auto" w:fill="D9D9D9"/>
          </w:tcPr>
          <w:p>
            <w:pPr>
              <w:jc w:val="center"/>
              <w:ind w:right="9"/>
              <w:spacing w:after="0"/>
              <w:rPr>
                <w:sz w:val="20"/>
                <w:szCs w:val="20"/>
                <w:color w:val="auto"/>
              </w:rPr>
            </w:pPr>
            <w:r>
              <w:rPr>
                <w:rFonts w:ascii="Arial" w:cs="Arial" w:eastAsia="Arial" w:hAnsi="Arial"/>
                <w:sz w:val="14"/>
                <w:szCs w:val="14"/>
                <w:color w:val="auto"/>
              </w:rPr>
              <w:t>5.8%</w:t>
            </w:r>
          </w:p>
        </w:tc>
      </w:tr>
      <w:tr>
        <w:trPr>
          <w:trHeight w:val="156"/>
        </w:trPr>
        <w:tc>
          <w:tcPr>
            <w:tcW w:w="3820" w:type="dxa"/>
            <w:vAlign w:val="bottom"/>
            <w:shd w:val="clear" w:color="auto" w:fill="D9D9D9"/>
          </w:tcPr>
          <w:p>
            <w:pPr>
              <w:spacing w:after="0" w:line="156" w:lineRule="exact"/>
              <w:rPr>
                <w:sz w:val="20"/>
                <w:szCs w:val="20"/>
                <w:color w:val="auto"/>
              </w:rPr>
            </w:pPr>
            <w:r>
              <w:rPr>
                <w:rFonts w:ascii="Arial" w:cs="Arial" w:eastAsia="Arial" w:hAnsi="Arial"/>
                <w:sz w:val="14"/>
                <w:szCs w:val="14"/>
                <w:color w:val="auto"/>
              </w:rPr>
              <w:t>30% corporate revenue growth</w:t>
            </w:r>
          </w:p>
        </w:tc>
        <w:tc>
          <w:tcPr>
            <w:tcW w:w="1680" w:type="dxa"/>
            <w:vAlign w:val="bottom"/>
            <w:shd w:val="clear" w:color="auto" w:fill="D9D9D9"/>
          </w:tcPr>
          <w:p>
            <w:pPr>
              <w:jc w:val="center"/>
              <w:ind w:left="249"/>
              <w:spacing w:after="0" w:line="156" w:lineRule="exact"/>
              <w:rPr>
                <w:sz w:val="20"/>
                <w:szCs w:val="20"/>
                <w:color w:val="auto"/>
              </w:rPr>
            </w:pPr>
            <w:r>
              <w:rPr>
                <w:rFonts w:ascii="Arial" w:cs="Arial" w:eastAsia="Arial" w:hAnsi="Arial"/>
                <w:sz w:val="14"/>
                <w:szCs w:val="14"/>
                <w:color w:val="auto"/>
              </w:rPr>
              <w:t>13.1%</w:t>
            </w:r>
          </w:p>
        </w:tc>
        <w:tc>
          <w:tcPr>
            <w:tcW w:w="1400" w:type="dxa"/>
            <w:vAlign w:val="bottom"/>
            <w:shd w:val="clear" w:color="auto" w:fill="D9D9D9"/>
          </w:tcPr>
          <w:p>
            <w:pPr>
              <w:jc w:val="center"/>
              <w:spacing w:after="0" w:line="156" w:lineRule="exact"/>
              <w:rPr>
                <w:sz w:val="20"/>
                <w:szCs w:val="20"/>
                <w:color w:val="auto"/>
              </w:rPr>
            </w:pPr>
            <w:r>
              <w:rPr>
                <w:rFonts w:ascii="Arial" w:cs="Arial" w:eastAsia="Arial" w:hAnsi="Arial"/>
                <w:sz w:val="14"/>
                <w:szCs w:val="14"/>
                <w:color w:val="auto"/>
              </w:rPr>
              <w:t>15.1%</w:t>
            </w:r>
          </w:p>
        </w:tc>
        <w:tc>
          <w:tcPr>
            <w:tcW w:w="1540" w:type="dxa"/>
            <w:vAlign w:val="bottom"/>
            <w:shd w:val="clear" w:color="auto" w:fill="D9D9D9"/>
          </w:tcPr>
          <w:p>
            <w:pPr>
              <w:jc w:val="center"/>
              <w:ind w:right="89"/>
              <w:spacing w:after="0" w:line="156" w:lineRule="exact"/>
              <w:rPr>
                <w:sz w:val="20"/>
                <w:szCs w:val="20"/>
                <w:color w:val="auto"/>
              </w:rPr>
            </w:pPr>
            <w:r>
              <w:rPr>
                <w:rFonts w:ascii="Arial" w:cs="Arial" w:eastAsia="Arial" w:hAnsi="Arial"/>
                <w:sz w:val="14"/>
                <w:szCs w:val="14"/>
                <w:color w:val="auto"/>
              </w:rPr>
              <w:t>17.1%</w:t>
            </w:r>
          </w:p>
        </w:tc>
        <w:tc>
          <w:tcPr>
            <w:tcW w:w="2800" w:type="dxa"/>
            <w:vAlign w:val="bottom"/>
            <w:shd w:val="clear" w:color="auto" w:fill="D9D9D9"/>
          </w:tcPr>
          <w:p>
            <w:pPr>
              <w:jc w:val="center"/>
              <w:ind w:right="29"/>
              <w:spacing w:after="0" w:line="156" w:lineRule="exact"/>
              <w:rPr>
                <w:sz w:val="20"/>
                <w:szCs w:val="20"/>
                <w:color w:val="auto"/>
              </w:rPr>
            </w:pPr>
            <w:r>
              <w:rPr>
                <w:rFonts w:ascii="Arial" w:cs="Arial" w:eastAsia="Arial" w:hAnsi="Arial"/>
                <w:sz w:val="14"/>
                <w:szCs w:val="14"/>
                <w:color w:val="auto"/>
              </w:rPr>
              <w:t>(below threshold)</w:t>
            </w:r>
          </w:p>
        </w:tc>
      </w:tr>
      <w:tr>
        <w:trPr>
          <w:trHeight w:val="179"/>
        </w:trPr>
        <w:tc>
          <w:tcPr>
            <w:tcW w:w="38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0" w:type="dxa"/>
            <w:vAlign w:val="bottom"/>
          </w:tcPr>
          <w:p>
            <w:pPr>
              <w:jc w:val="center"/>
              <w:ind w:right="9"/>
              <w:spacing w:after="0"/>
              <w:rPr>
                <w:sz w:val="20"/>
                <w:szCs w:val="20"/>
                <w:color w:val="auto"/>
              </w:rPr>
            </w:pPr>
            <w:r>
              <w:rPr>
                <w:rFonts w:ascii="Arial" w:cs="Arial" w:eastAsia="Arial" w:hAnsi="Arial"/>
                <w:sz w:val="14"/>
                <w:szCs w:val="14"/>
                <w:color w:val="auto"/>
              </w:rPr>
              <w:t>20.59%</w:t>
            </w:r>
          </w:p>
        </w:tc>
      </w:tr>
      <w:tr>
        <w:trPr>
          <w:trHeight w:val="156"/>
        </w:trPr>
        <w:tc>
          <w:tcPr>
            <w:tcW w:w="3820" w:type="dxa"/>
            <w:vAlign w:val="bottom"/>
          </w:tcPr>
          <w:p>
            <w:pPr>
              <w:spacing w:after="0" w:line="156" w:lineRule="exact"/>
              <w:rPr>
                <w:sz w:val="20"/>
                <w:szCs w:val="20"/>
                <w:color w:val="auto"/>
              </w:rPr>
            </w:pPr>
            <w:r>
              <w:rPr>
                <w:rFonts w:ascii="Arial" w:cs="Arial" w:eastAsia="Arial" w:hAnsi="Arial"/>
                <w:sz w:val="14"/>
                <w:szCs w:val="14"/>
                <w:color w:val="auto"/>
              </w:rPr>
              <w:t>20% corporate working capital as a percent of sales</w:t>
            </w:r>
          </w:p>
        </w:tc>
        <w:tc>
          <w:tcPr>
            <w:tcW w:w="1680" w:type="dxa"/>
            <w:vAlign w:val="bottom"/>
          </w:tcPr>
          <w:p>
            <w:pPr>
              <w:jc w:val="center"/>
              <w:ind w:left="249"/>
              <w:spacing w:after="0" w:line="156" w:lineRule="exact"/>
              <w:rPr>
                <w:sz w:val="20"/>
                <w:szCs w:val="20"/>
                <w:color w:val="auto"/>
              </w:rPr>
            </w:pPr>
            <w:r>
              <w:rPr>
                <w:rFonts w:ascii="Arial" w:cs="Arial" w:eastAsia="Arial" w:hAnsi="Arial"/>
                <w:sz w:val="14"/>
                <w:szCs w:val="14"/>
                <w:color w:val="auto"/>
              </w:rPr>
              <w:t>18.80%</w:t>
            </w:r>
          </w:p>
        </w:tc>
        <w:tc>
          <w:tcPr>
            <w:tcW w:w="1400" w:type="dxa"/>
            <w:vAlign w:val="bottom"/>
          </w:tcPr>
          <w:p>
            <w:pPr>
              <w:jc w:val="center"/>
              <w:spacing w:after="0" w:line="156" w:lineRule="exact"/>
              <w:rPr>
                <w:sz w:val="20"/>
                <w:szCs w:val="20"/>
                <w:color w:val="auto"/>
              </w:rPr>
            </w:pPr>
            <w:r>
              <w:rPr>
                <w:rFonts w:ascii="Arial" w:cs="Arial" w:eastAsia="Arial" w:hAnsi="Arial"/>
                <w:sz w:val="14"/>
                <w:szCs w:val="14"/>
                <w:color w:val="auto"/>
              </w:rPr>
              <w:t>16.35%</w:t>
            </w:r>
          </w:p>
        </w:tc>
        <w:tc>
          <w:tcPr>
            <w:tcW w:w="1540" w:type="dxa"/>
            <w:vAlign w:val="bottom"/>
          </w:tcPr>
          <w:p>
            <w:pPr>
              <w:jc w:val="center"/>
              <w:ind w:right="89"/>
              <w:spacing w:after="0" w:line="156" w:lineRule="exact"/>
              <w:rPr>
                <w:sz w:val="20"/>
                <w:szCs w:val="20"/>
                <w:color w:val="auto"/>
              </w:rPr>
            </w:pPr>
            <w:r>
              <w:rPr>
                <w:rFonts w:ascii="Arial" w:cs="Arial" w:eastAsia="Arial" w:hAnsi="Arial"/>
                <w:sz w:val="14"/>
                <w:szCs w:val="14"/>
                <w:color w:val="auto"/>
              </w:rPr>
              <w:t>13.90%</w:t>
            </w:r>
          </w:p>
        </w:tc>
        <w:tc>
          <w:tcPr>
            <w:tcW w:w="2800" w:type="dxa"/>
            <w:vAlign w:val="bottom"/>
          </w:tcPr>
          <w:p>
            <w:pPr>
              <w:jc w:val="center"/>
              <w:ind w:right="29"/>
              <w:spacing w:after="0" w:line="156" w:lineRule="exact"/>
              <w:rPr>
                <w:sz w:val="20"/>
                <w:szCs w:val="20"/>
                <w:color w:val="auto"/>
              </w:rPr>
            </w:pPr>
            <w:r>
              <w:rPr>
                <w:rFonts w:ascii="Arial" w:cs="Arial" w:eastAsia="Arial" w:hAnsi="Arial"/>
                <w:sz w:val="14"/>
                <w:szCs w:val="14"/>
                <w:color w:val="auto"/>
              </w:rPr>
              <w:t>(below threshold)</w:t>
            </w:r>
          </w:p>
        </w:tc>
      </w:tr>
      <w:tr>
        <w:trPr>
          <w:trHeight w:val="228"/>
        </w:trPr>
        <w:tc>
          <w:tcPr>
            <w:tcW w:w="382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Corporate performance payout</w:t>
            </w:r>
          </w:p>
        </w:tc>
        <w:tc>
          <w:tcPr>
            <w:tcW w:w="1680" w:type="dxa"/>
            <w:vAlign w:val="bottom"/>
            <w:shd w:val="clear" w:color="auto" w:fill="D9D9D9"/>
          </w:tcPr>
          <w:p>
            <w:pPr>
              <w:spacing w:after="0"/>
              <w:rPr>
                <w:sz w:val="19"/>
                <w:szCs w:val="19"/>
                <w:color w:val="auto"/>
              </w:rPr>
            </w:pPr>
          </w:p>
        </w:tc>
        <w:tc>
          <w:tcPr>
            <w:tcW w:w="1400" w:type="dxa"/>
            <w:vAlign w:val="bottom"/>
            <w:shd w:val="clear" w:color="auto" w:fill="D9D9D9"/>
          </w:tcPr>
          <w:p>
            <w:pPr>
              <w:spacing w:after="0"/>
              <w:rPr>
                <w:sz w:val="19"/>
                <w:szCs w:val="19"/>
                <w:color w:val="auto"/>
              </w:rPr>
            </w:pPr>
          </w:p>
        </w:tc>
        <w:tc>
          <w:tcPr>
            <w:tcW w:w="1540" w:type="dxa"/>
            <w:vAlign w:val="bottom"/>
            <w:shd w:val="clear" w:color="auto" w:fill="D9D9D9"/>
          </w:tcPr>
          <w:p>
            <w:pPr>
              <w:spacing w:after="0"/>
              <w:rPr>
                <w:sz w:val="19"/>
                <w:szCs w:val="19"/>
                <w:color w:val="auto"/>
              </w:rPr>
            </w:pPr>
          </w:p>
        </w:tc>
        <w:tc>
          <w:tcPr>
            <w:tcW w:w="2800" w:type="dxa"/>
            <w:vAlign w:val="bottom"/>
            <w:shd w:val="clear" w:color="auto" w:fill="D9D9D9"/>
          </w:tcPr>
          <w:p>
            <w:pPr>
              <w:jc w:val="center"/>
              <w:ind w:right="29"/>
              <w:spacing w:after="0"/>
              <w:rPr>
                <w:sz w:val="20"/>
                <w:szCs w:val="20"/>
                <w:color w:val="auto"/>
              </w:rPr>
            </w:pPr>
            <w:r>
              <w:rPr>
                <w:rFonts w:ascii="Arial" w:cs="Arial" w:eastAsia="Arial" w:hAnsi="Arial"/>
                <w:sz w:val="14"/>
                <w:szCs w:val="14"/>
                <w:b w:val="1"/>
                <w:bCs w:val="1"/>
                <w:color w:val="auto"/>
              </w:rPr>
              <w:t>30.7% of target</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82" w:lineRule="exact"/>
        <w:rPr>
          <w:sz w:val="20"/>
          <w:szCs w:val="20"/>
          <w:color w:val="auto"/>
        </w:rPr>
      </w:pPr>
    </w:p>
    <w:p>
      <w:pPr>
        <w:ind w:right="20" w:firstLine="401"/>
        <w:spacing w:after="0" w:line="239" w:lineRule="auto"/>
        <w:rPr>
          <w:sz w:val="20"/>
          <w:szCs w:val="20"/>
          <w:color w:val="auto"/>
        </w:rPr>
      </w:pPr>
      <w:r>
        <w:rPr>
          <w:rFonts w:ascii="Arial" w:cs="Arial" w:eastAsia="Arial" w:hAnsi="Arial"/>
          <w:sz w:val="18"/>
          <w:szCs w:val="18"/>
          <w:i w:val="1"/>
          <w:iCs w:val="1"/>
          <w:color w:val="auto"/>
        </w:rPr>
        <w:t>Corporate Performance Discussion and Analysis</w:t>
      </w:r>
      <w:r>
        <w:rPr>
          <w:rFonts w:ascii="Arial" w:cs="Arial" w:eastAsia="Arial" w:hAnsi="Arial"/>
          <w:sz w:val="18"/>
          <w:szCs w:val="18"/>
          <w:color w:val="auto"/>
        </w:rPr>
        <w:t>. Primarily as a result of the impact of COVID-19 on our business in fiscal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corporate performance payout for our fiscal 2020 annual cash incentives was only 30.7% of target. All of our named executive officers had 100% of their annual cash incentive awards tied to corporate performance for all of fiscal 2020; and therefore, their annual cash incentive award payouts were at 30.7% of target. Applying their individual target awards as a percent of base salary earning during fiscal year, this translated to payouts of fiscal year base salaries of approximately 35% for Mr. Olson, 23% for Ms. Peterson, 20% for Mr. Rodier and 18% for each of Mr. Hamilton and Ms. Dahl.</w:t>
      </w:r>
    </w:p>
    <w:p>
      <w:pPr>
        <w:spacing w:after="0" w:line="77" w:lineRule="exact"/>
        <w:rPr>
          <w:sz w:val="20"/>
          <w:szCs w:val="20"/>
          <w:color w:val="auto"/>
        </w:rPr>
      </w:pPr>
    </w:p>
    <w:p>
      <w:pPr>
        <w:ind w:right="160" w:firstLine="401"/>
        <w:spacing w:after="0" w:line="261" w:lineRule="auto"/>
        <w:rPr>
          <w:sz w:val="20"/>
          <w:szCs w:val="20"/>
          <w:color w:val="auto"/>
        </w:rPr>
      </w:pPr>
      <w:r>
        <w:rPr>
          <w:rFonts w:ascii="Arial" w:cs="Arial" w:eastAsia="Arial" w:hAnsi="Arial"/>
          <w:sz w:val="18"/>
          <w:szCs w:val="18"/>
          <w:i w:val="1"/>
          <w:iCs w:val="1"/>
          <w:color w:val="auto"/>
        </w:rPr>
        <w:t xml:space="preserve">Actual Cash Compensation Discussion and Analysis. </w:t>
      </w:r>
      <w:r>
        <w:rPr>
          <w:rFonts w:ascii="Arial" w:cs="Arial" w:eastAsia="Arial" w:hAnsi="Arial"/>
          <w:sz w:val="18"/>
          <w:szCs w:val="18"/>
          <w:color w:val="auto"/>
        </w:rPr>
        <w:t>Fiscal 2020 actual total cash compensation (which represents the sum of actual</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2020 base salary earnings and actual fiscal 2020 total annual cash incentive award payout) is reflected in the table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shd w:val="clear" w:color="auto" w:fill="BE0000"/>
          </w:tcPr>
          <w:p>
            <w:pPr>
              <w:spacing w:after="0"/>
              <w:rPr>
                <w:sz w:val="14"/>
                <w:szCs w:val="14"/>
                <w:color w:val="auto"/>
              </w:rPr>
            </w:pPr>
          </w:p>
        </w:tc>
        <w:tc>
          <w:tcPr>
            <w:tcW w:w="3680" w:type="dxa"/>
            <w:vAlign w:val="bottom"/>
            <w:shd w:val="clear" w:color="auto" w:fill="BE0000"/>
          </w:tcPr>
          <w:p>
            <w:pPr>
              <w:spacing w:after="0"/>
              <w:rPr>
                <w:sz w:val="14"/>
                <w:szCs w:val="14"/>
                <w:color w:val="auto"/>
              </w:rPr>
            </w:pPr>
          </w:p>
        </w:tc>
        <w:tc>
          <w:tcPr>
            <w:tcW w:w="2660" w:type="dxa"/>
            <w:vAlign w:val="bottom"/>
            <w:shd w:val="clear" w:color="auto" w:fill="BE0000"/>
          </w:tcPr>
          <w:p>
            <w:pPr>
              <w:jc w:val="center"/>
              <w:ind w:right="344"/>
              <w:spacing w:after="0"/>
              <w:rPr>
                <w:sz w:val="20"/>
                <w:szCs w:val="20"/>
                <w:color w:val="auto"/>
              </w:rPr>
            </w:pPr>
            <w:r>
              <w:rPr>
                <w:rFonts w:ascii="Arial" w:cs="Arial" w:eastAsia="Arial" w:hAnsi="Arial"/>
                <w:sz w:val="14"/>
                <w:szCs w:val="14"/>
                <w:b w:val="1"/>
                <w:bCs w:val="1"/>
                <w:color w:val="FFFFFF"/>
              </w:rPr>
              <w:t>Fiscal 2020 Actual</w:t>
            </w:r>
          </w:p>
        </w:tc>
        <w:tc>
          <w:tcPr>
            <w:tcW w:w="1980" w:type="dxa"/>
            <w:vAlign w:val="bottom"/>
            <w:shd w:val="clear" w:color="auto" w:fill="BE0000"/>
          </w:tcPr>
          <w:p>
            <w:pPr>
              <w:jc w:val="center"/>
              <w:ind w:right="24"/>
              <w:spacing w:after="0"/>
              <w:rPr>
                <w:sz w:val="20"/>
                <w:szCs w:val="20"/>
                <w:color w:val="auto"/>
              </w:rPr>
            </w:pPr>
            <w:r>
              <w:rPr>
                <w:rFonts w:ascii="Arial" w:cs="Arial" w:eastAsia="Arial" w:hAnsi="Arial"/>
                <w:sz w:val="14"/>
                <w:szCs w:val="14"/>
                <w:b w:val="1"/>
                <w:bCs w:val="1"/>
                <w:color w:val="FFFFFF"/>
              </w:rPr>
              <w:t>Fiscal 2020</w:t>
            </w:r>
          </w:p>
        </w:tc>
      </w:tr>
      <w:tr>
        <w:trPr>
          <w:trHeight w:val="161"/>
        </w:trPr>
        <w:tc>
          <w:tcPr>
            <w:tcW w:w="2920" w:type="dxa"/>
            <w:vAlign w:val="bottom"/>
            <w:shd w:val="clear" w:color="auto" w:fill="BE0000"/>
          </w:tcPr>
          <w:p>
            <w:pPr>
              <w:spacing w:after="0"/>
              <w:rPr>
                <w:sz w:val="13"/>
                <w:szCs w:val="13"/>
                <w:color w:val="auto"/>
              </w:rPr>
            </w:pPr>
          </w:p>
        </w:tc>
        <w:tc>
          <w:tcPr>
            <w:tcW w:w="3680" w:type="dxa"/>
            <w:vAlign w:val="bottom"/>
            <w:shd w:val="clear" w:color="auto" w:fill="BE0000"/>
          </w:tcPr>
          <w:p>
            <w:pPr>
              <w:jc w:val="center"/>
              <w:ind w:left="1404"/>
              <w:spacing w:after="0"/>
              <w:rPr>
                <w:sz w:val="20"/>
                <w:szCs w:val="20"/>
                <w:color w:val="auto"/>
              </w:rPr>
            </w:pPr>
            <w:r>
              <w:rPr>
                <w:rFonts w:ascii="Arial" w:cs="Arial" w:eastAsia="Arial" w:hAnsi="Arial"/>
                <w:sz w:val="14"/>
                <w:szCs w:val="14"/>
                <w:b w:val="1"/>
                <w:bCs w:val="1"/>
                <w:color w:val="FFFFFF"/>
              </w:rPr>
              <w:t>Actual Fiscal 2020</w:t>
            </w:r>
          </w:p>
        </w:tc>
        <w:tc>
          <w:tcPr>
            <w:tcW w:w="2660" w:type="dxa"/>
            <w:vAlign w:val="bottom"/>
            <w:shd w:val="clear" w:color="auto" w:fill="BE0000"/>
          </w:tcPr>
          <w:p>
            <w:pPr>
              <w:jc w:val="center"/>
              <w:ind w:right="324"/>
              <w:spacing w:after="0"/>
              <w:rPr>
                <w:sz w:val="20"/>
                <w:szCs w:val="20"/>
                <w:color w:val="auto"/>
              </w:rPr>
            </w:pPr>
            <w:r>
              <w:rPr>
                <w:rFonts w:ascii="Arial" w:cs="Arial" w:eastAsia="Arial" w:hAnsi="Arial"/>
                <w:sz w:val="14"/>
                <w:szCs w:val="14"/>
                <w:b w:val="1"/>
                <w:bCs w:val="1"/>
                <w:color w:val="FFFFFF"/>
              </w:rPr>
              <w:t>Total Annual Cash</w:t>
            </w:r>
          </w:p>
        </w:tc>
        <w:tc>
          <w:tcPr>
            <w:tcW w:w="1980" w:type="dxa"/>
            <w:vAlign w:val="bottom"/>
            <w:shd w:val="clear" w:color="auto" w:fill="BE0000"/>
          </w:tcPr>
          <w:p>
            <w:pPr>
              <w:jc w:val="center"/>
              <w:ind w:right="4"/>
              <w:spacing w:after="0"/>
              <w:rPr>
                <w:sz w:val="20"/>
                <w:szCs w:val="20"/>
                <w:color w:val="auto"/>
              </w:rPr>
            </w:pPr>
            <w:r>
              <w:rPr>
                <w:rFonts w:ascii="Arial" w:cs="Arial" w:eastAsia="Arial" w:hAnsi="Arial"/>
                <w:sz w:val="14"/>
                <w:szCs w:val="14"/>
                <w:b w:val="1"/>
                <w:bCs w:val="1"/>
                <w:color w:val="FFFFFF"/>
              </w:rPr>
              <w:t>Actual Total</w:t>
            </w:r>
          </w:p>
        </w:tc>
      </w:tr>
      <w:tr>
        <w:trPr>
          <w:trHeight w:val="157"/>
        </w:trPr>
        <w:tc>
          <w:tcPr>
            <w:tcW w:w="2920" w:type="dxa"/>
            <w:vAlign w:val="bottom"/>
            <w:shd w:val="clear" w:color="auto" w:fill="BE0000"/>
          </w:tcPr>
          <w:p>
            <w:pPr>
              <w:spacing w:after="0"/>
              <w:rPr>
                <w:sz w:val="13"/>
                <w:szCs w:val="13"/>
                <w:color w:val="auto"/>
              </w:rPr>
            </w:pPr>
          </w:p>
        </w:tc>
        <w:tc>
          <w:tcPr>
            <w:tcW w:w="3680" w:type="dxa"/>
            <w:vAlign w:val="bottom"/>
            <w:shd w:val="clear" w:color="auto" w:fill="BE0000"/>
          </w:tcPr>
          <w:p>
            <w:pPr>
              <w:jc w:val="center"/>
              <w:ind w:left="1404"/>
              <w:spacing w:after="0" w:line="157" w:lineRule="exact"/>
              <w:rPr>
                <w:sz w:val="20"/>
                <w:szCs w:val="20"/>
                <w:color w:val="auto"/>
              </w:rPr>
            </w:pPr>
            <w:r>
              <w:rPr>
                <w:rFonts w:ascii="Arial" w:cs="Arial" w:eastAsia="Arial" w:hAnsi="Arial"/>
                <w:sz w:val="14"/>
                <w:szCs w:val="14"/>
                <w:b w:val="1"/>
                <w:bCs w:val="1"/>
                <w:color w:val="FFFFFF"/>
              </w:rPr>
              <w:t>Base Salary</w:t>
            </w:r>
          </w:p>
        </w:tc>
        <w:tc>
          <w:tcPr>
            <w:tcW w:w="2660" w:type="dxa"/>
            <w:vAlign w:val="bottom"/>
            <w:shd w:val="clear" w:color="auto" w:fill="BE0000"/>
          </w:tcPr>
          <w:p>
            <w:pPr>
              <w:jc w:val="center"/>
              <w:ind w:right="324"/>
              <w:spacing w:after="0" w:line="157" w:lineRule="exact"/>
              <w:rPr>
                <w:sz w:val="20"/>
                <w:szCs w:val="20"/>
                <w:color w:val="auto"/>
              </w:rPr>
            </w:pPr>
            <w:r>
              <w:rPr>
                <w:rFonts w:ascii="Arial" w:cs="Arial" w:eastAsia="Arial" w:hAnsi="Arial"/>
                <w:sz w:val="14"/>
                <w:szCs w:val="14"/>
                <w:b w:val="1"/>
                <w:bCs w:val="1"/>
                <w:color w:val="FFFFFF"/>
              </w:rPr>
              <w:t>Incentive Award Payout</w:t>
            </w:r>
          </w:p>
        </w:tc>
        <w:tc>
          <w:tcPr>
            <w:tcW w:w="1980" w:type="dxa"/>
            <w:vAlign w:val="bottom"/>
            <w:shd w:val="clear" w:color="auto" w:fill="BE0000"/>
          </w:tcPr>
          <w:p>
            <w:pPr>
              <w:jc w:val="center"/>
              <w:ind w:right="4"/>
              <w:spacing w:after="0" w:line="157" w:lineRule="exact"/>
              <w:rPr>
                <w:sz w:val="20"/>
                <w:szCs w:val="20"/>
                <w:color w:val="auto"/>
              </w:rPr>
            </w:pPr>
            <w:r>
              <w:rPr>
                <w:rFonts w:ascii="Arial" w:cs="Arial" w:eastAsia="Arial" w:hAnsi="Arial"/>
                <w:sz w:val="14"/>
                <w:szCs w:val="14"/>
                <w:b w:val="1"/>
                <w:bCs w:val="1"/>
                <w:color w:val="FFFFFF"/>
              </w:rPr>
              <w:t>Cash Compensation</w:t>
            </w:r>
          </w:p>
        </w:tc>
      </w:tr>
      <w:tr>
        <w:trPr>
          <w:trHeight w:val="178"/>
        </w:trPr>
        <w:tc>
          <w:tcPr>
            <w:tcW w:w="2920" w:type="dxa"/>
            <w:vAlign w:val="bottom"/>
            <w:shd w:val="clear" w:color="auto" w:fill="BE0000"/>
          </w:tcPr>
          <w:p>
            <w:pPr>
              <w:spacing w:after="0"/>
              <w:rPr>
                <w:sz w:val="20"/>
                <w:szCs w:val="20"/>
                <w:color w:val="auto"/>
              </w:rPr>
            </w:pPr>
            <w:r>
              <w:rPr>
                <w:rFonts w:ascii="Arial" w:cs="Arial" w:eastAsia="Arial" w:hAnsi="Arial"/>
                <w:sz w:val="14"/>
                <w:szCs w:val="14"/>
                <w:b w:val="1"/>
                <w:bCs w:val="1"/>
                <w:color w:val="FFFFFF"/>
              </w:rPr>
              <w:t>Name</w:t>
            </w:r>
          </w:p>
        </w:tc>
        <w:tc>
          <w:tcPr>
            <w:tcW w:w="3680" w:type="dxa"/>
            <w:vAlign w:val="bottom"/>
            <w:shd w:val="clear" w:color="auto" w:fill="BE0000"/>
          </w:tcPr>
          <w:p>
            <w:pPr>
              <w:jc w:val="center"/>
              <w:ind w:left="1404"/>
              <w:spacing w:after="0" w:line="178"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20"/>
                <w:szCs w:val="20"/>
                <w:b w:val="1"/>
                <w:bCs w:val="1"/>
                <w:color w:val="FFFFFF"/>
                <w:vertAlign w:val="superscript"/>
              </w:rPr>
              <w:t>(1)</w:t>
            </w:r>
          </w:p>
        </w:tc>
        <w:tc>
          <w:tcPr>
            <w:tcW w:w="2660" w:type="dxa"/>
            <w:vAlign w:val="bottom"/>
            <w:shd w:val="clear" w:color="auto" w:fill="BE0000"/>
          </w:tcPr>
          <w:p>
            <w:pPr>
              <w:jc w:val="center"/>
              <w:ind w:right="324"/>
              <w:spacing w:after="0"/>
              <w:rPr>
                <w:sz w:val="20"/>
                <w:szCs w:val="20"/>
                <w:color w:val="auto"/>
              </w:rPr>
            </w:pPr>
            <w:r>
              <w:rPr>
                <w:rFonts w:ascii="Arial" w:cs="Arial" w:eastAsia="Arial" w:hAnsi="Arial"/>
                <w:sz w:val="14"/>
                <w:szCs w:val="14"/>
                <w:b w:val="1"/>
                <w:bCs w:val="1"/>
                <w:color w:val="FFFFFF"/>
              </w:rPr>
              <w:t>($)</w:t>
            </w:r>
          </w:p>
        </w:tc>
        <w:tc>
          <w:tcPr>
            <w:tcW w:w="1980" w:type="dxa"/>
            <w:vAlign w:val="bottom"/>
            <w:shd w:val="clear" w:color="auto" w:fill="BE0000"/>
          </w:tcPr>
          <w:p>
            <w:pPr>
              <w:jc w:val="center"/>
              <w:ind w:right="4"/>
              <w:spacing w:after="0"/>
              <w:rPr>
                <w:sz w:val="20"/>
                <w:szCs w:val="20"/>
                <w:color w:val="auto"/>
              </w:rPr>
            </w:pPr>
            <w:r>
              <w:rPr>
                <w:rFonts w:ascii="Arial" w:cs="Arial" w:eastAsia="Arial" w:hAnsi="Arial"/>
                <w:sz w:val="14"/>
                <w:szCs w:val="14"/>
                <w:b w:val="1"/>
                <w:bCs w:val="1"/>
                <w:color w:val="FFFFFF"/>
              </w:rPr>
              <w:t>($)</w:t>
            </w:r>
          </w:p>
        </w:tc>
      </w:tr>
      <w:tr>
        <w:trPr>
          <w:trHeight w:val="201"/>
        </w:trPr>
        <w:tc>
          <w:tcPr>
            <w:tcW w:w="2920" w:type="dxa"/>
            <w:vAlign w:val="bottom"/>
          </w:tcPr>
          <w:p>
            <w:pPr>
              <w:spacing w:after="0"/>
              <w:rPr>
                <w:sz w:val="20"/>
                <w:szCs w:val="20"/>
                <w:color w:val="auto"/>
              </w:rPr>
            </w:pPr>
            <w:r>
              <w:rPr>
                <w:rFonts w:ascii="Arial" w:cs="Arial" w:eastAsia="Arial" w:hAnsi="Arial"/>
                <w:sz w:val="16"/>
                <w:szCs w:val="16"/>
                <w:color w:val="auto"/>
              </w:rPr>
              <w:t>Mr. Olson</w:t>
            </w:r>
          </w:p>
        </w:tc>
        <w:tc>
          <w:tcPr>
            <w:tcW w:w="3680" w:type="dxa"/>
            <w:vAlign w:val="bottom"/>
          </w:tcPr>
          <w:p>
            <w:pPr>
              <w:jc w:val="right"/>
              <w:ind w:right="264"/>
              <w:spacing w:after="0"/>
              <w:rPr>
                <w:sz w:val="20"/>
                <w:szCs w:val="20"/>
                <w:color w:val="auto"/>
              </w:rPr>
            </w:pPr>
            <w:r>
              <w:rPr>
                <w:rFonts w:ascii="Arial" w:cs="Arial" w:eastAsia="Arial" w:hAnsi="Arial"/>
                <w:sz w:val="16"/>
                <w:szCs w:val="16"/>
                <w:color w:val="auto"/>
              </w:rPr>
              <w:t>871,250</w:t>
            </w:r>
          </w:p>
        </w:tc>
        <w:tc>
          <w:tcPr>
            <w:tcW w:w="2660" w:type="dxa"/>
            <w:vAlign w:val="bottom"/>
          </w:tcPr>
          <w:p>
            <w:pPr>
              <w:jc w:val="right"/>
              <w:ind w:right="184"/>
              <w:spacing w:after="0"/>
              <w:rPr>
                <w:sz w:val="20"/>
                <w:szCs w:val="20"/>
                <w:color w:val="auto"/>
              </w:rPr>
            </w:pPr>
            <w:r>
              <w:rPr>
                <w:rFonts w:ascii="Arial" w:cs="Arial" w:eastAsia="Arial" w:hAnsi="Arial"/>
                <w:sz w:val="16"/>
                <w:szCs w:val="16"/>
                <w:color w:val="auto"/>
              </w:rPr>
              <w:t>307,094</w:t>
            </w:r>
          </w:p>
        </w:tc>
        <w:tc>
          <w:tcPr>
            <w:tcW w:w="1980" w:type="dxa"/>
            <w:vAlign w:val="bottom"/>
          </w:tcPr>
          <w:p>
            <w:pPr>
              <w:jc w:val="right"/>
              <w:spacing w:after="0"/>
              <w:rPr>
                <w:sz w:val="20"/>
                <w:szCs w:val="20"/>
                <w:color w:val="auto"/>
              </w:rPr>
            </w:pPr>
            <w:r>
              <w:rPr>
                <w:rFonts w:ascii="Arial" w:cs="Arial" w:eastAsia="Arial" w:hAnsi="Arial"/>
                <w:sz w:val="16"/>
                <w:szCs w:val="16"/>
                <w:color w:val="auto"/>
              </w:rPr>
              <w:t>1,178,344</w:t>
            </w:r>
          </w:p>
        </w:tc>
      </w:tr>
      <w:tr>
        <w:trPr>
          <w:trHeight w:val="201"/>
        </w:trPr>
        <w:tc>
          <w:tcPr>
            <w:tcW w:w="292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3680" w:type="dxa"/>
            <w:vAlign w:val="bottom"/>
            <w:shd w:val="clear" w:color="auto" w:fill="D9D9D9"/>
          </w:tcPr>
          <w:p>
            <w:pPr>
              <w:jc w:val="right"/>
              <w:ind w:right="264"/>
              <w:spacing w:after="0"/>
              <w:rPr>
                <w:sz w:val="20"/>
                <w:szCs w:val="20"/>
                <w:color w:val="auto"/>
              </w:rPr>
            </w:pPr>
            <w:r>
              <w:rPr>
                <w:rFonts w:ascii="Arial" w:cs="Arial" w:eastAsia="Arial" w:hAnsi="Arial"/>
                <w:sz w:val="16"/>
                <w:szCs w:val="16"/>
                <w:color w:val="auto"/>
              </w:rPr>
              <w:t>496,800</w:t>
            </w:r>
          </w:p>
        </w:tc>
        <w:tc>
          <w:tcPr>
            <w:tcW w:w="2660" w:type="dxa"/>
            <w:vAlign w:val="bottom"/>
            <w:shd w:val="clear" w:color="auto" w:fill="D9D9D9"/>
          </w:tcPr>
          <w:p>
            <w:pPr>
              <w:jc w:val="right"/>
              <w:ind w:right="184"/>
              <w:spacing w:after="0"/>
              <w:rPr>
                <w:sz w:val="20"/>
                <w:szCs w:val="20"/>
                <w:color w:val="auto"/>
              </w:rPr>
            </w:pPr>
            <w:r>
              <w:rPr>
                <w:rFonts w:ascii="Arial" w:cs="Arial" w:eastAsia="Arial" w:hAnsi="Arial"/>
                <w:sz w:val="16"/>
                <w:szCs w:val="16"/>
                <w:color w:val="auto"/>
              </w:rPr>
              <w:t>114,202</w:t>
            </w:r>
          </w:p>
        </w:tc>
        <w:tc>
          <w:tcPr>
            <w:tcW w:w="19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611,002</w:t>
            </w:r>
          </w:p>
        </w:tc>
      </w:tr>
      <w:tr>
        <w:trPr>
          <w:trHeight w:val="201"/>
        </w:trPr>
        <w:tc>
          <w:tcPr>
            <w:tcW w:w="2920" w:type="dxa"/>
            <w:vAlign w:val="bottom"/>
          </w:tcPr>
          <w:p>
            <w:pPr>
              <w:spacing w:after="0"/>
              <w:rPr>
                <w:sz w:val="20"/>
                <w:szCs w:val="20"/>
                <w:color w:val="auto"/>
              </w:rPr>
            </w:pPr>
            <w:r>
              <w:rPr>
                <w:rFonts w:ascii="Arial" w:cs="Arial" w:eastAsia="Arial" w:hAnsi="Arial"/>
                <w:sz w:val="16"/>
                <w:szCs w:val="16"/>
                <w:color w:val="auto"/>
              </w:rPr>
              <w:t>Mr. Rodier</w:t>
            </w:r>
          </w:p>
        </w:tc>
        <w:tc>
          <w:tcPr>
            <w:tcW w:w="3680" w:type="dxa"/>
            <w:vAlign w:val="bottom"/>
          </w:tcPr>
          <w:p>
            <w:pPr>
              <w:jc w:val="right"/>
              <w:ind w:right="264"/>
              <w:spacing w:after="0"/>
              <w:rPr>
                <w:sz w:val="20"/>
                <w:szCs w:val="20"/>
                <w:color w:val="auto"/>
              </w:rPr>
            </w:pPr>
            <w:r>
              <w:rPr>
                <w:rFonts w:ascii="Arial" w:cs="Arial" w:eastAsia="Arial" w:hAnsi="Arial"/>
                <w:sz w:val="16"/>
                <w:szCs w:val="16"/>
                <w:color w:val="auto"/>
              </w:rPr>
              <w:t>399,333</w:t>
            </w:r>
          </w:p>
        </w:tc>
        <w:tc>
          <w:tcPr>
            <w:tcW w:w="2660" w:type="dxa"/>
            <w:vAlign w:val="bottom"/>
          </w:tcPr>
          <w:p>
            <w:pPr>
              <w:jc w:val="right"/>
              <w:ind w:right="184"/>
              <w:spacing w:after="0"/>
              <w:rPr>
                <w:sz w:val="20"/>
                <w:szCs w:val="20"/>
                <w:color w:val="auto"/>
              </w:rPr>
            </w:pPr>
            <w:r>
              <w:rPr>
                <w:rFonts w:ascii="Arial" w:cs="Arial" w:eastAsia="Arial" w:hAnsi="Arial"/>
                <w:sz w:val="16"/>
                <w:szCs w:val="16"/>
                <w:color w:val="auto"/>
              </w:rPr>
              <w:t>79,057</w:t>
            </w:r>
          </w:p>
        </w:tc>
        <w:tc>
          <w:tcPr>
            <w:tcW w:w="1980" w:type="dxa"/>
            <w:vAlign w:val="bottom"/>
          </w:tcPr>
          <w:p>
            <w:pPr>
              <w:jc w:val="right"/>
              <w:spacing w:after="0"/>
              <w:rPr>
                <w:sz w:val="20"/>
                <w:szCs w:val="20"/>
                <w:color w:val="auto"/>
              </w:rPr>
            </w:pPr>
            <w:r>
              <w:rPr>
                <w:rFonts w:ascii="Arial" w:cs="Arial" w:eastAsia="Arial" w:hAnsi="Arial"/>
                <w:sz w:val="16"/>
                <w:szCs w:val="16"/>
                <w:color w:val="auto"/>
              </w:rPr>
              <w:t>478,390</w:t>
            </w:r>
          </w:p>
        </w:tc>
      </w:tr>
      <w:tr>
        <w:trPr>
          <w:trHeight w:val="201"/>
        </w:trPr>
        <w:tc>
          <w:tcPr>
            <w:tcW w:w="2920" w:type="dxa"/>
            <w:vAlign w:val="bottom"/>
            <w:shd w:val="clear" w:color="auto" w:fill="D9D9D9"/>
          </w:tcPr>
          <w:p>
            <w:pPr>
              <w:spacing w:after="0"/>
              <w:rPr>
                <w:sz w:val="20"/>
                <w:szCs w:val="20"/>
                <w:color w:val="auto"/>
              </w:rPr>
            </w:pPr>
            <w:r>
              <w:rPr>
                <w:rFonts w:ascii="Arial" w:cs="Arial" w:eastAsia="Arial" w:hAnsi="Arial"/>
                <w:sz w:val="16"/>
                <w:szCs w:val="16"/>
                <w:color w:val="auto"/>
              </w:rPr>
              <w:t>Mr. Hamilton</w:t>
            </w:r>
          </w:p>
        </w:tc>
        <w:tc>
          <w:tcPr>
            <w:tcW w:w="3680" w:type="dxa"/>
            <w:vAlign w:val="bottom"/>
            <w:shd w:val="clear" w:color="auto" w:fill="D9D9D9"/>
          </w:tcPr>
          <w:p>
            <w:pPr>
              <w:jc w:val="right"/>
              <w:ind w:right="264"/>
              <w:spacing w:after="0"/>
              <w:rPr>
                <w:sz w:val="20"/>
                <w:szCs w:val="20"/>
                <w:color w:val="auto"/>
              </w:rPr>
            </w:pPr>
            <w:r>
              <w:rPr>
                <w:rFonts w:ascii="Arial" w:cs="Arial" w:eastAsia="Arial" w:hAnsi="Arial"/>
                <w:sz w:val="16"/>
                <w:szCs w:val="16"/>
                <w:color w:val="auto"/>
              </w:rPr>
              <w:t>378,000</w:t>
            </w:r>
          </w:p>
        </w:tc>
        <w:tc>
          <w:tcPr>
            <w:tcW w:w="2660" w:type="dxa"/>
            <w:vAlign w:val="bottom"/>
            <w:shd w:val="clear" w:color="auto" w:fill="D9D9D9"/>
          </w:tcPr>
          <w:p>
            <w:pPr>
              <w:jc w:val="right"/>
              <w:ind w:right="184"/>
              <w:spacing w:after="0"/>
              <w:rPr>
                <w:sz w:val="20"/>
                <w:szCs w:val="20"/>
                <w:color w:val="auto"/>
              </w:rPr>
            </w:pPr>
            <w:r>
              <w:rPr>
                <w:rFonts w:ascii="Arial" w:cs="Arial" w:eastAsia="Arial" w:hAnsi="Arial"/>
                <w:sz w:val="16"/>
                <w:szCs w:val="16"/>
                <w:color w:val="auto"/>
              </w:rPr>
              <w:t>69,514</w:t>
            </w:r>
          </w:p>
        </w:tc>
        <w:tc>
          <w:tcPr>
            <w:tcW w:w="19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447,514</w:t>
            </w:r>
          </w:p>
        </w:tc>
      </w:tr>
      <w:tr>
        <w:trPr>
          <w:trHeight w:val="209"/>
        </w:trPr>
        <w:tc>
          <w:tcPr>
            <w:tcW w:w="2920" w:type="dxa"/>
            <w:vAlign w:val="bottom"/>
          </w:tcPr>
          <w:p>
            <w:pPr>
              <w:spacing w:after="0"/>
              <w:rPr>
                <w:sz w:val="20"/>
                <w:szCs w:val="20"/>
                <w:color w:val="auto"/>
              </w:rPr>
            </w:pPr>
            <w:r>
              <w:rPr>
                <w:rFonts w:ascii="Arial" w:cs="Arial" w:eastAsia="Arial" w:hAnsi="Arial"/>
                <w:sz w:val="16"/>
                <w:szCs w:val="16"/>
                <w:color w:val="auto"/>
              </w:rPr>
              <w:t>Ms. Dahl</w:t>
            </w:r>
          </w:p>
        </w:tc>
        <w:tc>
          <w:tcPr>
            <w:tcW w:w="3680" w:type="dxa"/>
            <w:vAlign w:val="bottom"/>
          </w:tcPr>
          <w:p>
            <w:pPr>
              <w:jc w:val="right"/>
              <w:ind w:right="264"/>
              <w:spacing w:after="0"/>
              <w:rPr>
                <w:sz w:val="20"/>
                <w:szCs w:val="20"/>
                <w:color w:val="auto"/>
              </w:rPr>
            </w:pPr>
            <w:r>
              <w:rPr>
                <w:rFonts w:ascii="Arial" w:cs="Arial" w:eastAsia="Arial" w:hAnsi="Arial"/>
                <w:sz w:val="16"/>
                <w:szCs w:val="16"/>
                <w:color w:val="auto"/>
              </w:rPr>
              <w:t>418,500</w:t>
            </w:r>
          </w:p>
        </w:tc>
        <w:tc>
          <w:tcPr>
            <w:tcW w:w="2660" w:type="dxa"/>
            <w:vAlign w:val="bottom"/>
          </w:tcPr>
          <w:p>
            <w:pPr>
              <w:jc w:val="right"/>
              <w:ind w:right="184"/>
              <w:spacing w:after="0"/>
              <w:rPr>
                <w:sz w:val="20"/>
                <w:szCs w:val="20"/>
                <w:color w:val="auto"/>
              </w:rPr>
            </w:pPr>
            <w:r>
              <w:rPr>
                <w:rFonts w:ascii="Arial" w:cs="Arial" w:eastAsia="Arial" w:hAnsi="Arial"/>
                <w:sz w:val="16"/>
                <w:szCs w:val="16"/>
                <w:color w:val="auto"/>
              </w:rPr>
              <w:t>76,962</w:t>
            </w:r>
          </w:p>
        </w:tc>
        <w:tc>
          <w:tcPr>
            <w:tcW w:w="1980" w:type="dxa"/>
            <w:vAlign w:val="bottom"/>
          </w:tcPr>
          <w:p>
            <w:pPr>
              <w:jc w:val="right"/>
              <w:spacing w:after="0"/>
              <w:rPr>
                <w:sz w:val="20"/>
                <w:szCs w:val="20"/>
                <w:color w:val="auto"/>
              </w:rPr>
            </w:pPr>
            <w:r>
              <w:rPr>
                <w:rFonts w:ascii="Arial" w:cs="Arial" w:eastAsia="Arial" w:hAnsi="Arial"/>
                <w:sz w:val="16"/>
                <w:szCs w:val="16"/>
                <w:color w:val="auto"/>
              </w:rPr>
              <w:t>495,462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203454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99" w:lineRule="exact"/>
        <w:rPr>
          <w:sz w:val="20"/>
          <w:szCs w:val="20"/>
          <w:color w:val="auto"/>
        </w:rPr>
      </w:pPr>
    </w:p>
    <w:p>
      <w:pPr>
        <w:ind w:left="780" w:hanging="384"/>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column reflects the sum of the fiscal 2020 base salary from November 1, 2019 through April 30, 2020 and as reduced from May 1, 2020 through October 31, 2020.</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Long-Term Incentives</w:t>
      </w:r>
      <w:r>
        <w:rPr>
          <w:rFonts w:ascii="Arial" w:cs="Arial" w:eastAsia="Arial" w:hAnsi="Arial"/>
          <w:sz w:val="18"/>
          <w:szCs w:val="18"/>
          <w:b w:val="1"/>
          <w:bCs w:val="1"/>
          <w:color w:val="auto"/>
        </w:rPr>
        <w:t>.</w:t>
      </w:r>
    </w:p>
    <w:p>
      <w:pPr>
        <w:spacing w:after="0" w:line="105" w:lineRule="exact"/>
        <w:rPr>
          <w:sz w:val="20"/>
          <w:szCs w:val="20"/>
          <w:color w:val="auto"/>
        </w:rPr>
      </w:pPr>
    </w:p>
    <w:p>
      <w:pPr>
        <w:ind w:right="340" w:firstLine="401"/>
        <w:spacing w:after="0" w:line="23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believe that our use of long -term incentives tied to our common stock, along with our stock ownership guidelines, help</w:t>
      </w:r>
      <w:r>
        <w:rPr>
          <w:rFonts w:ascii="Arial" w:cs="Arial" w:eastAsia="Arial" w:hAnsi="Arial"/>
          <w:sz w:val="18"/>
          <w:szCs w:val="18"/>
          <w:i w:val="1"/>
          <w:iCs w:val="1"/>
          <w:color w:val="auto"/>
        </w:rPr>
        <w:t xml:space="preserve"> </w:t>
      </w:r>
      <w:r>
        <w:rPr>
          <w:rFonts w:ascii="Arial" w:cs="Arial" w:eastAsia="Arial" w:hAnsi="Arial"/>
          <w:sz w:val="18"/>
          <w:szCs w:val="18"/>
          <w:color w:val="auto"/>
        </w:rPr>
        <w:t>align the interests of our executive officers with the interest of our shareholders. Therefore, we provide the opportunity for our executive officers to earn market competitive long-term incentives in the form of both stock options and performance share awards that are granted annually. With respect to annual grants of long-term incentive awards, in addition to considering market data, we also consider for each executive officer the scope and complexity of the position, experience, tenure, internal pay comparisons, function, division, and individual performance and historical targeted grant levels.</w:t>
      </w:r>
    </w:p>
    <w:p>
      <w:pPr>
        <w:spacing w:after="0" w:line="95" w:lineRule="exact"/>
        <w:rPr>
          <w:sz w:val="20"/>
          <w:szCs w:val="20"/>
          <w:color w:val="auto"/>
        </w:rPr>
      </w:pPr>
    </w:p>
    <w:p>
      <w:pPr>
        <w:ind w:right="120" w:firstLine="401"/>
        <w:spacing w:after="0" w:line="235" w:lineRule="auto"/>
        <w:rPr>
          <w:sz w:val="20"/>
          <w:szCs w:val="20"/>
          <w:color w:val="auto"/>
        </w:rPr>
      </w:pPr>
      <w:r>
        <w:rPr>
          <w:rFonts w:ascii="Arial" w:cs="Arial" w:eastAsia="Arial" w:hAnsi="Arial"/>
          <w:sz w:val="18"/>
          <w:szCs w:val="18"/>
          <w:color w:val="auto"/>
        </w:rPr>
        <w:t>Generally, one-half of the long-term incentive value is delivered in the form of stock options and one-half is delivered in the form of performance share awards. We believe this mix of equity strikes the appropriate balance between rewarding increases in the market value of our common stock and achievement of company specific performance measures. Actual value realized from our long-term incentive awards may vary from the market 50</w:t>
      </w:r>
      <w:r>
        <w:rPr>
          <w:rFonts w:ascii="Arial" w:cs="Arial" w:eastAsia="Arial" w:hAnsi="Arial"/>
          <w:sz w:val="15"/>
          <w:szCs w:val="15"/>
          <w:color w:val="auto"/>
        </w:rPr>
        <w:t>th</w:t>
      </w:r>
      <w:r>
        <w:rPr>
          <w:rFonts w:ascii="Arial" w:cs="Arial" w:eastAsia="Arial" w:hAnsi="Arial"/>
          <w:sz w:val="18"/>
          <w:szCs w:val="18"/>
          <w:color w:val="auto"/>
        </w:rPr>
        <w:t xml:space="preserve"> percentile based on the price of our common stock for stock options and performance against our three-year cumulative financial business plan in the year of the grant for performance share awards. In addition to stock options and performance share awards, we occasionally use awards of restricted stock units in connection with the hiring of new executive officers, mid-year promotions of existing executive officers, leadership transition or retention purposes.</w:t>
      </w:r>
    </w:p>
    <w:p>
      <w:pPr>
        <w:spacing w:after="0" w:line="78" w:lineRule="exact"/>
        <w:rPr>
          <w:sz w:val="20"/>
          <w:szCs w:val="20"/>
          <w:color w:val="auto"/>
        </w:rPr>
      </w:pPr>
    </w:p>
    <w:p>
      <w:pPr>
        <w:ind w:right="80" w:firstLine="401"/>
        <w:spacing w:after="0" w:line="238"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Each year at its regular meeting held in November or December, the Compensation &amp; Human Resources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approves the annual grant of stock options to our executive officers. If we deliver strong shareholder returns, our stock price presumably will increase, thereby increasing the value of the stock options and executives’ resulting total compensation. If shareholder value is not delivered and our stock price does not increase, the options will have no value. Annual stock options are generally granted on the date of the Committee’s meeting or, if such meeting is held before the announcement of our financial results for the recently completed fiscal year, on the second business day following such issuance, and have a per share exercise price equal to the closing price of our common stock on the grant date.</w:t>
      </w:r>
    </w:p>
    <w:p>
      <w:pPr>
        <w:spacing w:after="0" w:line="96" w:lineRule="exact"/>
        <w:rPr>
          <w:sz w:val="20"/>
          <w:szCs w:val="20"/>
          <w:color w:val="auto"/>
        </w:rPr>
      </w:pPr>
    </w:p>
    <w:p>
      <w:pPr>
        <w:ind w:right="20" w:firstLine="401"/>
        <w:spacing w:after="0" w:line="236" w:lineRule="auto"/>
        <w:rPr>
          <w:sz w:val="20"/>
          <w:szCs w:val="20"/>
          <w:color w:val="auto"/>
        </w:rPr>
      </w:pPr>
      <w:r>
        <w:rPr>
          <w:rFonts w:ascii="Arial" w:cs="Arial" w:eastAsia="Arial" w:hAnsi="Arial"/>
          <w:sz w:val="18"/>
          <w:szCs w:val="18"/>
          <w:color w:val="auto"/>
        </w:rPr>
        <w:t>To determine the number of options to award to our executive officers, we start with a total target value of stock options and divide that value by the expected value of an option to purchase a share of our common stock, using a Black-Scholes option pricing method. The calculation of the expected value is based on the average closing price of our common stock over the last three months of the prior fiscal year. The three-month average allows for smoothing of any volatility that may be associated with a particular date’s stock price.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00" w:lineRule="exact"/>
        <w:rPr>
          <w:sz w:val="20"/>
          <w:szCs w:val="20"/>
          <w:color w:val="auto"/>
        </w:rPr>
      </w:pPr>
    </w:p>
    <w:p>
      <w:pPr>
        <w:ind w:right="120" w:firstLine="401"/>
        <w:spacing w:after="0" w:line="236" w:lineRule="auto"/>
        <w:rPr>
          <w:sz w:val="20"/>
          <w:szCs w:val="20"/>
          <w:color w:val="auto"/>
        </w:rPr>
      </w:pPr>
      <w:r>
        <w:rPr>
          <w:rFonts w:ascii="Arial" w:cs="Arial" w:eastAsia="Arial" w:hAnsi="Arial"/>
          <w:sz w:val="18"/>
          <w:szCs w:val="18"/>
          <w:color w:val="auto"/>
        </w:rPr>
        <w:t>Stock options granted to our executive officers on an annual basis vest in three equal installments on each of the first, second and third year anniversaries of the grant date and are exercisable for a period of ten years following the grant date. The three-year vesting schedule is consistent with the three-year performance period for our performance share awards. We believe the three-year period for both stock options and performance share awards provides retention value and focuses our executive officers on attainment of long-term performance. The Compensation &amp; Human Resources Committee periodically reviews option vesting schedules and terms.</w:t>
      </w:r>
    </w:p>
    <w:p>
      <w:pPr>
        <w:spacing w:after="0" w:line="95" w:lineRule="exact"/>
        <w:rPr>
          <w:sz w:val="20"/>
          <w:szCs w:val="20"/>
          <w:color w:val="auto"/>
        </w:rPr>
      </w:pPr>
    </w:p>
    <w:p>
      <w:pPr>
        <w:ind w:right="80" w:firstLine="401"/>
        <w:spacing w:after="0" w:line="236" w:lineRule="auto"/>
        <w:rPr>
          <w:sz w:val="20"/>
          <w:szCs w:val="20"/>
          <w:color w:val="auto"/>
        </w:rPr>
      </w:pPr>
      <w:r>
        <w:rPr>
          <w:rFonts w:ascii="Arial" w:cs="Arial" w:eastAsia="Arial" w:hAnsi="Arial"/>
          <w:sz w:val="18"/>
          <w:szCs w:val="18"/>
          <w:color w:val="auto"/>
        </w:rPr>
        <w:t>Occasionally the Committee will approve stock option awards for use in certain situations, including hiring of new executive officers, mid-year promotions of existing executive officers, leadership transition or retention purposes. Vesting may be either performance-based or time-based. Performance-based awards are derived from one or more of the performance measures included in our 2010 Plan. Under our 2010 Plan, stock options with time-based vesting can vest no more rapidly than ratably over three years.</w:t>
      </w:r>
    </w:p>
    <w:p>
      <w:pPr>
        <w:spacing w:after="0" w:line="79" w:lineRule="exact"/>
        <w:rPr>
          <w:sz w:val="20"/>
          <w:szCs w:val="20"/>
          <w:color w:val="auto"/>
        </w:rPr>
      </w:pPr>
    </w:p>
    <w:p>
      <w:pPr>
        <w:ind w:right="80" w:firstLine="401"/>
        <w:spacing w:after="0" w:line="242" w:lineRule="auto"/>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Each year at its regular meeting held in November or December, the Compensation &amp;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approves the annual grant of performance share awards to our executive officers. Performance share awards are paid out in shares of our common stock following completion of a three-year performance period if certain performance goals are achieved. Performance goals are derived from performance measures included in our 2010 Plan.</w:t>
      </w:r>
    </w:p>
    <w:p>
      <w:pPr>
        <w:spacing w:after="0" w:line="95" w:lineRule="exact"/>
        <w:rPr>
          <w:sz w:val="20"/>
          <w:szCs w:val="20"/>
          <w:color w:val="auto"/>
        </w:rPr>
      </w:pPr>
    </w:p>
    <w:p>
      <w:pPr>
        <w:ind w:right="120" w:firstLine="401"/>
        <w:spacing w:after="0" w:line="236" w:lineRule="auto"/>
        <w:rPr>
          <w:sz w:val="20"/>
          <w:szCs w:val="20"/>
          <w:color w:val="auto"/>
        </w:rPr>
      </w:pPr>
      <w:r>
        <w:rPr>
          <w:rFonts w:ascii="Arial" w:cs="Arial" w:eastAsia="Arial" w:hAnsi="Arial"/>
          <w:sz w:val="18"/>
          <w:szCs w:val="18"/>
          <w:color w:val="auto"/>
        </w:rPr>
        <w:t>To determine the number of target performance share awards to be granted to our executive officers, we start with a total target value of performance share awards to be delivered. That value is divided by an expected value per share to determine the number of performance share awards to grant at target. The expected value per share is equal to the average closing price of our common stock over the last three months of the prior fiscal year.</w:t>
      </w:r>
    </w:p>
    <w:p>
      <w:pPr>
        <w:spacing w:after="0" w:line="97" w:lineRule="exact"/>
        <w:rPr>
          <w:sz w:val="20"/>
          <w:szCs w:val="20"/>
          <w:color w:val="auto"/>
        </w:rPr>
      </w:pPr>
    </w:p>
    <w:p>
      <w:pPr>
        <w:ind w:firstLine="401"/>
        <w:spacing w:after="0" w:line="234" w:lineRule="auto"/>
        <w:rPr>
          <w:sz w:val="20"/>
          <w:szCs w:val="20"/>
          <w:color w:val="auto"/>
        </w:rPr>
      </w:pPr>
      <w:r>
        <w:rPr>
          <w:rFonts w:ascii="Arial" w:cs="Arial" w:eastAsia="Arial" w:hAnsi="Arial"/>
          <w:sz w:val="18"/>
          <w:szCs w:val="18"/>
          <w:color w:val="auto"/>
        </w:rPr>
        <w:t>At the beginning of the first fiscal year in the three-year period, the Compensation &amp; Human Resources Committee establishes performance measures, weightings, goals and performance adjustment events, if any, for the entire three-year performance period, as well as thresholds and maximums. Factors we consider when establishing the performance goals for the three-year period include our prior fiscal year actual financial business results, our longer-term strategic plan outlook, including our projections for performance for years two and three of the three-year award term, and of our competitive situation and outlook. During the fiscal year, the Committee reviews progress against the performance goals for performance share awards for all outstanding performance periods. At the end of the three-year performance period, at the Committee’s regular meeting in November or December, Management presents a summary of, and the Committee certifies, performance against the performance goals, including the applicability of any performance adjustment events, and a corresponding payout, which is expressed as a percent of target. Shares of our common stock are paid out to the executive officers in December. Actual payouts for performance share awards can range from 0% (if the threshold levels of performance are not met) to 200% of the target award (if maximum levels of performance are met).</w:t>
      </w:r>
    </w:p>
    <w:p>
      <w:pPr>
        <w:spacing w:after="0" w:line="81" w:lineRule="exact"/>
        <w:rPr>
          <w:sz w:val="20"/>
          <w:szCs w:val="20"/>
          <w:color w:val="auto"/>
        </w:rPr>
      </w:pPr>
    </w:p>
    <w:p>
      <w:pPr>
        <w:ind w:right="20" w:firstLine="401"/>
        <w:spacing w:after="0"/>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Occasionally, the Committee will approve awards of restricted stock units for use in certain situations,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hiring of new executive officers, mid-year promotions of existing executive officers, leadership transition or retention purposes. Vesting may be either performance-based or time-based. Performance-based awards are derived from one or more of the performance measures included in our 2010 Plan. Under our 2010 Plan, restricted stock units with time-based vesting can vest no more rapidly than ratably over three years.</w:t>
      </w:r>
    </w:p>
    <w:p>
      <w:pPr>
        <w:spacing w:after="0" w:line="78" w:lineRule="exact"/>
        <w:rPr>
          <w:sz w:val="20"/>
          <w:szCs w:val="20"/>
          <w:color w:val="auto"/>
        </w:rPr>
      </w:pPr>
    </w:p>
    <w:p>
      <w:pPr>
        <w:ind w:right="80" w:firstLine="401"/>
        <w:spacing w:after="0"/>
        <w:rPr>
          <w:sz w:val="20"/>
          <w:szCs w:val="20"/>
          <w:color w:val="auto"/>
        </w:rPr>
      </w:pPr>
      <w:r>
        <w:rPr>
          <w:rFonts w:ascii="Arial" w:cs="Arial" w:eastAsia="Arial" w:hAnsi="Arial"/>
          <w:sz w:val="18"/>
          <w:szCs w:val="18"/>
          <w:i w:val="1"/>
          <w:iCs w:val="1"/>
          <w:color w:val="auto"/>
        </w:rPr>
        <w:t>Fiscal 2020 Grants</w:t>
      </w:r>
      <w:r>
        <w:rPr>
          <w:rFonts w:ascii="Arial" w:cs="Arial" w:eastAsia="Arial" w:hAnsi="Arial"/>
          <w:sz w:val="18"/>
          <w:szCs w:val="18"/>
          <w:color w:val="auto"/>
        </w:rPr>
        <w:t>. The number of stock options granted to our named executive officers for fiscal 2020 can be found in the “Grants of</w:t>
      </w:r>
      <w:r>
        <w:rPr>
          <w:rFonts w:ascii="Arial" w:cs="Arial" w:eastAsia="Arial" w:hAnsi="Arial"/>
          <w:sz w:val="18"/>
          <w:szCs w:val="18"/>
          <w:i w:val="1"/>
          <w:iCs w:val="1"/>
          <w:color w:val="auto"/>
        </w:rPr>
        <w:t xml:space="preserve"> </w:t>
      </w:r>
      <w:r>
        <w:rPr>
          <w:rFonts w:ascii="Arial" w:cs="Arial" w:eastAsia="Arial" w:hAnsi="Arial"/>
          <w:sz w:val="18"/>
          <w:szCs w:val="18"/>
          <w:color w:val="auto"/>
        </w:rPr>
        <w:t>Plan-Based Awards for Fiscal 2020” table beginning on page 47. The per share exercise price of the options is $76.53, which is equal to the closing price of our common stock on the grant date, which for fiscal 2020 was December 19, 2019. The grant date fair value of those awards can be found in the “Summary Compensation Table” beginning on page 44 in the “Option Awards” column and in the “Grants of Plan-Based Awards for Fiscal 2020” table beginning on page 47 in the “Grant Date Fair Value of Stock and Option Awards” column.</w:t>
      </w:r>
    </w:p>
    <w:p>
      <w:pPr>
        <w:spacing w:after="0" w:line="96" w:lineRule="exact"/>
        <w:rPr>
          <w:sz w:val="20"/>
          <w:szCs w:val="20"/>
          <w:color w:val="auto"/>
        </w:rPr>
      </w:pPr>
    </w:p>
    <w:p>
      <w:pPr>
        <w:ind w:right="220" w:firstLine="401"/>
        <w:spacing w:after="0" w:line="235" w:lineRule="auto"/>
        <w:rPr>
          <w:sz w:val="20"/>
          <w:szCs w:val="20"/>
          <w:color w:val="auto"/>
        </w:rPr>
      </w:pPr>
      <w:r>
        <w:rPr>
          <w:rFonts w:ascii="Arial" w:cs="Arial" w:eastAsia="Arial" w:hAnsi="Arial"/>
          <w:sz w:val="18"/>
          <w:szCs w:val="18"/>
          <w:color w:val="auto"/>
        </w:rPr>
        <w:t>On December 3, 2019, the Committee granted performance share awards for the fiscal 2020 through fiscal 2022 performance period. The number of performance shares at threshold, target and maximum levels of performance for the fiscal 2020 through fiscal 2022 performance period can be found in the “Grants of Plan-Based Awards for Fiscal 2020” table beginning on page 47 in the “Estimated Future Payouts Under Equity Incentive Plan Awards” columns. The grant date fair value of those awards at target can be found in the “Summary Compensation Table” beginning on page 44 in the “Stock Awards” column“ and in the “Grants of Plan-Based Awards for Fiscal 2020” table beginning on page 47 in the “Grant Date Fair Value of Stock and Option Awards” column.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00" w:lineRule="exact"/>
        <w:rPr>
          <w:sz w:val="20"/>
          <w:szCs w:val="20"/>
          <w:color w:val="auto"/>
        </w:rPr>
      </w:pPr>
    </w:p>
    <w:p>
      <w:pPr>
        <w:ind w:right="60" w:firstLine="401"/>
        <w:spacing w:after="0" w:line="236" w:lineRule="auto"/>
        <w:rPr>
          <w:sz w:val="20"/>
          <w:szCs w:val="20"/>
          <w:color w:val="auto"/>
        </w:rPr>
      </w:pPr>
      <w:r>
        <w:rPr>
          <w:rFonts w:ascii="Arial" w:cs="Arial" w:eastAsia="Arial" w:hAnsi="Arial"/>
          <w:sz w:val="18"/>
          <w:szCs w:val="18"/>
          <w:color w:val="auto"/>
        </w:rPr>
        <w:t>On May 19, 2020, in connection with his expanded responsibilities, Mr. Rodier was granted 1,600 restricted stock units and an additional 25,300 stock options. Both of these grants have three-year ratable vesting, and therefore, vest in three approximately equal installments on the first, second and third anniversary of the grant date. The grant date fair value of those awards can be found in the “Summary Compensation Table” beginning on page 44 the “Stock Awards” column“ and the “Option Awards” column and in the “Grants of Plan-Based Awards for Fiscal 2020” table beginning on page 47 in the “Grant Date Fair Value of Stock and Option Awards” column.</w:t>
      </w:r>
    </w:p>
    <w:p>
      <w:pPr>
        <w:spacing w:after="0" w:line="77" w:lineRule="exact"/>
        <w:rPr>
          <w:sz w:val="20"/>
          <w:szCs w:val="20"/>
          <w:color w:val="auto"/>
        </w:rPr>
      </w:pPr>
    </w:p>
    <w:p>
      <w:pPr>
        <w:ind w:right="400" w:firstLine="401"/>
        <w:spacing w:after="0" w:line="261" w:lineRule="auto"/>
        <w:rPr>
          <w:sz w:val="20"/>
          <w:szCs w:val="20"/>
          <w:color w:val="auto"/>
        </w:rPr>
      </w:pPr>
      <w:r>
        <w:rPr>
          <w:rFonts w:ascii="Arial" w:cs="Arial" w:eastAsia="Arial" w:hAnsi="Arial"/>
          <w:sz w:val="18"/>
          <w:szCs w:val="18"/>
          <w:i w:val="1"/>
          <w:iCs w:val="1"/>
          <w:color w:val="auto"/>
        </w:rPr>
        <w:t xml:space="preserve">Performance Measures for the Performance Period Beginning in Fiscal 2020. </w:t>
      </w:r>
      <w:r>
        <w:rPr>
          <w:rFonts w:ascii="Arial" w:cs="Arial" w:eastAsia="Arial" w:hAnsi="Arial"/>
          <w:sz w:val="18"/>
          <w:szCs w:val="18"/>
          <w:color w:val="auto"/>
        </w:rPr>
        <w:t>For the fiscal 2020 to fiscal 2022 performance share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the following corporate performance measures and weightings were established for all of our executive officers:</w:t>
      </w:r>
    </w:p>
    <w:p>
      <w:pPr>
        <w:spacing w:after="0" w:line="77" w:lineRule="exact"/>
        <w:rPr>
          <w:sz w:val="20"/>
          <w:szCs w:val="20"/>
          <w:color w:val="auto"/>
        </w:rPr>
      </w:pPr>
    </w:p>
    <w:p>
      <w:pPr>
        <w:ind w:left="780" w:hanging="384"/>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8"/>
          <w:szCs w:val="18"/>
          <w:color w:val="auto"/>
        </w:rPr>
        <w:t>50% cumulative corporate net income plus after-tax interest;</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8"/>
          <w:szCs w:val="18"/>
          <w:color w:val="auto"/>
        </w:rPr>
        <w:t>30% cumulative corporate revenue; and</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8"/>
          <w:szCs w:val="18"/>
          <w:color w:val="auto"/>
        </w:rPr>
        <w:t>20% corporate working capital as a percent of sales.</w:t>
      </w:r>
    </w:p>
    <w:p>
      <w:pPr>
        <w:spacing w:after="0" w:line="101" w:lineRule="exact"/>
        <w:rPr>
          <w:sz w:val="20"/>
          <w:szCs w:val="20"/>
          <w:color w:val="auto"/>
        </w:rPr>
      </w:pPr>
    </w:p>
    <w:p>
      <w:pPr>
        <w:ind w:right="40" w:firstLine="401"/>
        <w:spacing w:after="0" w:line="234" w:lineRule="auto"/>
        <w:rPr>
          <w:sz w:val="20"/>
          <w:szCs w:val="20"/>
          <w:color w:val="auto"/>
        </w:rPr>
      </w:pPr>
      <w:r>
        <w:rPr>
          <w:rFonts w:ascii="Arial" w:cs="Arial" w:eastAsia="Arial" w:hAnsi="Arial"/>
          <w:sz w:val="18"/>
          <w:szCs w:val="18"/>
          <w:color w:val="auto"/>
        </w:rPr>
        <w:t>At its meeting in December 2019, threshold, target and maximum goals were established for the fiscal 2020 to fiscal 2022 performance share awards. The specific performance goals for the three-year award period are maintained by us as proprietary and confidential. The Committee believes that disclosure of these specific performance goals would represent competitive harm to us as such cumulative corporate goals and results are not publicly disclosed and are competitively sensitive. For each performance measure, the target goal reflects the cumulative three-year financial plan set at the corporate level. Based on historical performance, the Committee believes the attainment of target performance levels, while uncertain, could be reasonably anticipated. Threshold goals represent the minimum level of performance necessary for there to be a payout for that performance measure and the Committee believes the threshold goals are likely to be achieved. Maximum goals represent the performances at which payouts are 200% of the target award. Even if actual results exceed the maximum goals, the payouts are capped at 200% of the target award. Maximum goals represent levels of performance at which the Committee determined a payout of 200% of target would be appropriate. The Committee believes that the maximum goals established are more aggressive goals.</w:t>
      </w:r>
    </w:p>
    <w:p>
      <w:pPr>
        <w:spacing w:after="0" w:line="99" w:lineRule="exact"/>
        <w:rPr>
          <w:sz w:val="20"/>
          <w:szCs w:val="20"/>
          <w:color w:val="auto"/>
        </w:rPr>
      </w:pPr>
    </w:p>
    <w:p>
      <w:pPr>
        <w:ind w:right="300" w:firstLine="401"/>
        <w:spacing w:after="0" w:line="236" w:lineRule="auto"/>
        <w:rPr>
          <w:sz w:val="20"/>
          <w:szCs w:val="20"/>
          <w:color w:val="auto"/>
        </w:rPr>
      </w:pPr>
      <w:r>
        <w:rPr>
          <w:rFonts w:ascii="Arial" w:cs="Arial" w:eastAsia="Arial" w:hAnsi="Arial"/>
          <w:sz w:val="18"/>
          <w:szCs w:val="18"/>
          <w:color w:val="auto"/>
        </w:rPr>
        <w:t>In addition to approving performance measures, goals and weightings, the Committee also established, in accordance with our 2010 Plan, specific corporate adjustment events for determining payouts under the fiscal 2020 to fiscal 2022 performance share awards. The impact of acquisitions on the evaluation of performance will be determined based on the size of the acquisition as determined by projected annual revenue for the first twelve months after the closing of an acquisition as follows:</w:t>
      </w:r>
    </w:p>
    <w:p>
      <w:pPr>
        <w:spacing w:after="0" w:line="97" w:lineRule="exact"/>
        <w:rPr>
          <w:sz w:val="20"/>
          <w:szCs w:val="20"/>
          <w:color w:val="auto"/>
        </w:rPr>
      </w:pPr>
    </w:p>
    <w:p>
      <w:pPr>
        <w:ind w:left="780" w:right="100" w:hanging="384"/>
        <w:spacing w:after="0"/>
        <w:tabs>
          <w:tab w:leader="none" w:pos="780" w:val="left"/>
        </w:tabs>
        <w:numPr>
          <w:ilvl w:val="0"/>
          <w:numId w:val="52"/>
        </w:numPr>
        <w:rPr>
          <w:rFonts w:ascii="Arial" w:cs="Arial" w:eastAsia="Arial" w:hAnsi="Arial"/>
          <w:sz w:val="16"/>
          <w:szCs w:val="16"/>
          <w:color w:val="auto"/>
        </w:rPr>
      </w:pPr>
      <w:r>
        <w:rPr>
          <w:rFonts w:ascii="Arial" w:cs="Arial" w:eastAsia="Arial" w:hAnsi="Arial"/>
          <w:sz w:val="18"/>
          <w:szCs w:val="18"/>
          <w:color w:val="auto"/>
        </w:rPr>
        <w:t>The entire impact of any acquisition greater than $50 million will be excluded from the payout calculation for the entire performance period unless the acquisition was included in the annual financial plan and cumulative goals;</w:t>
      </w:r>
    </w:p>
    <w:p>
      <w:pPr>
        <w:spacing w:after="0" w:line="95" w:lineRule="exact"/>
        <w:rPr>
          <w:rFonts w:ascii="Arial" w:cs="Arial" w:eastAsia="Arial" w:hAnsi="Arial"/>
          <w:sz w:val="16"/>
          <w:szCs w:val="16"/>
          <w:color w:val="auto"/>
        </w:rPr>
      </w:pPr>
    </w:p>
    <w:p>
      <w:pPr>
        <w:ind w:left="780" w:hanging="384"/>
        <w:spacing w:after="0"/>
        <w:tabs>
          <w:tab w:leader="none" w:pos="780" w:val="left"/>
        </w:tabs>
        <w:numPr>
          <w:ilvl w:val="0"/>
          <w:numId w:val="52"/>
        </w:numPr>
        <w:rPr>
          <w:rFonts w:ascii="Arial" w:cs="Arial" w:eastAsia="Arial" w:hAnsi="Arial"/>
          <w:sz w:val="16"/>
          <w:szCs w:val="16"/>
          <w:color w:val="auto"/>
        </w:rPr>
      </w:pPr>
      <w:r>
        <w:rPr>
          <w:rFonts w:ascii="Arial" w:cs="Arial" w:eastAsia="Arial" w:hAnsi="Arial"/>
          <w:sz w:val="18"/>
          <w:szCs w:val="18"/>
          <w:color w:val="auto"/>
        </w:rPr>
        <w:t>All impacts for acquisitions less than $10 million will be included in the payout calculation for the entire performance period; and</w:t>
      </w:r>
    </w:p>
    <w:p>
      <w:pPr>
        <w:spacing w:after="0" w:line="101" w:lineRule="exact"/>
        <w:rPr>
          <w:rFonts w:ascii="Arial" w:cs="Arial" w:eastAsia="Arial" w:hAnsi="Arial"/>
          <w:sz w:val="16"/>
          <w:szCs w:val="16"/>
          <w:color w:val="auto"/>
        </w:rPr>
      </w:pPr>
    </w:p>
    <w:p>
      <w:pPr>
        <w:ind w:left="780" w:hanging="384"/>
        <w:spacing w:after="0"/>
        <w:tabs>
          <w:tab w:leader="none" w:pos="780" w:val="left"/>
        </w:tabs>
        <w:numPr>
          <w:ilvl w:val="0"/>
          <w:numId w:val="52"/>
        </w:numPr>
        <w:rPr>
          <w:rFonts w:ascii="Arial" w:cs="Arial" w:eastAsia="Arial" w:hAnsi="Arial"/>
          <w:sz w:val="16"/>
          <w:szCs w:val="16"/>
          <w:color w:val="auto"/>
        </w:rPr>
      </w:pPr>
      <w:r>
        <w:rPr>
          <w:rFonts w:ascii="Arial" w:cs="Arial" w:eastAsia="Arial" w:hAnsi="Arial"/>
          <w:sz w:val="18"/>
          <w:szCs w:val="18"/>
          <w:color w:val="auto"/>
        </w:rPr>
        <w:t>For acquisitions between $10 million and $50 million:</w:t>
      </w:r>
    </w:p>
    <w:p>
      <w:pPr>
        <w:spacing w:after="0" w:line="101" w:lineRule="exact"/>
        <w:rPr>
          <w:rFonts w:ascii="Arial" w:cs="Arial" w:eastAsia="Arial" w:hAnsi="Arial"/>
          <w:sz w:val="16"/>
          <w:szCs w:val="16"/>
          <w:color w:val="auto"/>
        </w:rPr>
      </w:pPr>
    </w:p>
    <w:p>
      <w:pPr>
        <w:ind w:left="1180" w:hanging="382"/>
        <w:spacing w:after="0"/>
        <w:tabs>
          <w:tab w:leader="none" w:pos="11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impact will be excluded from the payout calculation if the transaction closes during the third year of the three-year term; and</w:t>
      </w:r>
    </w:p>
    <w:p>
      <w:pPr>
        <w:spacing w:after="0" w:line="112" w:lineRule="exact"/>
        <w:rPr>
          <w:rFonts w:ascii="Arial" w:cs="Arial" w:eastAsia="Arial" w:hAnsi="Arial"/>
          <w:sz w:val="17"/>
          <w:szCs w:val="17"/>
          <w:color w:val="auto"/>
        </w:rPr>
      </w:pPr>
    </w:p>
    <w:p>
      <w:pPr>
        <w:ind w:left="1180" w:right="760" w:hanging="382"/>
        <w:spacing w:after="0"/>
        <w:tabs>
          <w:tab w:leader="none" w:pos="11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the transaction closes in the first or second year of the performance period, the impact will be included in the payout calculation with the exception of any transaction costs incurred.</w:t>
      </w:r>
    </w:p>
    <w:p>
      <w:pPr>
        <w:spacing w:after="0" w:line="9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Any externally driven changes in accounting principles and standards will be excluded from the evaluation of performance if the cumulative net impact on the payout of all such accounting adjustments affects the award payout by more than 2%, unless such accounting change was included in the annual plan and cumulative goals. The COVID-19 pandemic and its impact on fiscal 2020 and future results was not factored in to threshold, target and maximum goals or the adjustment events that were established for the fiscal 2020 to fiscal 2022 performance share awards.</w:t>
      </w:r>
    </w:p>
    <w:p>
      <w:pPr>
        <w:spacing w:after="0" w:line="64" w:lineRule="exact"/>
        <w:rPr>
          <w:sz w:val="20"/>
          <w:szCs w:val="20"/>
          <w:color w:val="auto"/>
        </w:rPr>
      </w:pPr>
    </w:p>
    <w:p>
      <w:pPr>
        <w:ind w:firstLine="401"/>
        <w:spacing w:after="0" w:line="245" w:lineRule="auto"/>
        <w:rPr>
          <w:sz w:val="20"/>
          <w:szCs w:val="20"/>
          <w:color w:val="auto"/>
        </w:rPr>
      </w:pPr>
      <w:r>
        <w:rPr>
          <w:rFonts w:ascii="Arial" w:cs="Arial" w:eastAsia="Arial" w:hAnsi="Arial"/>
          <w:sz w:val="17"/>
          <w:szCs w:val="17"/>
          <w:i w:val="1"/>
          <w:iCs w:val="1"/>
          <w:color w:val="auto"/>
        </w:rPr>
        <w:t xml:space="preserve">Performance Measures for the Performance Period Ending in Fiscal 2020. </w:t>
      </w:r>
      <w:r>
        <w:rPr>
          <w:rFonts w:ascii="Arial" w:cs="Arial" w:eastAsia="Arial" w:hAnsi="Arial"/>
          <w:sz w:val="17"/>
          <w:szCs w:val="17"/>
          <w:color w:val="auto"/>
        </w:rPr>
        <w:t>The performance share awards that were granted 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2018 for the fiscal 2018 to fiscal 2020 performance period were approved for payout upon the Committee’s certification of performance against the goals and impact of any predefined adjustment events at its meeting on December 1, 2020. Pursuant to the predefined adjustment events, all financial impacts related to our acquisitions of CMW and Venture Products were excluded from the payout calculation, as were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87" w:lineRule="exact"/>
        <w:rPr>
          <w:sz w:val="20"/>
          <w:szCs w:val="20"/>
          <w:color w:val="auto"/>
        </w:rPr>
      </w:pPr>
    </w:p>
    <w:p>
      <w:pPr>
        <w:ind w:right="280"/>
        <w:spacing w:after="0" w:line="225" w:lineRule="auto"/>
        <w:rPr>
          <w:sz w:val="20"/>
          <w:szCs w:val="20"/>
          <w:color w:val="auto"/>
        </w:rPr>
      </w:pPr>
      <w:r>
        <w:rPr>
          <w:rFonts w:ascii="Arial" w:cs="Arial" w:eastAsia="Arial" w:hAnsi="Arial"/>
          <w:sz w:val="18"/>
          <w:szCs w:val="18"/>
          <w:color w:val="auto"/>
        </w:rPr>
        <w:t>certain other predefined adjustment events. We did not adjust our performance measures or goals which were set at the beginning of fiscal 2018 as a result of the COVID-19 pandemic. Primarily as a result of the exclusion of the CMW and Venture Products acquisitions from our fiscal 2019 and fiscal 2020 financial results, respectively, the payout for our fiscal 2018 to fiscal 2020 performance share awards was only 68.6% of target.</w:t>
      </w:r>
    </w:p>
    <w:p>
      <w:pPr>
        <w:spacing w:after="0" w:line="95" w:lineRule="exact"/>
        <w:rPr>
          <w:sz w:val="20"/>
          <w:szCs w:val="20"/>
          <w:color w:val="auto"/>
        </w:rPr>
      </w:pPr>
    </w:p>
    <w:p>
      <w:pPr>
        <w:jc w:val="both"/>
        <w:ind w:right="20" w:firstLine="401"/>
        <w:spacing w:after="0" w:line="238" w:lineRule="auto"/>
        <w:rPr>
          <w:sz w:val="20"/>
          <w:szCs w:val="20"/>
          <w:color w:val="auto"/>
        </w:rPr>
      </w:pPr>
      <w:r>
        <w:rPr>
          <w:rFonts w:ascii="Arial" w:cs="Arial" w:eastAsia="Arial" w:hAnsi="Arial"/>
          <w:sz w:val="18"/>
          <w:szCs w:val="18"/>
          <w:color w:val="auto"/>
        </w:rPr>
        <w:t>The table below outlines the corporate performance measures and weightings, as well as threshold, target and maximum goals that were established by the Committee at the beginning of fiscal 2018, along with actual levels of performance when factoring in adjustment events, for the fiscal 2018 to fiscal 2020 performance share awards.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shd w:val="clear" w:color="auto" w:fill="BE0000"/>
          </w:tcPr>
          <w:p>
            <w:pPr>
              <w:spacing w:after="0"/>
              <w:rPr>
                <w:sz w:val="20"/>
                <w:szCs w:val="20"/>
                <w:color w:val="auto"/>
              </w:rPr>
            </w:pPr>
            <w:r>
              <w:rPr>
                <w:rFonts w:ascii="Arial" w:cs="Arial" w:eastAsia="Arial" w:hAnsi="Arial"/>
                <w:sz w:val="14"/>
                <w:szCs w:val="14"/>
                <w:b w:val="1"/>
                <w:bCs w:val="1"/>
                <w:color w:val="FFFFFF"/>
              </w:rPr>
              <w:t>Fiscal 2018 to Fiscal 2020</w:t>
            </w:r>
          </w:p>
        </w:tc>
        <w:tc>
          <w:tcPr>
            <w:tcW w:w="1580" w:type="dxa"/>
            <w:vAlign w:val="bottom"/>
            <w:shd w:val="clear" w:color="auto" w:fill="BE0000"/>
          </w:tcPr>
          <w:p>
            <w:pPr>
              <w:jc w:val="right"/>
              <w:ind w:right="329"/>
              <w:spacing w:after="0"/>
              <w:rPr>
                <w:sz w:val="20"/>
                <w:szCs w:val="20"/>
                <w:color w:val="auto"/>
              </w:rPr>
            </w:pPr>
            <w:r>
              <w:rPr>
                <w:rFonts w:ascii="Arial" w:cs="Arial" w:eastAsia="Arial" w:hAnsi="Arial"/>
                <w:sz w:val="14"/>
                <w:szCs w:val="14"/>
                <w:b w:val="1"/>
                <w:bCs w:val="1"/>
                <w:color w:val="FFFFFF"/>
              </w:rPr>
              <w:t>Threshold</w:t>
            </w:r>
          </w:p>
        </w:tc>
        <w:tc>
          <w:tcPr>
            <w:tcW w:w="1400" w:type="dxa"/>
            <w:vAlign w:val="bottom"/>
            <w:shd w:val="clear" w:color="auto" w:fill="BE0000"/>
          </w:tcPr>
          <w:p>
            <w:pPr>
              <w:jc w:val="right"/>
              <w:ind w:right="489"/>
              <w:spacing w:after="0"/>
              <w:rPr>
                <w:sz w:val="20"/>
                <w:szCs w:val="20"/>
                <w:color w:val="auto"/>
              </w:rPr>
            </w:pPr>
            <w:r>
              <w:rPr>
                <w:rFonts w:ascii="Arial" w:cs="Arial" w:eastAsia="Arial" w:hAnsi="Arial"/>
                <w:sz w:val="14"/>
                <w:szCs w:val="14"/>
                <w:b w:val="1"/>
                <w:bCs w:val="1"/>
                <w:color w:val="FFFFFF"/>
              </w:rPr>
              <w:t>Target</w:t>
            </w:r>
          </w:p>
        </w:tc>
        <w:tc>
          <w:tcPr>
            <w:tcW w:w="1460" w:type="dxa"/>
            <w:vAlign w:val="bottom"/>
            <w:shd w:val="clear" w:color="auto" w:fill="BE0000"/>
          </w:tcPr>
          <w:p>
            <w:pPr>
              <w:jc w:val="right"/>
              <w:ind w:right="429"/>
              <w:spacing w:after="0"/>
              <w:rPr>
                <w:sz w:val="20"/>
                <w:szCs w:val="20"/>
                <w:color w:val="auto"/>
              </w:rPr>
            </w:pPr>
            <w:r>
              <w:rPr>
                <w:rFonts w:ascii="Arial" w:cs="Arial" w:eastAsia="Arial" w:hAnsi="Arial"/>
                <w:sz w:val="14"/>
                <w:szCs w:val="14"/>
                <w:b w:val="1"/>
                <w:bCs w:val="1"/>
                <w:color w:val="FFFFFF"/>
              </w:rPr>
              <w:t>Maximum</w:t>
            </w:r>
          </w:p>
        </w:tc>
        <w:tc>
          <w:tcPr>
            <w:tcW w:w="2420" w:type="dxa"/>
            <w:vAlign w:val="bottom"/>
            <w:shd w:val="clear" w:color="auto" w:fill="BE0000"/>
          </w:tcPr>
          <w:p>
            <w:pPr>
              <w:spacing w:after="0"/>
              <w:rPr>
                <w:sz w:val="14"/>
                <w:szCs w:val="14"/>
                <w:color w:val="auto"/>
              </w:rPr>
            </w:pPr>
          </w:p>
        </w:tc>
      </w:tr>
      <w:tr>
        <w:trPr>
          <w:trHeight w:val="174"/>
        </w:trPr>
        <w:tc>
          <w:tcPr>
            <w:tcW w:w="4380" w:type="dxa"/>
            <w:vAlign w:val="bottom"/>
            <w:shd w:val="clear" w:color="auto" w:fill="BE0000"/>
          </w:tcPr>
          <w:p>
            <w:pPr>
              <w:spacing w:after="0"/>
              <w:rPr>
                <w:sz w:val="20"/>
                <w:szCs w:val="20"/>
                <w:color w:val="auto"/>
              </w:rPr>
            </w:pPr>
            <w:r>
              <w:rPr>
                <w:rFonts w:ascii="Arial" w:cs="Arial" w:eastAsia="Arial" w:hAnsi="Arial"/>
                <w:sz w:val="14"/>
                <w:szCs w:val="14"/>
                <w:b w:val="1"/>
                <w:bCs w:val="1"/>
                <w:color w:val="FFFFFF"/>
              </w:rPr>
              <w:t>Performance Measures</w:t>
            </w:r>
          </w:p>
        </w:tc>
        <w:tc>
          <w:tcPr>
            <w:tcW w:w="1580" w:type="dxa"/>
            <w:vAlign w:val="bottom"/>
            <w:shd w:val="clear" w:color="auto" w:fill="BE0000"/>
          </w:tcPr>
          <w:p>
            <w:pPr>
              <w:jc w:val="right"/>
              <w:ind w:right="229"/>
              <w:spacing w:after="0"/>
              <w:rPr>
                <w:sz w:val="20"/>
                <w:szCs w:val="20"/>
                <w:color w:val="auto"/>
              </w:rPr>
            </w:pPr>
            <w:r>
              <w:rPr>
                <w:rFonts w:ascii="Arial" w:cs="Arial" w:eastAsia="Arial" w:hAnsi="Arial"/>
                <w:sz w:val="14"/>
                <w:szCs w:val="14"/>
                <w:b w:val="1"/>
                <w:bCs w:val="1"/>
                <w:color w:val="FFFFFF"/>
              </w:rPr>
              <w:t>(40% payout)</w:t>
            </w:r>
          </w:p>
        </w:tc>
        <w:tc>
          <w:tcPr>
            <w:tcW w:w="1400" w:type="dxa"/>
            <w:vAlign w:val="bottom"/>
            <w:shd w:val="clear" w:color="auto" w:fill="BE0000"/>
          </w:tcPr>
          <w:p>
            <w:pPr>
              <w:jc w:val="right"/>
              <w:ind w:right="209"/>
              <w:spacing w:after="0"/>
              <w:rPr>
                <w:sz w:val="20"/>
                <w:szCs w:val="20"/>
                <w:color w:val="auto"/>
              </w:rPr>
            </w:pPr>
            <w:r>
              <w:rPr>
                <w:rFonts w:ascii="Arial" w:cs="Arial" w:eastAsia="Arial" w:hAnsi="Arial"/>
                <w:sz w:val="14"/>
                <w:szCs w:val="14"/>
                <w:b w:val="1"/>
                <w:bCs w:val="1"/>
                <w:color w:val="FFFFFF"/>
              </w:rPr>
              <w:t>(100% payout)</w:t>
            </w:r>
          </w:p>
        </w:tc>
        <w:tc>
          <w:tcPr>
            <w:tcW w:w="1460" w:type="dxa"/>
            <w:vAlign w:val="bottom"/>
            <w:shd w:val="clear" w:color="auto" w:fill="BE0000"/>
          </w:tcPr>
          <w:p>
            <w:pPr>
              <w:jc w:val="right"/>
              <w:ind w:right="269"/>
              <w:spacing w:after="0"/>
              <w:rPr>
                <w:sz w:val="20"/>
                <w:szCs w:val="20"/>
                <w:color w:val="auto"/>
              </w:rPr>
            </w:pPr>
            <w:r>
              <w:rPr>
                <w:rFonts w:ascii="Arial" w:cs="Arial" w:eastAsia="Arial" w:hAnsi="Arial"/>
                <w:sz w:val="14"/>
                <w:szCs w:val="14"/>
                <w:b w:val="1"/>
                <w:bCs w:val="1"/>
                <w:color w:val="FFFFFF"/>
              </w:rPr>
              <w:t>(200% payout)</w:t>
            </w:r>
          </w:p>
        </w:tc>
        <w:tc>
          <w:tcPr>
            <w:tcW w:w="2420" w:type="dxa"/>
            <w:vAlign w:val="bottom"/>
            <w:shd w:val="clear" w:color="auto" w:fill="BE0000"/>
          </w:tcPr>
          <w:p>
            <w:pPr>
              <w:jc w:val="center"/>
              <w:spacing w:after="0"/>
              <w:rPr>
                <w:sz w:val="20"/>
                <w:szCs w:val="20"/>
                <w:color w:val="auto"/>
              </w:rPr>
            </w:pPr>
            <w:r>
              <w:rPr>
                <w:rFonts w:ascii="Arial" w:cs="Arial" w:eastAsia="Arial" w:hAnsi="Arial"/>
                <w:sz w:val="14"/>
                <w:szCs w:val="14"/>
                <w:b w:val="1"/>
                <w:bCs w:val="1"/>
                <w:color w:val="FFFFFF"/>
              </w:rPr>
              <w:t>Actual</w:t>
            </w:r>
          </w:p>
        </w:tc>
      </w:tr>
      <w:tr>
        <w:trPr>
          <w:trHeight w:val="179"/>
        </w:trPr>
        <w:tc>
          <w:tcPr>
            <w:tcW w:w="4380" w:type="dxa"/>
            <w:vAlign w:val="bottom"/>
          </w:tcPr>
          <w:p>
            <w:pPr>
              <w:spacing w:after="0"/>
              <w:rPr>
                <w:sz w:val="20"/>
                <w:szCs w:val="20"/>
                <w:color w:val="auto"/>
              </w:rPr>
            </w:pPr>
            <w:r>
              <w:rPr>
                <w:rFonts w:ascii="Arial" w:cs="Arial" w:eastAsia="Arial" w:hAnsi="Arial"/>
                <w:sz w:val="14"/>
                <w:szCs w:val="14"/>
                <w:color w:val="auto"/>
              </w:rPr>
              <w:t>50% cumulative corporate net income plus</w:t>
            </w:r>
          </w:p>
        </w:tc>
        <w:tc>
          <w:tcPr>
            <w:tcW w:w="1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rPr>
              <w:t>$914,197</w:t>
            </w:r>
          </w:p>
        </w:tc>
      </w:tr>
      <w:tr>
        <w:trPr>
          <w:trHeight w:val="156"/>
        </w:trPr>
        <w:tc>
          <w:tcPr>
            <w:tcW w:w="4380" w:type="dxa"/>
            <w:vAlign w:val="bottom"/>
          </w:tcPr>
          <w:p>
            <w:pPr>
              <w:ind w:left="120"/>
              <w:spacing w:after="0" w:line="156" w:lineRule="exact"/>
              <w:rPr>
                <w:sz w:val="20"/>
                <w:szCs w:val="20"/>
                <w:color w:val="auto"/>
              </w:rPr>
            </w:pPr>
            <w:r>
              <w:rPr>
                <w:rFonts w:ascii="Arial" w:cs="Arial" w:eastAsia="Arial" w:hAnsi="Arial"/>
                <w:sz w:val="14"/>
                <w:szCs w:val="14"/>
                <w:color w:val="auto"/>
              </w:rPr>
              <w:t>after-tax interest (in thousands)</w:t>
            </w:r>
          </w:p>
        </w:tc>
        <w:tc>
          <w:tcPr>
            <w:tcW w:w="1580" w:type="dxa"/>
            <w:vAlign w:val="bottom"/>
          </w:tcPr>
          <w:p>
            <w:pPr>
              <w:jc w:val="right"/>
              <w:ind w:right="69"/>
              <w:spacing w:after="0" w:line="156" w:lineRule="exact"/>
              <w:rPr>
                <w:sz w:val="20"/>
                <w:szCs w:val="20"/>
                <w:color w:val="auto"/>
              </w:rPr>
            </w:pPr>
            <w:r>
              <w:rPr>
                <w:rFonts w:ascii="Arial" w:cs="Arial" w:eastAsia="Arial" w:hAnsi="Arial"/>
                <w:sz w:val="14"/>
                <w:szCs w:val="14"/>
                <w:color w:val="auto"/>
              </w:rPr>
              <w:t>$788,735</w:t>
            </w:r>
          </w:p>
        </w:tc>
        <w:tc>
          <w:tcPr>
            <w:tcW w:w="1400" w:type="dxa"/>
            <w:vAlign w:val="bottom"/>
          </w:tcPr>
          <w:p>
            <w:pPr>
              <w:jc w:val="right"/>
              <w:ind w:right="69"/>
              <w:spacing w:after="0" w:line="156" w:lineRule="exact"/>
              <w:rPr>
                <w:sz w:val="20"/>
                <w:szCs w:val="20"/>
                <w:color w:val="auto"/>
              </w:rPr>
            </w:pPr>
            <w:r>
              <w:rPr>
                <w:rFonts w:ascii="Arial" w:cs="Arial" w:eastAsia="Arial" w:hAnsi="Arial"/>
                <w:sz w:val="14"/>
                <w:szCs w:val="14"/>
                <w:color w:val="auto"/>
              </w:rPr>
              <w:t>$985,919</w:t>
            </w:r>
          </w:p>
        </w:tc>
        <w:tc>
          <w:tcPr>
            <w:tcW w:w="1460" w:type="dxa"/>
            <w:vAlign w:val="bottom"/>
          </w:tcPr>
          <w:p>
            <w:pPr>
              <w:jc w:val="right"/>
              <w:ind w:right="129"/>
              <w:spacing w:after="0" w:line="156" w:lineRule="exact"/>
              <w:rPr>
                <w:sz w:val="20"/>
                <w:szCs w:val="20"/>
                <w:color w:val="auto"/>
              </w:rPr>
            </w:pPr>
            <w:r>
              <w:rPr>
                <w:rFonts w:ascii="Arial" w:cs="Arial" w:eastAsia="Arial" w:hAnsi="Arial"/>
                <w:sz w:val="14"/>
                <w:szCs w:val="14"/>
                <w:color w:val="auto"/>
              </w:rPr>
              <w:t>$1,183,103</w:t>
            </w:r>
          </w:p>
        </w:tc>
        <w:tc>
          <w:tcPr>
            <w:tcW w:w="2420" w:type="dxa"/>
            <w:vAlign w:val="bottom"/>
          </w:tcPr>
          <w:p>
            <w:pPr>
              <w:jc w:val="center"/>
              <w:ind w:right="9"/>
              <w:spacing w:after="0" w:line="156" w:lineRule="exact"/>
              <w:rPr>
                <w:sz w:val="20"/>
                <w:szCs w:val="20"/>
                <w:color w:val="auto"/>
              </w:rPr>
            </w:pPr>
            <w:r>
              <w:rPr>
                <w:rFonts w:ascii="Arial" w:cs="Arial" w:eastAsia="Arial" w:hAnsi="Arial"/>
                <w:sz w:val="14"/>
                <w:szCs w:val="14"/>
                <w:color w:val="auto"/>
              </w:rPr>
              <w:t>(between threshold and target)</w:t>
            </w:r>
          </w:p>
        </w:tc>
      </w:tr>
      <w:tr>
        <w:trPr>
          <w:trHeight w:val="179"/>
        </w:trPr>
        <w:tc>
          <w:tcPr>
            <w:tcW w:w="4380" w:type="dxa"/>
            <w:vAlign w:val="bottom"/>
            <w:shd w:val="clear" w:color="auto" w:fill="D9D9D9"/>
          </w:tcPr>
          <w:p>
            <w:pPr>
              <w:spacing w:after="0"/>
              <w:rPr>
                <w:sz w:val="20"/>
                <w:szCs w:val="20"/>
                <w:color w:val="auto"/>
              </w:rPr>
            </w:pPr>
            <w:r>
              <w:rPr>
                <w:rFonts w:ascii="Arial" w:cs="Arial" w:eastAsia="Arial" w:hAnsi="Arial"/>
                <w:sz w:val="14"/>
                <w:szCs w:val="14"/>
                <w:color w:val="auto"/>
              </w:rPr>
              <w:t>20% cumulative corporate revenue</w:t>
            </w:r>
          </w:p>
        </w:tc>
        <w:tc>
          <w:tcPr>
            <w:tcW w:w="1580" w:type="dxa"/>
            <w:vAlign w:val="bottom"/>
            <w:shd w:val="clear" w:color="auto" w:fill="D9D9D9"/>
          </w:tcPr>
          <w:p>
            <w:pPr>
              <w:spacing w:after="0"/>
              <w:rPr>
                <w:sz w:val="15"/>
                <w:szCs w:val="15"/>
                <w:color w:val="auto"/>
              </w:rPr>
            </w:pPr>
          </w:p>
        </w:tc>
        <w:tc>
          <w:tcPr>
            <w:tcW w:w="1400" w:type="dxa"/>
            <w:vAlign w:val="bottom"/>
            <w:shd w:val="clear" w:color="auto" w:fill="D9D9D9"/>
          </w:tcPr>
          <w:p>
            <w:pPr>
              <w:spacing w:after="0"/>
              <w:rPr>
                <w:sz w:val="15"/>
                <w:szCs w:val="15"/>
                <w:color w:val="auto"/>
              </w:rPr>
            </w:pPr>
          </w:p>
        </w:tc>
        <w:tc>
          <w:tcPr>
            <w:tcW w:w="1460" w:type="dxa"/>
            <w:vAlign w:val="bottom"/>
            <w:shd w:val="clear" w:color="auto" w:fill="D9D9D9"/>
          </w:tcPr>
          <w:p>
            <w:pPr>
              <w:spacing w:after="0"/>
              <w:rPr>
                <w:sz w:val="15"/>
                <w:szCs w:val="15"/>
                <w:color w:val="auto"/>
              </w:rPr>
            </w:pPr>
          </w:p>
        </w:tc>
        <w:tc>
          <w:tcPr>
            <w:tcW w:w="242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$7,921,132</w:t>
            </w:r>
          </w:p>
        </w:tc>
      </w:tr>
      <w:tr>
        <w:trPr>
          <w:trHeight w:val="156"/>
        </w:trPr>
        <w:tc>
          <w:tcPr>
            <w:tcW w:w="4380" w:type="dxa"/>
            <w:vAlign w:val="bottom"/>
            <w:shd w:val="clear" w:color="auto" w:fill="D9D9D9"/>
          </w:tcPr>
          <w:p>
            <w:pPr>
              <w:ind w:left="120"/>
              <w:spacing w:after="0" w:line="156" w:lineRule="exact"/>
              <w:rPr>
                <w:sz w:val="20"/>
                <w:szCs w:val="20"/>
                <w:color w:val="auto"/>
              </w:rPr>
            </w:pPr>
            <w:r>
              <w:rPr>
                <w:rFonts w:ascii="Arial" w:cs="Arial" w:eastAsia="Arial" w:hAnsi="Arial"/>
                <w:sz w:val="14"/>
                <w:szCs w:val="14"/>
                <w:color w:val="auto"/>
              </w:rPr>
              <w:t>(in thousands)</w:t>
            </w:r>
          </w:p>
        </w:tc>
        <w:tc>
          <w:tcPr>
            <w:tcW w:w="1580" w:type="dxa"/>
            <w:vAlign w:val="bottom"/>
            <w:shd w:val="clear" w:color="auto" w:fill="D9D9D9"/>
          </w:tcPr>
          <w:p>
            <w:pPr>
              <w:jc w:val="right"/>
              <w:ind w:right="69"/>
              <w:spacing w:after="0" w:line="156" w:lineRule="exact"/>
              <w:rPr>
                <w:sz w:val="20"/>
                <w:szCs w:val="20"/>
                <w:color w:val="auto"/>
              </w:rPr>
            </w:pPr>
            <w:r>
              <w:rPr>
                <w:rFonts w:ascii="Arial" w:cs="Arial" w:eastAsia="Arial" w:hAnsi="Arial"/>
                <w:sz w:val="14"/>
                <w:szCs w:val="14"/>
                <w:color w:val="auto"/>
              </w:rPr>
              <w:t>$7,848,871</w:t>
            </w:r>
          </w:p>
        </w:tc>
        <w:tc>
          <w:tcPr>
            <w:tcW w:w="1400" w:type="dxa"/>
            <w:vAlign w:val="bottom"/>
            <w:shd w:val="clear" w:color="auto" w:fill="D9D9D9"/>
          </w:tcPr>
          <w:p>
            <w:pPr>
              <w:jc w:val="right"/>
              <w:ind w:right="69"/>
              <w:spacing w:after="0" w:line="156" w:lineRule="exact"/>
              <w:rPr>
                <w:sz w:val="20"/>
                <w:szCs w:val="20"/>
                <w:color w:val="auto"/>
              </w:rPr>
            </w:pPr>
            <w:r>
              <w:rPr>
                <w:rFonts w:ascii="Arial" w:cs="Arial" w:eastAsia="Arial" w:hAnsi="Arial"/>
                <w:sz w:val="14"/>
                <w:szCs w:val="14"/>
                <w:color w:val="auto"/>
              </w:rPr>
              <w:t>$8,336,515</w:t>
            </w:r>
          </w:p>
        </w:tc>
        <w:tc>
          <w:tcPr>
            <w:tcW w:w="1460" w:type="dxa"/>
            <w:vAlign w:val="bottom"/>
            <w:shd w:val="clear" w:color="auto" w:fill="D9D9D9"/>
          </w:tcPr>
          <w:p>
            <w:pPr>
              <w:jc w:val="right"/>
              <w:ind w:right="129"/>
              <w:spacing w:after="0" w:line="156" w:lineRule="exact"/>
              <w:rPr>
                <w:sz w:val="20"/>
                <w:szCs w:val="20"/>
                <w:color w:val="auto"/>
              </w:rPr>
            </w:pPr>
            <w:r>
              <w:rPr>
                <w:rFonts w:ascii="Arial" w:cs="Arial" w:eastAsia="Arial" w:hAnsi="Arial"/>
                <w:sz w:val="14"/>
                <w:szCs w:val="14"/>
                <w:color w:val="auto"/>
              </w:rPr>
              <w:t>$8,814,440</w:t>
            </w:r>
          </w:p>
        </w:tc>
        <w:tc>
          <w:tcPr>
            <w:tcW w:w="2420" w:type="dxa"/>
            <w:vAlign w:val="bottom"/>
            <w:shd w:val="clear" w:color="auto" w:fill="D9D9D9"/>
          </w:tcPr>
          <w:p>
            <w:pPr>
              <w:jc w:val="center"/>
              <w:ind w:right="9"/>
              <w:spacing w:after="0" w:line="156" w:lineRule="exact"/>
              <w:rPr>
                <w:sz w:val="20"/>
                <w:szCs w:val="20"/>
                <w:color w:val="auto"/>
              </w:rPr>
            </w:pPr>
            <w:r>
              <w:rPr>
                <w:rFonts w:ascii="Arial" w:cs="Arial" w:eastAsia="Arial" w:hAnsi="Arial"/>
                <w:sz w:val="14"/>
                <w:szCs w:val="14"/>
                <w:color w:val="auto"/>
              </w:rPr>
              <w:t>(between threshold and target)</w:t>
            </w:r>
          </w:p>
        </w:tc>
      </w:tr>
      <w:tr>
        <w:trPr>
          <w:trHeight w:val="179"/>
        </w:trPr>
        <w:tc>
          <w:tcPr>
            <w:tcW w:w="4380" w:type="dxa"/>
            <w:vAlign w:val="bottom"/>
          </w:tcPr>
          <w:p>
            <w:pPr>
              <w:spacing w:after="0"/>
              <w:rPr>
                <w:sz w:val="20"/>
                <w:szCs w:val="20"/>
                <w:color w:val="auto"/>
              </w:rPr>
            </w:pPr>
            <w:r>
              <w:rPr>
                <w:rFonts w:ascii="Arial" w:cs="Arial" w:eastAsia="Arial" w:hAnsi="Arial"/>
                <w:sz w:val="14"/>
                <w:szCs w:val="14"/>
                <w:color w:val="auto"/>
              </w:rPr>
              <w:t>30% cumulative corporate average</w:t>
            </w:r>
          </w:p>
        </w:tc>
        <w:tc>
          <w:tcPr>
            <w:tcW w:w="1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Arial" w:cs="Arial" w:eastAsia="Arial" w:hAnsi="Arial"/>
                <w:sz w:val="14"/>
                <w:szCs w:val="14"/>
                <w:color w:val="auto"/>
              </w:rPr>
              <w:t>6.73214</w:t>
            </w:r>
          </w:p>
        </w:tc>
      </w:tr>
      <w:tr>
        <w:trPr>
          <w:trHeight w:val="156"/>
        </w:trPr>
        <w:tc>
          <w:tcPr>
            <w:tcW w:w="4380" w:type="dxa"/>
            <w:vAlign w:val="bottom"/>
          </w:tcPr>
          <w:p>
            <w:pPr>
              <w:ind w:left="120"/>
              <w:spacing w:after="0" w:line="156" w:lineRule="exact"/>
              <w:rPr>
                <w:sz w:val="20"/>
                <w:szCs w:val="20"/>
                <w:color w:val="auto"/>
              </w:rPr>
            </w:pPr>
            <w:r>
              <w:rPr>
                <w:rFonts w:ascii="Arial" w:cs="Arial" w:eastAsia="Arial" w:hAnsi="Arial"/>
                <w:sz w:val="14"/>
                <w:szCs w:val="14"/>
                <w:color w:val="auto"/>
              </w:rPr>
              <w:t>net assets turns</w:t>
            </w:r>
          </w:p>
        </w:tc>
        <w:tc>
          <w:tcPr>
            <w:tcW w:w="1580" w:type="dxa"/>
            <w:vAlign w:val="bottom"/>
          </w:tcPr>
          <w:p>
            <w:pPr>
              <w:jc w:val="right"/>
              <w:ind w:right="69"/>
              <w:spacing w:after="0" w:line="156" w:lineRule="exact"/>
              <w:rPr>
                <w:sz w:val="20"/>
                <w:szCs w:val="20"/>
                <w:color w:val="auto"/>
              </w:rPr>
            </w:pPr>
            <w:r>
              <w:rPr>
                <w:rFonts w:ascii="Arial" w:cs="Arial" w:eastAsia="Arial" w:hAnsi="Arial"/>
                <w:sz w:val="14"/>
                <w:szCs w:val="14"/>
                <w:color w:val="auto"/>
              </w:rPr>
              <w:t>6.11783</w:t>
            </w:r>
          </w:p>
        </w:tc>
        <w:tc>
          <w:tcPr>
            <w:tcW w:w="1400" w:type="dxa"/>
            <w:vAlign w:val="bottom"/>
          </w:tcPr>
          <w:p>
            <w:pPr>
              <w:jc w:val="right"/>
              <w:ind w:right="69"/>
              <w:spacing w:after="0" w:line="156" w:lineRule="exact"/>
              <w:rPr>
                <w:sz w:val="20"/>
                <w:szCs w:val="20"/>
                <w:color w:val="auto"/>
              </w:rPr>
            </w:pPr>
            <w:r>
              <w:rPr>
                <w:rFonts w:ascii="Arial" w:cs="Arial" w:eastAsia="Arial" w:hAnsi="Arial"/>
                <w:sz w:val="14"/>
                <w:szCs w:val="14"/>
                <w:color w:val="auto"/>
              </w:rPr>
              <w:t>7.19745</w:t>
            </w:r>
          </w:p>
        </w:tc>
        <w:tc>
          <w:tcPr>
            <w:tcW w:w="1460" w:type="dxa"/>
            <w:vAlign w:val="bottom"/>
          </w:tcPr>
          <w:p>
            <w:pPr>
              <w:jc w:val="right"/>
              <w:ind w:right="129"/>
              <w:spacing w:after="0" w:line="156" w:lineRule="exact"/>
              <w:rPr>
                <w:sz w:val="20"/>
                <w:szCs w:val="20"/>
                <w:color w:val="auto"/>
              </w:rPr>
            </w:pPr>
            <w:r>
              <w:rPr>
                <w:rFonts w:ascii="Arial" w:cs="Arial" w:eastAsia="Arial" w:hAnsi="Arial"/>
                <w:sz w:val="14"/>
                <w:szCs w:val="14"/>
                <w:color w:val="auto"/>
              </w:rPr>
              <w:t>8.27707</w:t>
            </w:r>
          </w:p>
        </w:tc>
        <w:tc>
          <w:tcPr>
            <w:tcW w:w="2420" w:type="dxa"/>
            <w:vAlign w:val="bottom"/>
          </w:tcPr>
          <w:p>
            <w:pPr>
              <w:jc w:val="center"/>
              <w:ind w:right="9"/>
              <w:spacing w:after="0" w:line="156" w:lineRule="exact"/>
              <w:rPr>
                <w:sz w:val="20"/>
                <w:szCs w:val="20"/>
                <w:color w:val="auto"/>
              </w:rPr>
            </w:pPr>
            <w:r>
              <w:rPr>
                <w:rFonts w:ascii="Arial" w:cs="Arial" w:eastAsia="Arial" w:hAnsi="Arial"/>
                <w:sz w:val="14"/>
                <w:szCs w:val="14"/>
                <w:color w:val="auto"/>
              </w:rPr>
              <w:t>(between threshold and target)</w:t>
            </w:r>
          </w:p>
        </w:tc>
      </w:tr>
      <w:tr>
        <w:trPr>
          <w:trHeight w:val="174"/>
        </w:trPr>
        <w:tc>
          <w:tcPr>
            <w:tcW w:w="438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Fiscal 2018 to fiscal 2020 performance share award payout</w:t>
            </w:r>
          </w:p>
        </w:tc>
        <w:tc>
          <w:tcPr>
            <w:tcW w:w="1580" w:type="dxa"/>
            <w:vAlign w:val="bottom"/>
            <w:shd w:val="clear" w:color="auto" w:fill="D9D9D9"/>
          </w:tcPr>
          <w:p>
            <w:pPr>
              <w:spacing w:after="0"/>
              <w:rPr>
                <w:sz w:val="15"/>
                <w:szCs w:val="15"/>
                <w:color w:val="auto"/>
              </w:rPr>
            </w:pPr>
          </w:p>
        </w:tc>
        <w:tc>
          <w:tcPr>
            <w:tcW w:w="1400" w:type="dxa"/>
            <w:vAlign w:val="bottom"/>
            <w:shd w:val="clear" w:color="auto" w:fill="D9D9D9"/>
          </w:tcPr>
          <w:p>
            <w:pPr>
              <w:spacing w:after="0"/>
              <w:rPr>
                <w:sz w:val="15"/>
                <w:szCs w:val="15"/>
                <w:color w:val="auto"/>
              </w:rPr>
            </w:pPr>
          </w:p>
        </w:tc>
        <w:tc>
          <w:tcPr>
            <w:tcW w:w="1460" w:type="dxa"/>
            <w:vAlign w:val="bottom"/>
            <w:shd w:val="clear" w:color="auto" w:fill="D9D9D9"/>
          </w:tcPr>
          <w:p>
            <w:pPr>
              <w:spacing w:after="0"/>
              <w:rPr>
                <w:sz w:val="15"/>
                <w:szCs w:val="15"/>
                <w:color w:val="auto"/>
              </w:rPr>
            </w:pPr>
          </w:p>
        </w:tc>
        <w:tc>
          <w:tcPr>
            <w:tcW w:w="2420" w:type="dxa"/>
            <w:vAlign w:val="bottom"/>
            <w:shd w:val="clear" w:color="auto" w:fill="D9D9D9"/>
          </w:tcPr>
          <w:p>
            <w:pPr>
              <w:jc w:val="center"/>
              <w:ind w:right="9"/>
              <w:spacing w:after="0"/>
              <w:rPr>
                <w:sz w:val="20"/>
                <w:szCs w:val="20"/>
                <w:color w:val="auto"/>
              </w:rPr>
            </w:pPr>
            <w:r>
              <w:rPr>
                <w:rFonts w:ascii="Arial" w:cs="Arial" w:eastAsia="Arial" w:hAnsi="Arial"/>
                <w:sz w:val="14"/>
                <w:szCs w:val="14"/>
                <w:b w:val="1"/>
                <w:bCs w:val="1"/>
                <w:color w:val="auto"/>
              </w:rPr>
              <w:t>68.6% of target</w:t>
            </w:r>
          </w:p>
        </w:tc>
      </w:tr>
    </w:tbl>
    <w:p>
      <w:pPr>
        <w:spacing w:after="0" w:line="88" w:lineRule="exact"/>
        <w:rPr>
          <w:sz w:val="20"/>
          <w:szCs w:val="20"/>
          <w:color w:val="auto"/>
        </w:rPr>
      </w:pPr>
    </w:p>
    <w:p>
      <w:pPr>
        <w:ind w:right="200" w:firstLine="401"/>
        <w:spacing w:after="0" w:line="247" w:lineRule="auto"/>
        <w:rPr>
          <w:sz w:val="20"/>
          <w:szCs w:val="20"/>
          <w:color w:val="auto"/>
        </w:rPr>
      </w:pPr>
      <w:r>
        <w:rPr>
          <w:rFonts w:ascii="Arial" w:cs="Arial" w:eastAsia="Arial" w:hAnsi="Arial"/>
          <w:sz w:val="18"/>
          <w:szCs w:val="18"/>
          <w:i w:val="1"/>
          <w:iCs w:val="1"/>
          <w:color w:val="auto"/>
        </w:rPr>
        <w:t xml:space="preserve">Corporate Performance Discussion and Analysis. </w:t>
      </w:r>
      <w:r>
        <w:rPr>
          <w:rFonts w:ascii="Arial" w:cs="Arial" w:eastAsia="Arial" w:hAnsi="Arial"/>
          <w:sz w:val="18"/>
          <w:szCs w:val="18"/>
          <w:color w:val="auto"/>
        </w:rPr>
        <w:t>When applying the actual performance when factoring in the defined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events against the weightings of the performance measures, the fiscal 2018 to fiscal 2020 payout was 68.6% of target. As a result, all of our named executive officers received a performance share payout that was 68.6% of target.</w:t>
      </w:r>
    </w:p>
    <w:p>
      <w:pPr>
        <w:spacing w:after="0" w:line="71" w:lineRule="exact"/>
        <w:rPr>
          <w:sz w:val="20"/>
          <w:szCs w:val="20"/>
          <w:color w:val="auto"/>
        </w:rPr>
      </w:pPr>
    </w:p>
    <w:p>
      <w:pPr>
        <w:ind w:right="20" w:firstLine="401"/>
        <w:spacing w:after="0" w:line="236" w:lineRule="auto"/>
        <w:rPr>
          <w:sz w:val="20"/>
          <w:szCs w:val="20"/>
          <w:color w:val="auto"/>
        </w:rPr>
      </w:pPr>
      <w:r>
        <w:rPr>
          <w:rFonts w:ascii="Arial" w:cs="Arial" w:eastAsia="Arial" w:hAnsi="Arial"/>
          <w:sz w:val="18"/>
          <w:szCs w:val="18"/>
          <w:i w:val="1"/>
          <w:iCs w:val="1"/>
          <w:color w:val="auto"/>
        </w:rPr>
        <w:t xml:space="preserve">Target Total Direct Compensation. </w:t>
      </w:r>
      <w:r>
        <w:rPr>
          <w:rFonts w:ascii="Arial" w:cs="Arial" w:eastAsia="Arial" w:hAnsi="Arial"/>
          <w:sz w:val="18"/>
          <w:szCs w:val="18"/>
          <w:color w:val="auto"/>
        </w:rPr>
        <w:t>As described previously, when analyzing compensation, we look at base salary, target total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target total direct compensation in comparison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when establishing new base salary levels, target annual cash incentive awards and long-term incentive awards. Actual value realized from long-term incentives is dependent on the stock price at the time of exercise for stock option grants and actual payout of performance share awards at the end of the three-year term, which is dependent on actual cumulative performance against established performance goals. Therefore, it is difficult to assess actual total direct compensation on an annual basis in comparison to the market since the market data may have changed significantly when actual long-term incentive results are fully realized. We believe it is important to continue to review target total direct compensation when establishing long-term incentive grants. The fiscal 2020 target total direct compensation (sum of actual base salary, including as reduced on May 1, 2020, target annual cash incentive, including as based on the reduced salary, and target value of equity awards), for each named executive officer is in the table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shd w:val="clear" w:color="auto" w:fill="BE0000"/>
          </w:tcPr>
          <w:p>
            <w:pPr>
              <w:spacing w:after="0"/>
              <w:rPr>
                <w:sz w:val="14"/>
                <w:szCs w:val="14"/>
                <w:color w:val="auto"/>
              </w:rPr>
            </w:pPr>
          </w:p>
        </w:tc>
        <w:tc>
          <w:tcPr>
            <w:tcW w:w="7020" w:type="dxa"/>
            <w:vAlign w:val="bottom"/>
            <w:shd w:val="clear" w:color="auto" w:fill="BE0000"/>
          </w:tcPr>
          <w:p>
            <w:pPr>
              <w:jc w:val="center"/>
              <w:ind w:left="1023"/>
              <w:spacing w:after="0"/>
              <w:rPr>
                <w:sz w:val="20"/>
                <w:szCs w:val="20"/>
                <w:color w:val="auto"/>
              </w:rPr>
            </w:pPr>
            <w:r>
              <w:rPr>
                <w:rFonts w:ascii="Arial" w:cs="Arial" w:eastAsia="Arial" w:hAnsi="Arial"/>
                <w:sz w:val="14"/>
                <w:szCs w:val="14"/>
                <w:b w:val="1"/>
                <w:bCs w:val="1"/>
                <w:color w:val="FFFFFF"/>
              </w:rPr>
              <w:t>Fiscal 2020 Target Total</w:t>
            </w:r>
          </w:p>
        </w:tc>
      </w:tr>
      <w:tr>
        <w:trPr>
          <w:trHeight w:val="161"/>
        </w:trPr>
        <w:tc>
          <w:tcPr>
            <w:tcW w:w="4220" w:type="dxa"/>
            <w:vAlign w:val="bottom"/>
            <w:shd w:val="clear" w:color="auto" w:fill="BE0000"/>
          </w:tcPr>
          <w:p>
            <w:pPr>
              <w:spacing w:after="0"/>
              <w:rPr>
                <w:sz w:val="13"/>
                <w:szCs w:val="13"/>
                <w:color w:val="auto"/>
              </w:rPr>
            </w:pPr>
          </w:p>
        </w:tc>
        <w:tc>
          <w:tcPr>
            <w:tcW w:w="7020" w:type="dxa"/>
            <w:vAlign w:val="bottom"/>
            <w:shd w:val="clear" w:color="auto" w:fill="BE0000"/>
          </w:tcPr>
          <w:p>
            <w:pPr>
              <w:jc w:val="center"/>
              <w:ind w:left="1023"/>
              <w:spacing w:after="0"/>
              <w:rPr>
                <w:sz w:val="20"/>
                <w:szCs w:val="20"/>
                <w:color w:val="auto"/>
              </w:rPr>
            </w:pPr>
            <w:r>
              <w:rPr>
                <w:rFonts w:ascii="Arial" w:cs="Arial" w:eastAsia="Arial" w:hAnsi="Arial"/>
                <w:sz w:val="14"/>
                <w:szCs w:val="14"/>
                <w:b w:val="1"/>
                <w:bCs w:val="1"/>
                <w:color w:val="FFFFFF"/>
              </w:rPr>
              <w:t>Direct Compensation</w:t>
            </w:r>
          </w:p>
        </w:tc>
      </w:tr>
      <w:tr>
        <w:trPr>
          <w:trHeight w:val="174"/>
        </w:trPr>
        <w:tc>
          <w:tcPr>
            <w:tcW w:w="4220" w:type="dxa"/>
            <w:vAlign w:val="bottom"/>
            <w:shd w:val="clear" w:color="auto" w:fill="BE0000"/>
          </w:tcPr>
          <w:p>
            <w:pPr>
              <w:spacing w:after="0"/>
              <w:rPr>
                <w:sz w:val="20"/>
                <w:szCs w:val="20"/>
                <w:color w:val="auto"/>
              </w:rPr>
            </w:pPr>
            <w:r>
              <w:rPr>
                <w:rFonts w:ascii="Arial" w:cs="Arial" w:eastAsia="Arial" w:hAnsi="Arial"/>
                <w:sz w:val="14"/>
                <w:szCs w:val="14"/>
                <w:b w:val="1"/>
                <w:bCs w:val="1"/>
                <w:color w:val="FFFFFF"/>
              </w:rPr>
              <w:t>Name</w:t>
            </w:r>
          </w:p>
        </w:tc>
        <w:tc>
          <w:tcPr>
            <w:tcW w:w="7020" w:type="dxa"/>
            <w:vAlign w:val="bottom"/>
            <w:shd w:val="clear" w:color="auto" w:fill="BE0000"/>
          </w:tcPr>
          <w:p>
            <w:pPr>
              <w:jc w:val="center"/>
              <w:ind w:left="1023"/>
              <w:spacing w:after="0"/>
              <w:rPr>
                <w:sz w:val="20"/>
                <w:szCs w:val="20"/>
                <w:color w:val="auto"/>
              </w:rPr>
            </w:pPr>
            <w:r>
              <w:rPr>
                <w:rFonts w:ascii="Arial" w:cs="Arial" w:eastAsia="Arial" w:hAnsi="Arial"/>
                <w:sz w:val="14"/>
                <w:szCs w:val="14"/>
                <w:b w:val="1"/>
                <w:bCs w:val="1"/>
                <w:color w:val="FFFFFF"/>
                <w:w w:val="93"/>
              </w:rPr>
              <w:t>($)</w:t>
            </w:r>
          </w:p>
        </w:tc>
      </w:tr>
      <w:tr>
        <w:trPr>
          <w:trHeight w:val="201"/>
        </w:trPr>
        <w:tc>
          <w:tcPr>
            <w:tcW w:w="4220" w:type="dxa"/>
            <w:vAlign w:val="bottom"/>
          </w:tcPr>
          <w:p>
            <w:pPr>
              <w:spacing w:after="0"/>
              <w:rPr>
                <w:sz w:val="20"/>
                <w:szCs w:val="20"/>
                <w:color w:val="auto"/>
              </w:rPr>
            </w:pPr>
            <w:r>
              <w:rPr>
                <w:rFonts w:ascii="Arial" w:cs="Arial" w:eastAsia="Arial" w:hAnsi="Arial"/>
                <w:sz w:val="16"/>
                <w:szCs w:val="16"/>
                <w:color w:val="auto"/>
              </w:rPr>
              <w:t>Mr. Olson</w:t>
            </w:r>
          </w:p>
        </w:tc>
        <w:tc>
          <w:tcPr>
            <w:tcW w:w="7020" w:type="dxa"/>
            <w:vAlign w:val="bottom"/>
          </w:tcPr>
          <w:p>
            <w:pPr>
              <w:jc w:val="right"/>
              <w:spacing w:after="0"/>
              <w:rPr>
                <w:sz w:val="20"/>
                <w:szCs w:val="20"/>
                <w:color w:val="auto"/>
              </w:rPr>
            </w:pPr>
            <w:r>
              <w:rPr>
                <w:rFonts w:ascii="Arial" w:cs="Arial" w:eastAsia="Arial" w:hAnsi="Arial"/>
                <w:sz w:val="16"/>
                <w:szCs w:val="16"/>
                <w:color w:val="auto"/>
              </w:rPr>
              <w:t>6,603,750</w:t>
            </w:r>
          </w:p>
        </w:tc>
      </w:tr>
      <w:tr>
        <w:trPr>
          <w:trHeight w:val="201"/>
        </w:trPr>
        <w:tc>
          <w:tcPr>
            <w:tcW w:w="422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7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1,941,000</w:t>
            </w:r>
          </w:p>
        </w:tc>
      </w:tr>
      <w:tr>
        <w:trPr>
          <w:trHeight w:val="201"/>
        </w:trPr>
        <w:tc>
          <w:tcPr>
            <w:tcW w:w="4220" w:type="dxa"/>
            <w:vAlign w:val="bottom"/>
          </w:tcPr>
          <w:p>
            <w:pPr>
              <w:spacing w:after="0"/>
              <w:rPr>
                <w:sz w:val="20"/>
                <w:szCs w:val="20"/>
                <w:color w:val="auto"/>
              </w:rPr>
            </w:pPr>
            <w:r>
              <w:rPr>
                <w:rFonts w:ascii="Arial" w:cs="Arial" w:eastAsia="Arial" w:hAnsi="Arial"/>
                <w:sz w:val="16"/>
                <w:szCs w:val="16"/>
                <w:color w:val="auto"/>
              </w:rPr>
              <w:t>Mr. Rodier</w:t>
            </w:r>
          </w:p>
        </w:tc>
        <w:tc>
          <w:tcPr>
            <w:tcW w:w="7020" w:type="dxa"/>
            <w:vAlign w:val="bottom"/>
          </w:tcPr>
          <w:p>
            <w:pPr>
              <w:jc w:val="right"/>
              <w:spacing w:after="0"/>
              <w:rPr>
                <w:sz w:val="20"/>
                <w:szCs w:val="20"/>
                <w:color w:val="auto"/>
              </w:rPr>
            </w:pPr>
            <w:r>
              <w:rPr>
                <w:rFonts w:ascii="Arial" w:cs="Arial" w:eastAsia="Arial" w:hAnsi="Arial"/>
                <w:sz w:val="16"/>
                <w:szCs w:val="16"/>
                <w:color w:val="auto"/>
              </w:rPr>
              <w:t>1,775,000</w:t>
            </w:r>
          </w:p>
        </w:tc>
      </w:tr>
      <w:tr>
        <w:trPr>
          <w:trHeight w:val="201"/>
        </w:trPr>
        <w:tc>
          <w:tcPr>
            <w:tcW w:w="4220" w:type="dxa"/>
            <w:vAlign w:val="bottom"/>
            <w:shd w:val="clear" w:color="auto" w:fill="D9D9D9"/>
          </w:tcPr>
          <w:p>
            <w:pPr>
              <w:spacing w:after="0"/>
              <w:rPr>
                <w:sz w:val="20"/>
                <w:szCs w:val="20"/>
                <w:color w:val="auto"/>
              </w:rPr>
            </w:pPr>
            <w:r>
              <w:rPr>
                <w:rFonts w:ascii="Arial" w:cs="Arial" w:eastAsia="Arial" w:hAnsi="Arial"/>
                <w:sz w:val="16"/>
                <w:szCs w:val="16"/>
                <w:color w:val="auto"/>
              </w:rPr>
              <w:t>Mr. Hamilton</w:t>
            </w:r>
          </w:p>
        </w:tc>
        <w:tc>
          <w:tcPr>
            <w:tcW w:w="7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1,322,000</w:t>
            </w:r>
          </w:p>
        </w:tc>
      </w:tr>
      <w:tr>
        <w:trPr>
          <w:trHeight w:val="209"/>
        </w:trPr>
        <w:tc>
          <w:tcPr>
            <w:tcW w:w="4220" w:type="dxa"/>
            <w:vAlign w:val="bottom"/>
          </w:tcPr>
          <w:p>
            <w:pPr>
              <w:spacing w:after="0"/>
              <w:rPr>
                <w:sz w:val="20"/>
                <w:szCs w:val="20"/>
                <w:color w:val="auto"/>
              </w:rPr>
            </w:pPr>
            <w:r>
              <w:rPr>
                <w:rFonts w:ascii="Arial" w:cs="Arial" w:eastAsia="Arial" w:hAnsi="Arial"/>
                <w:sz w:val="16"/>
                <w:szCs w:val="16"/>
                <w:color w:val="auto"/>
              </w:rPr>
              <w:t>Ms. Dahl</w:t>
            </w:r>
          </w:p>
        </w:tc>
        <w:tc>
          <w:tcPr>
            <w:tcW w:w="7020" w:type="dxa"/>
            <w:vAlign w:val="bottom"/>
          </w:tcPr>
          <w:p>
            <w:pPr>
              <w:jc w:val="right"/>
              <w:spacing w:after="0"/>
              <w:rPr>
                <w:sz w:val="20"/>
                <w:szCs w:val="20"/>
                <w:color w:val="auto"/>
              </w:rPr>
            </w:pPr>
            <w:r>
              <w:rPr>
                <w:rFonts w:ascii="Arial" w:cs="Arial" w:eastAsia="Arial" w:hAnsi="Arial"/>
                <w:sz w:val="16"/>
                <w:szCs w:val="16"/>
                <w:color w:val="auto"/>
              </w:rPr>
              <w:t>1,344,000</w:t>
            </w:r>
          </w:p>
        </w:tc>
      </w:tr>
    </w:tbl>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Health, Welfare and Retirement Benefits and All Other Compensation</w:t>
      </w:r>
      <w:r>
        <w:rPr>
          <w:rFonts w:ascii="Arial" w:cs="Arial" w:eastAsia="Arial" w:hAnsi="Arial"/>
          <w:sz w:val="18"/>
          <w:szCs w:val="18"/>
          <w:b w:val="1"/>
          <w:bCs w:val="1"/>
          <w:color w:val="auto"/>
        </w:rPr>
        <w:t>.</w:t>
      </w:r>
    </w:p>
    <w:p>
      <w:pPr>
        <w:spacing w:after="0" w:line="105" w:lineRule="exact"/>
        <w:rPr>
          <w:sz w:val="20"/>
          <w:szCs w:val="20"/>
          <w:color w:val="auto"/>
        </w:rPr>
      </w:pPr>
    </w:p>
    <w:p>
      <w:pPr>
        <w:ind w:right="140" w:firstLine="401"/>
        <w:spacing w:after="0" w:line="239" w:lineRule="auto"/>
        <w:rPr>
          <w:sz w:val="20"/>
          <w:szCs w:val="20"/>
          <w:color w:val="auto"/>
        </w:rPr>
      </w:pPr>
      <w:r>
        <w:rPr>
          <w:rFonts w:ascii="Arial" w:cs="Arial" w:eastAsia="Arial" w:hAnsi="Arial"/>
          <w:sz w:val="18"/>
          <w:szCs w:val="18"/>
          <w:i w:val="1"/>
          <w:iCs w:val="1"/>
          <w:color w:val="auto"/>
        </w:rPr>
        <w:t xml:space="preserve">Health and Welfare Benefits. </w:t>
      </w:r>
      <w:r>
        <w:rPr>
          <w:rFonts w:ascii="Arial" w:cs="Arial" w:eastAsia="Arial" w:hAnsi="Arial"/>
          <w:sz w:val="18"/>
          <w:szCs w:val="18"/>
          <w:color w:val="auto"/>
        </w:rPr>
        <w:t>We believe that providing competitive health and welfare benefits at a reasonable cost is an important</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any employee’s compensation package and promotes employee health. Our executive officers participate in the same health and welfare benefits as our full-time office salaried employees. These health and welfare benefits for fiscal 2020 included medical and dental insurance; life, accidental death and dismemberment insurance; and disability insurance. These benefits, including plan design and cost, are analyzed annually. We also implemented benefits to address the COVID -19 pandemic, including a special leave policy, fully covered virtual doctor visits without a co-pay, and permitted changes to dependent care flexible spending amounts.</w:t>
      </w:r>
    </w:p>
    <w:p>
      <w:pPr>
        <w:spacing w:after="0" w:line="77" w:lineRule="exact"/>
        <w:rPr>
          <w:sz w:val="20"/>
          <w:szCs w:val="20"/>
          <w:color w:val="auto"/>
        </w:rPr>
      </w:pPr>
    </w:p>
    <w:p>
      <w:pPr>
        <w:ind w:right="100" w:firstLine="401"/>
        <w:spacing w:after="0" w:line="242" w:lineRule="auto"/>
        <w:rPr>
          <w:sz w:val="20"/>
          <w:szCs w:val="20"/>
          <w:color w:val="auto"/>
        </w:rPr>
      </w:pPr>
      <w:r>
        <w:rPr>
          <w:rFonts w:ascii="Arial" w:cs="Arial" w:eastAsia="Arial" w:hAnsi="Arial"/>
          <w:sz w:val="18"/>
          <w:szCs w:val="18"/>
          <w:i w:val="1"/>
          <w:iCs w:val="1"/>
          <w:color w:val="auto"/>
        </w:rPr>
        <w:t xml:space="preserve">Retirement Benefits. </w:t>
      </w:r>
      <w:r>
        <w:rPr>
          <w:rFonts w:ascii="Arial" w:cs="Arial" w:eastAsia="Arial" w:hAnsi="Arial"/>
          <w:sz w:val="18"/>
          <w:szCs w:val="18"/>
          <w:color w:val="auto"/>
        </w:rPr>
        <w:t>We believe that it is important to allow our employees, including our executive officers, the opportunity to save for</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through our Retirement Plan, which is our defined contribution plan. The majority of our U.S.-based employees participate in the Retirement Plan and certain of our subsidiaries participate in different retirement plans. For 2020, the Retirement Plan included a 401(k) plan with a Company match. Company contributions for fiscal 2020 to our Retirement Plan on behalf of our named executive officers can be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00"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found under “All Other Compensation for Fiscal 2020” beginning on page 45. In addition, consistent with actions taken by many other employers, we implemented several of the CARES Act provisions, including providing for withdrawals from our Retirement Plan pursuant to the CARES Act.</w:t>
      </w:r>
    </w:p>
    <w:p>
      <w:pPr>
        <w:spacing w:after="0" w:line="73" w:lineRule="exact"/>
        <w:rPr>
          <w:sz w:val="20"/>
          <w:szCs w:val="20"/>
          <w:color w:val="auto"/>
        </w:rPr>
      </w:pPr>
    </w:p>
    <w:p>
      <w:pPr>
        <w:ind w:right="140" w:firstLine="401"/>
        <w:spacing w:after="0" w:line="241" w:lineRule="auto"/>
        <w:rPr>
          <w:sz w:val="20"/>
          <w:szCs w:val="20"/>
          <w:color w:val="auto"/>
        </w:rPr>
      </w:pPr>
      <w:r>
        <w:rPr>
          <w:rFonts w:ascii="Arial" w:cs="Arial" w:eastAsia="Arial" w:hAnsi="Arial"/>
          <w:sz w:val="18"/>
          <w:szCs w:val="18"/>
          <w:i w:val="1"/>
          <w:iCs w:val="1"/>
          <w:color w:val="auto"/>
        </w:rPr>
        <w:t>Nonqualified Deferred Compensation Plans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 help ensure our executive officers’ ability to provide financial security and save for</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we maintain three nonqualified deferred compensation plans, which include: The Toro Company Deferred Compensation Plan, or Deferred Plan, The Toro Company Deferred Compensation Plan for Officers, or the Deferred Plan for Officers and The Toro Company Supplemental Benefit Plan, or Supplemental Benefit Plan. These plans, which are unsecured and unfunded, are described under “Nonqualified Deferred Compensation for Fiscal 2020” on page 51.</w:t>
      </w:r>
    </w:p>
    <w:p>
      <w:pPr>
        <w:spacing w:after="0" w:line="77" w:lineRule="exact"/>
        <w:rPr>
          <w:sz w:val="20"/>
          <w:szCs w:val="20"/>
          <w:color w:val="auto"/>
        </w:rPr>
      </w:pPr>
    </w:p>
    <w:p>
      <w:pPr>
        <w:ind w:right="260" w:firstLine="401"/>
        <w:spacing w:after="0" w:line="242" w:lineRule="auto"/>
        <w:rPr>
          <w:sz w:val="20"/>
          <w:szCs w:val="20"/>
          <w:color w:val="auto"/>
        </w:rPr>
      </w:pPr>
      <w:r>
        <w:rPr>
          <w:rFonts w:ascii="Arial" w:cs="Arial" w:eastAsia="Arial" w:hAnsi="Arial"/>
          <w:sz w:val="18"/>
          <w:szCs w:val="18"/>
          <w:i w:val="1"/>
          <w:iCs w:val="1"/>
          <w:color w:val="auto"/>
        </w:rPr>
        <w:t>Perquisites</w:t>
      </w:r>
      <w:r>
        <w:rPr>
          <w:rFonts w:ascii="Arial" w:cs="Arial" w:eastAsia="Arial" w:hAnsi="Arial"/>
          <w:sz w:val="18"/>
          <w:szCs w:val="18"/>
          <w:color w:val="auto"/>
        </w:rPr>
        <w:t>. The perquisites provided during fiscal 2020 to our executive officers are described in “All Other Compensation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2020” beginning on page 45. We believe these perquisites are an important part of our overall compensation package and help us attract, retain and reward top executive talent. Specifically, we believe that these perquisites assist in promoting the financial security and health of our executive officers and encourage the use and promotion of our products.</w:t>
      </w:r>
    </w:p>
    <w:p>
      <w:pPr>
        <w:spacing w:after="0" w:line="73" w:lineRule="exact"/>
        <w:rPr>
          <w:sz w:val="20"/>
          <w:szCs w:val="20"/>
          <w:color w:val="auto"/>
        </w:rPr>
      </w:pPr>
    </w:p>
    <w:p>
      <w:pPr>
        <w:ind w:right="280" w:firstLine="401"/>
        <w:spacing w:after="0" w:line="241" w:lineRule="auto"/>
        <w:rPr>
          <w:sz w:val="20"/>
          <w:szCs w:val="20"/>
          <w:color w:val="auto"/>
        </w:rPr>
      </w:pPr>
      <w:r>
        <w:rPr>
          <w:rFonts w:ascii="Arial" w:cs="Arial" w:eastAsia="Arial" w:hAnsi="Arial"/>
          <w:sz w:val="18"/>
          <w:szCs w:val="18"/>
          <w:i w:val="1"/>
          <w:iCs w:val="1"/>
          <w:color w:val="auto"/>
        </w:rPr>
        <w:t>Charitable Giving</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support charitable organizations for our employees through our matching gift program. The program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provides that a gift or gifts by an executive officer and his/her spouse to one or more tax exempt 501(c)(3) charitable organizations located in the United States will be matched by us in an aggregate amount of up to $3,000 per year. In fiscal 2020, we also provided for unlimited matching gifts in addition to the $3,000 limit for gifts to certain charitable organizations that address poverty and food insecurity challenges as a result of the COVID-19 pandemic or that have diversity, equity and inclusion focused missions.</w:t>
      </w:r>
    </w:p>
    <w:p>
      <w:pPr>
        <w:spacing w:after="0" w:line="73" w:lineRule="exact"/>
        <w:rPr>
          <w:sz w:val="20"/>
          <w:szCs w:val="20"/>
          <w:color w:val="auto"/>
        </w:rPr>
      </w:pPr>
    </w:p>
    <w:p>
      <w:pPr>
        <w:ind w:right="60" w:firstLine="401"/>
        <w:spacing w:after="0" w:line="239" w:lineRule="auto"/>
        <w:rPr>
          <w:sz w:val="20"/>
          <w:szCs w:val="20"/>
          <w:color w:val="auto"/>
        </w:rPr>
      </w:pPr>
      <w:r>
        <w:rPr>
          <w:rFonts w:ascii="Arial" w:cs="Arial" w:eastAsia="Arial" w:hAnsi="Arial"/>
          <w:sz w:val="18"/>
          <w:szCs w:val="18"/>
          <w:b w:val="1"/>
          <w:bCs w:val="1"/>
          <w:color w:val="auto"/>
        </w:rPr>
        <w:t xml:space="preserve">Employment, Severance and Change in Control Arrangements. </w:t>
      </w:r>
      <w:r>
        <w:rPr>
          <w:rFonts w:ascii="Arial" w:cs="Arial" w:eastAsia="Arial" w:hAnsi="Arial"/>
          <w:sz w:val="18"/>
          <w:szCs w:val="18"/>
          <w:color w:val="auto"/>
        </w:rPr>
        <w:t>None of our executive officers have any employment or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or arrangements other than as provided for in our CIC policy and other than certain change in control provisions in our equity plans. Accordingly, our executive officers do not have the right to cash severance or additional benefits in connection with a termination of employment except in connection with a change in control of our Company as described under “Potential Payments Upon Termination or Change in Control—Change in Control” beginning on page 57. Each executive officer is a party to our standard confidentiality, invention and non-compete agreement.</w:t>
      </w:r>
    </w:p>
    <w:p>
      <w:pPr>
        <w:spacing w:after="0" w:line="99" w:lineRule="exact"/>
        <w:rPr>
          <w:sz w:val="20"/>
          <w:szCs w:val="20"/>
          <w:color w:val="auto"/>
        </w:rPr>
      </w:pPr>
    </w:p>
    <w:p>
      <w:pPr>
        <w:ind w:right="300" w:firstLine="401"/>
        <w:spacing w:after="0" w:line="235" w:lineRule="auto"/>
        <w:rPr>
          <w:sz w:val="20"/>
          <w:szCs w:val="20"/>
          <w:color w:val="auto"/>
        </w:rPr>
      </w:pPr>
      <w:r>
        <w:rPr>
          <w:rFonts w:ascii="Arial" w:cs="Arial" w:eastAsia="Arial" w:hAnsi="Arial"/>
          <w:sz w:val="18"/>
          <w:szCs w:val="18"/>
          <w:color w:val="auto"/>
        </w:rPr>
        <w:t>We believe our CIC policy and other change in control arrangements are important because they provide retention incentives and additional monetary motivation to complete a transaction that the Board believes is in the best interests of our Company and shareholders. We believe it is in the best interests of our Company and our shareholders to assure that we will have the continued dedication of our executives, notwithstanding the possibility, threat or occurrence of a change in control. We also believe it is imperative to diminish any distraction of our executives by virtue of the personal uncertainties and risks, including personal financial risks, created by a pending or threatened change in control of the Company.</w:t>
      </w:r>
    </w:p>
    <w:p>
      <w:pPr>
        <w:spacing w:after="0" w:line="98" w:lineRule="exact"/>
        <w:rPr>
          <w:sz w:val="20"/>
          <w:szCs w:val="20"/>
          <w:color w:val="auto"/>
        </w:rPr>
      </w:pPr>
    </w:p>
    <w:p>
      <w:pPr>
        <w:ind w:right="60" w:firstLine="401"/>
        <w:spacing w:after="0" w:line="236" w:lineRule="auto"/>
        <w:rPr>
          <w:sz w:val="20"/>
          <w:szCs w:val="20"/>
          <w:color w:val="auto"/>
        </w:rPr>
      </w:pPr>
      <w:r>
        <w:rPr>
          <w:rFonts w:ascii="Arial" w:cs="Arial" w:eastAsia="Arial" w:hAnsi="Arial"/>
          <w:sz w:val="18"/>
          <w:szCs w:val="18"/>
          <w:color w:val="auto"/>
        </w:rPr>
        <w:t>Our CIC policy incorporates a “double trigger” mechanism and provides for a severance payment for an executive officer if within three years after a change in control an executive officer’s employment is terminated by us without just cause or the executive officer terminates his or her employment for good reason, or if such termination occurs at the request of a third party who had taken steps reasonably calculated to effect the change in control. Our CIC policy does not provide a “gross-up” for 280G excise taxes and, as a condition to the payment of any severance payment, the executive officer must execute a release of claims against us.</w:t>
      </w:r>
    </w:p>
    <w:p>
      <w:pPr>
        <w:spacing w:after="0" w:line="95" w:lineRule="exact"/>
        <w:rPr>
          <w:sz w:val="20"/>
          <w:szCs w:val="20"/>
          <w:color w:val="auto"/>
        </w:rPr>
      </w:pPr>
    </w:p>
    <w:p>
      <w:pPr>
        <w:ind w:firstLine="401"/>
        <w:spacing w:after="0" w:line="234" w:lineRule="auto"/>
        <w:rPr>
          <w:sz w:val="20"/>
          <w:szCs w:val="20"/>
          <w:color w:val="auto"/>
        </w:rPr>
      </w:pPr>
      <w:r>
        <w:rPr>
          <w:rFonts w:ascii="Arial" w:cs="Arial" w:eastAsia="Arial" w:hAnsi="Arial"/>
          <w:sz w:val="18"/>
          <w:szCs w:val="18"/>
          <w:color w:val="auto"/>
        </w:rPr>
        <w:t>In addition to our CIC policy, we also have change in control provisions in our 2010 Plan and prior equity plans and individual award agreements that apply to our executives, as well as other employees, that provide for immediate vesting acceleration upon a change in control. More information regarding these provisions is also provided under “Potential Payments Upon Termination or Change in Control—Change in Control” beginning on page 57. Because the immediate vesting of stock options, restricted stock units and certain other awards is triggered by the change in control itself, and is not dependent upon a termination of employment within a certain protection period, these acceleration provisions are known as a “single trigger” change in control arrangements. We believe these “single trigger” change in control arrangements for equity awards granted provide important retention incentives during what can often be an uncertain time for employees and provide executives with additional monetary motivation to focus on and complete a transaction that our Board believes is in the best interests of our shareholders rather than seeking new employment opportunities. If an executive were to leave prior to the completion of the change in control, non-vested options or other awards held by the executive would terminate.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01" w:lineRule="exact"/>
        <w:rPr>
          <w:sz w:val="20"/>
          <w:szCs w:val="20"/>
          <w:color w:val="auto"/>
        </w:rPr>
      </w:pPr>
    </w:p>
    <w:p>
      <w:pPr>
        <w:ind w:right="80" w:firstLine="401"/>
        <w:spacing w:after="0"/>
        <w:rPr>
          <w:sz w:val="20"/>
          <w:szCs w:val="20"/>
          <w:color w:val="auto"/>
        </w:rPr>
      </w:pPr>
      <w:r>
        <w:rPr>
          <w:rFonts w:ascii="Arial" w:cs="Arial" w:eastAsia="Arial" w:hAnsi="Arial"/>
          <w:sz w:val="18"/>
          <w:szCs w:val="18"/>
          <w:color w:val="auto"/>
        </w:rPr>
        <w:t>The Compensation &amp; Human Resources Committee reviews our change of control arrangements periodically to ensure that they remain appropriate.</w:t>
      </w:r>
    </w:p>
    <w:p>
      <w:pPr>
        <w:spacing w:after="0" w:line="73" w:lineRule="exact"/>
        <w:rPr>
          <w:sz w:val="20"/>
          <w:szCs w:val="20"/>
          <w:color w:val="auto"/>
        </w:rPr>
      </w:pPr>
    </w:p>
    <w:p>
      <w:pPr>
        <w:ind w:right="60" w:firstLine="401"/>
        <w:spacing w:after="0" w:line="244" w:lineRule="auto"/>
        <w:rPr>
          <w:sz w:val="20"/>
          <w:szCs w:val="20"/>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We maintain stock ownership guidelines that enable us to meet our compensation objective of aligning</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interests of our executive officers with those of our shareholders. Our stock ownership guidelines are described in more detail in “Stock Ownership Guidelines” on page 64. As of October 31, 2020, each of our executive officers required to meet the stock ownership guidelines had met such guideline.</w:t>
      </w:r>
    </w:p>
    <w:p>
      <w:pPr>
        <w:spacing w:after="0" w:line="70" w:lineRule="exact"/>
        <w:rPr>
          <w:sz w:val="20"/>
          <w:szCs w:val="20"/>
          <w:color w:val="auto"/>
        </w:rPr>
      </w:pPr>
    </w:p>
    <w:p>
      <w:pPr>
        <w:jc w:val="both"/>
        <w:ind w:right="760" w:firstLine="401"/>
        <w:spacing w:after="0" w:line="296" w:lineRule="auto"/>
        <w:rPr>
          <w:sz w:val="20"/>
          <w:szCs w:val="20"/>
          <w:color w:val="auto"/>
        </w:rPr>
      </w:pPr>
      <w:r>
        <w:rPr>
          <w:rFonts w:ascii="Arial" w:cs="Arial" w:eastAsia="Arial" w:hAnsi="Arial"/>
          <w:sz w:val="17"/>
          <w:szCs w:val="17"/>
          <w:b w:val="1"/>
          <w:bCs w:val="1"/>
          <w:color w:val="auto"/>
        </w:rPr>
        <w:t xml:space="preserve">Hedging and Pledging. </w:t>
      </w:r>
      <w:r>
        <w:rPr>
          <w:rFonts w:ascii="Arial" w:cs="Arial" w:eastAsia="Arial" w:hAnsi="Arial"/>
          <w:sz w:val="17"/>
          <w:szCs w:val="17"/>
          <w:color w:val="auto"/>
        </w:rPr>
        <w:t>Our insider trading policy prohibits officers and directors from engaging in hedging or pledging of our</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Our anti-hedging and pledging policy is described in more detail in “Anti-Hedging and Anti-Pledging Policies” on page 64.</w:t>
      </w:r>
    </w:p>
    <w:p>
      <w:pPr>
        <w:spacing w:after="0" w:line="27" w:lineRule="exact"/>
        <w:rPr>
          <w:sz w:val="20"/>
          <w:szCs w:val="20"/>
          <w:color w:val="auto"/>
        </w:rPr>
      </w:pPr>
    </w:p>
    <w:p>
      <w:pPr>
        <w:ind w:right="100" w:firstLine="401"/>
        <w:spacing w:after="0" w:line="237" w:lineRule="auto"/>
        <w:rPr>
          <w:sz w:val="20"/>
          <w:szCs w:val="20"/>
          <w:color w:val="auto"/>
        </w:rPr>
      </w:pPr>
      <w:r>
        <w:rPr>
          <w:rFonts w:ascii="Arial" w:cs="Arial" w:eastAsia="Arial" w:hAnsi="Arial"/>
          <w:sz w:val="18"/>
          <w:szCs w:val="18"/>
          <w:b w:val="1"/>
          <w:bCs w:val="1"/>
          <w:color w:val="auto"/>
        </w:rPr>
        <w:t xml:space="preserve">Tax Deductibility of Compensation. </w:t>
      </w:r>
      <w:r>
        <w:rPr>
          <w:rFonts w:ascii="Arial" w:cs="Arial" w:eastAsia="Arial" w:hAnsi="Arial"/>
          <w:sz w:val="18"/>
          <w:szCs w:val="18"/>
          <w:color w:val="auto"/>
        </w:rPr>
        <w:t>Prior to the enactment of the Tax Cuts and Jobs Act of 2017 (the “2017 Tax Act”), in designing</w:t>
      </w:r>
      <w:r>
        <w:rPr>
          <w:rFonts w:ascii="Arial" w:cs="Arial" w:eastAsia="Arial" w:hAnsi="Arial"/>
          <w:sz w:val="18"/>
          <w:szCs w:val="18"/>
          <w:b w:val="1"/>
          <w:bCs w:val="1"/>
          <w:color w:val="auto"/>
        </w:rPr>
        <w:t xml:space="preserve"> </w:t>
      </w:r>
      <w:r>
        <w:rPr>
          <w:rFonts w:ascii="Arial" w:cs="Arial" w:eastAsia="Arial" w:hAnsi="Arial"/>
          <w:sz w:val="18"/>
          <w:szCs w:val="18"/>
          <w:color w:val="auto"/>
        </w:rPr>
        <w:t>our executive compensation program, we considered the deductibility of executive compensation under Code Section 162(m). The 2017 Tax Act, among other things, repealed the exemption from Code Section 162(m)’s $1 million deduction limit for “performance-based” compensation for taxable years beginning after December 31, 2017. Our compensation plans were designed with the intention of satisfying the requirements for “performance-based” compensation as defined in Code Section 162(m) prior to the effective date of the 2017 Tax Act so that such awards would be exempt from the Code Section 162(m) deduction limitation. While we designed these plans to operate in this manner, the Committee could administer the plans in a manner that did not satisfy such requirements in order to achieve a result that the Committee determined to be appropriate, including by revising performance goals and/or adjustment events as needed to ensure our pay practices continued to align with performance even if this resulted in a disallowance of a deduction for amounts in excess of $1 million.</w:t>
      </w:r>
    </w:p>
    <w:p>
      <w:pPr>
        <w:spacing w:after="0" w:line="99" w:lineRule="exact"/>
        <w:rPr>
          <w:sz w:val="20"/>
          <w:szCs w:val="20"/>
          <w:color w:val="auto"/>
        </w:rPr>
      </w:pPr>
    </w:p>
    <w:p>
      <w:pPr>
        <w:ind w:right="60" w:firstLine="401"/>
        <w:spacing w:after="0" w:line="236" w:lineRule="auto"/>
        <w:rPr>
          <w:sz w:val="20"/>
          <w:szCs w:val="20"/>
          <w:color w:val="auto"/>
        </w:rPr>
      </w:pPr>
      <w:r>
        <w:rPr>
          <w:rFonts w:ascii="Arial" w:cs="Arial" w:eastAsia="Arial" w:hAnsi="Arial"/>
          <w:sz w:val="18"/>
          <w:szCs w:val="18"/>
          <w:color w:val="auto"/>
        </w:rPr>
        <w:t>Despite the changes to Section 162(m) as a result of the 2017 Tax Act, consistent with our executive compensation philosophy of linking pay to performance and aligning executive interests with those of our shareholders, we currently expect that we will continue to structure our executive compensation program so that a significant portion of total executive compensation is linked to the performance of our Company even though amounts in excess of the Code Section 162(m) limit are no longer deductible.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Assessment of Risk Related to Compensation Programs</w:t>
      </w:r>
    </w:p>
    <w:p>
      <w:pPr>
        <w:spacing w:after="0" w:line="123" w:lineRule="exact"/>
        <w:rPr>
          <w:sz w:val="20"/>
          <w:szCs w:val="20"/>
          <w:color w:val="auto"/>
        </w:rPr>
      </w:pPr>
    </w:p>
    <w:p>
      <w:pPr>
        <w:ind w:firstLine="401"/>
        <w:spacing w:after="0" w:line="234" w:lineRule="auto"/>
        <w:rPr>
          <w:sz w:val="20"/>
          <w:szCs w:val="20"/>
          <w:color w:val="auto"/>
        </w:rPr>
      </w:pPr>
      <w:r>
        <w:rPr>
          <w:rFonts w:ascii="Arial" w:cs="Arial" w:eastAsia="Arial" w:hAnsi="Arial"/>
          <w:sz w:val="18"/>
          <w:szCs w:val="18"/>
          <w:color w:val="auto"/>
        </w:rPr>
        <w:t>We determined that our compensation policies, practices and programs and related compensation governance structure work together to minimize exposure to excessive risk while appropriately pursuing growth, profitability and asset efficiency strategies that emphasize shareholder value creation. In reaching such determination, we noted that (i) base salaries for all employees are targeted within a competitive range of the market 50</w:t>
      </w:r>
      <w:r>
        <w:rPr>
          <w:rFonts w:ascii="Arial" w:cs="Arial" w:eastAsia="Arial" w:hAnsi="Arial"/>
          <w:sz w:val="15"/>
          <w:szCs w:val="15"/>
          <w:color w:val="auto"/>
        </w:rPr>
        <w:t>th</w:t>
      </w:r>
      <w:r>
        <w:rPr>
          <w:rFonts w:ascii="Arial" w:cs="Arial" w:eastAsia="Arial" w:hAnsi="Arial"/>
          <w:sz w:val="18"/>
          <w:szCs w:val="18"/>
          <w:color w:val="auto"/>
        </w:rPr>
        <w:t xml:space="preserve"> percentile, are not subject to performance risk and, for non-executive employees, constitute the largest part of their total compensation; (ii) incentive or variable compensation awarded to our executive officers, which constitutes the largest part of their total compensation, is appropriately balanced between annual and long-term performance and cash and equity compensation, and utilizes performance measures and goals that are drivers of long-term success for our Company and our shareholders; and (iii) caps on performance-based awards are used.</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Summary Compensation Table</w:t>
      </w:r>
    </w:p>
    <w:p>
      <w:pPr>
        <w:spacing w:after="0" w:line="118" w:lineRule="exact"/>
        <w:rPr>
          <w:sz w:val="20"/>
          <w:szCs w:val="20"/>
          <w:color w:val="auto"/>
        </w:rPr>
      </w:pPr>
    </w:p>
    <w:p>
      <w:pPr>
        <w:ind w:right="100" w:firstLine="401"/>
        <w:spacing w:after="0" w:line="234" w:lineRule="auto"/>
        <w:rPr>
          <w:sz w:val="20"/>
          <w:szCs w:val="20"/>
          <w:color w:val="auto"/>
        </w:rPr>
      </w:pPr>
      <w:r>
        <w:rPr>
          <w:rFonts w:ascii="Arial" w:cs="Arial" w:eastAsia="Arial" w:hAnsi="Arial"/>
          <w:sz w:val="18"/>
          <w:szCs w:val="18"/>
          <w:color w:val="auto"/>
        </w:rPr>
        <w:t>The following table summarizes compensation for each of the last three fiscal years awarded to, earned by or paid to individuals who served as our principal executive officer and principal financial officer and each of the other three most highly compensated executive officers during fiscal 2020. We collectively refer to these executive officers as our “named executive officers” for fiscal 2020. The “Compensation Discussion and Analysis” beginning on page 28, provides additional information about compensation paid to our named executive officers. Amounts in this Summary Compensation Table are not reduced to reflect elections, if any, by the named executive officers to defer receipt of base salary, annual cash incentive award payouts or performance share award payouts. Elections to defer these forms of compensation are described in more detail under “Nonqualified Deferred Compensation for Fiscal 2020” beginning on page 51. Earnings on nonqualified deferred compensation are not on a basis that is considered to be above-market or preferential.</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shd w:val="clear" w:color="auto" w:fill="C00000"/>
          </w:tcPr>
          <w:p>
            <w:pPr>
              <w:spacing w:after="0"/>
              <w:rPr>
                <w:sz w:val="14"/>
                <w:szCs w:val="14"/>
                <w:color w:val="auto"/>
              </w:rPr>
            </w:pPr>
          </w:p>
        </w:tc>
        <w:tc>
          <w:tcPr>
            <w:tcW w:w="680" w:type="dxa"/>
            <w:vAlign w:val="bottom"/>
            <w:shd w:val="clear" w:color="auto" w:fill="C00000"/>
          </w:tcPr>
          <w:p>
            <w:pPr>
              <w:spacing w:after="0"/>
              <w:rPr>
                <w:sz w:val="14"/>
                <w:szCs w:val="14"/>
                <w:color w:val="auto"/>
              </w:rPr>
            </w:pPr>
          </w:p>
        </w:tc>
        <w:tc>
          <w:tcPr>
            <w:tcW w:w="760" w:type="dxa"/>
            <w:vAlign w:val="bottom"/>
            <w:shd w:val="clear" w:color="auto" w:fill="C00000"/>
          </w:tcPr>
          <w:p>
            <w:pPr>
              <w:spacing w:after="0"/>
              <w:rPr>
                <w:sz w:val="14"/>
                <w:szCs w:val="14"/>
                <w:color w:val="auto"/>
              </w:rPr>
            </w:pPr>
          </w:p>
        </w:tc>
        <w:tc>
          <w:tcPr>
            <w:tcW w:w="800" w:type="dxa"/>
            <w:vAlign w:val="bottom"/>
            <w:shd w:val="clear" w:color="auto" w:fill="C00000"/>
          </w:tcPr>
          <w:p>
            <w:pPr>
              <w:spacing w:after="0"/>
              <w:rPr>
                <w:sz w:val="14"/>
                <w:szCs w:val="14"/>
                <w:color w:val="auto"/>
              </w:rPr>
            </w:pPr>
          </w:p>
        </w:tc>
        <w:tc>
          <w:tcPr>
            <w:tcW w:w="920" w:type="dxa"/>
            <w:vAlign w:val="bottom"/>
            <w:shd w:val="clear" w:color="auto" w:fill="C00000"/>
          </w:tcPr>
          <w:p>
            <w:pPr>
              <w:spacing w:after="0"/>
              <w:rPr>
                <w:sz w:val="14"/>
                <w:szCs w:val="14"/>
                <w:color w:val="auto"/>
              </w:rPr>
            </w:pPr>
          </w:p>
        </w:tc>
        <w:tc>
          <w:tcPr>
            <w:tcW w:w="920" w:type="dxa"/>
            <w:vAlign w:val="bottom"/>
            <w:shd w:val="clear" w:color="auto" w:fill="C00000"/>
          </w:tcPr>
          <w:p>
            <w:pPr>
              <w:spacing w:after="0"/>
              <w:rPr>
                <w:sz w:val="14"/>
                <w:szCs w:val="14"/>
                <w:color w:val="auto"/>
              </w:rPr>
            </w:pPr>
          </w:p>
        </w:tc>
        <w:tc>
          <w:tcPr>
            <w:tcW w:w="14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Non-Equity</w:t>
            </w:r>
          </w:p>
        </w:tc>
        <w:tc>
          <w:tcPr>
            <w:tcW w:w="1460" w:type="dxa"/>
            <w:vAlign w:val="bottom"/>
            <w:shd w:val="clear" w:color="auto" w:fill="C00000"/>
          </w:tcPr>
          <w:p>
            <w:pPr>
              <w:spacing w:after="0"/>
              <w:rPr>
                <w:sz w:val="14"/>
                <w:szCs w:val="14"/>
                <w:color w:val="auto"/>
              </w:rPr>
            </w:pPr>
          </w:p>
        </w:tc>
        <w:tc>
          <w:tcPr>
            <w:tcW w:w="760" w:type="dxa"/>
            <w:vAlign w:val="bottom"/>
            <w:shd w:val="clear" w:color="auto" w:fill="C00000"/>
          </w:tcPr>
          <w:p>
            <w:pPr>
              <w:spacing w:after="0"/>
              <w:rPr>
                <w:sz w:val="14"/>
                <w:szCs w:val="14"/>
                <w:color w:val="auto"/>
              </w:rPr>
            </w:pPr>
          </w:p>
        </w:tc>
      </w:tr>
      <w:tr>
        <w:trPr>
          <w:trHeight w:val="157"/>
        </w:trPr>
        <w:tc>
          <w:tcPr>
            <w:tcW w:w="3520" w:type="dxa"/>
            <w:vAlign w:val="bottom"/>
            <w:shd w:val="clear" w:color="auto" w:fill="C00000"/>
          </w:tcPr>
          <w:p>
            <w:pPr>
              <w:spacing w:after="0"/>
              <w:rPr>
                <w:sz w:val="13"/>
                <w:szCs w:val="13"/>
                <w:color w:val="auto"/>
              </w:rPr>
            </w:pPr>
          </w:p>
        </w:tc>
        <w:tc>
          <w:tcPr>
            <w:tcW w:w="680" w:type="dxa"/>
            <w:vAlign w:val="bottom"/>
            <w:shd w:val="clear" w:color="auto" w:fill="C00000"/>
          </w:tcPr>
          <w:p>
            <w:pPr>
              <w:spacing w:after="0"/>
              <w:rPr>
                <w:sz w:val="13"/>
                <w:szCs w:val="13"/>
                <w:color w:val="auto"/>
              </w:rPr>
            </w:pPr>
          </w:p>
        </w:tc>
        <w:tc>
          <w:tcPr>
            <w:tcW w:w="760" w:type="dxa"/>
            <w:vAlign w:val="bottom"/>
            <w:shd w:val="clear" w:color="auto" w:fill="C00000"/>
          </w:tcPr>
          <w:p>
            <w:pPr>
              <w:spacing w:after="0"/>
              <w:rPr>
                <w:sz w:val="13"/>
                <w:szCs w:val="13"/>
                <w:color w:val="auto"/>
              </w:rPr>
            </w:pPr>
          </w:p>
        </w:tc>
        <w:tc>
          <w:tcPr>
            <w:tcW w:w="800" w:type="dxa"/>
            <w:vAlign w:val="bottom"/>
            <w:shd w:val="clear" w:color="auto" w:fill="C00000"/>
          </w:tcPr>
          <w:p>
            <w:pPr>
              <w:spacing w:after="0"/>
              <w:rPr>
                <w:sz w:val="13"/>
                <w:szCs w:val="13"/>
                <w:color w:val="auto"/>
              </w:rPr>
            </w:pPr>
          </w:p>
        </w:tc>
        <w:tc>
          <w:tcPr>
            <w:tcW w:w="920" w:type="dxa"/>
            <w:vAlign w:val="bottom"/>
            <w:shd w:val="clear" w:color="auto" w:fill="C00000"/>
          </w:tcPr>
          <w:p>
            <w:pPr>
              <w:jc w:val="center"/>
              <w:spacing w:after="0" w:line="157" w:lineRule="exact"/>
              <w:rPr>
                <w:sz w:val="20"/>
                <w:szCs w:val="20"/>
                <w:color w:val="auto"/>
              </w:rPr>
            </w:pPr>
            <w:r>
              <w:rPr>
                <w:rFonts w:ascii="Arial" w:cs="Arial" w:eastAsia="Arial" w:hAnsi="Arial"/>
                <w:sz w:val="14"/>
                <w:szCs w:val="14"/>
                <w:b w:val="1"/>
                <w:bCs w:val="1"/>
                <w:color w:val="FFFFFF"/>
                <w:w w:val="99"/>
              </w:rPr>
              <w:t>Stock</w:t>
            </w:r>
          </w:p>
        </w:tc>
        <w:tc>
          <w:tcPr>
            <w:tcW w:w="920" w:type="dxa"/>
            <w:vAlign w:val="bottom"/>
            <w:shd w:val="clear" w:color="auto" w:fill="C00000"/>
          </w:tcPr>
          <w:p>
            <w:pPr>
              <w:jc w:val="center"/>
              <w:spacing w:after="0" w:line="157" w:lineRule="exact"/>
              <w:rPr>
                <w:sz w:val="20"/>
                <w:szCs w:val="20"/>
                <w:color w:val="auto"/>
              </w:rPr>
            </w:pPr>
            <w:r>
              <w:rPr>
                <w:rFonts w:ascii="Arial" w:cs="Arial" w:eastAsia="Arial" w:hAnsi="Arial"/>
                <w:sz w:val="14"/>
                <w:szCs w:val="14"/>
                <w:b w:val="1"/>
                <w:bCs w:val="1"/>
                <w:color w:val="FFFFFF"/>
              </w:rPr>
              <w:t>Option</w:t>
            </w:r>
          </w:p>
        </w:tc>
        <w:tc>
          <w:tcPr>
            <w:tcW w:w="1420" w:type="dxa"/>
            <w:vAlign w:val="bottom"/>
            <w:shd w:val="clear" w:color="auto" w:fill="C00000"/>
          </w:tcPr>
          <w:p>
            <w:pPr>
              <w:jc w:val="center"/>
              <w:spacing w:after="0" w:line="157" w:lineRule="exact"/>
              <w:rPr>
                <w:sz w:val="20"/>
                <w:szCs w:val="20"/>
                <w:color w:val="auto"/>
              </w:rPr>
            </w:pPr>
            <w:r>
              <w:rPr>
                <w:rFonts w:ascii="Arial" w:cs="Arial" w:eastAsia="Arial" w:hAnsi="Arial"/>
                <w:sz w:val="14"/>
                <w:szCs w:val="14"/>
                <w:b w:val="1"/>
                <w:bCs w:val="1"/>
                <w:color w:val="FFFFFF"/>
              </w:rPr>
              <w:t>Incentive Plan</w:t>
            </w:r>
          </w:p>
        </w:tc>
        <w:tc>
          <w:tcPr>
            <w:tcW w:w="1460" w:type="dxa"/>
            <w:vAlign w:val="bottom"/>
            <w:shd w:val="clear" w:color="auto" w:fill="C00000"/>
          </w:tcPr>
          <w:p>
            <w:pPr>
              <w:jc w:val="center"/>
              <w:ind w:right="33"/>
              <w:spacing w:after="0" w:line="157" w:lineRule="exact"/>
              <w:rPr>
                <w:sz w:val="20"/>
                <w:szCs w:val="20"/>
                <w:color w:val="auto"/>
              </w:rPr>
            </w:pPr>
            <w:r>
              <w:rPr>
                <w:rFonts w:ascii="Arial" w:cs="Arial" w:eastAsia="Arial" w:hAnsi="Arial"/>
                <w:sz w:val="14"/>
                <w:szCs w:val="14"/>
                <w:b w:val="1"/>
                <w:bCs w:val="1"/>
                <w:color w:val="FFFFFF"/>
              </w:rPr>
              <w:t>All Other</w:t>
            </w:r>
          </w:p>
        </w:tc>
        <w:tc>
          <w:tcPr>
            <w:tcW w:w="760" w:type="dxa"/>
            <w:vAlign w:val="bottom"/>
            <w:shd w:val="clear" w:color="auto" w:fill="C00000"/>
          </w:tcPr>
          <w:p>
            <w:pPr>
              <w:spacing w:after="0"/>
              <w:rPr>
                <w:sz w:val="13"/>
                <w:szCs w:val="13"/>
                <w:color w:val="auto"/>
              </w:rPr>
            </w:pPr>
          </w:p>
        </w:tc>
      </w:tr>
      <w:tr>
        <w:trPr>
          <w:trHeight w:val="164"/>
        </w:trPr>
        <w:tc>
          <w:tcPr>
            <w:tcW w:w="35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 and</w:t>
            </w:r>
          </w:p>
        </w:tc>
        <w:tc>
          <w:tcPr>
            <w:tcW w:w="680" w:type="dxa"/>
            <w:vAlign w:val="bottom"/>
            <w:shd w:val="clear" w:color="auto" w:fill="C00000"/>
          </w:tcPr>
          <w:p>
            <w:pPr>
              <w:jc w:val="center"/>
              <w:ind w:left="12"/>
              <w:spacing w:after="0"/>
              <w:rPr>
                <w:sz w:val="20"/>
                <w:szCs w:val="20"/>
                <w:color w:val="auto"/>
              </w:rPr>
            </w:pPr>
            <w:r>
              <w:rPr>
                <w:rFonts w:ascii="Arial" w:cs="Arial" w:eastAsia="Arial" w:hAnsi="Arial"/>
                <w:sz w:val="14"/>
                <w:szCs w:val="14"/>
                <w:b w:val="1"/>
                <w:bCs w:val="1"/>
                <w:color w:val="FFFFFF"/>
              </w:rPr>
              <w:t>Fiscal</w:t>
            </w:r>
          </w:p>
        </w:tc>
        <w:tc>
          <w:tcPr>
            <w:tcW w:w="760" w:type="dxa"/>
            <w:vAlign w:val="bottom"/>
            <w:shd w:val="clear" w:color="auto" w:fill="C00000"/>
          </w:tcPr>
          <w:p>
            <w:pPr>
              <w:jc w:val="right"/>
              <w:ind w:right="33"/>
              <w:spacing w:after="0" w:line="164" w:lineRule="exact"/>
              <w:rPr>
                <w:sz w:val="20"/>
                <w:szCs w:val="20"/>
                <w:color w:val="auto"/>
              </w:rPr>
            </w:pPr>
            <w:r>
              <w:rPr>
                <w:rFonts w:ascii="Arial" w:cs="Arial" w:eastAsia="Arial" w:hAnsi="Arial"/>
                <w:sz w:val="12"/>
                <w:szCs w:val="12"/>
                <w:b w:val="1"/>
                <w:bCs w:val="1"/>
                <w:color w:val="FFFFFF"/>
              </w:rPr>
              <w:t>Salary</w:t>
            </w:r>
            <w:r>
              <w:rPr>
                <w:rFonts w:ascii="Arial" w:cs="Arial" w:eastAsia="Arial" w:hAnsi="Arial"/>
                <w:sz w:val="19"/>
                <w:szCs w:val="19"/>
                <w:b w:val="1"/>
                <w:bCs w:val="1"/>
                <w:color w:val="FFFFFF"/>
                <w:vertAlign w:val="superscript"/>
              </w:rPr>
              <w:t>(1)</w:t>
            </w:r>
          </w:p>
        </w:tc>
        <w:tc>
          <w:tcPr>
            <w:tcW w:w="800" w:type="dxa"/>
            <w:vAlign w:val="bottom"/>
            <w:shd w:val="clear" w:color="auto" w:fill="C00000"/>
          </w:tcPr>
          <w:p>
            <w:pPr>
              <w:ind w:left="80"/>
              <w:spacing w:after="0" w:line="164" w:lineRule="exact"/>
              <w:rPr>
                <w:sz w:val="20"/>
                <w:szCs w:val="20"/>
                <w:color w:val="auto"/>
              </w:rPr>
            </w:pPr>
            <w:r>
              <w:rPr>
                <w:rFonts w:ascii="Arial" w:cs="Arial" w:eastAsia="Arial" w:hAnsi="Arial"/>
                <w:sz w:val="12"/>
                <w:szCs w:val="12"/>
                <w:b w:val="1"/>
                <w:bCs w:val="1"/>
                <w:color w:val="FFFFFF"/>
              </w:rPr>
              <w:t>Bonus</w:t>
            </w:r>
            <w:r>
              <w:rPr>
                <w:rFonts w:ascii="Arial" w:cs="Arial" w:eastAsia="Arial" w:hAnsi="Arial"/>
                <w:sz w:val="19"/>
                <w:szCs w:val="19"/>
                <w:b w:val="1"/>
                <w:bCs w:val="1"/>
                <w:color w:val="FFFFFF"/>
                <w:vertAlign w:val="superscript"/>
              </w:rPr>
              <w:t>(2)</w:t>
            </w:r>
          </w:p>
        </w:tc>
        <w:tc>
          <w:tcPr>
            <w:tcW w:w="920" w:type="dxa"/>
            <w:vAlign w:val="bottom"/>
            <w:shd w:val="clear" w:color="auto" w:fill="C00000"/>
          </w:tcPr>
          <w:p>
            <w:pPr>
              <w:jc w:val="center"/>
              <w:spacing w:after="0" w:line="164"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9"/>
                <w:szCs w:val="19"/>
                <w:b w:val="1"/>
                <w:bCs w:val="1"/>
                <w:color w:val="FFFFFF"/>
                <w:vertAlign w:val="superscript"/>
              </w:rPr>
              <w:t>(3)</w:t>
            </w:r>
          </w:p>
        </w:tc>
        <w:tc>
          <w:tcPr>
            <w:tcW w:w="920" w:type="dxa"/>
            <w:vAlign w:val="bottom"/>
            <w:shd w:val="clear" w:color="auto" w:fill="C00000"/>
          </w:tcPr>
          <w:p>
            <w:pPr>
              <w:jc w:val="center"/>
              <w:spacing w:after="0" w:line="164"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9"/>
                <w:szCs w:val="19"/>
                <w:b w:val="1"/>
                <w:bCs w:val="1"/>
                <w:color w:val="FFFFFF"/>
                <w:vertAlign w:val="superscript"/>
              </w:rPr>
              <w:t>(4)</w:t>
            </w:r>
          </w:p>
        </w:tc>
        <w:tc>
          <w:tcPr>
            <w:tcW w:w="1420" w:type="dxa"/>
            <w:vAlign w:val="bottom"/>
            <w:shd w:val="clear" w:color="auto" w:fill="C00000"/>
          </w:tcPr>
          <w:p>
            <w:pPr>
              <w:jc w:val="center"/>
              <w:ind w:right="13"/>
              <w:spacing w:after="0" w:line="164" w:lineRule="exact"/>
              <w:rPr>
                <w:sz w:val="20"/>
                <w:szCs w:val="20"/>
                <w:color w:val="auto"/>
              </w:rPr>
            </w:pPr>
            <w:r>
              <w:rPr>
                <w:rFonts w:ascii="Arial" w:cs="Arial" w:eastAsia="Arial" w:hAnsi="Arial"/>
                <w:sz w:val="12"/>
                <w:szCs w:val="12"/>
                <w:b w:val="1"/>
                <w:bCs w:val="1"/>
                <w:color w:val="FFFFFF"/>
              </w:rPr>
              <w:t>Compensation</w:t>
            </w:r>
            <w:r>
              <w:rPr>
                <w:rFonts w:ascii="Arial" w:cs="Arial" w:eastAsia="Arial" w:hAnsi="Arial"/>
                <w:sz w:val="19"/>
                <w:szCs w:val="19"/>
                <w:b w:val="1"/>
                <w:bCs w:val="1"/>
                <w:color w:val="FFFFFF"/>
                <w:vertAlign w:val="superscript"/>
              </w:rPr>
              <w:t>(5)</w:t>
            </w:r>
          </w:p>
        </w:tc>
        <w:tc>
          <w:tcPr>
            <w:tcW w:w="1460" w:type="dxa"/>
            <w:vAlign w:val="bottom"/>
            <w:shd w:val="clear" w:color="auto" w:fill="C00000"/>
          </w:tcPr>
          <w:p>
            <w:pPr>
              <w:jc w:val="center"/>
              <w:ind w:right="53"/>
              <w:spacing w:after="0" w:line="164" w:lineRule="exact"/>
              <w:rPr>
                <w:sz w:val="20"/>
                <w:szCs w:val="20"/>
                <w:color w:val="auto"/>
              </w:rPr>
            </w:pPr>
            <w:r>
              <w:rPr>
                <w:rFonts w:ascii="Arial" w:cs="Arial" w:eastAsia="Arial" w:hAnsi="Arial"/>
                <w:sz w:val="12"/>
                <w:szCs w:val="12"/>
                <w:b w:val="1"/>
                <w:bCs w:val="1"/>
                <w:color w:val="FFFFFF"/>
              </w:rPr>
              <w:t>Compensation</w:t>
            </w:r>
            <w:r>
              <w:rPr>
                <w:rFonts w:ascii="Arial" w:cs="Arial" w:eastAsia="Arial" w:hAnsi="Arial"/>
                <w:sz w:val="19"/>
                <w:szCs w:val="19"/>
                <w:b w:val="1"/>
                <w:bCs w:val="1"/>
                <w:color w:val="FFFFFF"/>
                <w:vertAlign w:val="superscript"/>
              </w:rPr>
              <w:t>(6)</w:t>
            </w:r>
          </w:p>
        </w:tc>
        <w:tc>
          <w:tcPr>
            <w:tcW w:w="760" w:type="dxa"/>
            <w:vAlign w:val="bottom"/>
            <w:shd w:val="clear" w:color="auto" w:fill="C00000"/>
          </w:tcPr>
          <w:p>
            <w:pPr>
              <w:jc w:val="right"/>
              <w:ind w:right="152"/>
              <w:spacing w:after="0"/>
              <w:rPr>
                <w:sz w:val="20"/>
                <w:szCs w:val="20"/>
                <w:color w:val="auto"/>
              </w:rPr>
            </w:pPr>
            <w:r>
              <w:rPr>
                <w:rFonts w:ascii="Arial" w:cs="Arial" w:eastAsia="Arial" w:hAnsi="Arial"/>
                <w:sz w:val="14"/>
                <w:szCs w:val="14"/>
                <w:b w:val="1"/>
                <w:bCs w:val="1"/>
                <w:color w:val="FFFFFF"/>
              </w:rPr>
              <w:t>Total</w:t>
            </w:r>
          </w:p>
        </w:tc>
      </w:tr>
      <w:tr>
        <w:trPr>
          <w:trHeight w:val="174"/>
        </w:trPr>
        <w:tc>
          <w:tcPr>
            <w:tcW w:w="35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Principal Position</w:t>
            </w:r>
          </w:p>
        </w:tc>
        <w:tc>
          <w:tcPr>
            <w:tcW w:w="6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Year</w:t>
            </w:r>
          </w:p>
        </w:tc>
        <w:tc>
          <w:tcPr>
            <w:tcW w:w="760" w:type="dxa"/>
            <w:vAlign w:val="bottom"/>
            <w:shd w:val="clear" w:color="auto" w:fill="C00000"/>
          </w:tcPr>
          <w:p>
            <w:pPr>
              <w:jc w:val="right"/>
              <w:ind w:right="233"/>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3"/>
              </w:rPr>
              <w:t>($)</w:t>
            </w:r>
          </w:p>
        </w:tc>
        <w:tc>
          <w:tcPr>
            <w:tcW w:w="9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1420" w:type="dxa"/>
            <w:vAlign w:val="bottom"/>
            <w:shd w:val="clear" w:color="auto" w:fill="C00000"/>
          </w:tcPr>
          <w:p>
            <w:pPr>
              <w:jc w:val="center"/>
              <w:ind w:right="13"/>
              <w:spacing w:after="0"/>
              <w:rPr>
                <w:sz w:val="20"/>
                <w:szCs w:val="20"/>
                <w:color w:val="auto"/>
              </w:rPr>
            </w:pPr>
            <w:r>
              <w:rPr>
                <w:rFonts w:ascii="Arial" w:cs="Arial" w:eastAsia="Arial" w:hAnsi="Arial"/>
                <w:sz w:val="14"/>
                <w:szCs w:val="14"/>
                <w:b w:val="1"/>
                <w:bCs w:val="1"/>
                <w:color w:val="FFFFFF"/>
              </w:rPr>
              <w:t>($)</w:t>
            </w:r>
          </w:p>
        </w:tc>
        <w:tc>
          <w:tcPr>
            <w:tcW w:w="1460" w:type="dxa"/>
            <w:vAlign w:val="bottom"/>
            <w:shd w:val="clear" w:color="auto" w:fill="C00000"/>
          </w:tcPr>
          <w:p>
            <w:pPr>
              <w:jc w:val="center"/>
              <w:ind w:right="53"/>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C00000"/>
          </w:tcPr>
          <w:p>
            <w:pPr>
              <w:jc w:val="right"/>
              <w:ind w:right="232"/>
              <w:spacing w:after="0"/>
              <w:rPr>
                <w:sz w:val="20"/>
                <w:szCs w:val="20"/>
                <w:color w:val="auto"/>
              </w:rPr>
            </w:pPr>
            <w:r>
              <w:rPr>
                <w:rFonts w:ascii="Arial" w:cs="Arial" w:eastAsia="Arial" w:hAnsi="Arial"/>
                <w:sz w:val="14"/>
                <w:szCs w:val="14"/>
                <w:b w:val="1"/>
                <w:bCs w:val="1"/>
                <w:color w:val="FFFFFF"/>
              </w:rPr>
              <w:t>($)</w:t>
            </w:r>
          </w:p>
        </w:tc>
      </w:tr>
      <w:tr>
        <w:trPr>
          <w:trHeight w:val="160"/>
        </w:trPr>
        <w:tc>
          <w:tcPr>
            <w:tcW w:w="3520" w:type="dxa"/>
            <w:vAlign w:val="bottom"/>
          </w:tcPr>
          <w:p>
            <w:pPr>
              <w:spacing w:after="0"/>
              <w:rPr>
                <w:sz w:val="20"/>
                <w:szCs w:val="20"/>
                <w:color w:val="auto"/>
              </w:rPr>
            </w:pPr>
            <w:r>
              <w:rPr>
                <w:rFonts w:ascii="Arial" w:cs="Arial" w:eastAsia="Arial" w:hAnsi="Arial"/>
                <w:sz w:val="13"/>
                <w:szCs w:val="13"/>
                <w:color w:val="auto"/>
              </w:rPr>
              <w:t>Richard M. Olson,</w:t>
            </w: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7"/>
        </w:trPr>
        <w:tc>
          <w:tcPr>
            <w:tcW w:w="3520" w:type="dxa"/>
            <w:vAlign w:val="bottom"/>
          </w:tcPr>
          <w:p>
            <w:pPr>
              <w:ind w:left="200"/>
              <w:spacing w:after="0" w:line="148" w:lineRule="exact"/>
              <w:rPr>
                <w:sz w:val="20"/>
                <w:szCs w:val="20"/>
                <w:color w:val="auto"/>
              </w:rPr>
            </w:pPr>
            <w:r>
              <w:rPr>
                <w:rFonts w:ascii="Arial" w:cs="Arial" w:eastAsia="Arial" w:hAnsi="Arial"/>
                <w:sz w:val="13"/>
                <w:szCs w:val="13"/>
                <w:color w:val="auto"/>
              </w:rPr>
              <w:t>Chairman of the Board,</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3520" w:type="dxa"/>
            <w:vAlign w:val="bottom"/>
          </w:tcPr>
          <w:p>
            <w:pPr>
              <w:ind w:left="200"/>
              <w:spacing w:after="0"/>
              <w:rPr>
                <w:sz w:val="20"/>
                <w:szCs w:val="20"/>
                <w:color w:val="auto"/>
              </w:rPr>
            </w:pPr>
            <w:r>
              <w:rPr>
                <w:rFonts w:ascii="Arial" w:cs="Arial" w:eastAsia="Arial" w:hAnsi="Arial"/>
                <w:sz w:val="13"/>
                <w:szCs w:val="13"/>
                <w:color w:val="auto"/>
              </w:rPr>
              <w:t>President and CEO</w:t>
            </w:r>
          </w:p>
        </w:tc>
        <w:tc>
          <w:tcPr>
            <w:tcW w:w="680" w:type="dxa"/>
            <w:vAlign w:val="bottom"/>
          </w:tcPr>
          <w:p>
            <w:pPr>
              <w:jc w:val="center"/>
              <w:spacing w:after="0"/>
              <w:rPr>
                <w:sz w:val="20"/>
                <w:szCs w:val="20"/>
                <w:color w:val="auto"/>
              </w:rPr>
            </w:pPr>
            <w:r>
              <w:rPr>
                <w:rFonts w:ascii="Arial" w:cs="Arial" w:eastAsia="Arial" w:hAnsi="Arial"/>
                <w:sz w:val="13"/>
                <w:szCs w:val="13"/>
                <w:color w:val="auto"/>
              </w:rPr>
              <w:t>2020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871,250</w:t>
            </w:r>
          </w:p>
        </w:tc>
        <w:tc>
          <w:tcPr>
            <w:tcW w:w="800" w:type="dxa"/>
            <w:vAlign w:val="bottom"/>
          </w:tcPr>
          <w:p>
            <w:pPr>
              <w:jc w:val="center"/>
              <w:spacing w:after="0"/>
              <w:rPr>
                <w:sz w:val="20"/>
                <w:szCs w:val="20"/>
                <w:color w:val="auto"/>
              </w:rPr>
            </w:pPr>
            <w:r>
              <w:rPr>
                <w:rFonts w:ascii="Arial" w:cs="Arial" w:eastAsia="Arial" w:hAnsi="Arial"/>
                <w:sz w:val="13"/>
                <w:szCs w:val="13"/>
                <w:color w:val="auto"/>
              </w:rPr>
              <w:t>0</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2,335,366</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2,388,298</w:t>
            </w: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307,094</w:t>
            </w:r>
          </w:p>
        </w:tc>
        <w:tc>
          <w:tcPr>
            <w:tcW w:w="1460" w:type="dxa"/>
            <w:vAlign w:val="bottom"/>
          </w:tcPr>
          <w:p>
            <w:pPr>
              <w:jc w:val="right"/>
              <w:ind w:right="93"/>
              <w:spacing w:after="0"/>
              <w:rPr>
                <w:sz w:val="20"/>
                <w:szCs w:val="20"/>
                <w:color w:val="auto"/>
              </w:rPr>
            </w:pPr>
            <w:r>
              <w:rPr>
                <w:rFonts w:ascii="Arial" w:cs="Arial" w:eastAsia="Arial" w:hAnsi="Arial"/>
                <w:sz w:val="13"/>
                <w:szCs w:val="13"/>
                <w:color w:val="auto"/>
              </w:rPr>
              <w:t>95,349</w:t>
            </w:r>
          </w:p>
        </w:tc>
        <w:tc>
          <w:tcPr>
            <w:tcW w:w="760" w:type="dxa"/>
            <w:vAlign w:val="bottom"/>
          </w:tcPr>
          <w:p>
            <w:pPr>
              <w:jc w:val="right"/>
              <w:spacing w:after="0"/>
              <w:rPr>
                <w:sz w:val="20"/>
                <w:szCs w:val="20"/>
                <w:color w:val="auto"/>
              </w:rPr>
            </w:pPr>
            <w:r>
              <w:rPr>
                <w:rFonts w:ascii="Arial" w:cs="Arial" w:eastAsia="Arial" w:hAnsi="Arial"/>
                <w:sz w:val="13"/>
                <w:szCs w:val="13"/>
                <w:color w:val="auto"/>
              </w:rPr>
              <w:t>5,997,357</w:t>
            </w:r>
          </w:p>
        </w:tc>
      </w:tr>
      <w:tr>
        <w:trPr>
          <w:trHeight w:val="201"/>
        </w:trPr>
        <w:tc>
          <w:tcPr>
            <w:tcW w:w="35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rPr>
              <w:t>2019</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925,000</w:t>
            </w:r>
          </w:p>
        </w:tc>
        <w:tc>
          <w:tcPr>
            <w:tcW w:w="800" w:type="dxa"/>
            <w:vAlign w:val="bottom"/>
          </w:tcPr>
          <w:p>
            <w:pPr>
              <w:jc w:val="center"/>
              <w:spacing w:after="0"/>
              <w:rPr>
                <w:sz w:val="20"/>
                <w:szCs w:val="20"/>
                <w:color w:val="auto"/>
              </w:rPr>
            </w:pPr>
            <w:r>
              <w:rPr>
                <w:rFonts w:ascii="Arial" w:cs="Arial" w:eastAsia="Arial" w:hAnsi="Arial"/>
                <w:sz w:val="13"/>
                <w:szCs w:val="13"/>
                <w:color w:val="auto"/>
              </w:rPr>
              <w:t>0</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1,906,560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1,646,571</w:t>
            </w: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606,939</w:t>
            </w:r>
          </w:p>
        </w:tc>
        <w:tc>
          <w:tcPr>
            <w:tcW w:w="1460" w:type="dxa"/>
            <w:vAlign w:val="bottom"/>
          </w:tcPr>
          <w:p>
            <w:pPr>
              <w:jc w:val="right"/>
              <w:ind w:right="93"/>
              <w:spacing w:after="0"/>
              <w:rPr>
                <w:sz w:val="20"/>
                <w:szCs w:val="20"/>
                <w:color w:val="auto"/>
              </w:rPr>
            </w:pPr>
            <w:r>
              <w:rPr>
                <w:rFonts w:ascii="Arial" w:cs="Arial" w:eastAsia="Arial" w:hAnsi="Arial"/>
                <w:sz w:val="13"/>
                <w:szCs w:val="13"/>
                <w:color w:val="auto"/>
              </w:rPr>
              <w:t>182,363</w:t>
            </w:r>
          </w:p>
        </w:tc>
        <w:tc>
          <w:tcPr>
            <w:tcW w:w="760" w:type="dxa"/>
            <w:vAlign w:val="bottom"/>
          </w:tcPr>
          <w:p>
            <w:pPr>
              <w:jc w:val="right"/>
              <w:spacing w:after="0"/>
              <w:rPr>
                <w:sz w:val="20"/>
                <w:szCs w:val="20"/>
                <w:color w:val="auto"/>
              </w:rPr>
            </w:pPr>
            <w:r>
              <w:rPr>
                <w:rFonts w:ascii="Arial" w:cs="Arial" w:eastAsia="Arial" w:hAnsi="Arial"/>
                <w:sz w:val="13"/>
                <w:szCs w:val="13"/>
                <w:color w:val="auto"/>
              </w:rPr>
              <w:t>5,267,433</w:t>
            </w:r>
          </w:p>
        </w:tc>
      </w:tr>
      <w:tr>
        <w:trPr>
          <w:trHeight w:val="188"/>
        </w:trPr>
        <w:tc>
          <w:tcPr>
            <w:tcW w:w="35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rPr>
              <w:t>2018</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875,000</w:t>
            </w:r>
          </w:p>
        </w:tc>
        <w:tc>
          <w:tcPr>
            <w:tcW w:w="800" w:type="dxa"/>
            <w:vAlign w:val="bottom"/>
          </w:tcPr>
          <w:p>
            <w:pPr>
              <w:jc w:val="center"/>
              <w:spacing w:after="0"/>
              <w:rPr>
                <w:sz w:val="20"/>
                <w:szCs w:val="20"/>
                <w:color w:val="auto"/>
              </w:rPr>
            </w:pPr>
            <w:r>
              <w:rPr>
                <w:rFonts w:ascii="Arial" w:cs="Arial" w:eastAsia="Arial" w:hAnsi="Arial"/>
                <w:sz w:val="13"/>
                <w:szCs w:val="13"/>
                <w:color w:val="auto"/>
              </w:rPr>
              <w:t>0</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1,576,140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1,531,904</w:t>
            </w: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918,803</w:t>
            </w:r>
          </w:p>
        </w:tc>
        <w:tc>
          <w:tcPr>
            <w:tcW w:w="1460" w:type="dxa"/>
            <w:vAlign w:val="bottom"/>
          </w:tcPr>
          <w:p>
            <w:pPr>
              <w:jc w:val="right"/>
              <w:ind w:right="93"/>
              <w:spacing w:after="0"/>
              <w:rPr>
                <w:sz w:val="20"/>
                <w:szCs w:val="20"/>
                <w:color w:val="auto"/>
              </w:rPr>
            </w:pPr>
            <w:r>
              <w:rPr>
                <w:rFonts w:ascii="Arial" w:cs="Arial" w:eastAsia="Arial" w:hAnsi="Arial"/>
                <w:sz w:val="13"/>
                <w:szCs w:val="13"/>
                <w:color w:val="auto"/>
              </w:rPr>
              <w:t>171,279</w:t>
            </w:r>
          </w:p>
        </w:tc>
        <w:tc>
          <w:tcPr>
            <w:tcW w:w="760" w:type="dxa"/>
            <w:vAlign w:val="bottom"/>
          </w:tcPr>
          <w:p>
            <w:pPr>
              <w:jc w:val="right"/>
              <w:spacing w:after="0"/>
              <w:rPr>
                <w:sz w:val="20"/>
                <w:szCs w:val="20"/>
                <w:color w:val="auto"/>
              </w:rPr>
            </w:pPr>
            <w:r>
              <w:rPr>
                <w:rFonts w:ascii="Arial" w:cs="Arial" w:eastAsia="Arial" w:hAnsi="Arial"/>
                <w:sz w:val="13"/>
                <w:szCs w:val="13"/>
                <w:color w:val="auto"/>
              </w:rPr>
              <w:t>5,073,126</w:t>
            </w:r>
          </w:p>
        </w:tc>
      </w:tr>
      <w:tr>
        <w:trPr>
          <w:trHeight w:val="160"/>
        </w:trPr>
        <w:tc>
          <w:tcPr>
            <w:tcW w:w="3520" w:type="dxa"/>
            <w:vAlign w:val="bottom"/>
            <w:shd w:val="clear" w:color="auto" w:fill="D9D9D9"/>
          </w:tcPr>
          <w:p>
            <w:pPr>
              <w:spacing w:after="0"/>
              <w:rPr>
                <w:sz w:val="20"/>
                <w:szCs w:val="20"/>
                <w:color w:val="auto"/>
              </w:rPr>
            </w:pPr>
            <w:r>
              <w:rPr>
                <w:rFonts w:ascii="Arial" w:cs="Arial" w:eastAsia="Arial" w:hAnsi="Arial"/>
                <w:sz w:val="13"/>
                <w:szCs w:val="13"/>
                <w:color w:val="auto"/>
              </w:rPr>
              <w:t>Renee J. Peterson,</w:t>
            </w:r>
          </w:p>
        </w:tc>
        <w:tc>
          <w:tcPr>
            <w:tcW w:w="680" w:type="dxa"/>
            <w:vAlign w:val="bottom"/>
            <w:shd w:val="clear" w:color="auto" w:fill="D9D9D9"/>
          </w:tcPr>
          <w:p>
            <w:pPr>
              <w:spacing w:after="0"/>
              <w:rPr>
                <w:sz w:val="13"/>
                <w:szCs w:val="13"/>
                <w:color w:val="auto"/>
              </w:rPr>
            </w:pPr>
          </w:p>
        </w:tc>
        <w:tc>
          <w:tcPr>
            <w:tcW w:w="760" w:type="dxa"/>
            <w:vAlign w:val="bottom"/>
            <w:shd w:val="clear" w:color="auto" w:fill="D9D9D9"/>
          </w:tcPr>
          <w:p>
            <w:pPr>
              <w:spacing w:after="0"/>
              <w:rPr>
                <w:sz w:val="13"/>
                <w:szCs w:val="13"/>
                <w:color w:val="auto"/>
              </w:rPr>
            </w:pPr>
          </w:p>
        </w:tc>
        <w:tc>
          <w:tcPr>
            <w:tcW w:w="800" w:type="dxa"/>
            <w:vAlign w:val="bottom"/>
            <w:shd w:val="clear" w:color="auto" w:fill="D9D9D9"/>
          </w:tcPr>
          <w:p>
            <w:pPr>
              <w:spacing w:after="0"/>
              <w:rPr>
                <w:sz w:val="13"/>
                <w:szCs w:val="13"/>
                <w:color w:val="auto"/>
              </w:rPr>
            </w:pPr>
          </w:p>
        </w:tc>
        <w:tc>
          <w:tcPr>
            <w:tcW w:w="920" w:type="dxa"/>
            <w:vAlign w:val="bottom"/>
            <w:shd w:val="clear" w:color="auto" w:fill="D9D9D9"/>
          </w:tcPr>
          <w:p>
            <w:pPr>
              <w:spacing w:after="0"/>
              <w:rPr>
                <w:sz w:val="13"/>
                <w:szCs w:val="13"/>
                <w:color w:val="auto"/>
              </w:rPr>
            </w:pPr>
          </w:p>
        </w:tc>
        <w:tc>
          <w:tcPr>
            <w:tcW w:w="920" w:type="dxa"/>
            <w:vAlign w:val="bottom"/>
            <w:shd w:val="clear" w:color="auto" w:fill="D9D9D9"/>
          </w:tcPr>
          <w:p>
            <w:pPr>
              <w:spacing w:after="0"/>
              <w:rPr>
                <w:sz w:val="13"/>
                <w:szCs w:val="13"/>
                <w:color w:val="auto"/>
              </w:rPr>
            </w:pPr>
          </w:p>
        </w:tc>
        <w:tc>
          <w:tcPr>
            <w:tcW w:w="1420" w:type="dxa"/>
            <w:vAlign w:val="bottom"/>
            <w:shd w:val="clear" w:color="auto" w:fill="D9D9D9"/>
          </w:tcPr>
          <w:p>
            <w:pPr>
              <w:spacing w:after="0"/>
              <w:rPr>
                <w:sz w:val="13"/>
                <w:szCs w:val="13"/>
                <w:color w:val="auto"/>
              </w:rPr>
            </w:pPr>
          </w:p>
        </w:tc>
        <w:tc>
          <w:tcPr>
            <w:tcW w:w="1460" w:type="dxa"/>
            <w:vAlign w:val="bottom"/>
            <w:shd w:val="clear" w:color="auto" w:fill="D9D9D9"/>
          </w:tcPr>
          <w:p>
            <w:pPr>
              <w:spacing w:after="0"/>
              <w:rPr>
                <w:sz w:val="13"/>
                <w:szCs w:val="13"/>
                <w:color w:val="auto"/>
              </w:rPr>
            </w:pPr>
          </w:p>
        </w:tc>
        <w:tc>
          <w:tcPr>
            <w:tcW w:w="760" w:type="dxa"/>
            <w:vAlign w:val="bottom"/>
            <w:shd w:val="clear" w:color="auto" w:fill="D9D9D9"/>
          </w:tcPr>
          <w:p>
            <w:pPr>
              <w:spacing w:after="0"/>
              <w:rPr>
                <w:sz w:val="13"/>
                <w:szCs w:val="13"/>
                <w:color w:val="auto"/>
              </w:rPr>
            </w:pPr>
          </w:p>
        </w:tc>
      </w:tr>
      <w:tr>
        <w:trPr>
          <w:trHeight w:val="147"/>
        </w:trPr>
        <w:tc>
          <w:tcPr>
            <w:tcW w:w="3520" w:type="dxa"/>
            <w:vAlign w:val="bottom"/>
            <w:shd w:val="clear" w:color="auto" w:fill="D9D9D9"/>
          </w:tcPr>
          <w:p>
            <w:pPr>
              <w:ind w:left="200"/>
              <w:spacing w:after="0" w:line="148" w:lineRule="exact"/>
              <w:rPr>
                <w:sz w:val="20"/>
                <w:szCs w:val="20"/>
                <w:color w:val="auto"/>
              </w:rPr>
            </w:pPr>
            <w:r>
              <w:rPr>
                <w:rFonts w:ascii="Arial" w:cs="Arial" w:eastAsia="Arial" w:hAnsi="Arial"/>
                <w:sz w:val="13"/>
                <w:szCs w:val="13"/>
                <w:color w:val="auto"/>
              </w:rPr>
              <w:t>VP, Treasurer and</w:t>
            </w:r>
          </w:p>
        </w:tc>
        <w:tc>
          <w:tcPr>
            <w:tcW w:w="680" w:type="dxa"/>
            <w:vAlign w:val="bottom"/>
            <w:shd w:val="clear" w:color="auto" w:fill="D9D9D9"/>
          </w:tcPr>
          <w:p>
            <w:pPr>
              <w:spacing w:after="0"/>
              <w:rPr>
                <w:sz w:val="12"/>
                <w:szCs w:val="12"/>
                <w:color w:val="auto"/>
              </w:rPr>
            </w:pPr>
          </w:p>
        </w:tc>
        <w:tc>
          <w:tcPr>
            <w:tcW w:w="760" w:type="dxa"/>
            <w:vAlign w:val="bottom"/>
            <w:shd w:val="clear" w:color="auto" w:fill="D9D9D9"/>
          </w:tcPr>
          <w:p>
            <w:pPr>
              <w:spacing w:after="0"/>
              <w:rPr>
                <w:sz w:val="12"/>
                <w:szCs w:val="12"/>
                <w:color w:val="auto"/>
              </w:rPr>
            </w:pPr>
          </w:p>
        </w:tc>
        <w:tc>
          <w:tcPr>
            <w:tcW w:w="800" w:type="dxa"/>
            <w:vAlign w:val="bottom"/>
            <w:shd w:val="clear" w:color="auto" w:fill="D9D9D9"/>
          </w:tcPr>
          <w:p>
            <w:pPr>
              <w:spacing w:after="0"/>
              <w:rPr>
                <w:sz w:val="12"/>
                <w:szCs w:val="12"/>
                <w:color w:val="auto"/>
              </w:rPr>
            </w:pPr>
          </w:p>
        </w:tc>
        <w:tc>
          <w:tcPr>
            <w:tcW w:w="920" w:type="dxa"/>
            <w:vAlign w:val="bottom"/>
            <w:shd w:val="clear" w:color="auto" w:fill="D9D9D9"/>
          </w:tcPr>
          <w:p>
            <w:pPr>
              <w:spacing w:after="0"/>
              <w:rPr>
                <w:sz w:val="12"/>
                <w:szCs w:val="12"/>
                <w:color w:val="auto"/>
              </w:rPr>
            </w:pPr>
          </w:p>
        </w:tc>
        <w:tc>
          <w:tcPr>
            <w:tcW w:w="920" w:type="dxa"/>
            <w:vAlign w:val="bottom"/>
            <w:shd w:val="clear" w:color="auto" w:fill="D9D9D9"/>
          </w:tcPr>
          <w:p>
            <w:pPr>
              <w:spacing w:after="0"/>
              <w:rPr>
                <w:sz w:val="12"/>
                <w:szCs w:val="12"/>
                <w:color w:val="auto"/>
              </w:rPr>
            </w:pPr>
          </w:p>
        </w:tc>
        <w:tc>
          <w:tcPr>
            <w:tcW w:w="1420" w:type="dxa"/>
            <w:vAlign w:val="bottom"/>
            <w:shd w:val="clear" w:color="auto" w:fill="D9D9D9"/>
          </w:tcPr>
          <w:p>
            <w:pPr>
              <w:spacing w:after="0"/>
              <w:rPr>
                <w:sz w:val="12"/>
                <w:szCs w:val="12"/>
                <w:color w:val="auto"/>
              </w:rPr>
            </w:pPr>
          </w:p>
        </w:tc>
        <w:tc>
          <w:tcPr>
            <w:tcW w:w="1460" w:type="dxa"/>
            <w:vAlign w:val="bottom"/>
            <w:shd w:val="clear" w:color="auto" w:fill="D9D9D9"/>
          </w:tcPr>
          <w:p>
            <w:pPr>
              <w:spacing w:after="0"/>
              <w:rPr>
                <w:sz w:val="12"/>
                <w:szCs w:val="12"/>
                <w:color w:val="auto"/>
              </w:rPr>
            </w:pPr>
          </w:p>
        </w:tc>
        <w:tc>
          <w:tcPr>
            <w:tcW w:w="760" w:type="dxa"/>
            <w:vAlign w:val="bottom"/>
            <w:shd w:val="clear" w:color="auto" w:fill="D9D9D9"/>
          </w:tcPr>
          <w:p>
            <w:pPr>
              <w:spacing w:after="0"/>
              <w:rPr>
                <w:sz w:val="12"/>
                <w:szCs w:val="12"/>
                <w:color w:val="auto"/>
              </w:rPr>
            </w:pPr>
          </w:p>
        </w:tc>
      </w:tr>
      <w:tr>
        <w:trPr>
          <w:trHeight w:val="148"/>
        </w:trPr>
        <w:tc>
          <w:tcPr>
            <w:tcW w:w="3520" w:type="dxa"/>
            <w:vAlign w:val="bottom"/>
            <w:shd w:val="clear" w:color="auto" w:fill="D9D9D9"/>
          </w:tcPr>
          <w:p>
            <w:pPr>
              <w:ind w:left="200"/>
              <w:spacing w:after="0" w:line="148" w:lineRule="exact"/>
              <w:rPr>
                <w:sz w:val="20"/>
                <w:szCs w:val="20"/>
                <w:color w:val="auto"/>
              </w:rPr>
            </w:pPr>
            <w:r>
              <w:rPr>
                <w:rFonts w:ascii="Arial" w:cs="Arial" w:eastAsia="Arial" w:hAnsi="Arial"/>
                <w:sz w:val="13"/>
                <w:szCs w:val="13"/>
                <w:color w:val="auto"/>
              </w:rPr>
              <w:t>CFO</w:t>
            </w:r>
          </w:p>
        </w:tc>
        <w:tc>
          <w:tcPr>
            <w:tcW w:w="680" w:type="dxa"/>
            <w:vAlign w:val="bottom"/>
            <w:shd w:val="clear" w:color="auto" w:fill="D9D9D9"/>
          </w:tcPr>
          <w:p>
            <w:pPr>
              <w:jc w:val="center"/>
              <w:spacing w:after="0" w:line="148" w:lineRule="exact"/>
              <w:rPr>
                <w:sz w:val="20"/>
                <w:szCs w:val="20"/>
                <w:color w:val="auto"/>
              </w:rPr>
            </w:pPr>
            <w:r>
              <w:rPr>
                <w:rFonts w:ascii="Arial" w:cs="Arial" w:eastAsia="Arial" w:hAnsi="Arial"/>
                <w:sz w:val="13"/>
                <w:szCs w:val="13"/>
                <w:color w:val="auto"/>
              </w:rPr>
              <w:t>2020</w:t>
            </w:r>
          </w:p>
        </w:tc>
        <w:tc>
          <w:tcPr>
            <w:tcW w:w="760" w:type="dxa"/>
            <w:vAlign w:val="bottom"/>
            <w:shd w:val="clear" w:color="auto" w:fill="D9D9D9"/>
          </w:tcPr>
          <w:p>
            <w:pPr>
              <w:jc w:val="right"/>
              <w:ind w:right="13"/>
              <w:spacing w:after="0" w:line="148" w:lineRule="exact"/>
              <w:rPr>
                <w:sz w:val="20"/>
                <w:szCs w:val="20"/>
                <w:color w:val="auto"/>
              </w:rPr>
            </w:pPr>
            <w:r>
              <w:rPr>
                <w:rFonts w:ascii="Arial" w:cs="Arial" w:eastAsia="Arial" w:hAnsi="Arial"/>
                <w:sz w:val="13"/>
                <w:szCs w:val="13"/>
                <w:color w:val="auto"/>
              </w:rPr>
              <w:t>496,800</w:t>
            </w:r>
          </w:p>
        </w:tc>
        <w:tc>
          <w:tcPr>
            <w:tcW w:w="800" w:type="dxa"/>
            <w:vAlign w:val="bottom"/>
            <w:shd w:val="clear" w:color="auto" w:fill="D9D9D9"/>
          </w:tcPr>
          <w:p>
            <w:pPr>
              <w:jc w:val="center"/>
              <w:spacing w:after="0" w:line="148" w:lineRule="exact"/>
              <w:rPr>
                <w:sz w:val="20"/>
                <w:szCs w:val="20"/>
                <w:color w:val="auto"/>
              </w:rPr>
            </w:pPr>
            <w:r>
              <w:rPr>
                <w:rFonts w:ascii="Arial" w:cs="Arial" w:eastAsia="Arial" w:hAnsi="Arial"/>
                <w:sz w:val="13"/>
                <w:szCs w:val="13"/>
                <w:color w:val="auto"/>
              </w:rPr>
              <w:t>0</w:t>
            </w:r>
          </w:p>
        </w:tc>
        <w:tc>
          <w:tcPr>
            <w:tcW w:w="920" w:type="dxa"/>
            <w:vAlign w:val="bottom"/>
            <w:shd w:val="clear" w:color="auto" w:fill="D9D9D9"/>
          </w:tcPr>
          <w:p>
            <w:pPr>
              <w:jc w:val="right"/>
              <w:ind w:right="33"/>
              <w:spacing w:after="0" w:line="148" w:lineRule="exact"/>
              <w:rPr>
                <w:sz w:val="20"/>
                <w:szCs w:val="20"/>
                <w:color w:val="auto"/>
              </w:rPr>
            </w:pPr>
            <w:r>
              <w:rPr>
                <w:rFonts w:ascii="Arial" w:cs="Arial" w:eastAsia="Arial" w:hAnsi="Arial"/>
                <w:sz w:val="13"/>
                <w:szCs w:val="13"/>
                <w:color w:val="auto"/>
              </w:rPr>
              <w:t>518,111</w:t>
            </w:r>
          </w:p>
        </w:tc>
        <w:tc>
          <w:tcPr>
            <w:tcW w:w="920" w:type="dxa"/>
            <w:vAlign w:val="bottom"/>
            <w:shd w:val="clear" w:color="auto" w:fill="D9D9D9"/>
          </w:tcPr>
          <w:p>
            <w:pPr>
              <w:jc w:val="right"/>
              <w:ind w:right="53"/>
              <w:spacing w:after="0" w:line="148" w:lineRule="exact"/>
              <w:rPr>
                <w:sz w:val="20"/>
                <w:szCs w:val="20"/>
                <w:color w:val="auto"/>
              </w:rPr>
            </w:pPr>
            <w:r>
              <w:rPr>
                <w:rFonts w:ascii="Arial" w:cs="Arial" w:eastAsia="Arial" w:hAnsi="Arial"/>
                <w:sz w:val="13"/>
                <w:szCs w:val="13"/>
                <w:color w:val="auto"/>
              </w:rPr>
              <w:t>529,518</w:t>
            </w:r>
          </w:p>
        </w:tc>
        <w:tc>
          <w:tcPr>
            <w:tcW w:w="1420" w:type="dxa"/>
            <w:vAlign w:val="bottom"/>
            <w:shd w:val="clear" w:color="auto" w:fill="D9D9D9"/>
          </w:tcPr>
          <w:p>
            <w:pPr>
              <w:jc w:val="right"/>
              <w:ind w:right="53"/>
              <w:spacing w:after="0" w:line="148" w:lineRule="exact"/>
              <w:rPr>
                <w:sz w:val="20"/>
                <w:szCs w:val="20"/>
                <w:color w:val="auto"/>
              </w:rPr>
            </w:pPr>
            <w:r>
              <w:rPr>
                <w:rFonts w:ascii="Arial" w:cs="Arial" w:eastAsia="Arial" w:hAnsi="Arial"/>
                <w:sz w:val="13"/>
                <w:szCs w:val="13"/>
                <w:color w:val="auto"/>
              </w:rPr>
              <w:t>114,202</w:t>
            </w:r>
          </w:p>
        </w:tc>
        <w:tc>
          <w:tcPr>
            <w:tcW w:w="1460" w:type="dxa"/>
            <w:vAlign w:val="bottom"/>
            <w:shd w:val="clear" w:color="auto" w:fill="D9D9D9"/>
          </w:tcPr>
          <w:p>
            <w:pPr>
              <w:jc w:val="right"/>
              <w:ind w:right="93"/>
              <w:spacing w:after="0" w:line="148" w:lineRule="exact"/>
              <w:rPr>
                <w:sz w:val="20"/>
                <w:szCs w:val="20"/>
                <w:color w:val="auto"/>
              </w:rPr>
            </w:pPr>
            <w:r>
              <w:rPr>
                <w:rFonts w:ascii="Arial" w:cs="Arial" w:eastAsia="Arial" w:hAnsi="Arial"/>
                <w:sz w:val="13"/>
                <w:szCs w:val="13"/>
                <w:color w:val="auto"/>
              </w:rPr>
              <w:t>73,211</w:t>
            </w:r>
          </w:p>
        </w:tc>
        <w:tc>
          <w:tcPr>
            <w:tcW w:w="760" w:type="dxa"/>
            <w:vAlign w:val="bottom"/>
            <w:shd w:val="clear" w:color="auto" w:fill="D9D9D9"/>
          </w:tcPr>
          <w:p>
            <w:pPr>
              <w:jc w:val="right"/>
              <w:spacing w:after="0" w:line="148" w:lineRule="exact"/>
              <w:rPr>
                <w:sz w:val="20"/>
                <w:szCs w:val="20"/>
                <w:color w:val="auto"/>
              </w:rPr>
            </w:pPr>
            <w:r>
              <w:rPr>
                <w:rFonts w:ascii="Arial" w:cs="Arial" w:eastAsia="Arial" w:hAnsi="Arial"/>
                <w:sz w:val="13"/>
                <w:szCs w:val="13"/>
                <w:color w:val="auto"/>
              </w:rPr>
              <w:t>1,731,842</w:t>
            </w:r>
          </w:p>
        </w:tc>
      </w:tr>
      <w:tr>
        <w:trPr>
          <w:trHeight w:val="201"/>
        </w:trPr>
        <w:tc>
          <w:tcPr>
            <w:tcW w:w="3520" w:type="dxa"/>
            <w:vAlign w:val="bottom"/>
            <w:shd w:val="clear" w:color="auto" w:fill="D9D9D9"/>
          </w:tcPr>
          <w:p>
            <w:pPr>
              <w:spacing w:after="0"/>
              <w:rPr>
                <w:sz w:val="17"/>
                <w:szCs w:val="17"/>
                <w:color w:val="auto"/>
              </w:rPr>
            </w:pPr>
          </w:p>
        </w:tc>
        <w:tc>
          <w:tcPr>
            <w:tcW w:w="68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2019</w:t>
            </w:r>
          </w:p>
        </w:tc>
        <w:tc>
          <w:tcPr>
            <w:tcW w:w="760" w:type="dxa"/>
            <w:vAlign w:val="bottom"/>
            <w:shd w:val="clear" w:color="auto" w:fill="D9D9D9"/>
          </w:tcPr>
          <w:p>
            <w:pPr>
              <w:jc w:val="right"/>
              <w:ind w:right="13"/>
              <w:spacing w:after="0"/>
              <w:rPr>
                <w:sz w:val="20"/>
                <w:szCs w:val="20"/>
                <w:color w:val="auto"/>
              </w:rPr>
            </w:pPr>
            <w:r>
              <w:rPr>
                <w:rFonts w:ascii="Arial" w:cs="Arial" w:eastAsia="Arial" w:hAnsi="Arial"/>
                <w:sz w:val="13"/>
                <w:szCs w:val="13"/>
                <w:color w:val="auto"/>
              </w:rPr>
              <w:t>535,500</w:t>
            </w:r>
          </w:p>
        </w:tc>
        <w:tc>
          <w:tcPr>
            <w:tcW w:w="80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0</w:t>
            </w:r>
          </w:p>
        </w:tc>
        <w:tc>
          <w:tcPr>
            <w:tcW w:w="920" w:type="dxa"/>
            <w:vAlign w:val="bottom"/>
            <w:shd w:val="clear" w:color="auto" w:fill="D9D9D9"/>
          </w:tcPr>
          <w:p>
            <w:pPr>
              <w:jc w:val="right"/>
              <w:ind w:right="33"/>
              <w:spacing w:after="0"/>
              <w:rPr>
                <w:sz w:val="20"/>
                <w:szCs w:val="20"/>
                <w:color w:val="auto"/>
              </w:rPr>
            </w:pPr>
            <w:r>
              <w:rPr>
                <w:rFonts w:ascii="Arial" w:cs="Arial" w:eastAsia="Arial" w:hAnsi="Arial"/>
                <w:sz w:val="13"/>
                <w:szCs w:val="13"/>
                <w:color w:val="auto"/>
              </w:rPr>
              <w:t>464,724</w:t>
            </w:r>
          </w:p>
        </w:tc>
        <w:tc>
          <w:tcPr>
            <w:tcW w:w="92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401,134</w:t>
            </w:r>
          </w:p>
        </w:tc>
        <w:tc>
          <w:tcPr>
            <w:tcW w:w="142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239,569</w:t>
            </w:r>
          </w:p>
        </w:tc>
        <w:tc>
          <w:tcPr>
            <w:tcW w:w="1460" w:type="dxa"/>
            <w:vAlign w:val="bottom"/>
            <w:shd w:val="clear" w:color="auto" w:fill="D9D9D9"/>
          </w:tcPr>
          <w:p>
            <w:pPr>
              <w:jc w:val="right"/>
              <w:ind w:right="93"/>
              <w:spacing w:after="0"/>
              <w:rPr>
                <w:sz w:val="20"/>
                <w:szCs w:val="20"/>
                <w:color w:val="auto"/>
              </w:rPr>
            </w:pPr>
            <w:r>
              <w:rPr>
                <w:rFonts w:ascii="Arial" w:cs="Arial" w:eastAsia="Arial" w:hAnsi="Arial"/>
                <w:sz w:val="13"/>
                <w:szCs w:val="13"/>
                <w:color w:val="auto"/>
              </w:rPr>
              <w:t>114,944</w:t>
            </w:r>
          </w:p>
        </w:tc>
        <w:tc>
          <w:tcPr>
            <w:tcW w:w="7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1,755,871</w:t>
            </w:r>
          </w:p>
        </w:tc>
      </w:tr>
      <w:tr>
        <w:trPr>
          <w:trHeight w:val="201"/>
        </w:trPr>
        <w:tc>
          <w:tcPr>
            <w:tcW w:w="3520" w:type="dxa"/>
            <w:vAlign w:val="bottom"/>
            <w:shd w:val="clear" w:color="auto" w:fill="D9D9D9"/>
          </w:tcPr>
          <w:p>
            <w:pPr>
              <w:spacing w:after="0"/>
              <w:rPr>
                <w:sz w:val="17"/>
                <w:szCs w:val="17"/>
                <w:color w:val="auto"/>
              </w:rPr>
            </w:pPr>
          </w:p>
        </w:tc>
        <w:tc>
          <w:tcPr>
            <w:tcW w:w="68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2018</w:t>
            </w:r>
          </w:p>
        </w:tc>
        <w:tc>
          <w:tcPr>
            <w:tcW w:w="760" w:type="dxa"/>
            <w:vAlign w:val="bottom"/>
            <w:shd w:val="clear" w:color="auto" w:fill="D9D9D9"/>
          </w:tcPr>
          <w:p>
            <w:pPr>
              <w:jc w:val="right"/>
              <w:ind w:right="13"/>
              <w:spacing w:after="0"/>
              <w:rPr>
                <w:sz w:val="20"/>
                <w:szCs w:val="20"/>
                <w:color w:val="auto"/>
              </w:rPr>
            </w:pPr>
            <w:r>
              <w:rPr>
                <w:rFonts w:ascii="Arial" w:cs="Arial" w:eastAsia="Arial" w:hAnsi="Arial"/>
                <w:sz w:val="13"/>
                <w:szCs w:val="13"/>
                <w:color w:val="auto"/>
              </w:rPr>
              <w:t>520,000</w:t>
            </w:r>
          </w:p>
        </w:tc>
        <w:tc>
          <w:tcPr>
            <w:tcW w:w="80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0</w:t>
            </w:r>
          </w:p>
        </w:tc>
        <w:tc>
          <w:tcPr>
            <w:tcW w:w="920" w:type="dxa"/>
            <w:vAlign w:val="bottom"/>
            <w:shd w:val="clear" w:color="auto" w:fill="D9D9D9"/>
          </w:tcPr>
          <w:p>
            <w:pPr>
              <w:jc w:val="right"/>
              <w:ind w:right="33"/>
              <w:spacing w:after="0"/>
              <w:rPr>
                <w:sz w:val="20"/>
                <w:szCs w:val="20"/>
                <w:color w:val="auto"/>
              </w:rPr>
            </w:pPr>
            <w:r>
              <w:rPr>
                <w:rFonts w:ascii="Arial" w:cs="Arial" w:eastAsia="Arial" w:hAnsi="Arial"/>
                <w:sz w:val="13"/>
                <w:szCs w:val="13"/>
                <w:color w:val="auto"/>
              </w:rPr>
              <w:t>438,180</w:t>
            </w:r>
          </w:p>
        </w:tc>
        <w:tc>
          <w:tcPr>
            <w:tcW w:w="92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424,864</w:t>
            </w:r>
          </w:p>
        </w:tc>
        <w:tc>
          <w:tcPr>
            <w:tcW w:w="142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372,294</w:t>
            </w:r>
          </w:p>
        </w:tc>
        <w:tc>
          <w:tcPr>
            <w:tcW w:w="1460" w:type="dxa"/>
            <w:vAlign w:val="bottom"/>
            <w:shd w:val="clear" w:color="auto" w:fill="D9D9D9"/>
          </w:tcPr>
          <w:p>
            <w:pPr>
              <w:jc w:val="right"/>
              <w:ind w:right="93"/>
              <w:spacing w:after="0"/>
              <w:rPr>
                <w:sz w:val="20"/>
                <w:szCs w:val="20"/>
                <w:color w:val="auto"/>
              </w:rPr>
            </w:pPr>
            <w:r>
              <w:rPr>
                <w:rFonts w:ascii="Arial" w:cs="Arial" w:eastAsia="Arial" w:hAnsi="Arial"/>
                <w:sz w:val="13"/>
                <w:szCs w:val="13"/>
                <w:color w:val="auto"/>
              </w:rPr>
              <w:t>113,540</w:t>
            </w:r>
          </w:p>
        </w:tc>
        <w:tc>
          <w:tcPr>
            <w:tcW w:w="7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1,868,878</w:t>
            </w:r>
          </w:p>
        </w:tc>
      </w:tr>
      <w:tr>
        <w:trPr>
          <w:trHeight w:val="160"/>
        </w:trPr>
        <w:tc>
          <w:tcPr>
            <w:tcW w:w="3520" w:type="dxa"/>
            <w:vAlign w:val="bottom"/>
          </w:tcPr>
          <w:p>
            <w:pPr>
              <w:spacing w:after="0"/>
              <w:rPr>
                <w:sz w:val="20"/>
                <w:szCs w:val="20"/>
                <w:color w:val="auto"/>
              </w:rPr>
            </w:pPr>
            <w:r>
              <w:rPr>
                <w:rFonts w:ascii="Arial" w:cs="Arial" w:eastAsia="Arial" w:hAnsi="Arial"/>
                <w:sz w:val="13"/>
                <w:szCs w:val="13"/>
                <w:color w:val="auto"/>
              </w:rPr>
              <w:t>Richard W. Rodier</w:t>
            </w:r>
            <w:r>
              <w:rPr>
                <w:rFonts w:ascii="Arial" w:cs="Arial" w:eastAsia="Arial" w:hAnsi="Arial"/>
                <w:sz w:val="11"/>
                <w:szCs w:val="11"/>
                <w:color w:val="auto"/>
              </w:rPr>
              <w:t>(7)</w:t>
            </w:r>
            <w:r>
              <w:rPr>
                <w:rFonts w:ascii="Arial" w:cs="Arial" w:eastAsia="Arial" w:hAnsi="Arial"/>
                <w:sz w:val="13"/>
                <w:szCs w:val="13"/>
                <w:color w:val="auto"/>
              </w:rPr>
              <w:t>,</w:t>
            </w: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7"/>
        </w:trPr>
        <w:tc>
          <w:tcPr>
            <w:tcW w:w="3520" w:type="dxa"/>
            <w:vAlign w:val="bottom"/>
          </w:tcPr>
          <w:p>
            <w:pPr>
              <w:ind w:left="200"/>
              <w:spacing w:after="0" w:line="148" w:lineRule="exact"/>
              <w:rPr>
                <w:sz w:val="20"/>
                <w:szCs w:val="20"/>
                <w:color w:val="auto"/>
              </w:rPr>
            </w:pPr>
            <w:r>
              <w:rPr>
                <w:rFonts w:ascii="Arial" w:cs="Arial" w:eastAsia="Arial" w:hAnsi="Arial"/>
                <w:sz w:val="13"/>
                <w:szCs w:val="13"/>
                <w:color w:val="auto"/>
              </w:rPr>
              <w:t>Group VP, Construction, Contractor and</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3520" w:type="dxa"/>
            <w:vAlign w:val="bottom"/>
          </w:tcPr>
          <w:p>
            <w:pPr>
              <w:ind w:left="260"/>
              <w:spacing w:after="0"/>
              <w:rPr>
                <w:sz w:val="20"/>
                <w:szCs w:val="20"/>
                <w:color w:val="auto"/>
              </w:rPr>
            </w:pPr>
            <w:r>
              <w:rPr>
                <w:rFonts w:ascii="Arial" w:cs="Arial" w:eastAsia="Arial" w:hAnsi="Arial"/>
                <w:sz w:val="13"/>
                <w:szCs w:val="13"/>
                <w:color w:val="auto"/>
              </w:rPr>
              <w:t>Residential Businesses</w:t>
            </w:r>
          </w:p>
        </w:tc>
        <w:tc>
          <w:tcPr>
            <w:tcW w:w="680" w:type="dxa"/>
            <w:vAlign w:val="bottom"/>
          </w:tcPr>
          <w:p>
            <w:pPr>
              <w:jc w:val="center"/>
              <w:spacing w:after="0"/>
              <w:rPr>
                <w:sz w:val="20"/>
                <w:szCs w:val="20"/>
                <w:color w:val="auto"/>
              </w:rPr>
            </w:pPr>
            <w:r>
              <w:rPr>
                <w:rFonts w:ascii="Arial" w:cs="Arial" w:eastAsia="Arial" w:hAnsi="Arial"/>
                <w:sz w:val="13"/>
                <w:szCs w:val="13"/>
                <w:color w:val="auto"/>
              </w:rPr>
              <w:t>2020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399,333</w:t>
            </w:r>
          </w:p>
        </w:tc>
        <w:tc>
          <w:tcPr>
            <w:tcW w:w="800" w:type="dxa"/>
            <w:vAlign w:val="bottom"/>
          </w:tcPr>
          <w:p>
            <w:pPr>
              <w:jc w:val="center"/>
              <w:spacing w:after="0"/>
              <w:rPr>
                <w:sz w:val="20"/>
                <w:szCs w:val="20"/>
                <w:color w:val="auto"/>
              </w:rPr>
            </w:pPr>
            <w:r>
              <w:rPr>
                <w:rFonts w:ascii="Arial" w:cs="Arial" w:eastAsia="Arial" w:hAnsi="Arial"/>
                <w:sz w:val="13"/>
                <w:szCs w:val="13"/>
                <w:color w:val="auto"/>
              </w:rPr>
              <w:t>0</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383,620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604,329</w:t>
            </w: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79,057</w:t>
            </w:r>
          </w:p>
        </w:tc>
        <w:tc>
          <w:tcPr>
            <w:tcW w:w="1460" w:type="dxa"/>
            <w:vAlign w:val="bottom"/>
          </w:tcPr>
          <w:p>
            <w:pPr>
              <w:jc w:val="right"/>
              <w:ind w:right="93"/>
              <w:spacing w:after="0"/>
              <w:rPr>
                <w:sz w:val="20"/>
                <w:szCs w:val="20"/>
                <w:color w:val="auto"/>
              </w:rPr>
            </w:pPr>
            <w:r>
              <w:rPr>
                <w:rFonts w:ascii="Arial" w:cs="Arial" w:eastAsia="Arial" w:hAnsi="Arial"/>
                <w:sz w:val="13"/>
                <w:szCs w:val="13"/>
                <w:color w:val="auto"/>
              </w:rPr>
              <w:t>64,158</w:t>
            </w:r>
          </w:p>
        </w:tc>
        <w:tc>
          <w:tcPr>
            <w:tcW w:w="760" w:type="dxa"/>
            <w:vAlign w:val="bottom"/>
          </w:tcPr>
          <w:p>
            <w:pPr>
              <w:jc w:val="right"/>
              <w:spacing w:after="0"/>
              <w:rPr>
                <w:sz w:val="20"/>
                <w:szCs w:val="20"/>
                <w:color w:val="auto"/>
              </w:rPr>
            </w:pPr>
            <w:r>
              <w:rPr>
                <w:rFonts w:ascii="Arial" w:cs="Arial" w:eastAsia="Arial" w:hAnsi="Arial"/>
                <w:sz w:val="13"/>
                <w:szCs w:val="13"/>
                <w:color w:val="auto"/>
              </w:rPr>
              <w:t>1,530,497</w:t>
            </w:r>
          </w:p>
        </w:tc>
      </w:tr>
      <w:tr>
        <w:trPr>
          <w:trHeight w:val="228"/>
        </w:trPr>
        <w:tc>
          <w:tcPr>
            <w:tcW w:w="35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rPr>
              <w:t>2019</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351,667</w:t>
            </w:r>
          </w:p>
        </w:tc>
        <w:tc>
          <w:tcPr>
            <w:tcW w:w="800" w:type="dxa"/>
            <w:vAlign w:val="bottom"/>
          </w:tcPr>
          <w:p>
            <w:pPr>
              <w:jc w:val="center"/>
              <w:spacing w:after="0"/>
              <w:rPr>
                <w:sz w:val="20"/>
                <w:szCs w:val="20"/>
                <w:color w:val="auto"/>
              </w:rPr>
            </w:pPr>
            <w:r>
              <w:rPr>
                <w:rFonts w:ascii="Arial" w:cs="Arial" w:eastAsia="Arial" w:hAnsi="Arial"/>
                <w:sz w:val="13"/>
                <w:szCs w:val="13"/>
                <w:color w:val="auto"/>
              </w:rPr>
              <w:t>0</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391,461</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108,090</w:t>
            </w: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130,608</w:t>
            </w:r>
          </w:p>
        </w:tc>
        <w:tc>
          <w:tcPr>
            <w:tcW w:w="1460" w:type="dxa"/>
            <w:vAlign w:val="bottom"/>
          </w:tcPr>
          <w:p>
            <w:pPr>
              <w:jc w:val="right"/>
              <w:ind w:right="93"/>
              <w:spacing w:after="0"/>
              <w:rPr>
                <w:sz w:val="20"/>
                <w:szCs w:val="20"/>
                <w:color w:val="auto"/>
              </w:rPr>
            </w:pPr>
            <w:r>
              <w:rPr>
                <w:rFonts w:ascii="Arial" w:cs="Arial" w:eastAsia="Arial" w:hAnsi="Arial"/>
                <w:sz w:val="13"/>
                <w:szCs w:val="13"/>
                <w:color w:val="auto"/>
              </w:rPr>
              <w:t>74,866</w:t>
            </w:r>
          </w:p>
        </w:tc>
        <w:tc>
          <w:tcPr>
            <w:tcW w:w="760" w:type="dxa"/>
            <w:vAlign w:val="bottom"/>
          </w:tcPr>
          <w:p>
            <w:pPr>
              <w:jc w:val="right"/>
              <w:spacing w:after="0"/>
              <w:rPr>
                <w:sz w:val="20"/>
                <w:szCs w:val="20"/>
                <w:color w:val="auto"/>
              </w:rPr>
            </w:pPr>
            <w:r>
              <w:rPr>
                <w:rFonts w:ascii="Arial" w:cs="Arial" w:eastAsia="Arial" w:hAnsi="Arial"/>
                <w:sz w:val="13"/>
                <w:szCs w:val="13"/>
                <w:color w:val="auto"/>
              </w:rPr>
              <w:t>1,056,692</w:t>
            </w:r>
          </w:p>
        </w:tc>
      </w:tr>
      <w:tr>
        <w:trPr>
          <w:trHeight w:val="215"/>
        </w:trPr>
        <w:tc>
          <w:tcPr>
            <w:tcW w:w="3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60"/>
        </w:trPr>
        <w:tc>
          <w:tcPr>
            <w:tcW w:w="3520" w:type="dxa"/>
            <w:vAlign w:val="bottom"/>
            <w:shd w:val="clear" w:color="auto" w:fill="D9D9D9"/>
          </w:tcPr>
          <w:p>
            <w:pPr>
              <w:spacing w:after="0"/>
              <w:rPr>
                <w:sz w:val="20"/>
                <w:szCs w:val="20"/>
                <w:color w:val="auto"/>
              </w:rPr>
            </w:pPr>
            <w:r>
              <w:rPr>
                <w:rFonts w:ascii="Arial" w:cs="Arial" w:eastAsia="Arial" w:hAnsi="Arial"/>
                <w:sz w:val="13"/>
                <w:szCs w:val="13"/>
                <w:color w:val="auto"/>
              </w:rPr>
              <w:t>Bradley A. Hamilton,</w:t>
            </w:r>
          </w:p>
        </w:tc>
        <w:tc>
          <w:tcPr>
            <w:tcW w:w="680" w:type="dxa"/>
            <w:vAlign w:val="bottom"/>
            <w:shd w:val="clear" w:color="auto" w:fill="D9D9D9"/>
          </w:tcPr>
          <w:p>
            <w:pPr>
              <w:spacing w:after="0"/>
              <w:rPr>
                <w:sz w:val="13"/>
                <w:szCs w:val="13"/>
                <w:color w:val="auto"/>
              </w:rPr>
            </w:pPr>
          </w:p>
        </w:tc>
        <w:tc>
          <w:tcPr>
            <w:tcW w:w="760" w:type="dxa"/>
            <w:vAlign w:val="bottom"/>
            <w:shd w:val="clear" w:color="auto" w:fill="D9D9D9"/>
          </w:tcPr>
          <w:p>
            <w:pPr>
              <w:spacing w:after="0"/>
              <w:rPr>
                <w:sz w:val="13"/>
                <w:szCs w:val="13"/>
                <w:color w:val="auto"/>
              </w:rPr>
            </w:pPr>
          </w:p>
        </w:tc>
        <w:tc>
          <w:tcPr>
            <w:tcW w:w="800" w:type="dxa"/>
            <w:vAlign w:val="bottom"/>
            <w:shd w:val="clear" w:color="auto" w:fill="D9D9D9"/>
          </w:tcPr>
          <w:p>
            <w:pPr>
              <w:spacing w:after="0"/>
              <w:rPr>
                <w:sz w:val="13"/>
                <w:szCs w:val="13"/>
                <w:color w:val="auto"/>
              </w:rPr>
            </w:pPr>
          </w:p>
        </w:tc>
        <w:tc>
          <w:tcPr>
            <w:tcW w:w="920" w:type="dxa"/>
            <w:vAlign w:val="bottom"/>
            <w:shd w:val="clear" w:color="auto" w:fill="D9D9D9"/>
          </w:tcPr>
          <w:p>
            <w:pPr>
              <w:spacing w:after="0"/>
              <w:rPr>
                <w:sz w:val="13"/>
                <w:szCs w:val="13"/>
                <w:color w:val="auto"/>
              </w:rPr>
            </w:pPr>
          </w:p>
        </w:tc>
        <w:tc>
          <w:tcPr>
            <w:tcW w:w="920" w:type="dxa"/>
            <w:vAlign w:val="bottom"/>
            <w:shd w:val="clear" w:color="auto" w:fill="D9D9D9"/>
          </w:tcPr>
          <w:p>
            <w:pPr>
              <w:spacing w:after="0"/>
              <w:rPr>
                <w:sz w:val="13"/>
                <w:szCs w:val="13"/>
                <w:color w:val="auto"/>
              </w:rPr>
            </w:pPr>
          </w:p>
        </w:tc>
        <w:tc>
          <w:tcPr>
            <w:tcW w:w="1420" w:type="dxa"/>
            <w:vAlign w:val="bottom"/>
            <w:shd w:val="clear" w:color="auto" w:fill="D9D9D9"/>
          </w:tcPr>
          <w:p>
            <w:pPr>
              <w:spacing w:after="0"/>
              <w:rPr>
                <w:sz w:val="13"/>
                <w:szCs w:val="13"/>
                <w:color w:val="auto"/>
              </w:rPr>
            </w:pPr>
          </w:p>
        </w:tc>
        <w:tc>
          <w:tcPr>
            <w:tcW w:w="1460" w:type="dxa"/>
            <w:vAlign w:val="bottom"/>
            <w:shd w:val="clear" w:color="auto" w:fill="D9D9D9"/>
          </w:tcPr>
          <w:p>
            <w:pPr>
              <w:spacing w:after="0"/>
              <w:rPr>
                <w:sz w:val="13"/>
                <w:szCs w:val="13"/>
                <w:color w:val="auto"/>
              </w:rPr>
            </w:pPr>
          </w:p>
        </w:tc>
        <w:tc>
          <w:tcPr>
            <w:tcW w:w="760" w:type="dxa"/>
            <w:vAlign w:val="bottom"/>
            <w:shd w:val="clear" w:color="auto" w:fill="D9D9D9"/>
          </w:tcPr>
          <w:p>
            <w:pPr>
              <w:spacing w:after="0"/>
              <w:rPr>
                <w:sz w:val="13"/>
                <w:szCs w:val="13"/>
                <w:color w:val="auto"/>
              </w:rPr>
            </w:pPr>
          </w:p>
        </w:tc>
      </w:tr>
      <w:tr>
        <w:trPr>
          <w:trHeight w:val="147"/>
        </w:trPr>
        <w:tc>
          <w:tcPr>
            <w:tcW w:w="3520" w:type="dxa"/>
            <w:vAlign w:val="bottom"/>
            <w:shd w:val="clear" w:color="auto" w:fill="D9D9D9"/>
          </w:tcPr>
          <w:p>
            <w:pPr>
              <w:ind w:left="200"/>
              <w:spacing w:after="0" w:line="148" w:lineRule="exact"/>
              <w:rPr>
                <w:sz w:val="20"/>
                <w:szCs w:val="20"/>
                <w:color w:val="auto"/>
              </w:rPr>
            </w:pPr>
            <w:r>
              <w:rPr>
                <w:rFonts w:ascii="Arial" w:cs="Arial" w:eastAsia="Arial" w:hAnsi="Arial"/>
                <w:sz w:val="13"/>
                <w:szCs w:val="13"/>
                <w:color w:val="auto"/>
              </w:rPr>
              <w:t>Group VP, Commercial,</w:t>
            </w:r>
          </w:p>
        </w:tc>
        <w:tc>
          <w:tcPr>
            <w:tcW w:w="680" w:type="dxa"/>
            <w:vAlign w:val="bottom"/>
            <w:shd w:val="clear" w:color="auto" w:fill="D9D9D9"/>
          </w:tcPr>
          <w:p>
            <w:pPr>
              <w:spacing w:after="0"/>
              <w:rPr>
                <w:sz w:val="12"/>
                <w:szCs w:val="12"/>
                <w:color w:val="auto"/>
              </w:rPr>
            </w:pPr>
          </w:p>
        </w:tc>
        <w:tc>
          <w:tcPr>
            <w:tcW w:w="760" w:type="dxa"/>
            <w:vAlign w:val="bottom"/>
            <w:shd w:val="clear" w:color="auto" w:fill="D9D9D9"/>
          </w:tcPr>
          <w:p>
            <w:pPr>
              <w:spacing w:after="0"/>
              <w:rPr>
                <w:sz w:val="12"/>
                <w:szCs w:val="12"/>
                <w:color w:val="auto"/>
              </w:rPr>
            </w:pPr>
          </w:p>
        </w:tc>
        <w:tc>
          <w:tcPr>
            <w:tcW w:w="800" w:type="dxa"/>
            <w:vAlign w:val="bottom"/>
            <w:shd w:val="clear" w:color="auto" w:fill="D9D9D9"/>
          </w:tcPr>
          <w:p>
            <w:pPr>
              <w:spacing w:after="0"/>
              <w:rPr>
                <w:sz w:val="12"/>
                <w:szCs w:val="12"/>
                <w:color w:val="auto"/>
              </w:rPr>
            </w:pPr>
          </w:p>
        </w:tc>
        <w:tc>
          <w:tcPr>
            <w:tcW w:w="920" w:type="dxa"/>
            <w:vAlign w:val="bottom"/>
            <w:shd w:val="clear" w:color="auto" w:fill="D9D9D9"/>
          </w:tcPr>
          <w:p>
            <w:pPr>
              <w:spacing w:after="0"/>
              <w:rPr>
                <w:sz w:val="12"/>
                <w:szCs w:val="12"/>
                <w:color w:val="auto"/>
              </w:rPr>
            </w:pPr>
          </w:p>
        </w:tc>
        <w:tc>
          <w:tcPr>
            <w:tcW w:w="920" w:type="dxa"/>
            <w:vAlign w:val="bottom"/>
            <w:shd w:val="clear" w:color="auto" w:fill="D9D9D9"/>
          </w:tcPr>
          <w:p>
            <w:pPr>
              <w:spacing w:after="0"/>
              <w:rPr>
                <w:sz w:val="12"/>
                <w:szCs w:val="12"/>
                <w:color w:val="auto"/>
              </w:rPr>
            </w:pPr>
          </w:p>
        </w:tc>
        <w:tc>
          <w:tcPr>
            <w:tcW w:w="1420" w:type="dxa"/>
            <w:vAlign w:val="bottom"/>
            <w:shd w:val="clear" w:color="auto" w:fill="D9D9D9"/>
          </w:tcPr>
          <w:p>
            <w:pPr>
              <w:spacing w:after="0"/>
              <w:rPr>
                <w:sz w:val="12"/>
                <w:szCs w:val="12"/>
                <w:color w:val="auto"/>
              </w:rPr>
            </w:pPr>
          </w:p>
        </w:tc>
        <w:tc>
          <w:tcPr>
            <w:tcW w:w="1460" w:type="dxa"/>
            <w:vAlign w:val="bottom"/>
            <w:shd w:val="clear" w:color="auto" w:fill="D9D9D9"/>
          </w:tcPr>
          <w:p>
            <w:pPr>
              <w:spacing w:after="0"/>
              <w:rPr>
                <w:sz w:val="12"/>
                <w:szCs w:val="12"/>
                <w:color w:val="auto"/>
              </w:rPr>
            </w:pPr>
          </w:p>
        </w:tc>
        <w:tc>
          <w:tcPr>
            <w:tcW w:w="760" w:type="dxa"/>
            <w:vAlign w:val="bottom"/>
            <w:shd w:val="clear" w:color="auto" w:fill="D9D9D9"/>
          </w:tcPr>
          <w:p>
            <w:pPr>
              <w:spacing w:after="0"/>
              <w:rPr>
                <w:sz w:val="12"/>
                <w:szCs w:val="12"/>
                <w:color w:val="auto"/>
              </w:rPr>
            </w:pPr>
          </w:p>
        </w:tc>
      </w:tr>
      <w:tr>
        <w:trPr>
          <w:trHeight w:val="147"/>
        </w:trPr>
        <w:tc>
          <w:tcPr>
            <w:tcW w:w="3520" w:type="dxa"/>
            <w:vAlign w:val="bottom"/>
            <w:shd w:val="clear" w:color="auto" w:fill="D9D9D9"/>
          </w:tcPr>
          <w:p>
            <w:pPr>
              <w:ind w:left="200"/>
              <w:spacing w:after="0" w:line="148" w:lineRule="exact"/>
              <w:rPr>
                <w:sz w:val="20"/>
                <w:szCs w:val="20"/>
                <w:color w:val="auto"/>
              </w:rPr>
            </w:pPr>
            <w:r>
              <w:rPr>
                <w:rFonts w:ascii="Arial" w:cs="Arial" w:eastAsia="Arial" w:hAnsi="Arial"/>
                <w:sz w:val="13"/>
                <w:szCs w:val="13"/>
                <w:color w:val="auto"/>
              </w:rPr>
              <w:t>International and Irrigation</w:t>
            </w:r>
          </w:p>
        </w:tc>
        <w:tc>
          <w:tcPr>
            <w:tcW w:w="680" w:type="dxa"/>
            <w:vAlign w:val="bottom"/>
            <w:shd w:val="clear" w:color="auto" w:fill="D9D9D9"/>
          </w:tcPr>
          <w:p>
            <w:pPr>
              <w:spacing w:after="0"/>
              <w:rPr>
                <w:sz w:val="12"/>
                <w:szCs w:val="12"/>
                <w:color w:val="auto"/>
              </w:rPr>
            </w:pPr>
          </w:p>
        </w:tc>
        <w:tc>
          <w:tcPr>
            <w:tcW w:w="760" w:type="dxa"/>
            <w:vAlign w:val="bottom"/>
            <w:shd w:val="clear" w:color="auto" w:fill="D9D9D9"/>
          </w:tcPr>
          <w:p>
            <w:pPr>
              <w:spacing w:after="0"/>
              <w:rPr>
                <w:sz w:val="12"/>
                <w:szCs w:val="12"/>
                <w:color w:val="auto"/>
              </w:rPr>
            </w:pPr>
          </w:p>
        </w:tc>
        <w:tc>
          <w:tcPr>
            <w:tcW w:w="800" w:type="dxa"/>
            <w:vAlign w:val="bottom"/>
            <w:shd w:val="clear" w:color="auto" w:fill="D9D9D9"/>
          </w:tcPr>
          <w:p>
            <w:pPr>
              <w:spacing w:after="0"/>
              <w:rPr>
                <w:sz w:val="12"/>
                <w:szCs w:val="12"/>
                <w:color w:val="auto"/>
              </w:rPr>
            </w:pPr>
          </w:p>
        </w:tc>
        <w:tc>
          <w:tcPr>
            <w:tcW w:w="920" w:type="dxa"/>
            <w:vAlign w:val="bottom"/>
            <w:shd w:val="clear" w:color="auto" w:fill="D9D9D9"/>
          </w:tcPr>
          <w:p>
            <w:pPr>
              <w:spacing w:after="0"/>
              <w:rPr>
                <w:sz w:val="12"/>
                <w:szCs w:val="12"/>
                <w:color w:val="auto"/>
              </w:rPr>
            </w:pPr>
          </w:p>
        </w:tc>
        <w:tc>
          <w:tcPr>
            <w:tcW w:w="920" w:type="dxa"/>
            <w:vAlign w:val="bottom"/>
            <w:shd w:val="clear" w:color="auto" w:fill="D9D9D9"/>
          </w:tcPr>
          <w:p>
            <w:pPr>
              <w:spacing w:after="0"/>
              <w:rPr>
                <w:sz w:val="12"/>
                <w:szCs w:val="12"/>
                <w:color w:val="auto"/>
              </w:rPr>
            </w:pPr>
          </w:p>
        </w:tc>
        <w:tc>
          <w:tcPr>
            <w:tcW w:w="1420" w:type="dxa"/>
            <w:vAlign w:val="bottom"/>
            <w:shd w:val="clear" w:color="auto" w:fill="D9D9D9"/>
          </w:tcPr>
          <w:p>
            <w:pPr>
              <w:spacing w:after="0"/>
              <w:rPr>
                <w:sz w:val="12"/>
                <w:szCs w:val="12"/>
                <w:color w:val="auto"/>
              </w:rPr>
            </w:pPr>
          </w:p>
        </w:tc>
        <w:tc>
          <w:tcPr>
            <w:tcW w:w="1460" w:type="dxa"/>
            <w:vAlign w:val="bottom"/>
            <w:shd w:val="clear" w:color="auto" w:fill="D9D9D9"/>
          </w:tcPr>
          <w:p>
            <w:pPr>
              <w:spacing w:after="0"/>
              <w:rPr>
                <w:sz w:val="12"/>
                <w:szCs w:val="12"/>
                <w:color w:val="auto"/>
              </w:rPr>
            </w:pPr>
          </w:p>
        </w:tc>
        <w:tc>
          <w:tcPr>
            <w:tcW w:w="760" w:type="dxa"/>
            <w:vAlign w:val="bottom"/>
            <w:shd w:val="clear" w:color="auto" w:fill="D9D9D9"/>
          </w:tcPr>
          <w:p>
            <w:pPr>
              <w:spacing w:after="0"/>
              <w:rPr>
                <w:sz w:val="12"/>
                <w:szCs w:val="12"/>
                <w:color w:val="auto"/>
              </w:rPr>
            </w:pPr>
          </w:p>
        </w:tc>
      </w:tr>
      <w:tr>
        <w:trPr>
          <w:trHeight w:val="148"/>
        </w:trPr>
        <w:tc>
          <w:tcPr>
            <w:tcW w:w="3520" w:type="dxa"/>
            <w:vAlign w:val="bottom"/>
            <w:shd w:val="clear" w:color="auto" w:fill="D9D9D9"/>
          </w:tcPr>
          <w:p>
            <w:pPr>
              <w:ind w:left="200"/>
              <w:spacing w:after="0" w:line="148" w:lineRule="exact"/>
              <w:rPr>
                <w:sz w:val="20"/>
                <w:szCs w:val="20"/>
                <w:color w:val="auto"/>
              </w:rPr>
            </w:pPr>
            <w:r>
              <w:rPr>
                <w:rFonts w:ascii="Arial" w:cs="Arial" w:eastAsia="Arial" w:hAnsi="Arial"/>
                <w:sz w:val="13"/>
                <w:szCs w:val="13"/>
                <w:color w:val="auto"/>
              </w:rPr>
              <w:t>Businesses</w:t>
            </w:r>
          </w:p>
        </w:tc>
        <w:tc>
          <w:tcPr>
            <w:tcW w:w="680" w:type="dxa"/>
            <w:vAlign w:val="bottom"/>
            <w:shd w:val="clear" w:color="auto" w:fill="D9D9D9"/>
          </w:tcPr>
          <w:p>
            <w:pPr>
              <w:jc w:val="center"/>
              <w:spacing w:after="0" w:line="148" w:lineRule="exact"/>
              <w:rPr>
                <w:sz w:val="20"/>
                <w:szCs w:val="20"/>
                <w:color w:val="auto"/>
              </w:rPr>
            </w:pPr>
            <w:r>
              <w:rPr>
                <w:rFonts w:ascii="Arial" w:cs="Arial" w:eastAsia="Arial" w:hAnsi="Arial"/>
                <w:sz w:val="13"/>
                <w:szCs w:val="13"/>
                <w:color w:val="auto"/>
              </w:rPr>
              <w:t>2020</w:t>
            </w:r>
          </w:p>
        </w:tc>
        <w:tc>
          <w:tcPr>
            <w:tcW w:w="760" w:type="dxa"/>
            <w:vAlign w:val="bottom"/>
            <w:shd w:val="clear" w:color="auto" w:fill="D9D9D9"/>
          </w:tcPr>
          <w:p>
            <w:pPr>
              <w:jc w:val="right"/>
              <w:ind w:right="13"/>
              <w:spacing w:after="0" w:line="148" w:lineRule="exact"/>
              <w:rPr>
                <w:sz w:val="20"/>
                <w:szCs w:val="20"/>
                <w:color w:val="auto"/>
              </w:rPr>
            </w:pPr>
            <w:r>
              <w:rPr>
                <w:rFonts w:ascii="Arial" w:cs="Arial" w:eastAsia="Arial" w:hAnsi="Arial"/>
                <w:sz w:val="13"/>
                <w:szCs w:val="13"/>
                <w:color w:val="auto"/>
              </w:rPr>
              <w:t>378,000</w:t>
            </w:r>
          </w:p>
        </w:tc>
        <w:tc>
          <w:tcPr>
            <w:tcW w:w="800" w:type="dxa"/>
            <w:vAlign w:val="bottom"/>
            <w:shd w:val="clear" w:color="auto" w:fill="D9D9D9"/>
          </w:tcPr>
          <w:p>
            <w:pPr>
              <w:jc w:val="center"/>
              <w:spacing w:after="0" w:line="148" w:lineRule="exact"/>
              <w:rPr>
                <w:sz w:val="20"/>
                <w:szCs w:val="20"/>
                <w:color w:val="auto"/>
              </w:rPr>
            </w:pPr>
            <w:r>
              <w:rPr>
                <w:rFonts w:ascii="Arial" w:cs="Arial" w:eastAsia="Arial" w:hAnsi="Arial"/>
                <w:sz w:val="13"/>
                <w:szCs w:val="13"/>
                <w:color w:val="auto"/>
              </w:rPr>
              <w:t>0</w:t>
            </w:r>
          </w:p>
        </w:tc>
        <w:tc>
          <w:tcPr>
            <w:tcW w:w="920" w:type="dxa"/>
            <w:vAlign w:val="bottom"/>
            <w:shd w:val="clear" w:color="auto" w:fill="D9D9D9"/>
          </w:tcPr>
          <w:p>
            <w:pPr>
              <w:jc w:val="right"/>
              <w:ind w:right="33"/>
              <w:spacing w:after="0" w:line="148" w:lineRule="exact"/>
              <w:rPr>
                <w:sz w:val="20"/>
                <w:szCs w:val="20"/>
                <w:color w:val="auto"/>
              </w:rPr>
            </w:pPr>
            <w:r>
              <w:rPr>
                <w:rFonts w:ascii="Arial" w:cs="Arial" w:eastAsia="Arial" w:hAnsi="Arial"/>
                <w:sz w:val="13"/>
                <w:szCs w:val="13"/>
                <w:color w:val="auto"/>
              </w:rPr>
              <w:t>347,985</w:t>
            </w:r>
          </w:p>
        </w:tc>
        <w:tc>
          <w:tcPr>
            <w:tcW w:w="920" w:type="dxa"/>
            <w:vAlign w:val="bottom"/>
            <w:shd w:val="clear" w:color="auto" w:fill="D9D9D9"/>
          </w:tcPr>
          <w:p>
            <w:pPr>
              <w:jc w:val="right"/>
              <w:ind w:right="53"/>
              <w:spacing w:after="0" w:line="148" w:lineRule="exact"/>
              <w:rPr>
                <w:sz w:val="20"/>
                <w:szCs w:val="20"/>
                <w:color w:val="auto"/>
              </w:rPr>
            </w:pPr>
            <w:r>
              <w:rPr>
                <w:rFonts w:ascii="Arial" w:cs="Arial" w:eastAsia="Arial" w:hAnsi="Arial"/>
                <w:sz w:val="13"/>
                <w:szCs w:val="13"/>
                <w:color w:val="auto"/>
              </w:rPr>
              <w:t>353,012</w:t>
            </w:r>
          </w:p>
        </w:tc>
        <w:tc>
          <w:tcPr>
            <w:tcW w:w="1420" w:type="dxa"/>
            <w:vAlign w:val="bottom"/>
            <w:shd w:val="clear" w:color="auto" w:fill="D9D9D9"/>
          </w:tcPr>
          <w:p>
            <w:pPr>
              <w:jc w:val="right"/>
              <w:ind w:right="53"/>
              <w:spacing w:after="0" w:line="148" w:lineRule="exact"/>
              <w:rPr>
                <w:sz w:val="20"/>
                <w:szCs w:val="20"/>
                <w:color w:val="auto"/>
              </w:rPr>
            </w:pPr>
            <w:r>
              <w:rPr>
                <w:rFonts w:ascii="Arial" w:cs="Arial" w:eastAsia="Arial" w:hAnsi="Arial"/>
                <w:sz w:val="13"/>
                <w:szCs w:val="13"/>
                <w:color w:val="auto"/>
              </w:rPr>
              <w:t>69,514</w:t>
            </w:r>
          </w:p>
        </w:tc>
        <w:tc>
          <w:tcPr>
            <w:tcW w:w="1460" w:type="dxa"/>
            <w:vAlign w:val="bottom"/>
            <w:shd w:val="clear" w:color="auto" w:fill="D9D9D9"/>
          </w:tcPr>
          <w:p>
            <w:pPr>
              <w:jc w:val="right"/>
              <w:ind w:right="93"/>
              <w:spacing w:after="0" w:line="148" w:lineRule="exact"/>
              <w:rPr>
                <w:sz w:val="20"/>
                <w:szCs w:val="20"/>
                <w:color w:val="auto"/>
              </w:rPr>
            </w:pPr>
            <w:r>
              <w:rPr>
                <w:rFonts w:ascii="Arial" w:cs="Arial" w:eastAsia="Arial" w:hAnsi="Arial"/>
                <w:sz w:val="13"/>
                <w:szCs w:val="13"/>
                <w:color w:val="auto"/>
              </w:rPr>
              <w:t>46,368</w:t>
            </w:r>
          </w:p>
        </w:tc>
        <w:tc>
          <w:tcPr>
            <w:tcW w:w="760" w:type="dxa"/>
            <w:vAlign w:val="bottom"/>
            <w:shd w:val="clear" w:color="auto" w:fill="D9D9D9"/>
          </w:tcPr>
          <w:p>
            <w:pPr>
              <w:jc w:val="right"/>
              <w:spacing w:after="0" w:line="148" w:lineRule="exact"/>
              <w:rPr>
                <w:sz w:val="20"/>
                <w:szCs w:val="20"/>
                <w:color w:val="auto"/>
              </w:rPr>
            </w:pPr>
            <w:r>
              <w:rPr>
                <w:rFonts w:ascii="Arial" w:cs="Arial" w:eastAsia="Arial" w:hAnsi="Arial"/>
                <w:sz w:val="13"/>
                <w:szCs w:val="13"/>
                <w:color w:val="auto"/>
              </w:rPr>
              <w:t>1,194,879</w:t>
            </w:r>
          </w:p>
        </w:tc>
      </w:tr>
      <w:tr>
        <w:trPr>
          <w:trHeight w:val="201"/>
        </w:trPr>
        <w:tc>
          <w:tcPr>
            <w:tcW w:w="3520" w:type="dxa"/>
            <w:vAlign w:val="bottom"/>
            <w:shd w:val="clear" w:color="auto" w:fill="D9D9D9"/>
          </w:tcPr>
          <w:p>
            <w:pPr>
              <w:spacing w:after="0"/>
              <w:rPr>
                <w:sz w:val="17"/>
                <w:szCs w:val="17"/>
                <w:color w:val="auto"/>
              </w:rPr>
            </w:pPr>
          </w:p>
        </w:tc>
        <w:tc>
          <w:tcPr>
            <w:tcW w:w="68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2019</w:t>
            </w:r>
          </w:p>
        </w:tc>
        <w:tc>
          <w:tcPr>
            <w:tcW w:w="760" w:type="dxa"/>
            <w:vAlign w:val="bottom"/>
            <w:shd w:val="clear" w:color="auto" w:fill="D9D9D9"/>
          </w:tcPr>
          <w:p>
            <w:pPr>
              <w:jc w:val="right"/>
              <w:ind w:right="13"/>
              <w:spacing w:after="0"/>
              <w:rPr>
                <w:sz w:val="20"/>
                <w:szCs w:val="20"/>
                <w:color w:val="auto"/>
              </w:rPr>
            </w:pPr>
            <w:r>
              <w:rPr>
                <w:rFonts w:ascii="Arial" w:cs="Arial" w:eastAsia="Arial" w:hAnsi="Arial"/>
                <w:sz w:val="13"/>
                <w:szCs w:val="13"/>
                <w:color w:val="auto"/>
              </w:rPr>
              <w:t>400,000</w:t>
            </w:r>
          </w:p>
        </w:tc>
        <w:tc>
          <w:tcPr>
            <w:tcW w:w="80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0</w:t>
            </w:r>
          </w:p>
        </w:tc>
        <w:tc>
          <w:tcPr>
            <w:tcW w:w="920" w:type="dxa"/>
            <w:vAlign w:val="bottom"/>
            <w:shd w:val="clear" w:color="auto" w:fill="D9D9D9"/>
          </w:tcPr>
          <w:p>
            <w:pPr>
              <w:jc w:val="right"/>
              <w:ind w:right="33"/>
              <w:spacing w:after="0"/>
              <w:rPr>
                <w:sz w:val="20"/>
                <w:szCs w:val="20"/>
                <w:color w:val="auto"/>
              </w:rPr>
            </w:pPr>
            <w:r>
              <w:rPr>
                <w:rFonts w:ascii="Arial" w:cs="Arial" w:eastAsia="Arial" w:hAnsi="Arial"/>
                <w:sz w:val="13"/>
                <w:szCs w:val="13"/>
                <w:color w:val="auto"/>
              </w:rPr>
              <w:t>297,900</w:t>
            </w:r>
          </w:p>
        </w:tc>
        <w:tc>
          <w:tcPr>
            <w:tcW w:w="92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259,416</w:t>
            </w:r>
          </w:p>
        </w:tc>
        <w:tc>
          <w:tcPr>
            <w:tcW w:w="142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143,160</w:t>
            </w:r>
          </w:p>
        </w:tc>
        <w:tc>
          <w:tcPr>
            <w:tcW w:w="1460" w:type="dxa"/>
            <w:vAlign w:val="bottom"/>
            <w:shd w:val="clear" w:color="auto" w:fill="D9D9D9"/>
          </w:tcPr>
          <w:p>
            <w:pPr>
              <w:jc w:val="right"/>
              <w:ind w:right="93"/>
              <w:spacing w:after="0"/>
              <w:rPr>
                <w:sz w:val="20"/>
                <w:szCs w:val="20"/>
                <w:color w:val="auto"/>
              </w:rPr>
            </w:pPr>
            <w:r>
              <w:rPr>
                <w:rFonts w:ascii="Arial" w:cs="Arial" w:eastAsia="Arial" w:hAnsi="Arial"/>
                <w:sz w:val="13"/>
                <w:szCs w:val="13"/>
                <w:color w:val="auto"/>
              </w:rPr>
              <w:t>74,446</w:t>
            </w:r>
          </w:p>
        </w:tc>
        <w:tc>
          <w:tcPr>
            <w:tcW w:w="7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1,174,922</w:t>
            </w:r>
          </w:p>
        </w:tc>
      </w:tr>
      <w:tr>
        <w:trPr>
          <w:trHeight w:val="201"/>
        </w:trPr>
        <w:tc>
          <w:tcPr>
            <w:tcW w:w="3520" w:type="dxa"/>
            <w:vAlign w:val="bottom"/>
            <w:shd w:val="clear" w:color="auto" w:fill="D9D9D9"/>
          </w:tcPr>
          <w:p>
            <w:pPr>
              <w:spacing w:after="0"/>
              <w:rPr>
                <w:sz w:val="17"/>
                <w:szCs w:val="17"/>
                <w:color w:val="auto"/>
              </w:rPr>
            </w:pPr>
          </w:p>
        </w:tc>
        <w:tc>
          <w:tcPr>
            <w:tcW w:w="68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2018</w:t>
            </w:r>
          </w:p>
        </w:tc>
        <w:tc>
          <w:tcPr>
            <w:tcW w:w="760" w:type="dxa"/>
            <w:vAlign w:val="bottom"/>
            <w:shd w:val="clear" w:color="auto" w:fill="D9D9D9"/>
          </w:tcPr>
          <w:p>
            <w:pPr>
              <w:jc w:val="right"/>
              <w:ind w:right="13"/>
              <w:spacing w:after="0"/>
              <w:rPr>
                <w:sz w:val="20"/>
                <w:szCs w:val="20"/>
                <w:color w:val="auto"/>
              </w:rPr>
            </w:pPr>
            <w:r>
              <w:rPr>
                <w:rFonts w:ascii="Arial" w:cs="Arial" w:eastAsia="Arial" w:hAnsi="Arial"/>
                <w:sz w:val="13"/>
                <w:szCs w:val="13"/>
                <w:color w:val="auto"/>
              </w:rPr>
              <w:t>438,000</w:t>
            </w:r>
          </w:p>
        </w:tc>
        <w:tc>
          <w:tcPr>
            <w:tcW w:w="80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0</w:t>
            </w:r>
          </w:p>
        </w:tc>
        <w:tc>
          <w:tcPr>
            <w:tcW w:w="920" w:type="dxa"/>
            <w:vAlign w:val="bottom"/>
            <w:shd w:val="clear" w:color="auto" w:fill="D9D9D9"/>
          </w:tcPr>
          <w:p>
            <w:pPr>
              <w:jc w:val="right"/>
              <w:ind w:right="33"/>
              <w:spacing w:after="0"/>
              <w:rPr>
                <w:sz w:val="20"/>
                <w:szCs w:val="20"/>
                <w:color w:val="auto"/>
              </w:rPr>
            </w:pPr>
            <w:r>
              <w:rPr>
                <w:rFonts w:ascii="Arial" w:cs="Arial" w:eastAsia="Arial" w:hAnsi="Arial"/>
                <w:sz w:val="13"/>
                <w:szCs w:val="13"/>
                <w:color w:val="auto"/>
              </w:rPr>
              <w:t>294,300</w:t>
            </w:r>
          </w:p>
        </w:tc>
        <w:tc>
          <w:tcPr>
            <w:tcW w:w="92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284,240</w:t>
            </w:r>
          </w:p>
        </w:tc>
        <w:tc>
          <w:tcPr>
            <w:tcW w:w="1420" w:type="dxa"/>
            <w:vAlign w:val="bottom"/>
            <w:shd w:val="clear" w:color="auto" w:fill="D9D9D9"/>
          </w:tcPr>
          <w:p>
            <w:pPr>
              <w:jc w:val="right"/>
              <w:ind w:right="53"/>
              <w:spacing w:after="0"/>
              <w:rPr>
                <w:sz w:val="20"/>
                <w:szCs w:val="20"/>
                <w:color w:val="auto"/>
              </w:rPr>
            </w:pPr>
            <w:r>
              <w:rPr>
                <w:rFonts w:ascii="Arial" w:cs="Arial" w:eastAsia="Arial" w:hAnsi="Arial"/>
                <w:sz w:val="13"/>
                <w:szCs w:val="13"/>
                <w:color w:val="auto"/>
              </w:rPr>
              <w:t>250,869</w:t>
            </w:r>
          </w:p>
        </w:tc>
        <w:tc>
          <w:tcPr>
            <w:tcW w:w="1460" w:type="dxa"/>
            <w:vAlign w:val="bottom"/>
            <w:shd w:val="clear" w:color="auto" w:fill="D9D9D9"/>
          </w:tcPr>
          <w:p>
            <w:pPr>
              <w:jc w:val="right"/>
              <w:ind w:right="93"/>
              <w:spacing w:after="0"/>
              <w:rPr>
                <w:sz w:val="20"/>
                <w:szCs w:val="20"/>
                <w:color w:val="auto"/>
              </w:rPr>
            </w:pPr>
            <w:r>
              <w:rPr>
                <w:rFonts w:ascii="Arial" w:cs="Arial" w:eastAsia="Arial" w:hAnsi="Arial"/>
                <w:sz w:val="13"/>
                <w:szCs w:val="13"/>
                <w:color w:val="auto"/>
              </w:rPr>
              <w:t>101,810</w:t>
            </w:r>
          </w:p>
        </w:tc>
        <w:tc>
          <w:tcPr>
            <w:tcW w:w="7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1,369,219</w:t>
            </w:r>
          </w:p>
        </w:tc>
      </w:tr>
      <w:tr>
        <w:trPr>
          <w:trHeight w:val="160"/>
        </w:trPr>
        <w:tc>
          <w:tcPr>
            <w:tcW w:w="3520" w:type="dxa"/>
            <w:vAlign w:val="bottom"/>
          </w:tcPr>
          <w:p>
            <w:pPr>
              <w:spacing w:after="0"/>
              <w:rPr>
                <w:sz w:val="20"/>
                <w:szCs w:val="20"/>
                <w:color w:val="auto"/>
              </w:rPr>
            </w:pPr>
            <w:r>
              <w:rPr>
                <w:rFonts w:ascii="Arial" w:cs="Arial" w:eastAsia="Arial" w:hAnsi="Arial"/>
                <w:sz w:val="13"/>
                <w:szCs w:val="13"/>
                <w:color w:val="auto"/>
              </w:rPr>
              <w:t>Amy E. Dahl</w:t>
            </w:r>
            <w:r>
              <w:rPr>
                <w:rFonts w:ascii="Arial" w:cs="Arial" w:eastAsia="Arial" w:hAnsi="Arial"/>
                <w:sz w:val="11"/>
                <w:szCs w:val="11"/>
                <w:color w:val="auto"/>
              </w:rPr>
              <w:t>(8)</w:t>
            </w:r>
            <w:r>
              <w:rPr>
                <w:rFonts w:ascii="Arial" w:cs="Arial" w:eastAsia="Arial" w:hAnsi="Arial"/>
                <w:sz w:val="13"/>
                <w:szCs w:val="13"/>
                <w:color w:val="auto"/>
              </w:rPr>
              <w:t>,</w:t>
            </w: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3520" w:type="dxa"/>
            <w:vAlign w:val="bottom"/>
          </w:tcPr>
          <w:p>
            <w:pPr>
              <w:ind w:left="200"/>
              <w:spacing w:after="0"/>
              <w:rPr>
                <w:sz w:val="20"/>
                <w:szCs w:val="20"/>
                <w:color w:val="auto"/>
              </w:rPr>
            </w:pPr>
            <w:r>
              <w:rPr>
                <w:rFonts w:ascii="Arial" w:cs="Arial" w:eastAsia="Arial" w:hAnsi="Arial"/>
                <w:sz w:val="13"/>
                <w:szCs w:val="13"/>
                <w:color w:val="auto"/>
              </w:rPr>
              <w:t>VP, Human Resources and General Counsel</w:t>
            </w:r>
          </w:p>
        </w:tc>
        <w:tc>
          <w:tcPr>
            <w:tcW w:w="680" w:type="dxa"/>
            <w:vAlign w:val="bottom"/>
          </w:tcPr>
          <w:p>
            <w:pPr>
              <w:jc w:val="center"/>
              <w:spacing w:after="0"/>
              <w:rPr>
                <w:sz w:val="20"/>
                <w:szCs w:val="20"/>
                <w:color w:val="auto"/>
              </w:rPr>
            </w:pPr>
            <w:r>
              <w:rPr>
                <w:rFonts w:ascii="Arial" w:cs="Arial" w:eastAsia="Arial" w:hAnsi="Arial"/>
                <w:sz w:val="13"/>
                <w:szCs w:val="13"/>
                <w:color w:val="auto"/>
              </w:rPr>
              <w:t>2020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418,500</w:t>
            </w:r>
          </w:p>
        </w:tc>
        <w:tc>
          <w:tcPr>
            <w:tcW w:w="800" w:type="dxa"/>
            <w:vAlign w:val="bottom"/>
          </w:tcPr>
          <w:p>
            <w:pPr>
              <w:jc w:val="center"/>
              <w:spacing w:after="0"/>
              <w:rPr>
                <w:sz w:val="20"/>
                <w:szCs w:val="20"/>
                <w:color w:val="auto"/>
              </w:rPr>
            </w:pPr>
            <w:r>
              <w:rPr>
                <w:rFonts w:ascii="Arial" w:cs="Arial" w:eastAsia="Arial" w:hAnsi="Arial"/>
                <w:sz w:val="13"/>
                <w:szCs w:val="13"/>
                <w:color w:val="auto"/>
              </w:rPr>
              <w:t>0</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317,053</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324,896</w:t>
            </w: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76,962</w:t>
            </w:r>
          </w:p>
        </w:tc>
        <w:tc>
          <w:tcPr>
            <w:tcW w:w="1460" w:type="dxa"/>
            <w:vAlign w:val="bottom"/>
          </w:tcPr>
          <w:p>
            <w:pPr>
              <w:jc w:val="right"/>
              <w:ind w:right="93"/>
              <w:spacing w:after="0"/>
              <w:rPr>
                <w:sz w:val="20"/>
                <w:szCs w:val="20"/>
                <w:color w:val="auto"/>
              </w:rPr>
            </w:pPr>
            <w:r>
              <w:rPr>
                <w:rFonts w:ascii="Arial" w:cs="Arial" w:eastAsia="Arial" w:hAnsi="Arial"/>
                <w:sz w:val="13"/>
                <w:szCs w:val="13"/>
                <w:color w:val="auto"/>
              </w:rPr>
              <w:t>46,256</w:t>
            </w:r>
          </w:p>
        </w:tc>
        <w:tc>
          <w:tcPr>
            <w:tcW w:w="760" w:type="dxa"/>
            <w:vAlign w:val="bottom"/>
          </w:tcPr>
          <w:p>
            <w:pPr>
              <w:jc w:val="right"/>
              <w:spacing w:after="0"/>
              <w:rPr>
                <w:sz w:val="20"/>
                <w:szCs w:val="20"/>
                <w:color w:val="auto"/>
              </w:rPr>
            </w:pPr>
            <w:r>
              <w:rPr>
                <w:rFonts w:ascii="Arial" w:cs="Arial" w:eastAsia="Arial" w:hAnsi="Arial"/>
                <w:sz w:val="13"/>
                <w:szCs w:val="13"/>
                <w:color w:val="auto"/>
              </w:rPr>
              <w:t>1,183,667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349250</wp:posOffset>
            </wp:positionV>
            <wp:extent cx="20345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right="240" w:hanging="393"/>
        <w:spacing w:after="0" w:line="238" w:lineRule="auto"/>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Salary amounts reflect base salary earned during the fiscal year and therefore, is reflective of the base salary reductions that went into effect as of May 1, 2020; additionally, the amount for Mr. Rodier reflects the increase in base salary that went into effect as of May 16, 2020, which also was reduced accordingly for the remainder of fiscal 2020.</w:t>
      </w:r>
    </w:p>
    <w:p>
      <w:pPr>
        <w:spacing w:after="0" w:line="94" w:lineRule="exact"/>
        <w:rPr>
          <w:rFonts w:ascii="Arial" w:cs="Arial" w:eastAsia="Arial" w:hAnsi="Arial"/>
          <w:sz w:val="18"/>
          <w:szCs w:val="18"/>
          <w:color w:val="auto"/>
        </w:rPr>
      </w:pPr>
    </w:p>
    <w:p>
      <w:pPr>
        <w:ind w:left="400" w:right="160" w:hanging="393"/>
        <w:spacing w:after="0" w:line="236" w:lineRule="auto"/>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generally do not pay discretionary bonuses or bonuses that are subjectively determined; we did not pay any such bonuses to any of our named executive officers in any of the last three most recently completed fiscal years. Annual cash incentive award payouts based on performance against pre-established financial performance goals are reported in the “Non-Equity Incentive Plan Compensation” column.</w:t>
      </w:r>
    </w:p>
    <w:p>
      <w:pPr>
        <w:spacing w:after="0" w:line="97" w:lineRule="exact"/>
        <w:rPr>
          <w:rFonts w:ascii="Arial" w:cs="Arial" w:eastAsia="Arial" w:hAnsi="Arial"/>
          <w:sz w:val="18"/>
          <w:szCs w:val="18"/>
          <w:color w:val="auto"/>
        </w:rPr>
      </w:pPr>
    </w:p>
    <w:p>
      <w:pPr>
        <w:ind w:left="400" w:hanging="393"/>
        <w:spacing w:after="0" w:line="234" w:lineRule="auto"/>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for fiscal 2020 for our named executive officers represent the grant date fair value, computed in accordance with FASB ASC Topic 718, of performance share awards granted for the fiscal 2020 to fiscal 2022 performance period assuming target levels of performance. Amount reported for Mr. Rodier also includes the grant date fair value of restricted stock units granted to him on May 19, 2020. Amounts reported for each named executive officer and each award for fiscal 2020 are set forth in the “Grants of Plan-Based Awards for Fiscal 2020” table beginning on page 47 in the “Grant Date Fair Value of Stock and Option Awards” column. Provided below is the fiscal 2020 grant date fair value of performance share awards for the fiscal 2020 to fiscal 2022 performance period assuming maximum levels of performance. The maximum value is calculated using the number of shares reflected in the “Maximum” column of the “Estimated Future Payouts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47" w:lineRule="exact"/>
        <w:rPr>
          <w:sz w:val="20"/>
          <w:szCs w:val="20"/>
          <w:color w:val="auto"/>
        </w:rPr>
      </w:pPr>
    </w:p>
    <w:p>
      <w:pPr>
        <w:ind w:left="400" w:right="260"/>
        <w:spacing w:after="0"/>
        <w:rPr>
          <w:sz w:val="20"/>
          <w:szCs w:val="20"/>
          <w:color w:val="auto"/>
        </w:rPr>
      </w:pPr>
      <w:r>
        <w:rPr>
          <w:rFonts w:ascii="Arial" w:cs="Arial" w:eastAsia="Arial" w:hAnsi="Arial"/>
          <w:sz w:val="18"/>
          <w:szCs w:val="18"/>
          <w:color w:val="auto"/>
        </w:rPr>
        <w:t>Under Equity Incentive Plan Awards” section of the “Grants of Plan-Based Awards for Fiscal 2020” table beginning on page 47 and the closing price of our common stock on December 3, 2019, the grant date, of $77.33.</w:t>
      </w:r>
    </w:p>
    <w:p>
      <w:pPr>
        <w:spacing w:after="0" w:line="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80" w:type="dxa"/>
            <w:vAlign w:val="bottom"/>
            <w:shd w:val="clear" w:color="auto" w:fill="BE0000"/>
          </w:tcPr>
          <w:p>
            <w:pPr>
              <w:spacing w:after="0"/>
              <w:rPr>
                <w:sz w:val="14"/>
                <w:szCs w:val="14"/>
                <w:color w:val="auto"/>
              </w:rPr>
            </w:pPr>
          </w:p>
        </w:tc>
        <w:tc>
          <w:tcPr>
            <w:tcW w:w="6400" w:type="dxa"/>
            <w:vAlign w:val="bottom"/>
            <w:shd w:val="clear" w:color="auto" w:fill="BE0000"/>
          </w:tcPr>
          <w:p>
            <w:pPr>
              <w:jc w:val="center"/>
              <w:ind w:left="2603"/>
              <w:spacing w:after="0"/>
              <w:rPr>
                <w:sz w:val="20"/>
                <w:szCs w:val="20"/>
                <w:color w:val="auto"/>
              </w:rPr>
            </w:pPr>
            <w:r>
              <w:rPr>
                <w:rFonts w:ascii="Arial" w:cs="Arial" w:eastAsia="Arial" w:hAnsi="Arial"/>
                <w:sz w:val="14"/>
                <w:szCs w:val="14"/>
                <w:b w:val="1"/>
                <w:bCs w:val="1"/>
                <w:color w:val="FFFFFF"/>
              </w:rPr>
              <w:t>Grant Date Fair Value at</w:t>
            </w:r>
          </w:p>
        </w:tc>
      </w:tr>
      <w:tr>
        <w:trPr>
          <w:trHeight w:val="161"/>
        </w:trPr>
        <w:tc>
          <w:tcPr>
            <w:tcW w:w="4380" w:type="dxa"/>
            <w:vAlign w:val="bottom"/>
            <w:shd w:val="clear" w:color="auto" w:fill="BE0000"/>
          </w:tcPr>
          <w:p>
            <w:pPr>
              <w:spacing w:after="0"/>
              <w:rPr>
                <w:sz w:val="13"/>
                <w:szCs w:val="13"/>
                <w:color w:val="auto"/>
              </w:rPr>
            </w:pPr>
          </w:p>
        </w:tc>
        <w:tc>
          <w:tcPr>
            <w:tcW w:w="6400" w:type="dxa"/>
            <w:vAlign w:val="bottom"/>
            <w:shd w:val="clear" w:color="auto" w:fill="BE0000"/>
          </w:tcPr>
          <w:p>
            <w:pPr>
              <w:jc w:val="center"/>
              <w:ind w:left="2603"/>
              <w:spacing w:after="0"/>
              <w:rPr>
                <w:sz w:val="20"/>
                <w:szCs w:val="20"/>
                <w:color w:val="auto"/>
              </w:rPr>
            </w:pPr>
            <w:r>
              <w:rPr>
                <w:rFonts w:ascii="Arial" w:cs="Arial" w:eastAsia="Arial" w:hAnsi="Arial"/>
                <w:sz w:val="14"/>
                <w:szCs w:val="14"/>
                <w:b w:val="1"/>
                <w:bCs w:val="1"/>
                <w:color w:val="FFFFFF"/>
              </w:rPr>
              <w:t>Maximum Levels of Performance</w:t>
            </w:r>
          </w:p>
        </w:tc>
      </w:tr>
      <w:tr>
        <w:trPr>
          <w:trHeight w:val="174"/>
        </w:trPr>
        <w:tc>
          <w:tcPr>
            <w:tcW w:w="4380" w:type="dxa"/>
            <w:vAlign w:val="bottom"/>
            <w:shd w:val="clear" w:color="auto" w:fill="BE0000"/>
          </w:tcPr>
          <w:p>
            <w:pPr>
              <w:spacing w:after="0"/>
              <w:rPr>
                <w:sz w:val="20"/>
                <w:szCs w:val="20"/>
                <w:color w:val="auto"/>
              </w:rPr>
            </w:pPr>
            <w:r>
              <w:rPr>
                <w:rFonts w:ascii="Arial" w:cs="Arial" w:eastAsia="Arial" w:hAnsi="Arial"/>
                <w:sz w:val="14"/>
                <w:szCs w:val="14"/>
                <w:b w:val="1"/>
                <w:bCs w:val="1"/>
                <w:color w:val="FFFFFF"/>
              </w:rPr>
              <w:t>Name</w:t>
            </w:r>
          </w:p>
        </w:tc>
        <w:tc>
          <w:tcPr>
            <w:tcW w:w="6400" w:type="dxa"/>
            <w:vAlign w:val="bottom"/>
            <w:shd w:val="clear" w:color="auto" w:fill="BE0000"/>
          </w:tcPr>
          <w:p>
            <w:pPr>
              <w:jc w:val="center"/>
              <w:ind w:left="2603"/>
              <w:spacing w:after="0"/>
              <w:rPr>
                <w:sz w:val="20"/>
                <w:szCs w:val="20"/>
                <w:color w:val="auto"/>
              </w:rPr>
            </w:pPr>
            <w:r>
              <w:rPr>
                <w:rFonts w:ascii="Arial" w:cs="Arial" w:eastAsia="Arial" w:hAnsi="Arial"/>
                <w:sz w:val="14"/>
                <w:szCs w:val="14"/>
                <w:b w:val="1"/>
                <w:bCs w:val="1"/>
                <w:color w:val="FFFFFF"/>
                <w:w w:val="93"/>
              </w:rPr>
              <w:t>($)</w:t>
            </w:r>
          </w:p>
        </w:tc>
      </w:tr>
      <w:tr>
        <w:trPr>
          <w:trHeight w:val="201"/>
        </w:trPr>
        <w:tc>
          <w:tcPr>
            <w:tcW w:w="4380" w:type="dxa"/>
            <w:vAlign w:val="bottom"/>
          </w:tcPr>
          <w:p>
            <w:pPr>
              <w:spacing w:after="0"/>
              <w:rPr>
                <w:sz w:val="20"/>
                <w:szCs w:val="20"/>
                <w:color w:val="auto"/>
              </w:rPr>
            </w:pPr>
            <w:r>
              <w:rPr>
                <w:rFonts w:ascii="Arial" w:cs="Arial" w:eastAsia="Arial" w:hAnsi="Arial"/>
                <w:sz w:val="16"/>
                <w:szCs w:val="16"/>
                <w:color w:val="auto"/>
              </w:rPr>
              <w:t>Mr. Olson</w:t>
            </w:r>
          </w:p>
        </w:tc>
        <w:tc>
          <w:tcPr>
            <w:tcW w:w="6400" w:type="dxa"/>
            <w:vAlign w:val="bottom"/>
          </w:tcPr>
          <w:p>
            <w:pPr>
              <w:jc w:val="right"/>
              <w:spacing w:after="0"/>
              <w:rPr>
                <w:sz w:val="20"/>
                <w:szCs w:val="20"/>
                <w:color w:val="auto"/>
              </w:rPr>
            </w:pPr>
            <w:r>
              <w:rPr>
                <w:rFonts w:ascii="Arial" w:cs="Arial" w:eastAsia="Arial" w:hAnsi="Arial"/>
                <w:sz w:val="16"/>
                <w:szCs w:val="16"/>
                <w:color w:val="auto"/>
              </w:rPr>
              <w:t>4,670,732</w:t>
            </w:r>
          </w:p>
        </w:tc>
      </w:tr>
      <w:tr>
        <w:trPr>
          <w:trHeight w:val="201"/>
        </w:trPr>
        <w:tc>
          <w:tcPr>
            <w:tcW w:w="438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64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1,036,222</w:t>
            </w:r>
          </w:p>
        </w:tc>
      </w:tr>
      <w:tr>
        <w:trPr>
          <w:trHeight w:val="201"/>
        </w:trPr>
        <w:tc>
          <w:tcPr>
            <w:tcW w:w="4380" w:type="dxa"/>
            <w:vAlign w:val="bottom"/>
          </w:tcPr>
          <w:p>
            <w:pPr>
              <w:spacing w:after="0"/>
              <w:rPr>
                <w:sz w:val="20"/>
                <w:szCs w:val="20"/>
                <w:color w:val="auto"/>
              </w:rPr>
            </w:pPr>
            <w:r>
              <w:rPr>
                <w:rFonts w:ascii="Arial" w:cs="Arial" w:eastAsia="Arial" w:hAnsi="Arial"/>
                <w:sz w:val="16"/>
                <w:szCs w:val="16"/>
                <w:color w:val="auto"/>
              </w:rPr>
              <w:t>Mr. Rodier</w:t>
            </w:r>
          </w:p>
        </w:tc>
        <w:tc>
          <w:tcPr>
            <w:tcW w:w="6400" w:type="dxa"/>
            <w:vAlign w:val="bottom"/>
          </w:tcPr>
          <w:p>
            <w:pPr>
              <w:jc w:val="right"/>
              <w:spacing w:after="0"/>
              <w:rPr>
                <w:sz w:val="20"/>
                <w:szCs w:val="20"/>
                <w:color w:val="auto"/>
              </w:rPr>
            </w:pPr>
            <w:r>
              <w:rPr>
                <w:rFonts w:ascii="Arial" w:cs="Arial" w:eastAsia="Arial" w:hAnsi="Arial"/>
                <w:sz w:val="16"/>
                <w:szCs w:val="16"/>
                <w:color w:val="auto"/>
              </w:rPr>
              <w:t>556,776</w:t>
            </w:r>
          </w:p>
        </w:tc>
      </w:tr>
      <w:tr>
        <w:trPr>
          <w:trHeight w:val="201"/>
        </w:trPr>
        <w:tc>
          <w:tcPr>
            <w:tcW w:w="4380" w:type="dxa"/>
            <w:vAlign w:val="bottom"/>
            <w:shd w:val="clear" w:color="auto" w:fill="D9D9D9"/>
          </w:tcPr>
          <w:p>
            <w:pPr>
              <w:spacing w:after="0"/>
              <w:rPr>
                <w:sz w:val="20"/>
                <w:szCs w:val="20"/>
                <w:color w:val="auto"/>
              </w:rPr>
            </w:pPr>
            <w:r>
              <w:rPr>
                <w:rFonts w:ascii="Arial" w:cs="Arial" w:eastAsia="Arial" w:hAnsi="Arial"/>
                <w:sz w:val="16"/>
                <w:szCs w:val="16"/>
                <w:color w:val="auto"/>
              </w:rPr>
              <w:t>Mr. Hamilton</w:t>
            </w:r>
          </w:p>
        </w:tc>
        <w:tc>
          <w:tcPr>
            <w:tcW w:w="64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695,970</w:t>
            </w:r>
          </w:p>
        </w:tc>
      </w:tr>
      <w:tr>
        <w:trPr>
          <w:trHeight w:val="209"/>
        </w:trPr>
        <w:tc>
          <w:tcPr>
            <w:tcW w:w="4380" w:type="dxa"/>
            <w:vAlign w:val="bottom"/>
          </w:tcPr>
          <w:p>
            <w:pPr>
              <w:spacing w:after="0"/>
              <w:rPr>
                <w:sz w:val="20"/>
                <w:szCs w:val="20"/>
                <w:color w:val="auto"/>
              </w:rPr>
            </w:pPr>
            <w:r>
              <w:rPr>
                <w:rFonts w:ascii="Arial" w:cs="Arial" w:eastAsia="Arial" w:hAnsi="Arial"/>
                <w:sz w:val="16"/>
                <w:szCs w:val="16"/>
                <w:color w:val="auto"/>
              </w:rPr>
              <w:t>Ms. Dahl</w:t>
            </w:r>
          </w:p>
        </w:tc>
        <w:tc>
          <w:tcPr>
            <w:tcW w:w="6400" w:type="dxa"/>
            <w:vAlign w:val="bottom"/>
          </w:tcPr>
          <w:p>
            <w:pPr>
              <w:jc w:val="right"/>
              <w:spacing w:after="0"/>
              <w:rPr>
                <w:sz w:val="20"/>
                <w:szCs w:val="20"/>
                <w:color w:val="auto"/>
              </w:rPr>
            </w:pPr>
            <w:r>
              <w:rPr>
                <w:rFonts w:ascii="Arial" w:cs="Arial" w:eastAsia="Arial" w:hAnsi="Arial"/>
                <w:sz w:val="16"/>
                <w:szCs w:val="16"/>
                <w:color w:val="auto"/>
              </w:rPr>
              <w:t>634,106</w:t>
            </w:r>
          </w:p>
        </w:tc>
      </w:tr>
    </w:tbl>
    <w:p>
      <w:pPr>
        <w:spacing w:after="0" w:line="45" w:lineRule="exact"/>
        <w:rPr>
          <w:sz w:val="20"/>
          <w:szCs w:val="20"/>
          <w:color w:val="auto"/>
        </w:rPr>
      </w:pPr>
    </w:p>
    <w:p>
      <w:pPr>
        <w:ind w:left="400" w:right="60" w:hanging="393"/>
        <w:spacing w:after="0" w:line="238" w:lineRule="auto"/>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computed in accordance with FASB ASC Topic 718, of option awards granted each fiscal year. Summarized in the table below are the specific assumptions used in the valuation of the option awards. Amount reported for Mr. Rodier also includes the grant date fair value of stock options granted to Mr. Rodier on May 19, 2020.</w:t>
      </w:r>
    </w:p>
    <w:p>
      <w:pPr>
        <w:spacing w:after="0" w:line="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40" w:type="dxa"/>
            <w:vAlign w:val="bottom"/>
            <w:shd w:val="clear" w:color="auto" w:fill="C00000"/>
          </w:tcPr>
          <w:p>
            <w:pPr>
              <w:spacing w:after="0"/>
              <w:rPr>
                <w:sz w:val="14"/>
                <w:szCs w:val="14"/>
                <w:color w:val="auto"/>
              </w:rPr>
            </w:pPr>
          </w:p>
        </w:tc>
        <w:tc>
          <w:tcPr>
            <w:tcW w:w="2620" w:type="dxa"/>
            <w:vAlign w:val="bottom"/>
            <w:shd w:val="clear" w:color="auto" w:fill="C00000"/>
          </w:tcPr>
          <w:p>
            <w:pPr>
              <w:spacing w:after="0"/>
              <w:rPr>
                <w:sz w:val="14"/>
                <w:szCs w:val="14"/>
                <w:color w:val="auto"/>
              </w:rPr>
            </w:pPr>
          </w:p>
        </w:tc>
        <w:tc>
          <w:tcPr>
            <w:tcW w:w="1580" w:type="dxa"/>
            <w:vAlign w:val="bottom"/>
            <w:shd w:val="clear" w:color="auto" w:fill="C00000"/>
          </w:tcPr>
          <w:p>
            <w:pPr>
              <w:spacing w:after="0"/>
              <w:rPr>
                <w:sz w:val="14"/>
                <w:szCs w:val="14"/>
                <w:color w:val="auto"/>
              </w:rPr>
            </w:pPr>
          </w:p>
        </w:tc>
        <w:tc>
          <w:tcPr>
            <w:tcW w:w="1480" w:type="dxa"/>
            <w:vAlign w:val="bottom"/>
            <w:shd w:val="clear" w:color="auto" w:fill="C00000"/>
          </w:tcPr>
          <w:p>
            <w:pPr>
              <w:spacing w:after="0"/>
              <w:rPr>
                <w:sz w:val="14"/>
                <w:szCs w:val="14"/>
                <w:color w:val="auto"/>
              </w:rPr>
            </w:pPr>
          </w:p>
        </w:tc>
        <w:tc>
          <w:tcPr>
            <w:tcW w:w="1560" w:type="dxa"/>
            <w:vAlign w:val="bottom"/>
            <w:shd w:val="clear" w:color="auto" w:fill="C00000"/>
          </w:tcPr>
          <w:p>
            <w:pPr>
              <w:spacing w:after="0"/>
              <w:rPr>
                <w:sz w:val="14"/>
                <w:szCs w:val="14"/>
                <w:color w:val="auto"/>
              </w:rPr>
            </w:pPr>
          </w:p>
        </w:tc>
        <w:tc>
          <w:tcPr>
            <w:tcW w:w="14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Per Share</w:t>
            </w:r>
          </w:p>
        </w:tc>
      </w:tr>
      <w:tr>
        <w:trPr>
          <w:trHeight w:val="161"/>
        </w:trPr>
        <w:tc>
          <w:tcPr>
            <w:tcW w:w="2140" w:type="dxa"/>
            <w:vAlign w:val="bottom"/>
            <w:shd w:val="clear" w:color="auto" w:fill="C00000"/>
          </w:tcPr>
          <w:p>
            <w:pPr>
              <w:spacing w:after="0"/>
              <w:rPr>
                <w:sz w:val="13"/>
                <w:szCs w:val="13"/>
                <w:color w:val="auto"/>
              </w:rPr>
            </w:pPr>
          </w:p>
        </w:tc>
        <w:tc>
          <w:tcPr>
            <w:tcW w:w="2620" w:type="dxa"/>
            <w:vAlign w:val="bottom"/>
            <w:shd w:val="clear" w:color="auto" w:fill="C00000"/>
          </w:tcPr>
          <w:p>
            <w:pPr>
              <w:jc w:val="right"/>
              <w:ind w:right="563"/>
              <w:spacing w:after="0"/>
              <w:rPr>
                <w:sz w:val="20"/>
                <w:szCs w:val="20"/>
                <w:color w:val="auto"/>
              </w:rPr>
            </w:pPr>
            <w:r>
              <w:rPr>
                <w:rFonts w:ascii="Arial" w:cs="Arial" w:eastAsia="Arial" w:hAnsi="Arial"/>
                <w:sz w:val="14"/>
                <w:szCs w:val="14"/>
                <w:b w:val="1"/>
                <w:bCs w:val="1"/>
                <w:color w:val="FFFFFF"/>
              </w:rPr>
              <w:t>Risk Free</w:t>
            </w:r>
          </w:p>
        </w:tc>
        <w:tc>
          <w:tcPr>
            <w:tcW w:w="1580" w:type="dxa"/>
            <w:vAlign w:val="bottom"/>
            <w:shd w:val="clear" w:color="auto" w:fill="C00000"/>
          </w:tcPr>
          <w:p>
            <w:pPr>
              <w:ind w:left="280"/>
              <w:spacing w:after="0"/>
              <w:rPr>
                <w:sz w:val="20"/>
                <w:szCs w:val="20"/>
                <w:color w:val="auto"/>
              </w:rPr>
            </w:pPr>
            <w:r>
              <w:rPr>
                <w:rFonts w:ascii="Arial" w:cs="Arial" w:eastAsia="Arial" w:hAnsi="Arial"/>
                <w:sz w:val="14"/>
                <w:szCs w:val="14"/>
                <w:b w:val="1"/>
                <w:bCs w:val="1"/>
                <w:color w:val="FFFFFF"/>
              </w:rPr>
              <w:t>Expected</w:t>
            </w:r>
          </w:p>
        </w:tc>
        <w:tc>
          <w:tcPr>
            <w:tcW w:w="1480" w:type="dxa"/>
            <w:vAlign w:val="bottom"/>
            <w:shd w:val="clear" w:color="auto" w:fill="C00000"/>
          </w:tcPr>
          <w:p>
            <w:pPr>
              <w:jc w:val="right"/>
              <w:ind w:right="503"/>
              <w:spacing w:after="0"/>
              <w:rPr>
                <w:sz w:val="20"/>
                <w:szCs w:val="20"/>
                <w:color w:val="auto"/>
              </w:rPr>
            </w:pPr>
            <w:r>
              <w:rPr>
                <w:rFonts w:ascii="Arial" w:cs="Arial" w:eastAsia="Arial" w:hAnsi="Arial"/>
                <w:sz w:val="14"/>
                <w:szCs w:val="14"/>
                <w:b w:val="1"/>
                <w:bCs w:val="1"/>
                <w:color w:val="FFFFFF"/>
              </w:rPr>
              <w:t>Expected</w:t>
            </w:r>
          </w:p>
        </w:tc>
        <w:tc>
          <w:tcPr>
            <w:tcW w:w="1560" w:type="dxa"/>
            <w:vAlign w:val="bottom"/>
            <w:shd w:val="clear" w:color="auto" w:fill="C00000"/>
          </w:tcPr>
          <w:p>
            <w:pPr>
              <w:jc w:val="right"/>
              <w:ind w:right="483"/>
              <w:spacing w:after="0"/>
              <w:rPr>
                <w:sz w:val="20"/>
                <w:szCs w:val="20"/>
                <w:color w:val="auto"/>
              </w:rPr>
            </w:pPr>
            <w:r>
              <w:rPr>
                <w:rFonts w:ascii="Arial" w:cs="Arial" w:eastAsia="Arial" w:hAnsi="Arial"/>
                <w:sz w:val="14"/>
                <w:szCs w:val="14"/>
                <w:b w:val="1"/>
                <w:bCs w:val="1"/>
                <w:color w:val="FFFFFF"/>
              </w:rPr>
              <w:t>Expected</w:t>
            </w:r>
          </w:p>
        </w:tc>
        <w:tc>
          <w:tcPr>
            <w:tcW w:w="14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Black-Scholes</w:t>
            </w:r>
          </w:p>
        </w:tc>
      </w:tr>
      <w:tr>
        <w:trPr>
          <w:trHeight w:val="174"/>
        </w:trPr>
        <w:tc>
          <w:tcPr>
            <w:tcW w:w="21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Grant Date</w:t>
            </w:r>
          </w:p>
        </w:tc>
        <w:tc>
          <w:tcPr>
            <w:tcW w:w="2620" w:type="dxa"/>
            <w:vAlign w:val="bottom"/>
            <w:shd w:val="clear" w:color="auto" w:fill="C00000"/>
          </w:tcPr>
          <w:p>
            <w:pPr>
              <w:jc w:val="right"/>
              <w:ind w:right="743"/>
              <w:spacing w:after="0"/>
              <w:rPr>
                <w:sz w:val="20"/>
                <w:szCs w:val="20"/>
                <w:color w:val="auto"/>
              </w:rPr>
            </w:pPr>
            <w:r>
              <w:rPr>
                <w:rFonts w:ascii="Arial" w:cs="Arial" w:eastAsia="Arial" w:hAnsi="Arial"/>
                <w:sz w:val="14"/>
                <w:szCs w:val="14"/>
                <w:b w:val="1"/>
                <w:bCs w:val="1"/>
                <w:color w:val="FFFFFF"/>
              </w:rPr>
              <w:t>Rate</w:t>
            </w:r>
          </w:p>
        </w:tc>
        <w:tc>
          <w:tcPr>
            <w:tcW w:w="1580" w:type="dxa"/>
            <w:vAlign w:val="bottom"/>
            <w:shd w:val="clear" w:color="auto" w:fill="C00000"/>
          </w:tcPr>
          <w:p>
            <w:pPr>
              <w:ind w:left="480"/>
              <w:spacing w:after="0"/>
              <w:rPr>
                <w:sz w:val="20"/>
                <w:szCs w:val="20"/>
                <w:color w:val="auto"/>
              </w:rPr>
            </w:pPr>
            <w:r>
              <w:rPr>
                <w:rFonts w:ascii="Arial" w:cs="Arial" w:eastAsia="Arial" w:hAnsi="Arial"/>
                <w:sz w:val="14"/>
                <w:szCs w:val="14"/>
                <w:b w:val="1"/>
                <w:bCs w:val="1"/>
                <w:color w:val="FFFFFF"/>
              </w:rPr>
              <w:t>Life</w:t>
            </w:r>
          </w:p>
        </w:tc>
        <w:tc>
          <w:tcPr>
            <w:tcW w:w="1480" w:type="dxa"/>
            <w:vAlign w:val="bottom"/>
            <w:shd w:val="clear" w:color="auto" w:fill="C00000"/>
          </w:tcPr>
          <w:p>
            <w:pPr>
              <w:jc w:val="right"/>
              <w:ind w:right="523"/>
              <w:spacing w:after="0"/>
              <w:rPr>
                <w:sz w:val="20"/>
                <w:szCs w:val="20"/>
                <w:color w:val="auto"/>
              </w:rPr>
            </w:pPr>
            <w:r>
              <w:rPr>
                <w:rFonts w:ascii="Arial" w:cs="Arial" w:eastAsia="Arial" w:hAnsi="Arial"/>
                <w:sz w:val="14"/>
                <w:szCs w:val="14"/>
                <w:b w:val="1"/>
                <w:bCs w:val="1"/>
                <w:color w:val="FFFFFF"/>
              </w:rPr>
              <w:t>Volatility</w:t>
            </w:r>
          </w:p>
        </w:tc>
        <w:tc>
          <w:tcPr>
            <w:tcW w:w="1560" w:type="dxa"/>
            <w:vAlign w:val="bottom"/>
            <w:shd w:val="clear" w:color="auto" w:fill="C00000"/>
          </w:tcPr>
          <w:p>
            <w:pPr>
              <w:jc w:val="right"/>
              <w:ind w:right="323"/>
              <w:spacing w:after="0"/>
              <w:rPr>
                <w:sz w:val="20"/>
                <w:szCs w:val="20"/>
                <w:color w:val="auto"/>
              </w:rPr>
            </w:pPr>
            <w:r>
              <w:rPr>
                <w:rFonts w:ascii="Arial" w:cs="Arial" w:eastAsia="Arial" w:hAnsi="Arial"/>
                <w:sz w:val="14"/>
                <w:szCs w:val="14"/>
                <w:b w:val="1"/>
                <w:bCs w:val="1"/>
                <w:color w:val="FFFFFF"/>
              </w:rPr>
              <w:t>Dividend Yield</w:t>
            </w:r>
          </w:p>
        </w:tc>
        <w:tc>
          <w:tcPr>
            <w:tcW w:w="14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Value</w:t>
            </w:r>
          </w:p>
        </w:tc>
      </w:tr>
      <w:tr>
        <w:trPr>
          <w:trHeight w:val="201"/>
        </w:trPr>
        <w:tc>
          <w:tcPr>
            <w:tcW w:w="2140" w:type="dxa"/>
            <w:vAlign w:val="bottom"/>
          </w:tcPr>
          <w:p>
            <w:pPr>
              <w:spacing w:after="0"/>
              <w:rPr>
                <w:sz w:val="20"/>
                <w:szCs w:val="20"/>
                <w:color w:val="auto"/>
              </w:rPr>
            </w:pPr>
            <w:r>
              <w:rPr>
                <w:rFonts w:ascii="Arial" w:cs="Arial" w:eastAsia="Arial" w:hAnsi="Arial"/>
                <w:sz w:val="16"/>
                <w:szCs w:val="16"/>
                <w:color w:val="auto"/>
              </w:rPr>
              <w:t>5/19/2020</w:t>
            </w:r>
          </w:p>
        </w:tc>
        <w:tc>
          <w:tcPr>
            <w:tcW w:w="2620" w:type="dxa"/>
            <w:vAlign w:val="bottom"/>
          </w:tcPr>
          <w:p>
            <w:pPr>
              <w:jc w:val="right"/>
              <w:ind w:right="183"/>
              <w:spacing w:after="0"/>
              <w:rPr>
                <w:sz w:val="20"/>
                <w:szCs w:val="20"/>
                <w:color w:val="auto"/>
              </w:rPr>
            </w:pPr>
            <w:r>
              <w:rPr>
                <w:rFonts w:ascii="Arial" w:cs="Arial" w:eastAsia="Arial" w:hAnsi="Arial"/>
                <w:sz w:val="16"/>
                <w:szCs w:val="16"/>
                <w:color w:val="auto"/>
              </w:rPr>
              <w:t>0.48%</w:t>
            </w:r>
          </w:p>
        </w:tc>
        <w:tc>
          <w:tcPr>
            <w:tcW w:w="1580" w:type="dxa"/>
            <w:vAlign w:val="bottom"/>
          </w:tcPr>
          <w:p>
            <w:pPr>
              <w:ind w:left="640"/>
              <w:spacing w:after="0"/>
              <w:rPr>
                <w:sz w:val="20"/>
                <w:szCs w:val="20"/>
                <w:color w:val="auto"/>
              </w:rPr>
            </w:pPr>
            <w:r>
              <w:rPr>
                <w:rFonts w:ascii="Arial" w:cs="Arial" w:eastAsia="Arial" w:hAnsi="Arial"/>
                <w:sz w:val="16"/>
                <w:szCs w:val="16"/>
                <w:color w:val="auto"/>
              </w:rPr>
              <w:t>6.4 years</w:t>
            </w:r>
          </w:p>
        </w:tc>
        <w:tc>
          <w:tcPr>
            <w:tcW w:w="1480" w:type="dxa"/>
            <w:vAlign w:val="bottom"/>
          </w:tcPr>
          <w:p>
            <w:pPr>
              <w:jc w:val="right"/>
              <w:ind w:right="103"/>
              <w:spacing w:after="0"/>
              <w:rPr>
                <w:sz w:val="20"/>
                <w:szCs w:val="20"/>
                <w:color w:val="auto"/>
              </w:rPr>
            </w:pPr>
            <w:r>
              <w:rPr>
                <w:rFonts w:ascii="Arial" w:cs="Arial" w:eastAsia="Arial" w:hAnsi="Arial"/>
                <w:sz w:val="16"/>
                <w:szCs w:val="16"/>
                <w:color w:val="auto"/>
              </w:rPr>
              <w:t>22.61%</w:t>
            </w:r>
          </w:p>
        </w:tc>
        <w:tc>
          <w:tcPr>
            <w:tcW w:w="1560" w:type="dxa"/>
            <w:vAlign w:val="bottom"/>
          </w:tcPr>
          <w:p>
            <w:pPr>
              <w:jc w:val="right"/>
              <w:ind w:right="103"/>
              <w:spacing w:after="0"/>
              <w:rPr>
                <w:sz w:val="20"/>
                <w:szCs w:val="20"/>
                <w:color w:val="auto"/>
              </w:rPr>
            </w:pPr>
            <w:r>
              <w:rPr>
                <w:rFonts w:ascii="Arial" w:cs="Arial" w:eastAsia="Arial" w:hAnsi="Arial"/>
                <w:sz w:val="16"/>
                <w:szCs w:val="16"/>
                <w:color w:val="auto"/>
              </w:rPr>
              <w:t>1.20%</w:t>
            </w:r>
          </w:p>
        </w:tc>
        <w:tc>
          <w:tcPr>
            <w:tcW w:w="1400" w:type="dxa"/>
            <w:vAlign w:val="bottom"/>
          </w:tcPr>
          <w:p>
            <w:pPr>
              <w:jc w:val="right"/>
              <w:spacing w:after="0"/>
              <w:rPr>
                <w:sz w:val="20"/>
                <w:szCs w:val="20"/>
                <w:color w:val="auto"/>
              </w:rPr>
            </w:pPr>
            <w:r>
              <w:rPr>
                <w:rFonts w:ascii="Arial" w:cs="Arial" w:eastAsia="Arial" w:hAnsi="Arial"/>
                <w:sz w:val="16"/>
                <w:szCs w:val="16"/>
                <w:color w:val="auto"/>
              </w:rPr>
              <w:t>$12.65</w:t>
            </w:r>
          </w:p>
        </w:tc>
      </w:tr>
      <w:tr>
        <w:trPr>
          <w:trHeight w:val="201"/>
        </w:trPr>
        <w:tc>
          <w:tcPr>
            <w:tcW w:w="2140" w:type="dxa"/>
            <w:vAlign w:val="bottom"/>
            <w:shd w:val="clear" w:color="auto" w:fill="D9D9D9"/>
          </w:tcPr>
          <w:p>
            <w:pPr>
              <w:spacing w:after="0"/>
              <w:rPr>
                <w:sz w:val="20"/>
                <w:szCs w:val="20"/>
                <w:color w:val="auto"/>
              </w:rPr>
            </w:pPr>
            <w:r>
              <w:rPr>
                <w:rFonts w:ascii="Arial" w:cs="Arial" w:eastAsia="Arial" w:hAnsi="Arial"/>
                <w:sz w:val="16"/>
                <w:szCs w:val="16"/>
                <w:color w:val="auto"/>
              </w:rPr>
              <w:t>12/19/2019</w:t>
            </w:r>
          </w:p>
        </w:tc>
        <w:tc>
          <w:tcPr>
            <w:tcW w:w="2620" w:type="dxa"/>
            <w:vAlign w:val="bottom"/>
            <w:shd w:val="clear" w:color="auto" w:fill="D9D9D9"/>
          </w:tcPr>
          <w:p>
            <w:pPr>
              <w:jc w:val="right"/>
              <w:ind w:right="183"/>
              <w:spacing w:after="0"/>
              <w:rPr>
                <w:sz w:val="20"/>
                <w:szCs w:val="20"/>
                <w:color w:val="auto"/>
              </w:rPr>
            </w:pPr>
            <w:r>
              <w:rPr>
                <w:rFonts w:ascii="Arial" w:cs="Arial" w:eastAsia="Arial" w:hAnsi="Arial"/>
                <w:sz w:val="16"/>
                <w:szCs w:val="16"/>
                <w:color w:val="auto"/>
              </w:rPr>
              <w:t>1.81%</w:t>
            </w:r>
          </w:p>
        </w:tc>
        <w:tc>
          <w:tcPr>
            <w:tcW w:w="1580" w:type="dxa"/>
            <w:vAlign w:val="bottom"/>
            <w:shd w:val="clear" w:color="auto" w:fill="D9D9D9"/>
          </w:tcPr>
          <w:p>
            <w:pPr>
              <w:ind w:left="640"/>
              <w:spacing w:after="0"/>
              <w:rPr>
                <w:sz w:val="20"/>
                <w:szCs w:val="20"/>
                <w:color w:val="auto"/>
              </w:rPr>
            </w:pPr>
            <w:r>
              <w:rPr>
                <w:rFonts w:ascii="Arial" w:cs="Arial" w:eastAsia="Arial" w:hAnsi="Arial"/>
                <w:sz w:val="16"/>
                <w:szCs w:val="16"/>
                <w:color w:val="auto"/>
              </w:rPr>
              <w:t>6.5 years</w:t>
            </w:r>
          </w:p>
        </w:tc>
        <w:tc>
          <w:tcPr>
            <w:tcW w:w="1480" w:type="dxa"/>
            <w:vAlign w:val="bottom"/>
            <w:shd w:val="clear" w:color="auto" w:fill="D9D9D9"/>
          </w:tcPr>
          <w:p>
            <w:pPr>
              <w:jc w:val="right"/>
              <w:ind w:right="103"/>
              <w:spacing w:after="0"/>
              <w:rPr>
                <w:sz w:val="20"/>
                <w:szCs w:val="20"/>
                <w:color w:val="auto"/>
              </w:rPr>
            </w:pPr>
            <w:r>
              <w:rPr>
                <w:rFonts w:ascii="Arial" w:cs="Arial" w:eastAsia="Arial" w:hAnsi="Arial"/>
                <w:sz w:val="16"/>
                <w:szCs w:val="16"/>
                <w:color w:val="auto"/>
              </w:rPr>
              <w:t>19.37%</w:t>
            </w:r>
          </w:p>
        </w:tc>
        <w:tc>
          <w:tcPr>
            <w:tcW w:w="1560" w:type="dxa"/>
            <w:vAlign w:val="bottom"/>
            <w:shd w:val="clear" w:color="auto" w:fill="D9D9D9"/>
          </w:tcPr>
          <w:p>
            <w:pPr>
              <w:jc w:val="right"/>
              <w:ind w:right="103"/>
              <w:spacing w:after="0"/>
              <w:rPr>
                <w:sz w:val="20"/>
                <w:szCs w:val="20"/>
                <w:color w:val="auto"/>
              </w:rPr>
            </w:pPr>
            <w:r>
              <w:rPr>
                <w:rFonts w:ascii="Arial" w:cs="Arial" w:eastAsia="Arial" w:hAnsi="Arial"/>
                <w:sz w:val="16"/>
                <w:szCs w:val="16"/>
                <w:color w:val="auto"/>
              </w:rPr>
              <w:t>0.97%</w:t>
            </w:r>
          </w:p>
        </w:tc>
        <w:tc>
          <w:tcPr>
            <w:tcW w:w="14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$15.62</w:t>
            </w:r>
          </w:p>
        </w:tc>
      </w:tr>
      <w:tr>
        <w:trPr>
          <w:trHeight w:val="201"/>
        </w:trPr>
        <w:tc>
          <w:tcPr>
            <w:tcW w:w="2140" w:type="dxa"/>
            <w:vAlign w:val="bottom"/>
          </w:tcPr>
          <w:p>
            <w:pPr>
              <w:spacing w:after="0"/>
              <w:rPr>
                <w:sz w:val="20"/>
                <w:szCs w:val="20"/>
                <w:color w:val="auto"/>
              </w:rPr>
            </w:pPr>
            <w:r>
              <w:rPr>
                <w:rFonts w:ascii="Arial" w:cs="Arial" w:eastAsia="Arial" w:hAnsi="Arial"/>
                <w:sz w:val="16"/>
                <w:szCs w:val="16"/>
                <w:color w:val="auto"/>
              </w:rPr>
              <w:t>12/07/2018</w:t>
            </w:r>
          </w:p>
        </w:tc>
        <w:tc>
          <w:tcPr>
            <w:tcW w:w="2620" w:type="dxa"/>
            <w:vAlign w:val="bottom"/>
          </w:tcPr>
          <w:p>
            <w:pPr>
              <w:jc w:val="right"/>
              <w:ind w:right="183"/>
              <w:spacing w:after="0"/>
              <w:rPr>
                <w:sz w:val="20"/>
                <w:szCs w:val="20"/>
                <w:color w:val="auto"/>
              </w:rPr>
            </w:pPr>
            <w:r>
              <w:rPr>
                <w:rFonts w:ascii="Arial" w:cs="Arial" w:eastAsia="Arial" w:hAnsi="Arial"/>
                <w:sz w:val="16"/>
                <w:szCs w:val="16"/>
                <w:color w:val="auto"/>
              </w:rPr>
              <w:t>2.72%</w:t>
            </w:r>
          </w:p>
        </w:tc>
        <w:tc>
          <w:tcPr>
            <w:tcW w:w="1580" w:type="dxa"/>
            <w:vAlign w:val="bottom"/>
          </w:tcPr>
          <w:p>
            <w:pPr>
              <w:ind w:left="640"/>
              <w:spacing w:after="0"/>
              <w:rPr>
                <w:sz w:val="20"/>
                <w:szCs w:val="20"/>
                <w:color w:val="auto"/>
              </w:rPr>
            </w:pPr>
            <w:r>
              <w:rPr>
                <w:rFonts w:ascii="Arial" w:cs="Arial" w:eastAsia="Arial" w:hAnsi="Arial"/>
                <w:sz w:val="16"/>
                <w:szCs w:val="16"/>
                <w:color w:val="auto"/>
              </w:rPr>
              <w:t>5.7 years</w:t>
            </w:r>
          </w:p>
        </w:tc>
        <w:tc>
          <w:tcPr>
            <w:tcW w:w="1480" w:type="dxa"/>
            <w:vAlign w:val="bottom"/>
          </w:tcPr>
          <w:p>
            <w:pPr>
              <w:jc w:val="right"/>
              <w:ind w:right="103"/>
              <w:spacing w:after="0"/>
              <w:rPr>
                <w:sz w:val="20"/>
                <w:szCs w:val="20"/>
                <w:color w:val="auto"/>
              </w:rPr>
            </w:pPr>
            <w:r>
              <w:rPr>
                <w:rFonts w:ascii="Arial" w:cs="Arial" w:eastAsia="Arial" w:hAnsi="Arial"/>
                <w:sz w:val="16"/>
                <w:szCs w:val="16"/>
                <w:color w:val="auto"/>
              </w:rPr>
              <w:t>19.35%</w:t>
            </w:r>
          </w:p>
        </w:tc>
        <w:tc>
          <w:tcPr>
            <w:tcW w:w="1560" w:type="dxa"/>
            <w:vAlign w:val="bottom"/>
          </w:tcPr>
          <w:p>
            <w:pPr>
              <w:jc w:val="right"/>
              <w:ind w:right="103"/>
              <w:spacing w:after="0"/>
              <w:rPr>
                <w:sz w:val="20"/>
                <w:szCs w:val="20"/>
                <w:color w:val="auto"/>
              </w:rPr>
            </w:pPr>
            <w:r>
              <w:rPr>
                <w:rFonts w:ascii="Arial" w:cs="Arial" w:eastAsia="Arial" w:hAnsi="Arial"/>
                <w:sz w:val="16"/>
                <w:szCs w:val="16"/>
                <w:color w:val="auto"/>
              </w:rPr>
              <w:t>1.19%</w:t>
            </w:r>
          </w:p>
        </w:tc>
        <w:tc>
          <w:tcPr>
            <w:tcW w:w="1400" w:type="dxa"/>
            <w:vAlign w:val="bottom"/>
          </w:tcPr>
          <w:p>
            <w:pPr>
              <w:jc w:val="right"/>
              <w:spacing w:after="0"/>
              <w:rPr>
                <w:sz w:val="20"/>
                <w:szCs w:val="20"/>
                <w:color w:val="auto"/>
              </w:rPr>
            </w:pPr>
            <w:r>
              <w:rPr>
                <w:rFonts w:ascii="Arial" w:cs="Arial" w:eastAsia="Arial" w:hAnsi="Arial"/>
                <w:sz w:val="16"/>
                <w:szCs w:val="16"/>
                <w:color w:val="auto"/>
              </w:rPr>
              <w:t>$12.01</w:t>
            </w:r>
          </w:p>
        </w:tc>
      </w:tr>
      <w:tr>
        <w:trPr>
          <w:trHeight w:val="201"/>
        </w:trPr>
        <w:tc>
          <w:tcPr>
            <w:tcW w:w="2140" w:type="dxa"/>
            <w:vAlign w:val="bottom"/>
            <w:shd w:val="clear" w:color="auto" w:fill="D9D9D9"/>
          </w:tcPr>
          <w:p>
            <w:pPr>
              <w:spacing w:after="0"/>
              <w:rPr>
                <w:sz w:val="20"/>
                <w:szCs w:val="20"/>
                <w:color w:val="auto"/>
              </w:rPr>
            </w:pPr>
            <w:r>
              <w:rPr>
                <w:rFonts w:ascii="Arial" w:cs="Arial" w:eastAsia="Arial" w:hAnsi="Arial"/>
                <w:sz w:val="16"/>
                <w:szCs w:val="16"/>
                <w:color w:val="auto"/>
              </w:rPr>
              <w:t>12/08/2017</w:t>
            </w:r>
          </w:p>
        </w:tc>
        <w:tc>
          <w:tcPr>
            <w:tcW w:w="2620" w:type="dxa"/>
            <w:vAlign w:val="bottom"/>
            <w:shd w:val="clear" w:color="auto" w:fill="D9D9D9"/>
          </w:tcPr>
          <w:p>
            <w:pPr>
              <w:jc w:val="right"/>
              <w:ind w:right="183"/>
              <w:spacing w:after="0"/>
              <w:rPr>
                <w:sz w:val="20"/>
                <w:szCs w:val="20"/>
                <w:color w:val="auto"/>
              </w:rPr>
            </w:pPr>
            <w:r>
              <w:rPr>
                <w:rFonts w:ascii="Arial" w:cs="Arial" w:eastAsia="Arial" w:hAnsi="Arial"/>
                <w:sz w:val="16"/>
                <w:szCs w:val="16"/>
                <w:color w:val="auto"/>
              </w:rPr>
              <w:t>2.24%</w:t>
            </w:r>
          </w:p>
        </w:tc>
        <w:tc>
          <w:tcPr>
            <w:tcW w:w="1580" w:type="dxa"/>
            <w:vAlign w:val="bottom"/>
            <w:shd w:val="clear" w:color="auto" w:fill="D9D9D9"/>
          </w:tcPr>
          <w:p>
            <w:pPr>
              <w:ind w:left="640"/>
              <w:spacing w:after="0"/>
              <w:rPr>
                <w:sz w:val="20"/>
                <w:szCs w:val="20"/>
                <w:color w:val="auto"/>
              </w:rPr>
            </w:pPr>
            <w:r>
              <w:rPr>
                <w:rFonts w:ascii="Arial" w:cs="Arial" w:eastAsia="Arial" w:hAnsi="Arial"/>
                <w:sz w:val="16"/>
                <w:szCs w:val="16"/>
                <w:color w:val="auto"/>
              </w:rPr>
              <w:t>6.3 years</w:t>
            </w:r>
          </w:p>
        </w:tc>
        <w:tc>
          <w:tcPr>
            <w:tcW w:w="1480" w:type="dxa"/>
            <w:vAlign w:val="bottom"/>
            <w:shd w:val="clear" w:color="auto" w:fill="D9D9D9"/>
          </w:tcPr>
          <w:p>
            <w:pPr>
              <w:jc w:val="right"/>
              <w:ind w:right="103"/>
              <w:spacing w:after="0"/>
              <w:rPr>
                <w:sz w:val="20"/>
                <w:szCs w:val="20"/>
                <w:color w:val="auto"/>
              </w:rPr>
            </w:pPr>
            <w:r>
              <w:rPr>
                <w:rFonts w:ascii="Arial" w:cs="Arial" w:eastAsia="Arial" w:hAnsi="Arial"/>
                <w:sz w:val="16"/>
                <w:szCs w:val="16"/>
                <w:color w:val="auto"/>
              </w:rPr>
              <w:t>21.07%</w:t>
            </w:r>
          </w:p>
        </w:tc>
        <w:tc>
          <w:tcPr>
            <w:tcW w:w="1560" w:type="dxa"/>
            <w:vAlign w:val="bottom"/>
            <w:shd w:val="clear" w:color="auto" w:fill="D9D9D9"/>
          </w:tcPr>
          <w:p>
            <w:pPr>
              <w:jc w:val="right"/>
              <w:ind w:right="103"/>
              <w:spacing w:after="0"/>
              <w:rPr>
                <w:sz w:val="20"/>
                <w:szCs w:val="20"/>
                <w:color w:val="auto"/>
              </w:rPr>
            </w:pPr>
            <w:r>
              <w:rPr>
                <w:rFonts w:ascii="Arial" w:cs="Arial" w:eastAsia="Arial" w:hAnsi="Arial"/>
                <w:sz w:val="16"/>
                <w:szCs w:val="16"/>
                <w:color w:val="auto"/>
              </w:rPr>
              <w:t>0.96%</w:t>
            </w:r>
          </w:p>
        </w:tc>
        <w:tc>
          <w:tcPr>
            <w:tcW w:w="14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$14.96</w:t>
            </w:r>
          </w:p>
        </w:tc>
      </w:tr>
    </w:tbl>
    <w:p>
      <w:pPr>
        <w:spacing w:after="0" w:line="53" w:lineRule="exact"/>
        <w:rPr>
          <w:sz w:val="20"/>
          <w:szCs w:val="20"/>
          <w:color w:val="auto"/>
        </w:rPr>
      </w:pPr>
    </w:p>
    <w:p>
      <w:pPr>
        <w:ind w:left="400" w:right="260" w:hanging="393"/>
        <w:spacing w:after="0" w:line="236" w:lineRule="auto"/>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reported represent annual cash incentive awards earned for each fiscal year, but paid during the following fiscal year or deferred. Annual cash incentive awards are calculated and paid based on performance against financial performance goals. Additional detail regarding our annual cash incentives is set forth in the “Annual Cash Incentives—Actual Cash Compensation Discussion and Analysis” beginning on page 38.</w:t>
      </w:r>
    </w:p>
    <w:p>
      <w:pPr>
        <w:spacing w:after="0" w:line="84" w:lineRule="exact"/>
        <w:rPr>
          <w:rFonts w:ascii="Arial" w:cs="Arial" w:eastAsia="Arial" w:hAnsi="Arial"/>
          <w:sz w:val="18"/>
          <w:szCs w:val="18"/>
          <w:color w:val="auto"/>
        </w:rPr>
      </w:pPr>
    </w:p>
    <w:p>
      <w:pPr>
        <w:ind w:left="400" w:hanging="393"/>
        <w:spacing w:after="0"/>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for fiscal 2020 are set forth below under “All Other Compensation for Fiscal 2020.”</w:t>
      </w:r>
    </w:p>
    <w:p>
      <w:pPr>
        <w:spacing w:after="0" w:line="87" w:lineRule="exact"/>
        <w:rPr>
          <w:rFonts w:ascii="Arial" w:cs="Arial" w:eastAsia="Arial" w:hAnsi="Arial"/>
          <w:sz w:val="18"/>
          <w:szCs w:val="18"/>
          <w:color w:val="auto"/>
        </w:rPr>
      </w:pPr>
    </w:p>
    <w:p>
      <w:pPr>
        <w:ind w:left="400" w:hanging="393"/>
        <w:spacing w:after="0"/>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Rodier was not a named executive officer in fiscal 2018; therefore, his information is provided only for fiscal 2019 and fiscal 2020.</w:t>
      </w:r>
    </w:p>
    <w:p>
      <w:pPr>
        <w:spacing w:after="0" w:line="47" w:lineRule="exact"/>
        <w:rPr>
          <w:rFonts w:ascii="Arial" w:cs="Arial" w:eastAsia="Arial" w:hAnsi="Arial"/>
          <w:sz w:val="18"/>
          <w:szCs w:val="18"/>
          <w:color w:val="auto"/>
        </w:rPr>
      </w:pPr>
    </w:p>
    <w:p>
      <w:pPr>
        <w:ind w:left="400" w:hanging="393"/>
        <w:spacing w:after="0"/>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Ms. Dahl was not a named executive officer in fiscal 2018 and fiscal 2019; therefore, her information is provided only for fiscal 2020.</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F0000"/>
        </w:rPr>
        <w:t>All Other Compensation for Fiscal 2020</w:t>
      </w:r>
    </w:p>
    <w:p>
      <w:pPr>
        <w:spacing w:after="0" w:line="118" w:lineRule="exact"/>
        <w:rPr>
          <w:sz w:val="20"/>
          <w:szCs w:val="20"/>
          <w:color w:val="auto"/>
        </w:rPr>
      </w:pPr>
    </w:p>
    <w:p>
      <w:pPr>
        <w:ind w:right="520" w:firstLine="401"/>
        <w:spacing w:after="0" w:line="238" w:lineRule="auto"/>
        <w:rPr>
          <w:sz w:val="20"/>
          <w:szCs w:val="20"/>
          <w:color w:val="auto"/>
        </w:rPr>
      </w:pPr>
      <w:r>
        <w:rPr>
          <w:rFonts w:ascii="Arial" w:cs="Arial" w:eastAsia="Arial" w:hAnsi="Arial"/>
          <w:sz w:val="18"/>
          <w:szCs w:val="18"/>
          <w:color w:val="auto"/>
        </w:rPr>
        <w:t>All other compensation for fiscal 2020 includes the value of Company contributions to our retirement plan(s), the value of modest perquisites provided and the matching portion by the Company for charitable donations by our named executive officers, all of which are described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2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Element</w:t>
            </w:r>
          </w:p>
        </w:tc>
        <w:tc>
          <w:tcPr>
            <w:tcW w:w="10000" w:type="dxa"/>
            <w:vAlign w:val="bottom"/>
            <w:shd w:val="clear" w:color="auto" w:fill="C00000"/>
          </w:tcPr>
          <w:p>
            <w:pPr>
              <w:ind w:left="4900"/>
              <w:spacing w:after="0"/>
              <w:rPr>
                <w:sz w:val="20"/>
                <w:szCs w:val="20"/>
                <w:color w:val="auto"/>
              </w:rPr>
            </w:pPr>
            <w:r>
              <w:rPr>
                <w:rFonts w:ascii="Arial" w:cs="Arial" w:eastAsia="Arial" w:hAnsi="Arial"/>
                <w:sz w:val="14"/>
                <w:szCs w:val="14"/>
                <w:b w:val="1"/>
                <w:bCs w:val="1"/>
                <w:color w:val="FFFFFF"/>
              </w:rPr>
              <w:t>Description</w:t>
            </w:r>
          </w:p>
        </w:tc>
        <w:tc>
          <w:tcPr>
            <w:tcW w:w="20" w:type="dxa"/>
            <w:vAlign w:val="bottom"/>
          </w:tcPr>
          <w:p>
            <w:pPr>
              <w:spacing w:after="0"/>
              <w:rPr>
                <w:sz w:val="17"/>
                <w:szCs w:val="17"/>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6"/>
                <w:szCs w:val="16"/>
                <w:color w:val="auto"/>
              </w:rPr>
              <w:t>Retirement</w:t>
            </w:r>
          </w:p>
        </w:tc>
        <w:tc>
          <w:tcPr>
            <w:tcW w:w="10000" w:type="dxa"/>
            <w:vAlign w:val="bottom"/>
          </w:tcPr>
          <w:p>
            <w:pPr>
              <w:ind w:left="460"/>
              <w:spacing w:after="0"/>
              <w:rPr>
                <w:sz w:val="20"/>
                <w:szCs w:val="20"/>
                <w:color w:val="auto"/>
              </w:rPr>
            </w:pPr>
            <w:r>
              <w:rPr>
                <w:rFonts w:ascii="Arial" w:cs="Arial" w:eastAsia="Arial" w:hAnsi="Arial"/>
                <w:sz w:val="16"/>
                <w:szCs w:val="16"/>
                <w:color w:val="auto"/>
              </w:rPr>
              <w:t>Under our Retirement Plan in calendar year 2020, we matched $1.00 for each employee dollar contribution, up to an employee</w:t>
            </w:r>
          </w:p>
        </w:tc>
        <w:tc>
          <w:tcPr>
            <w:tcW w:w="20" w:type="dxa"/>
            <w:vAlign w:val="bottom"/>
          </w:tcPr>
          <w:p>
            <w:pPr>
              <w:spacing w:after="0"/>
              <w:rPr>
                <w:sz w:val="19"/>
                <w:szCs w:val="19"/>
                <w:color w:val="auto"/>
              </w:rPr>
            </w:pPr>
          </w:p>
        </w:tc>
      </w:tr>
      <w:tr>
        <w:trPr>
          <w:trHeight w:val="188"/>
        </w:trPr>
        <w:tc>
          <w:tcPr>
            <w:tcW w:w="1240" w:type="dxa"/>
            <w:vAlign w:val="bottom"/>
          </w:tcPr>
          <w:p>
            <w:pPr>
              <w:spacing w:after="0"/>
              <w:rPr>
                <w:sz w:val="20"/>
                <w:szCs w:val="20"/>
                <w:color w:val="auto"/>
              </w:rPr>
            </w:pPr>
            <w:r>
              <w:rPr>
                <w:rFonts w:ascii="Arial" w:cs="Arial" w:eastAsia="Arial" w:hAnsi="Arial"/>
                <w:sz w:val="16"/>
                <w:szCs w:val="16"/>
                <w:color w:val="auto"/>
              </w:rPr>
              <w:t>Benefits</w:t>
            </w:r>
          </w:p>
        </w:tc>
        <w:tc>
          <w:tcPr>
            <w:tcW w:w="10000" w:type="dxa"/>
            <w:vAlign w:val="bottom"/>
          </w:tcPr>
          <w:p>
            <w:pPr>
              <w:ind w:left="460"/>
              <w:spacing w:after="0"/>
              <w:rPr>
                <w:sz w:val="20"/>
                <w:szCs w:val="20"/>
                <w:color w:val="auto"/>
              </w:rPr>
            </w:pPr>
            <w:r>
              <w:rPr>
                <w:rFonts w:ascii="Arial" w:cs="Arial" w:eastAsia="Arial" w:hAnsi="Arial"/>
                <w:sz w:val="16"/>
                <w:szCs w:val="16"/>
                <w:color w:val="auto"/>
              </w:rPr>
              <w:t>maximum of 4%. Additionally, the Company may make a discretionary investment fund contribution, however, no such contribution</w:t>
            </w:r>
          </w:p>
        </w:tc>
        <w:tc>
          <w:tcPr>
            <w:tcW w:w="20" w:type="dxa"/>
            <w:vAlign w:val="bottom"/>
          </w:tcPr>
          <w:p>
            <w:pPr>
              <w:spacing w:after="0"/>
              <w:rPr>
                <w:sz w:val="16"/>
                <w:szCs w:val="16"/>
                <w:color w:val="auto"/>
              </w:rPr>
            </w:pPr>
          </w:p>
        </w:tc>
      </w:tr>
      <w:tr>
        <w:trPr>
          <w:trHeight w:val="188"/>
        </w:trPr>
        <w:tc>
          <w:tcPr>
            <w:tcW w:w="1240" w:type="dxa"/>
            <w:vAlign w:val="bottom"/>
          </w:tcPr>
          <w:p>
            <w:pPr>
              <w:spacing w:after="0"/>
              <w:rPr>
                <w:sz w:val="16"/>
                <w:szCs w:val="16"/>
                <w:color w:val="auto"/>
              </w:rPr>
            </w:pPr>
          </w:p>
        </w:tc>
        <w:tc>
          <w:tcPr>
            <w:tcW w:w="10000" w:type="dxa"/>
            <w:vAlign w:val="bottom"/>
          </w:tcPr>
          <w:p>
            <w:pPr>
              <w:ind w:left="460"/>
              <w:spacing w:after="0"/>
              <w:rPr>
                <w:sz w:val="20"/>
                <w:szCs w:val="20"/>
                <w:color w:val="auto"/>
              </w:rPr>
            </w:pPr>
            <w:r>
              <w:rPr>
                <w:rFonts w:ascii="Arial" w:cs="Arial" w:eastAsia="Arial" w:hAnsi="Arial"/>
                <w:sz w:val="16"/>
                <w:szCs w:val="16"/>
                <w:color w:val="auto"/>
              </w:rPr>
              <w:t>was made for fiscal 2020 to partially offset the impact of the COVID-19 pandemic. Employees are eligible to participate in the plan and</w:t>
            </w:r>
          </w:p>
        </w:tc>
        <w:tc>
          <w:tcPr>
            <w:tcW w:w="20" w:type="dxa"/>
            <w:vAlign w:val="bottom"/>
          </w:tcPr>
          <w:p>
            <w:pPr>
              <w:spacing w:after="0"/>
              <w:rPr>
                <w:sz w:val="16"/>
                <w:szCs w:val="16"/>
                <w:color w:val="auto"/>
              </w:rPr>
            </w:pPr>
          </w:p>
        </w:tc>
      </w:tr>
      <w:tr>
        <w:trPr>
          <w:trHeight w:val="188"/>
        </w:trPr>
        <w:tc>
          <w:tcPr>
            <w:tcW w:w="1240" w:type="dxa"/>
            <w:vAlign w:val="bottom"/>
          </w:tcPr>
          <w:p>
            <w:pPr>
              <w:spacing w:after="0"/>
              <w:rPr>
                <w:sz w:val="16"/>
                <w:szCs w:val="16"/>
                <w:color w:val="auto"/>
              </w:rPr>
            </w:pPr>
          </w:p>
        </w:tc>
        <w:tc>
          <w:tcPr>
            <w:tcW w:w="10000" w:type="dxa"/>
            <w:vAlign w:val="bottom"/>
          </w:tcPr>
          <w:p>
            <w:pPr>
              <w:ind w:left="460"/>
              <w:spacing w:after="0"/>
              <w:rPr>
                <w:sz w:val="20"/>
                <w:szCs w:val="20"/>
                <w:color w:val="auto"/>
              </w:rPr>
            </w:pPr>
            <w:r>
              <w:rPr>
                <w:rFonts w:ascii="Arial" w:cs="Arial" w:eastAsia="Arial" w:hAnsi="Arial"/>
                <w:sz w:val="16"/>
                <w:szCs w:val="16"/>
                <w:color w:val="auto"/>
              </w:rPr>
              <w:t>receive company contributions, after 30 days of service. For certain employees whose compensation exceeds the IRS limit, we also</w:t>
            </w:r>
          </w:p>
        </w:tc>
        <w:tc>
          <w:tcPr>
            <w:tcW w:w="20" w:type="dxa"/>
            <w:vAlign w:val="bottom"/>
          </w:tcPr>
          <w:p>
            <w:pPr>
              <w:spacing w:after="0"/>
              <w:rPr>
                <w:sz w:val="16"/>
                <w:szCs w:val="16"/>
                <w:color w:val="auto"/>
              </w:rPr>
            </w:pPr>
          </w:p>
        </w:tc>
      </w:tr>
      <w:tr>
        <w:trPr>
          <w:trHeight w:val="188"/>
        </w:trPr>
        <w:tc>
          <w:tcPr>
            <w:tcW w:w="1240" w:type="dxa"/>
            <w:vAlign w:val="bottom"/>
          </w:tcPr>
          <w:p>
            <w:pPr>
              <w:spacing w:after="0"/>
              <w:rPr>
                <w:sz w:val="16"/>
                <w:szCs w:val="16"/>
                <w:color w:val="auto"/>
              </w:rPr>
            </w:pPr>
          </w:p>
        </w:tc>
        <w:tc>
          <w:tcPr>
            <w:tcW w:w="10000" w:type="dxa"/>
            <w:vAlign w:val="bottom"/>
          </w:tcPr>
          <w:p>
            <w:pPr>
              <w:ind w:left="460"/>
              <w:spacing w:after="0"/>
              <w:rPr>
                <w:sz w:val="20"/>
                <w:szCs w:val="20"/>
                <w:color w:val="auto"/>
              </w:rPr>
            </w:pPr>
            <w:r>
              <w:rPr>
                <w:rFonts w:ascii="Arial" w:cs="Arial" w:eastAsia="Arial" w:hAnsi="Arial"/>
                <w:sz w:val="16"/>
                <w:szCs w:val="16"/>
                <w:color w:val="auto"/>
              </w:rPr>
              <w:t>provide a contribution into our nonqualified deferred compensation plans, the Supplemental Benefit Plan or the Deferred Plan, as</w:t>
            </w:r>
          </w:p>
        </w:tc>
        <w:tc>
          <w:tcPr>
            <w:tcW w:w="20" w:type="dxa"/>
            <w:vAlign w:val="bottom"/>
          </w:tcPr>
          <w:p>
            <w:pPr>
              <w:spacing w:after="0"/>
              <w:rPr>
                <w:sz w:val="16"/>
                <w:szCs w:val="16"/>
                <w:color w:val="auto"/>
              </w:rPr>
            </w:pPr>
          </w:p>
        </w:tc>
      </w:tr>
      <w:tr>
        <w:trPr>
          <w:trHeight w:val="188"/>
        </w:trPr>
        <w:tc>
          <w:tcPr>
            <w:tcW w:w="1240" w:type="dxa"/>
            <w:vAlign w:val="bottom"/>
          </w:tcPr>
          <w:p>
            <w:pPr>
              <w:spacing w:after="0"/>
              <w:rPr>
                <w:sz w:val="16"/>
                <w:szCs w:val="16"/>
                <w:color w:val="auto"/>
              </w:rPr>
            </w:pPr>
          </w:p>
        </w:tc>
        <w:tc>
          <w:tcPr>
            <w:tcW w:w="10000" w:type="dxa"/>
            <w:vAlign w:val="bottom"/>
          </w:tcPr>
          <w:p>
            <w:pPr>
              <w:ind w:left="460"/>
              <w:spacing w:after="0"/>
              <w:rPr>
                <w:sz w:val="20"/>
                <w:szCs w:val="20"/>
                <w:color w:val="auto"/>
              </w:rPr>
            </w:pPr>
            <w:r>
              <w:rPr>
                <w:rFonts w:ascii="Arial" w:cs="Arial" w:eastAsia="Arial" w:hAnsi="Arial"/>
                <w:sz w:val="16"/>
                <w:szCs w:val="16"/>
                <w:color w:val="auto"/>
              </w:rPr>
              <w:t>applicable. Our nonqualified deferred compensation plans are described under “Nonqualified Deferred Compensation for Fiscal 2020”</w:t>
            </w:r>
          </w:p>
        </w:tc>
        <w:tc>
          <w:tcPr>
            <w:tcW w:w="20" w:type="dxa"/>
            <w:vAlign w:val="bottom"/>
          </w:tcPr>
          <w:p>
            <w:pPr>
              <w:spacing w:after="0"/>
              <w:rPr>
                <w:sz w:val="16"/>
                <w:szCs w:val="16"/>
                <w:color w:val="auto"/>
              </w:rPr>
            </w:pPr>
          </w:p>
        </w:tc>
      </w:tr>
      <w:tr>
        <w:trPr>
          <w:trHeight w:val="194"/>
        </w:trPr>
        <w:tc>
          <w:tcPr>
            <w:tcW w:w="1240" w:type="dxa"/>
            <w:vAlign w:val="bottom"/>
          </w:tcPr>
          <w:p>
            <w:pPr>
              <w:spacing w:after="0"/>
              <w:rPr>
                <w:sz w:val="16"/>
                <w:szCs w:val="16"/>
                <w:color w:val="auto"/>
              </w:rPr>
            </w:pPr>
          </w:p>
        </w:tc>
        <w:tc>
          <w:tcPr>
            <w:tcW w:w="10000" w:type="dxa"/>
            <w:vAlign w:val="bottom"/>
          </w:tcPr>
          <w:p>
            <w:pPr>
              <w:ind w:left="460"/>
              <w:spacing w:after="0"/>
              <w:rPr>
                <w:sz w:val="20"/>
                <w:szCs w:val="20"/>
                <w:color w:val="auto"/>
              </w:rPr>
            </w:pPr>
            <w:r>
              <w:rPr>
                <w:rFonts w:ascii="Arial" w:cs="Arial" w:eastAsia="Arial" w:hAnsi="Arial"/>
                <w:sz w:val="16"/>
                <w:szCs w:val="16"/>
                <w:color w:val="auto"/>
              </w:rPr>
              <w:t>on page 51.</w:t>
            </w:r>
          </w:p>
        </w:tc>
        <w:tc>
          <w:tcPr>
            <w:tcW w:w="20" w:type="dxa"/>
            <w:vAlign w:val="bottom"/>
          </w:tcPr>
          <w:p>
            <w:pPr>
              <w:spacing w:after="0"/>
              <w:rPr>
                <w:sz w:val="16"/>
                <w:szCs w:val="16"/>
                <w:color w:val="auto"/>
              </w:rPr>
            </w:pPr>
          </w:p>
        </w:tc>
      </w:tr>
      <w:tr>
        <w:trPr>
          <w:trHeight w:val="420"/>
        </w:trPr>
        <w:tc>
          <w:tcPr>
            <w:tcW w:w="1240" w:type="dxa"/>
            <w:vAlign w:val="bottom"/>
          </w:tcPr>
          <w:p>
            <w:pPr>
              <w:spacing w:after="0"/>
              <w:rPr>
                <w:sz w:val="24"/>
                <w:szCs w:val="24"/>
                <w:color w:val="auto"/>
              </w:rPr>
            </w:pPr>
          </w:p>
        </w:tc>
        <w:tc>
          <w:tcPr>
            <w:tcW w:w="10000" w:type="dxa"/>
            <w:vAlign w:val="bottom"/>
          </w:tcPr>
          <w:p>
            <w:pPr>
              <w:ind w:left="428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r>
      <w:tr>
        <w:trPr>
          <w:trHeight w:val="102"/>
        </w:trPr>
        <w:tc>
          <w:tcPr>
            <w:tcW w:w="1240" w:type="dxa"/>
            <w:vAlign w:val="bottom"/>
            <w:tcBorders>
              <w:bottom w:val="single" w:sz="8" w:color="9A9A9A"/>
            </w:tcBorders>
          </w:tcPr>
          <w:p>
            <w:pPr>
              <w:spacing w:after="0"/>
              <w:rPr>
                <w:sz w:val="8"/>
                <w:szCs w:val="8"/>
                <w:color w:val="auto"/>
              </w:rPr>
            </w:pPr>
          </w:p>
        </w:tc>
        <w:tc>
          <w:tcPr>
            <w:tcW w:w="10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6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Element</w:t>
            </w:r>
          </w:p>
        </w:tc>
        <w:tc>
          <w:tcPr>
            <w:tcW w:w="9780" w:type="dxa"/>
            <w:vAlign w:val="bottom"/>
            <w:shd w:val="clear" w:color="auto" w:fill="C00000"/>
          </w:tcPr>
          <w:p>
            <w:pPr>
              <w:ind w:left="4680"/>
              <w:spacing w:after="0"/>
              <w:rPr>
                <w:sz w:val="20"/>
                <w:szCs w:val="20"/>
                <w:color w:val="auto"/>
              </w:rPr>
            </w:pPr>
            <w:r>
              <w:rPr>
                <w:rFonts w:ascii="Arial" w:cs="Arial" w:eastAsia="Arial" w:hAnsi="Arial"/>
                <w:sz w:val="14"/>
                <w:szCs w:val="14"/>
                <w:b w:val="1"/>
                <w:bCs w:val="1"/>
                <w:color w:val="FFFFFF"/>
              </w:rPr>
              <w:t>Description</w:t>
            </w:r>
          </w:p>
        </w:tc>
      </w:tr>
      <w:tr>
        <w:trPr>
          <w:trHeight w:val="236"/>
        </w:trPr>
        <w:tc>
          <w:tcPr>
            <w:tcW w:w="1460" w:type="dxa"/>
            <w:vAlign w:val="bottom"/>
            <w:shd w:val="clear" w:color="auto" w:fill="D9D9D9"/>
          </w:tcPr>
          <w:p>
            <w:pPr>
              <w:spacing w:after="0"/>
              <w:rPr>
                <w:sz w:val="20"/>
                <w:szCs w:val="20"/>
                <w:color w:val="auto"/>
              </w:rPr>
            </w:pPr>
            <w:r>
              <w:rPr>
                <w:rFonts w:ascii="Arial" w:cs="Arial" w:eastAsia="Arial" w:hAnsi="Arial"/>
                <w:sz w:val="16"/>
                <w:szCs w:val="16"/>
                <w:color w:val="auto"/>
              </w:rPr>
              <w:t>Perquisites</w:t>
            </w:r>
          </w:p>
        </w:tc>
        <w:tc>
          <w:tcPr>
            <w:tcW w:w="9780" w:type="dxa"/>
            <w:vAlign w:val="bottom"/>
            <w:shd w:val="clear" w:color="auto" w:fill="D9D9D9"/>
          </w:tcPr>
          <w:p>
            <w:pPr>
              <w:ind w:left="240"/>
              <w:spacing w:after="0"/>
              <w:rPr>
                <w:sz w:val="20"/>
                <w:szCs w:val="20"/>
                <w:color w:val="auto"/>
              </w:rPr>
            </w:pPr>
            <w:r>
              <w:rPr>
                <w:rFonts w:ascii="Arial" w:cs="Arial" w:eastAsia="Arial" w:hAnsi="Arial"/>
                <w:sz w:val="16"/>
                <w:szCs w:val="16"/>
                <w:color w:val="auto"/>
              </w:rPr>
              <w:t>We provide our executive officers with modest perquisites, including:</w:t>
            </w:r>
          </w:p>
        </w:tc>
      </w:tr>
      <w:tr>
        <w:trPr>
          <w:trHeight w:val="222"/>
        </w:trPr>
        <w:tc>
          <w:tcPr>
            <w:tcW w:w="1460" w:type="dxa"/>
            <w:vAlign w:val="bottom"/>
            <w:shd w:val="clear" w:color="auto" w:fill="D9D9D9"/>
          </w:tcPr>
          <w:p>
            <w:pPr>
              <w:spacing w:after="0"/>
              <w:rPr>
                <w:sz w:val="19"/>
                <w:szCs w:val="19"/>
                <w:color w:val="auto"/>
              </w:rPr>
            </w:pPr>
          </w:p>
        </w:tc>
        <w:tc>
          <w:tcPr>
            <w:tcW w:w="9780" w:type="dxa"/>
            <w:vAlign w:val="bottom"/>
            <w:shd w:val="clear" w:color="auto" w:fill="D9D9D9"/>
          </w:tcPr>
          <w:p>
            <w:pPr>
              <w:ind w:left="240"/>
              <w:spacing w:after="0"/>
              <w:rPr>
                <w:sz w:val="20"/>
                <w:szCs w:val="20"/>
                <w:color w:val="auto"/>
              </w:rPr>
            </w:pPr>
            <w:r>
              <w:rPr>
                <w:rFonts w:ascii="Arial" w:cs="Arial" w:eastAsia="Arial" w:hAnsi="Arial"/>
                <w:sz w:val="16"/>
                <w:szCs w:val="16"/>
                <w:color w:val="auto"/>
              </w:rPr>
              <w:t>•  Company-leased automobile—We pay all costs associated with leasing, operating, maintaining and insuring a company-leased</w:t>
            </w:r>
          </w:p>
        </w:tc>
      </w:tr>
      <w:tr>
        <w:trPr>
          <w:trHeight w:val="188"/>
        </w:trPr>
        <w:tc>
          <w:tcPr>
            <w:tcW w:w="1460" w:type="dxa"/>
            <w:vAlign w:val="bottom"/>
            <w:shd w:val="clear" w:color="auto" w:fill="D9D9D9"/>
          </w:tcPr>
          <w:p>
            <w:pPr>
              <w:spacing w:after="0"/>
              <w:rPr>
                <w:sz w:val="16"/>
                <w:szCs w:val="16"/>
                <w:color w:val="auto"/>
              </w:rPr>
            </w:pPr>
          </w:p>
        </w:tc>
        <w:tc>
          <w:tcPr>
            <w:tcW w:w="9780" w:type="dxa"/>
            <w:vAlign w:val="bottom"/>
            <w:shd w:val="clear" w:color="auto" w:fill="D9D9D9"/>
          </w:tcPr>
          <w:p>
            <w:pPr>
              <w:ind w:left="460"/>
              <w:spacing w:after="0"/>
              <w:rPr>
                <w:sz w:val="20"/>
                <w:szCs w:val="20"/>
                <w:color w:val="auto"/>
              </w:rPr>
            </w:pPr>
            <w:r>
              <w:rPr>
                <w:rFonts w:ascii="Arial" w:cs="Arial" w:eastAsia="Arial" w:hAnsi="Arial"/>
                <w:sz w:val="16"/>
                <w:szCs w:val="16"/>
                <w:color w:val="auto"/>
              </w:rPr>
              <w:t>automobile up to certain thresholds. Our executive officers are generally eligible for a new vehicle after 30 months and may choose</w:t>
            </w:r>
          </w:p>
        </w:tc>
      </w:tr>
      <w:tr>
        <w:trPr>
          <w:trHeight w:val="194"/>
        </w:trPr>
        <w:tc>
          <w:tcPr>
            <w:tcW w:w="1460" w:type="dxa"/>
            <w:vAlign w:val="bottom"/>
            <w:shd w:val="clear" w:color="auto" w:fill="D9D9D9"/>
          </w:tcPr>
          <w:p>
            <w:pPr>
              <w:spacing w:after="0"/>
              <w:rPr>
                <w:sz w:val="16"/>
                <w:szCs w:val="16"/>
                <w:color w:val="auto"/>
              </w:rPr>
            </w:pPr>
          </w:p>
        </w:tc>
        <w:tc>
          <w:tcPr>
            <w:tcW w:w="9780" w:type="dxa"/>
            <w:vAlign w:val="bottom"/>
            <w:shd w:val="clear" w:color="auto" w:fill="D9D9D9"/>
          </w:tcPr>
          <w:p>
            <w:pPr>
              <w:ind w:left="460"/>
              <w:spacing w:after="0"/>
              <w:rPr>
                <w:sz w:val="20"/>
                <w:szCs w:val="20"/>
                <w:color w:val="auto"/>
              </w:rPr>
            </w:pPr>
            <w:r>
              <w:rPr>
                <w:rFonts w:ascii="Arial" w:cs="Arial" w:eastAsia="Arial" w:hAnsi="Arial"/>
                <w:sz w:val="16"/>
                <w:szCs w:val="16"/>
                <w:color w:val="auto"/>
              </w:rPr>
              <w:t>to purchase the existing vehicle at book value plus payment of any miscellaneous expenses charged by our leasing company.</w:t>
            </w:r>
          </w:p>
        </w:tc>
      </w:tr>
      <w:tr>
        <w:trPr>
          <w:trHeight w:val="235"/>
        </w:trPr>
        <w:tc>
          <w:tcPr>
            <w:tcW w:w="1460" w:type="dxa"/>
            <w:vAlign w:val="bottom"/>
            <w:shd w:val="clear" w:color="auto" w:fill="D9D9D9"/>
          </w:tcPr>
          <w:p>
            <w:pPr>
              <w:spacing w:after="0"/>
              <w:rPr>
                <w:sz w:val="20"/>
                <w:szCs w:val="20"/>
                <w:color w:val="auto"/>
              </w:rPr>
            </w:pPr>
          </w:p>
        </w:tc>
        <w:tc>
          <w:tcPr>
            <w:tcW w:w="9780" w:type="dxa"/>
            <w:vAlign w:val="bottom"/>
            <w:shd w:val="clear" w:color="auto" w:fill="D9D9D9"/>
          </w:tcPr>
          <w:p>
            <w:pPr>
              <w:ind w:left="240"/>
              <w:spacing w:after="0"/>
              <w:rPr>
                <w:sz w:val="20"/>
                <w:szCs w:val="20"/>
                <w:color w:val="auto"/>
              </w:rPr>
            </w:pPr>
            <w:r>
              <w:rPr>
                <w:rFonts w:ascii="Arial" w:cs="Arial" w:eastAsia="Arial" w:hAnsi="Arial"/>
                <w:sz w:val="16"/>
                <w:szCs w:val="16"/>
                <w:color w:val="auto"/>
              </w:rPr>
              <w:t>•  Financial planning—We encourage our executive officers to receive professional advice regarding their financial, tax and estate</w:t>
            </w:r>
          </w:p>
        </w:tc>
      </w:tr>
      <w:tr>
        <w:trPr>
          <w:trHeight w:val="188"/>
        </w:trPr>
        <w:tc>
          <w:tcPr>
            <w:tcW w:w="1460" w:type="dxa"/>
            <w:vAlign w:val="bottom"/>
            <w:shd w:val="clear" w:color="auto" w:fill="D9D9D9"/>
          </w:tcPr>
          <w:p>
            <w:pPr>
              <w:spacing w:after="0"/>
              <w:rPr>
                <w:sz w:val="16"/>
                <w:szCs w:val="16"/>
                <w:color w:val="auto"/>
              </w:rPr>
            </w:pPr>
          </w:p>
        </w:tc>
        <w:tc>
          <w:tcPr>
            <w:tcW w:w="9780" w:type="dxa"/>
            <w:vAlign w:val="bottom"/>
            <w:shd w:val="clear" w:color="auto" w:fill="D9D9D9"/>
          </w:tcPr>
          <w:p>
            <w:pPr>
              <w:ind w:left="460"/>
              <w:spacing w:after="0"/>
              <w:rPr>
                <w:sz w:val="20"/>
                <w:szCs w:val="20"/>
                <w:color w:val="auto"/>
              </w:rPr>
            </w:pPr>
            <w:r>
              <w:rPr>
                <w:rFonts w:ascii="Arial" w:cs="Arial" w:eastAsia="Arial" w:hAnsi="Arial"/>
                <w:sz w:val="16"/>
                <w:szCs w:val="16"/>
                <w:color w:val="auto"/>
              </w:rPr>
              <w:t>planning needs. Therefore, we pay up to a maximum defined amount for each of our executive officers to cover tax planning, tax</w:t>
            </w:r>
          </w:p>
        </w:tc>
      </w:tr>
      <w:tr>
        <w:trPr>
          <w:trHeight w:val="188"/>
        </w:trPr>
        <w:tc>
          <w:tcPr>
            <w:tcW w:w="1460" w:type="dxa"/>
            <w:vAlign w:val="bottom"/>
            <w:shd w:val="clear" w:color="auto" w:fill="D9D9D9"/>
          </w:tcPr>
          <w:p>
            <w:pPr>
              <w:spacing w:after="0"/>
              <w:rPr>
                <w:sz w:val="16"/>
                <w:szCs w:val="16"/>
                <w:color w:val="auto"/>
              </w:rPr>
            </w:pPr>
          </w:p>
        </w:tc>
        <w:tc>
          <w:tcPr>
            <w:tcW w:w="9780" w:type="dxa"/>
            <w:vAlign w:val="bottom"/>
            <w:shd w:val="clear" w:color="auto" w:fill="D9D9D9"/>
          </w:tcPr>
          <w:p>
            <w:pPr>
              <w:ind w:left="460"/>
              <w:spacing w:after="0"/>
              <w:rPr>
                <w:sz w:val="20"/>
                <w:szCs w:val="20"/>
                <w:color w:val="auto"/>
              </w:rPr>
            </w:pPr>
            <w:r>
              <w:rPr>
                <w:rFonts w:ascii="Arial" w:cs="Arial" w:eastAsia="Arial" w:hAnsi="Arial"/>
                <w:sz w:val="16"/>
                <w:szCs w:val="16"/>
                <w:color w:val="auto"/>
              </w:rPr>
              <w:t>return preparation, financial counseling and estate planning. Every three years, we will pay up to an additional 50% of the annual</w:t>
            </w:r>
          </w:p>
        </w:tc>
      </w:tr>
      <w:tr>
        <w:trPr>
          <w:trHeight w:val="194"/>
        </w:trPr>
        <w:tc>
          <w:tcPr>
            <w:tcW w:w="1460" w:type="dxa"/>
            <w:vAlign w:val="bottom"/>
            <w:shd w:val="clear" w:color="auto" w:fill="D9D9D9"/>
          </w:tcPr>
          <w:p>
            <w:pPr>
              <w:spacing w:after="0"/>
              <w:rPr>
                <w:sz w:val="16"/>
                <w:szCs w:val="16"/>
                <w:color w:val="auto"/>
              </w:rPr>
            </w:pPr>
          </w:p>
        </w:tc>
        <w:tc>
          <w:tcPr>
            <w:tcW w:w="9780" w:type="dxa"/>
            <w:vAlign w:val="bottom"/>
            <w:shd w:val="clear" w:color="auto" w:fill="D9D9D9"/>
          </w:tcPr>
          <w:p>
            <w:pPr>
              <w:ind w:left="460"/>
              <w:spacing w:after="0"/>
              <w:rPr>
                <w:sz w:val="20"/>
                <w:szCs w:val="20"/>
                <w:color w:val="auto"/>
              </w:rPr>
            </w:pPr>
            <w:r>
              <w:rPr>
                <w:rFonts w:ascii="Arial" w:cs="Arial" w:eastAsia="Arial" w:hAnsi="Arial"/>
                <w:sz w:val="16"/>
                <w:szCs w:val="16"/>
                <w:color w:val="auto"/>
              </w:rPr>
              <w:t>allowance. Annual allowance ranges from $5,000 to $15,000 depending on the level of the executive officer’s position.</w:t>
            </w:r>
          </w:p>
        </w:tc>
      </w:tr>
      <w:tr>
        <w:trPr>
          <w:trHeight w:val="235"/>
        </w:trPr>
        <w:tc>
          <w:tcPr>
            <w:tcW w:w="1460" w:type="dxa"/>
            <w:vAlign w:val="bottom"/>
            <w:shd w:val="clear" w:color="auto" w:fill="D9D9D9"/>
          </w:tcPr>
          <w:p>
            <w:pPr>
              <w:spacing w:after="0"/>
              <w:rPr>
                <w:sz w:val="20"/>
                <w:szCs w:val="20"/>
                <w:color w:val="auto"/>
              </w:rPr>
            </w:pPr>
          </w:p>
        </w:tc>
        <w:tc>
          <w:tcPr>
            <w:tcW w:w="9780" w:type="dxa"/>
            <w:vAlign w:val="bottom"/>
            <w:shd w:val="clear" w:color="auto" w:fill="D9D9D9"/>
          </w:tcPr>
          <w:p>
            <w:pPr>
              <w:ind w:left="240"/>
              <w:spacing w:after="0"/>
              <w:rPr>
                <w:sz w:val="20"/>
                <w:szCs w:val="20"/>
                <w:color w:val="auto"/>
              </w:rPr>
            </w:pPr>
            <w:r>
              <w:rPr>
                <w:rFonts w:ascii="Arial" w:cs="Arial" w:eastAsia="Arial" w:hAnsi="Arial"/>
                <w:sz w:val="16"/>
                <w:szCs w:val="16"/>
                <w:color w:val="auto"/>
              </w:rPr>
              <w:t>•  Annual executive physical—To help ensure the health of our executive officers, we generally pay up to $2,000 for approved</w:t>
            </w:r>
          </w:p>
        </w:tc>
      </w:tr>
      <w:tr>
        <w:trPr>
          <w:trHeight w:val="194"/>
        </w:trPr>
        <w:tc>
          <w:tcPr>
            <w:tcW w:w="1460" w:type="dxa"/>
            <w:vAlign w:val="bottom"/>
            <w:shd w:val="clear" w:color="auto" w:fill="D9D9D9"/>
          </w:tcPr>
          <w:p>
            <w:pPr>
              <w:spacing w:after="0"/>
              <w:rPr>
                <w:sz w:val="16"/>
                <w:szCs w:val="16"/>
                <w:color w:val="auto"/>
              </w:rPr>
            </w:pPr>
          </w:p>
        </w:tc>
        <w:tc>
          <w:tcPr>
            <w:tcW w:w="9780" w:type="dxa"/>
            <w:vAlign w:val="bottom"/>
            <w:shd w:val="clear" w:color="auto" w:fill="D9D9D9"/>
          </w:tcPr>
          <w:p>
            <w:pPr>
              <w:ind w:left="460"/>
              <w:spacing w:after="0"/>
              <w:rPr>
                <w:sz w:val="20"/>
                <w:szCs w:val="20"/>
                <w:color w:val="auto"/>
              </w:rPr>
            </w:pPr>
            <w:r>
              <w:rPr>
                <w:rFonts w:ascii="Arial" w:cs="Arial" w:eastAsia="Arial" w:hAnsi="Arial"/>
                <w:sz w:val="16"/>
                <w:szCs w:val="16"/>
                <w:color w:val="auto"/>
              </w:rPr>
              <w:t>physical exam expenses not covered by the executive officer’s health insurance.</w:t>
            </w:r>
          </w:p>
        </w:tc>
      </w:tr>
      <w:tr>
        <w:trPr>
          <w:trHeight w:val="222"/>
        </w:trPr>
        <w:tc>
          <w:tcPr>
            <w:tcW w:w="1460" w:type="dxa"/>
            <w:vAlign w:val="bottom"/>
            <w:shd w:val="clear" w:color="auto" w:fill="D9D9D9"/>
          </w:tcPr>
          <w:p>
            <w:pPr>
              <w:spacing w:after="0"/>
              <w:rPr>
                <w:sz w:val="19"/>
                <w:szCs w:val="19"/>
                <w:color w:val="auto"/>
              </w:rPr>
            </w:pPr>
          </w:p>
        </w:tc>
        <w:tc>
          <w:tcPr>
            <w:tcW w:w="9780" w:type="dxa"/>
            <w:vAlign w:val="bottom"/>
            <w:shd w:val="clear" w:color="auto" w:fill="D9D9D9"/>
          </w:tcPr>
          <w:p>
            <w:pPr>
              <w:ind w:left="240"/>
              <w:spacing w:after="0"/>
              <w:rPr>
                <w:sz w:val="20"/>
                <w:szCs w:val="20"/>
                <w:color w:val="auto"/>
              </w:rPr>
            </w:pPr>
            <w:r>
              <w:rPr>
                <w:rFonts w:ascii="Arial" w:cs="Arial" w:eastAsia="Arial" w:hAnsi="Arial"/>
                <w:sz w:val="16"/>
                <w:szCs w:val="16"/>
                <w:color w:val="auto"/>
              </w:rPr>
              <w:t>•  Company products—To enable our executive officers the opportunity to become more familiar with our products and use those</w:t>
            </w:r>
          </w:p>
        </w:tc>
      </w:tr>
      <w:tr>
        <w:trPr>
          <w:trHeight w:val="188"/>
        </w:trPr>
        <w:tc>
          <w:tcPr>
            <w:tcW w:w="1460" w:type="dxa"/>
            <w:vAlign w:val="bottom"/>
            <w:shd w:val="clear" w:color="auto" w:fill="D9D9D9"/>
          </w:tcPr>
          <w:p>
            <w:pPr>
              <w:spacing w:after="0"/>
              <w:rPr>
                <w:sz w:val="16"/>
                <w:szCs w:val="16"/>
                <w:color w:val="auto"/>
              </w:rPr>
            </w:pPr>
          </w:p>
        </w:tc>
        <w:tc>
          <w:tcPr>
            <w:tcW w:w="9780" w:type="dxa"/>
            <w:vAlign w:val="bottom"/>
            <w:shd w:val="clear" w:color="auto" w:fill="D9D9D9"/>
          </w:tcPr>
          <w:p>
            <w:pPr>
              <w:ind w:left="460"/>
              <w:spacing w:after="0"/>
              <w:rPr>
                <w:sz w:val="20"/>
                <w:szCs w:val="20"/>
                <w:color w:val="auto"/>
              </w:rPr>
            </w:pPr>
            <w:r>
              <w:rPr>
                <w:rFonts w:ascii="Arial" w:cs="Arial" w:eastAsia="Arial" w:hAnsi="Arial"/>
                <w:sz w:val="16"/>
                <w:szCs w:val="16"/>
                <w:color w:val="auto"/>
              </w:rPr>
              <w:t>products on a regular basis, we provide certain Company products and related accessories for personal use at no cost; provided,</w:t>
            </w:r>
          </w:p>
        </w:tc>
      </w:tr>
      <w:tr>
        <w:trPr>
          <w:trHeight w:val="188"/>
        </w:trPr>
        <w:tc>
          <w:tcPr>
            <w:tcW w:w="1460" w:type="dxa"/>
            <w:vAlign w:val="bottom"/>
            <w:shd w:val="clear" w:color="auto" w:fill="D9D9D9"/>
          </w:tcPr>
          <w:p>
            <w:pPr>
              <w:spacing w:after="0"/>
              <w:rPr>
                <w:sz w:val="16"/>
                <w:szCs w:val="16"/>
                <w:color w:val="auto"/>
              </w:rPr>
            </w:pPr>
          </w:p>
        </w:tc>
        <w:tc>
          <w:tcPr>
            <w:tcW w:w="9780" w:type="dxa"/>
            <w:vAlign w:val="bottom"/>
            <w:shd w:val="clear" w:color="auto" w:fill="D9D9D9"/>
          </w:tcPr>
          <w:p>
            <w:pPr>
              <w:ind w:left="460"/>
              <w:spacing w:after="0"/>
              <w:rPr>
                <w:sz w:val="20"/>
                <w:szCs w:val="20"/>
                <w:color w:val="auto"/>
              </w:rPr>
            </w:pPr>
            <w:r>
              <w:rPr>
                <w:rFonts w:ascii="Arial" w:cs="Arial" w:eastAsia="Arial" w:hAnsi="Arial"/>
                <w:sz w:val="16"/>
                <w:szCs w:val="16"/>
                <w:color w:val="auto"/>
              </w:rPr>
              <w:t>however, that executive officers are responsible for applicable taxes attributable to the value of such products. The value of a</w:t>
            </w:r>
          </w:p>
        </w:tc>
      </w:tr>
      <w:tr>
        <w:trPr>
          <w:trHeight w:val="188"/>
        </w:trPr>
        <w:tc>
          <w:tcPr>
            <w:tcW w:w="1460" w:type="dxa"/>
            <w:vAlign w:val="bottom"/>
            <w:shd w:val="clear" w:color="auto" w:fill="D9D9D9"/>
          </w:tcPr>
          <w:p>
            <w:pPr>
              <w:spacing w:after="0"/>
              <w:rPr>
                <w:sz w:val="16"/>
                <w:szCs w:val="16"/>
                <w:color w:val="auto"/>
              </w:rPr>
            </w:pPr>
          </w:p>
        </w:tc>
        <w:tc>
          <w:tcPr>
            <w:tcW w:w="9780" w:type="dxa"/>
            <w:vAlign w:val="bottom"/>
            <w:shd w:val="clear" w:color="auto" w:fill="D9D9D9"/>
          </w:tcPr>
          <w:p>
            <w:pPr>
              <w:ind w:left="460"/>
              <w:spacing w:after="0"/>
              <w:rPr>
                <w:sz w:val="20"/>
                <w:szCs w:val="20"/>
                <w:color w:val="auto"/>
              </w:rPr>
            </w:pPr>
            <w:r>
              <w:rPr>
                <w:rFonts w:ascii="Arial" w:cs="Arial" w:eastAsia="Arial" w:hAnsi="Arial"/>
                <w:sz w:val="16"/>
                <w:szCs w:val="16"/>
                <w:color w:val="auto"/>
              </w:rPr>
              <w:t>product or accessory is generally deemed to be our distributor net price or its equivalent, which is also the price at which products</w:t>
            </w:r>
          </w:p>
        </w:tc>
      </w:tr>
      <w:tr>
        <w:trPr>
          <w:trHeight w:val="194"/>
        </w:trPr>
        <w:tc>
          <w:tcPr>
            <w:tcW w:w="1460" w:type="dxa"/>
            <w:vAlign w:val="bottom"/>
            <w:shd w:val="clear" w:color="auto" w:fill="D9D9D9"/>
          </w:tcPr>
          <w:p>
            <w:pPr>
              <w:spacing w:after="0"/>
              <w:rPr>
                <w:sz w:val="16"/>
                <w:szCs w:val="16"/>
                <w:color w:val="auto"/>
              </w:rPr>
            </w:pPr>
          </w:p>
        </w:tc>
        <w:tc>
          <w:tcPr>
            <w:tcW w:w="9780" w:type="dxa"/>
            <w:vAlign w:val="bottom"/>
            <w:shd w:val="clear" w:color="auto" w:fill="D9D9D9"/>
          </w:tcPr>
          <w:p>
            <w:pPr>
              <w:ind w:left="460"/>
              <w:spacing w:after="0"/>
              <w:rPr>
                <w:sz w:val="20"/>
                <w:szCs w:val="20"/>
                <w:color w:val="auto"/>
              </w:rPr>
            </w:pPr>
            <w:r>
              <w:rPr>
                <w:rFonts w:ascii="Arial" w:cs="Arial" w:eastAsia="Arial" w:hAnsi="Arial"/>
                <w:sz w:val="16"/>
                <w:szCs w:val="16"/>
                <w:color w:val="auto"/>
              </w:rPr>
              <w:t>are available to employees for purchase.</w:t>
            </w:r>
          </w:p>
        </w:tc>
      </w:tr>
      <w:tr>
        <w:trPr>
          <w:trHeight w:val="235"/>
        </w:trPr>
        <w:tc>
          <w:tcPr>
            <w:tcW w:w="1460" w:type="dxa"/>
            <w:vAlign w:val="bottom"/>
            <w:shd w:val="clear" w:color="auto" w:fill="D9D9D9"/>
          </w:tcPr>
          <w:p>
            <w:pPr>
              <w:spacing w:after="0"/>
              <w:rPr>
                <w:sz w:val="20"/>
                <w:szCs w:val="20"/>
                <w:color w:val="auto"/>
              </w:rPr>
            </w:pPr>
          </w:p>
        </w:tc>
        <w:tc>
          <w:tcPr>
            <w:tcW w:w="9780" w:type="dxa"/>
            <w:vAlign w:val="bottom"/>
            <w:shd w:val="clear" w:color="auto" w:fill="D9D9D9"/>
          </w:tcPr>
          <w:p>
            <w:pPr>
              <w:ind w:left="240"/>
              <w:spacing w:after="0"/>
              <w:rPr>
                <w:sz w:val="20"/>
                <w:szCs w:val="20"/>
                <w:color w:val="auto"/>
              </w:rPr>
            </w:pPr>
            <w:r>
              <w:rPr>
                <w:rFonts w:ascii="Arial" w:cs="Arial" w:eastAsia="Arial" w:hAnsi="Arial"/>
                <w:sz w:val="16"/>
                <w:szCs w:val="16"/>
                <w:color w:val="auto"/>
              </w:rPr>
              <w:t>•  Travel expenses—During fiscal 2020, we paid certain travel costs for spouses of our executive officers in connection with certain</w:t>
            </w:r>
          </w:p>
        </w:tc>
      </w:tr>
      <w:tr>
        <w:trPr>
          <w:trHeight w:val="188"/>
        </w:trPr>
        <w:tc>
          <w:tcPr>
            <w:tcW w:w="1460" w:type="dxa"/>
            <w:vAlign w:val="bottom"/>
            <w:shd w:val="clear" w:color="auto" w:fill="D9D9D9"/>
          </w:tcPr>
          <w:p>
            <w:pPr>
              <w:spacing w:after="0"/>
              <w:rPr>
                <w:sz w:val="16"/>
                <w:szCs w:val="16"/>
                <w:color w:val="auto"/>
              </w:rPr>
            </w:pPr>
          </w:p>
        </w:tc>
        <w:tc>
          <w:tcPr>
            <w:tcW w:w="9780" w:type="dxa"/>
            <w:vAlign w:val="bottom"/>
            <w:shd w:val="clear" w:color="auto" w:fill="D9D9D9"/>
          </w:tcPr>
          <w:p>
            <w:pPr>
              <w:ind w:left="460"/>
              <w:spacing w:after="0"/>
              <w:rPr>
                <w:sz w:val="20"/>
                <w:szCs w:val="20"/>
                <w:color w:val="auto"/>
              </w:rPr>
            </w:pPr>
            <w:r>
              <w:rPr>
                <w:rFonts w:ascii="Arial" w:cs="Arial" w:eastAsia="Arial" w:hAnsi="Arial"/>
                <w:sz w:val="16"/>
                <w:szCs w:val="16"/>
                <w:color w:val="auto"/>
              </w:rPr>
              <w:t>off-site meetings, such as an off-site Board of Directors meeting or other business-related meetings in which it was appropriate for</w:t>
            </w:r>
          </w:p>
        </w:tc>
      </w:tr>
      <w:tr>
        <w:trPr>
          <w:trHeight w:val="186"/>
        </w:trPr>
        <w:tc>
          <w:tcPr>
            <w:tcW w:w="1460" w:type="dxa"/>
            <w:vAlign w:val="bottom"/>
            <w:shd w:val="clear" w:color="auto" w:fill="D9D9D9"/>
          </w:tcPr>
          <w:p>
            <w:pPr>
              <w:spacing w:after="0"/>
              <w:rPr>
                <w:sz w:val="16"/>
                <w:szCs w:val="16"/>
                <w:color w:val="auto"/>
              </w:rPr>
            </w:pPr>
          </w:p>
        </w:tc>
        <w:tc>
          <w:tcPr>
            <w:tcW w:w="9780" w:type="dxa"/>
            <w:vAlign w:val="bottom"/>
            <w:shd w:val="clear" w:color="auto" w:fill="D9D9D9"/>
          </w:tcPr>
          <w:p>
            <w:pPr>
              <w:ind w:left="460"/>
              <w:spacing w:after="0"/>
              <w:rPr>
                <w:sz w:val="20"/>
                <w:szCs w:val="20"/>
                <w:color w:val="auto"/>
              </w:rPr>
            </w:pPr>
            <w:r>
              <w:rPr>
                <w:rFonts w:ascii="Arial" w:cs="Arial" w:eastAsia="Arial" w:hAnsi="Arial"/>
                <w:sz w:val="16"/>
                <w:szCs w:val="16"/>
                <w:color w:val="auto"/>
              </w:rPr>
              <w:t>a spouse to attend.</w:t>
            </w:r>
          </w:p>
        </w:tc>
      </w:tr>
      <w:tr>
        <w:trPr>
          <w:trHeight w:val="190"/>
        </w:trPr>
        <w:tc>
          <w:tcPr>
            <w:tcW w:w="1460" w:type="dxa"/>
            <w:vAlign w:val="bottom"/>
          </w:tcPr>
          <w:p>
            <w:pPr>
              <w:spacing w:after="0"/>
              <w:rPr>
                <w:sz w:val="20"/>
                <w:szCs w:val="20"/>
                <w:color w:val="auto"/>
              </w:rPr>
            </w:pPr>
            <w:r>
              <w:rPr>
                <w:rFonts w:ascii="Arial" w:cs="Arial" w:eastAsia="Arial" w:hAnsi="Arial"/>
                <w:sz w:val="16"/>
                <w:szCs w:val="16"/>
                <w:color w:val="auto"/>
              </w:rPr>
              <w:t>Charitable Giving</w:t>
            </w:r>
          </w:p>
        </w:tc>
        <w:tc>
          <w:tcPr>
            <w:tcW w:w="9780" w:type="dxa"/>
            <w:vAlign w:val="bottom"/>
          </w:tcPr>
          <w:p>
            <w:pPr>
              <w:ind w:left="240"/>
              <w:spacing w:after="0"/>
              <w:rPr>
                <w:sz w:val="20"/>
                <w:szCs w:val="20"/>
                <w:color w:val="auto"/>
              </w:rPr>
            </w:pPr>
            <w:r>
              <w:rPr>
                <w:rFonts w:ascii="Arial" w:cs="Arial" w:eastAsia="Arial" w:hAnsi="Arial"/>
                <w:sz w:val="16"/>
                <w:szCs w:val="16"/>
                <w:color w:val="auto"/>
              </w:rPr>
              <w:t>We support charitable organizations for our employees through our matching gift program. The program for our executive officers</w:t>
            </w:r>
          </w:p>
        </w:tc>
      </w:tr>
      <w:tr>
        <w:trPr>
          <w:trHeight w:val="188"/>
        </w:trPr>
        <w:tc>
          <w:tcPr>
            <w:tcW w:w="1460" w:type="dxa"/>
            <w:vAlign w:val="bottom"/>
          </w:tcPr>
          <w:p>
            <w:pPr>
              <w:spacing w:after="0"/>
              <w:rPr>
                <w:sz w:val="16"/>
                <w:szCs w:val="16"/>
                <w:color w:val="auto"/>
              </w:rPr>
            </w:pPr>
          </w:p>
        </w:tc>
        <w:tc>
          <w:tcPr>
            <w:tcW w:w="9780" w:type="dxa"/>
            <w:vAlign w:val="bottom"/>
          </w:tcPr>
          <w:p>
            <w:pPr>
              <w:ind w:left="240"/>
              <w:spacing w:after="0"/>
              <w:rPr>
                <w:sz w:val="20"/>
                <w:szCs w:val="20"/>
                <w:color w:val="auto"/>
              </w:rPr>
            </w:pPr>
            <w:r>
              <w:rPr>
                <w:rFonts w:ascii="Arial" w:cs="Arial" w:eastAsia="Arial" w:hAnsi="Arial"/>
                <w:sz w:val="16"/>
                <w:szCs w:val="16"/>
                <w:color w:val="auto"/>
              </w:rPr>
              <w:t>provides that a gift or gifts by an executive officer and/or his or her spouse to one or more tax exempt 501(c)(3) charitable</w:t>
            </w:r>
          </w:p>
        </w:tc>
      </w:tr>
      <w:tr>
        <w:trPr>
          <w:trHeight w:val="188"/>
        </w:trPr>
        <w:tc>
          <w:tcPr>
            <w:tcW w:w="1460" w:type="dxa"/>
            <w:vAlign w:val="bottom"/>
          </w:tcPr>
          <w:p>
            <w:pPr>
              <w:spacing w:after="0"/>
              <w:rPr>
                <w:sz w:val="16"/>
                <w:szCs w:val="16"/>
                <w:color w:val="auto"/>
              </w:rPr>
            </w:pPr>
          </w:p>
        </w:tc>
        <w:tc>
          <w:tcPr>
            <w:tcW w:w="9780" w:type="dxa"/>
            <w:vAlign w:val="bottom"/>
          </w:tcPr>
          <w:p>
            <w:pPr>
              <w:ind w:left="240"/>
              <w:spacing w:after="0"/>
              <w:rPr>
                <w:sz w:val="20"/>
                <w:szCs w:val="20"/>
                <w:color w:val="auto"/>
              </w:rPr>
            </w:pPr>
            <w:r>
              <w:rPr>
                <w:rFonts w:ascii="Arial" w:cs="Arial" w:eastAsia="Arial" w:hAnsi="Arial"/>
                <w:sz w:val="16"/>
                <w:szCs w:val="16"/>
                <w:color w:val="auto"/>
              </w:rPr>
              <w:t>organizations located in the United States will be matched by us in an aggregate amount of up to $3,000 per year. In fiscal 2020, we</w:t>
            </w:r>
          </w:p>
        </w:tc>
      </w:tr>
      <w:tr>
        <w:trPr>
          <w:trHeight w:val="188"/>
        </w:trPr>
        <w:tc>
          <w:tcPr>
            <w:tcW w:w="1460" w:type="dxa"/>
            <w:vAlign w:val="bottom"/>
          </w:tcPr>
          <w:p>
            <w:pPr>
              <w:spacing w:after="0"/>
              <w:rPr>
                <w:sz w:val="16"/>
                <w:szCs w:val="16"/>
                <w:color w:val="auto"/>
              </w:rPr>
            </w:pPr>
          </w:p>
        </w:tc>
        <w:tc>
          <w:tcPr>
            <w:tcW w:w="9780" w:type="dxa"/>
            <w:vAlign w:val="bottom"/>
          </w:tcPr>
          <w:p>
            <w:pPr>
              <w:ind w:left="240"/>
              <w:spacing w:after="0"/>
              <w:rPr>
                <w:sz w:val="20"/>
                <w:szCs w:val="20"/>
                <w:color w:val="auto"/>
              </w:rPr>
            </w:pPr>
            <w:r>
              <w:rPr>
                <w:rFonts w:ascii="Arial" w:cs="Arial" w:eastAsia="Arial" w:hAnsi="Arial"/>
                <w:sz w:val="16"/>
                <w:szCs w:val="16"/>
                <w:color w:val="auto"/>
              </w:rPr>
              <w:t>also provided for unlimited matching gifts in addition to the $3,000 limit for gifts to certain charitable organizations that address poverty</w:t>
            </w:r>
          </w:p>
        </w:tc>
      </w:tr>
      <w:tr>
        <w:trPr>
          <w:trHeight w:val="194"/>
        </w:trPr>
        <w:tc>
          <w:tcPr>
            <w:tcW w:w="1460" w:type="dxa"/>
            <w:vAlign w:val="bottom"/>
          </w:tcPr>
          <w:p>
            <w:pPr>
              <w:spacing w:after="0"/>
              <w:rPr>
                <w:sz w:val="16"/>
                <w:szCs w:val="16"/>
                <w:color w:val="auto"/>
              </w:rPr>
            </w:pPr>
          </w:p>
        </w:tc>
        <w:tc>
          <w:tcPr>
            <w:tcW w:w="9780" w:type="dxa"/>
            <w:vAlign w:val="bottom"/>
          </w:tcPr>
          <w:p>
            <w:pPr>
              <w:ind w:left="240"/>
              <w:spacing w:after="0"/>
              <w:rPr>
                <w:sz w:val="20"/>
                <w:szCs w:val="20"/>
                <w:color w:val="auto"/>
              </w:rPr>
            </w:pPr>
            <w:r>
              <w:rPr>
                <w:rFonts w:ascii="Arial" w:cs="Arial" w:eastAsia="Arial" w:hAnsi="Arial"/>
                <w:sz w:val="16"/>
                <w:szCs w:val="16"/>
                <w:color w:val="auto"/>
              </w:rPr>
              <w:t>and food insecurity challenges as a result of the COVID-19 pandemic or have diversity, equity and inclusion focused missions.</w:t>
            </w:r>
          </w:p>
        </w:tc>
      </w:tr>
    </w:tbl>
    <w:p>
      <w:pPr>
        <w:spacing w:after="0" w:line="99" w:lineRule="exact"/>
        <w:rPr>
          <w:sz w:val="20"/>
          <w:szCs w:val="20"/>
          <w:color w:val="auto"/>
        </w:rPr>
      </w:pPr>
    </w:p>
    <w:p>
      <w:pPr>
        <w:ind w:right="340" w:firstLine="401"/>
        <w:spacing w:after="0"/>
        <w:rPr>
          <w:sz w:val="20"/>
          <w:szCs w:val="20"/>
          <w:color w:val="auto"/>
        </w:rPr>
      </w:pPr>
      <w:r>
        <w:rPr>
          <w:rFonts w:ascii="Arial" w:cs="Arial" w:eastAsia="Arial" w:hAnsi="Arial"/>
          <w:sz w:val="18"/>
          <w:szCs w:val="18"/>
          <w:color w:val="auto"/>
        </w:rPr>
        <w:t>Specific amounts included in the fiscal 2020 “All Other Compensation” column of the “Summary Compensation Table” are in the table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shd w:val="clear" w:color="auto" w:fill="C00000"/>
          </w:tcPr>
          <w:p>
            <w:pPr>
              <w:spacing w:after="0"/>
              <w:rPr>
                <w:sz w:val="14"/>
                <w:szCs w:val="14"/>
                <w:color w:val="auto"/>
              </w:rPr>
            </w:pPr>
          </w:p>
        </w:tc>
        <w:tc>
          <w:tcPr>
            <w:tcW w:w="2820" w:type="dxa"/>
            <w:vAlign w:val="bottom"/>
            <w:shd w:val="clear" w:color="auto" w:fill="C00000"/>
          </w:tcPr>
          <w:p>
            <w:pPr>
              <w:spacing w:after="0"/>
              <w:rPr>
                <w:sz w:val="14"/>
                <w:szCs w:val="14"/>
                <w:color w:val="auto"/>
              </w:rPr>
            </w:pPr>
          </w:p>
        </w:tc>
        <w:tc>
          <w:tcPr>
            <w:tcW w:w="1640" w:type="dxa"/>
            <w:vAlign w:val="bottom"/>
            <w:shd w:val="clear" w:color="auto" w:fill="C00000"/>
          </w:tcPr>
          <w:p>
            <w:pPr>
              <w:jc w:val="center"/>
              <w:ind w:right="185"/>
              <w:spacing w:after="0"/>
              <w:rPr>
                <w:sz w:val="20"/>
                <w:szCs w:val="20"/>
                <w:color w:val="auto"/>
              </w:rPr>
            </w:pPr>
            <w:r>
              <w:rPr>
                <w:rFonts w:ascii="Arial" w:cs="Arial" w:eastAsia="Arial" w:hAnsi="Arial"/>
                <w:sz w:val="14"/>
                <w:szCs w:val="14"/>
                <w:b w:val="1"/>
                <w:bCs w:val="1"/>
                <w:color w:val="FFFFFF"/>
              </w:rPr>
              <w:t>Nonqualified</w:t>
            </w:r>
          </w:p>
        </w:tc>
        <w:tc>
          <w:tcPr>
            <w:tcW w:w="1480" w:type="dxa"/>
            <w:vAlign w:val="bottom"/>
            <w:shd w:val="clear" w:color="auto" w:fill="C00000"/>
          </w:tcPr>
          <w:p>
            <w:pPr>
              <w:spacing w:after="0"/>
              <w:rPr>
                <w:sz w:val="14"/>
                <w:szCs w:val="14"/>
                <w:color w:val="auto"/>
              </w:rPr>
            </w:pPr>
          </w:p>
        </w:tc>
        <w:tc>
          <w:tcPr>
            <w:tcW w:w="1680" w:type="dxa"/>
            <w:vAlign w:val="bottom"/>
            <w:shd w:val="clear" w:color="auto" w:fill="C00000"/>
          </w:tcPr>
          <w:p>
            <w:pPr>
              <w:spacing w:after="0"/>
              <w:rPr>
                <w:sz w:val="14"/>
                <w:szCs w:val="14"/>
                <w:color w:val="auto"/>
              </w:rPr>
            </w:pPr>
          </w:p>
        </w:tc>
        <w:tc>
          <w:tcPr>
            <w:tcW w:w="1220" w:type="dxa"/>
            <w:vAlign w:val="bottom"/>
            <w:shd w:val="clear" w:color="auto" w:fill="C00000"/>
          </w:tcPr>
          <w:p>
            <w:pPr>
              <w:spacing w:after="0"/>
              <w:rPr>
                <w:sz w:val="14"/>
                <w:szCs w:val="14"/>
                <w:color w:val="auto"/>
              </w:rPr>
            </w:pPr>
          </w:p>
        </w:tc>
      </w:tr>
      <w:tr>
        <w:trPr>
          <w:trHeight w:val="157"/>
        </w:trPr>
        <w:tc>
          <w:tcPr>
            <w:tcW w:w="2400" w:type="dxa"/>
            <w:vAlign w:val="bottom"/>
            <w:shd w:val="clear" w:color="auto" w:fill="C00000"/>
          </w:tcPr>
          <w:p>
            <w:pPr>
              <w:spacing w:after="0"/>
              <w:rPr>
                <w:sz w:val="13"/>
                <w:szCs w:val="13"/>
                <w:color w:val="auto"/>
              </w:rPr>
            </w:pPr>
          </w:p>
        </w:tc>
        <w:tc>
          <w:tcPr>
            <w:tcW w:w="2820" w:type="dxa"/>
            <w:vAlign w:val="bottom"/>
            <w:shd w:val="clear" w:color="auto" w:fill="C00000"/>
          </w:tcPr>
          <w:p>
            <w:pPr>
              <w:jc w:val="center"/>
              <w:ind w:left="1044"/>
              <w:spacing w:after="0" w:line="157" w:lineRule="exact"/>
              <w:rPr>
                <w:sz w:val="20"/>
                <w:szCs w:val="20"/>
                <w:color w:val="auto"/>
              </w:rPr>
            </w:pPr>
            <w:r>
              <w:rPr>
                <w:rFonts w:ascii="Arial" w:cs="Arial" w:eastAsia="Arial" w:hAnsi="Arial"/>
                <w:sz w:val="14"/>
                <w:szCs w:val="14"/>
                <w:b w:val="1"/>
                <w:bCs w:val="1"/>
                <w:color w:val="FFFFFF"/>
              </w:rPr>
              <w:t>Retirement Plan</w:t>
            </w:r>
          </w:p>
        </w:tc>
        <w:tc>
          <w:tcPr>
            <w:tcW w:w="1640" w:type="dxa"/>
            <w:vAlign w:val="bottom"/>
            <w:shd w:val="clear" w:color="auto" w:fill="C00000"/>
          </w:tcPr>
          <w:p>
            <w:pPr>
              <w:jc w:val="center"/>
              <w:ind w:right="185"/>
              <w:spacing w:after="0" w:line="157" w:lineRule="exact"/>
              <w:rPr>
                <w:sz w:val="20"/>
                <w:szCs w:val="20"/>
                <w:color w:val="auto"/>
              </w:rPr>
            </w:pPr>
            <w:r>
              <w:rPr>
                <w:rFonts w:ascii="Arial" w:cs="Arial" w:eastAsia="Arial" w:hAnsi="Arial"/>
                <w:sz w:val="14"/>
                <w:szCs w:val="14"/>
                <w:b w:val="1"/>
                <w:bCs w:val="1"/>
                <w:color w:val="FFFFFF"/>
              </w:rPr>
              <w:t>Plan</w:t>
            </w:r>
          </w:p>
        </w:tc>
        <w:tc>
          <w:tcPr>
            <w:tcW w:w="1480" w:type="dxa"/>
            <w:vAlign w:val="bottom"/>
            <w:shd w:val="clear" w:color="auto" w:fill="C00000"/>
          </w:tcPr>
          <w:p>
            <w:pPr>
              <w:jc w:val="center"/>
              <w:ind w:right="224"/>
              <w:spacing w:after="0" w:line="157" w:lineRule="exact"/>
              <w:rPr>
                <w:sz w:val="20"/>
                <w:szCs w:val="20"/>
                <w:color w:val="auto"/>
              </w:rPr>
            </w:pPr>
            <w:r>
              <w:rPr>
                <w:rFonts w:ascii="Arial" w:cs="Arial" w:eastAsia="Arial" w:hAnsi="Arial"/>
                <w:sz w:val="14"/>
                <w:szCs w:val="14"/>
                <w:b w:val="1"/>
                <w:bCs w:val="1"/>
                <w:color w:val="FFFFFF"/>
              </w:rPr>
              <w:t>Charitable</w:t>
            </w:r>
          </w:p>
        </w:tc>
        <w:tc>
          <w:tcPr>
            <w:tcW w:w="1680" w:type="dxa"/>
            <w:vAlign w:val="bottom"/>
            <w:shd w:val="clear" w:color="auto" w:fill="C00000"/>
          </w:tcPr>
          <w:p>
            <w:pPr>
              <w:spacing w:after="0"/>
              <w:rPr>
                <w:sz w:val="13"/>
                <w:szCs w:val="13"/>
                <w:color w:val="auto"/>
              </w:rPr>
            </w:pPr>
          </w:p>
        </w:tc>
        <w:tc>
          <w:tcPr>
            <w:tcW w:w="1220" w:type="dxa"/>
            <w:vAlign w:val="bottom"/>
            <w:shd w:val="clear" w:color="auto" w:fill="C00000"/>
          </w:tcPr>
          <w:p>
            <w:pPr>
              <w:spacing w:after="0"/>
              <w:rPr>
                <w:sz w:val="13"/>
                <w:szCs w:val="13"/>
                <w:color w:val="auto"/>
              </w:rPr>
            </w:pPr>
          </w:p>
        </w:tc>
      </w:tr>
      <w:tr>
        <w:trPr>
          <w:trHeight w:val="164"/>
        </w:trPr>
        <w:tc>
          <w:tcPr>
            <w:tcW w:w="2400" w:type="dxa"/>
            <w:vAlign w:val="bottom"/>
            <w:shd w:val="clear" w:color="auto" w:fill="C00000"/>
          </w:tcPr>
          <w:p>
            <w:pPr>
              <w:spacing w:after="0"/>
              <w:rPr>
                <w:sz w:val="14"/>
                <w:szCs w:val="14"/>
                <w:color w:val="auto"/>
              </w:rPr>
            </w:pPr>
          </w:p>
        </w:tc>
        <w:tc>
          <w:tcPr>
            <w:tcW w:w="2820" w:type="dxa"/>
            <w:vAlign w:val="bottom"/>
            <w:shd w:val="clear" w:color="auto" w:fill="C00000"/>
          </w:tcPr>
          <w:p>
            <w:pPr>
              <w:jc w:val="center"/>
              <w:ind w:left="1044"/>
              <w:spacing w:after="0" w:line="164" w:lineRule="exact"/>
              <w:rPr>
                <w:sz w:val="20"/>
                <w:szCs w:val="20"/>
                <w:color w:val="auto"/>
              </w:rPr>
            </w:pPr>
            <w:r>
              <w:rPr>
                <w:rFonts w:ascii="Arial" w:cs="Arial" w:eastAsia="Arial" w:hAnsi="Arial"/>
                <w:sz w:val="12"/>
                <w:szCs w:val="12"/>
                <w:b w:val="1"/>
                <w:bCs w:val="1"/>
                <w:color w:val="FFFFFF"/>
              </w:rPr>
              <w:t>Contributions</w:t>
            </w:r>
            <w:r>
              <w:rPr>
                <w:rFonts w:ascii="Arial" w:cs="Arial" w:eastAsia="Arial" w:hAnsi="Arial"/>
                <w:sz w:val="19"/>
                <w:szCs w:val="19"/>
                <w:b w:val="1"/>
                <w:bCs w:val="1"/>
                <w:color w:val="FFFFFF"/>
                <w:vertAlign w:val="superscript"/>
              </w:rPr>
              <w:t>(1)</w:t>
            </w:r>
          </w:p>
        </w:tc>
        <w:tc>
          <w:tcPr>
            <w:tcW w:w="1640" w:type="dxa"/>
            <w:vAlign w:val="bottom"/>
            <w:shd w:val="clear" w:color="auto" w:fill="C00000"/>
          </w:tcPr>
          <w:p>
            <w:pPr>
              <w:jc w:val="center"/>
              <w:ind w:right="165"/>
              <w:spacing w:after="0" w:line="164" w:lineRule="exact"/>
              <w:rPr>
                <w:sz w:val="20"/>
                <w:szCs w:val="20"/>
                <w:color w:val="auto"/>
              </w:rPr>
            </w:pPr>
            <w:r>
              <w:rPr>
                <w:rFonts w:ascii="Arial" w:cs="Arial" w:eastAsia="Arial" w:hAnsi="Arial"/>
                <w:sz w:val="12"/>
                <w:szCs w:val="12"/>
                <w:b w:val="1"/>
                <w:bCs w:val="1"/>
                <w:color w:val="FFFFFF"/>
              </w:rPr>
              <w:t>Contributions</w:t>
            </w:r>
            <w:r>
              <w:rPr>
                <w:rFonts w:ascii="Arial" w:cs="Arial" w:eastAsia="Arial" w:hAnsi="Arial"/>
                <w:sz w:val="19"/>
                <w:szCs w:val="19"/>
                <w:b w:val="1"/>
                <w:bCs w:val="1"/>
                <w:color w:val="FFFFFF"/>
                <w:vertAlign w:val="superscript"/>
              </w:rPr>
              <w:t>(2)</w:t>
            </w:r>
          </w:p>
        </w:tc>
        <w:tc>
          <w:tcPr>
            <w:tcW w:w="1480" w:type="dxa"/>
            <w:vAlign w:val="bottom"/>
            <w:shd w:val="clear" w:color="auto" w:fill="C00000"/>
          </w:tcPr>
          <w:p>
            <w:pPr>
              <w:jc w:val="center"/>
              <w:ind w:right="204"/>
              <w:spacing w:after="0" w:line="164" w:lineRule="exact"/>
              <w:rPr>
                <w:sz w:val="20"/>
                <w:szCs w:val="20"/>
                <w:color w:val="auto"/>
              </w:rPr>
            </w:pPr>
            <w:r>
              <w:rPr>
                <w:rFonts w:ascii="Arial" w:cs="Arial" w:eastAsia="Arial" w:hAnsi="Arial"/>
                <w:sz w:val="12"/>
                <w:szCs w:val="12"/>
                <w:b w:val="1"/>
                <w:bCs w:val="1"/>
                <w:color w:val="FFFFFF"/>
              </w:rPr>
              <w:t>Giving</w:t>
            </w:r>
            <w:r>
              <w:rPr>
                <w:rFonts w:ascii="Arial" w:cs="Arial" w:eastAsia="Arial" w:hAnsi="Arial"/>
                <w:sz w:val="19"/>
                <w:szCs w:val="19"/>
                <w:b w:val="1"/>
                <w:bCs w:val="1"/>
                <w:color w:val="FFFFFF"/>
                <w:vertAlign w:val="superscript"/>
              </w:rPr>
              <w:t>(3)</w:t>
            </w:r>
          </w:p>
        </w:tc>
        <w:tc>
          <w:tcPr>
            <w:tcW w:w="1680" w:type="dxa"/>
            <w:vAlign w:val="bottom"/>
            <w:shd w:val="clear" w:color="auto" w:fill="C00000"/>
          </w:tcPr>
          <w:p>
            <w:pPr>
              <w:jc w:val="right"/>
              <w:ind w:right="484"/>
              <w:spacing w:after="0" w:line="164" w:lineRule="exact"/>
              <w:rPr>
                <w:sz w:val="20"/>
                <w:szCs w:val="20"/>
                <w:color w:val="auto"/>
              </w:rPr>
            </w:pPr>
            <w:r>
              <w:rPr>
                <w:rFonts w:ascii="Arial" w:cs="Arial" w:eastAsia="Arial" w:hAnsi="Arial"/>
                <w:sz w:val="12"/>
                <w:szCs w:val="12"/>
                <w:b w:val="1"/>
                <w:bCs w:val="1"/>
                <w:color w:val="FFFFFF"/>
              </w:rPr>
              <w:t>Perquisites</w:t>
            </w:r>
            <w:r>
              <w:rPr>
                <w:rFonts w:ascii="Arial" w:cs="Arial" w:eastAsia="Arial" w:hAnsi="Arial"/>
                <w:sz w:val="19"/>
                <w:szCs w:val="19"/>
                <w:b w:val="1"/>
                <w:bCs w:val="1"/>
                <w:color w:val="FFFFFF"/>
                <w:vertAlign w:val="superscript"/>
              </w:rPr>
              <w:t>(4)</w:t>
            </w:r>
          </w:p>
        </w:tc>
        <w:tc>
          <w:tcPr>
            <w:tcW w:w="1220" w:type="dxa"/>
            <w:vAlign w:val="bottom"/>
            <w:shd w:val="clear" w:color="auto" w:fill="C00000"/>
          </w:tcPr>
          <w:p>
            <w:pPr>
              <w:jc w:val="right"/>
              <w:ind w:right="462"/>
              <w:spacing w:after="0"/>
              <w:rPr>
                <w:sz w:val="20"/>
                <w:szCs w:val="20"/>
                <w:color w:val="auto"/>
              </w:rPr>
            </w:pPr>
            <w:r>
              <w:rPr>
                <w:rFonts w:ascii="Arial" w:cs="Arial" w:eastAsia="Arial" w:hAnsi="Arial"/>
                <w:sz w:val="14"/>
                <w:szCs w:val="14"/>
                <w:b w:val="1"/>
                <w:bCs w:val="1"/>
                <w:color w:val="FFFFFF"/>
              </w:rPr>
              <w:t>Total</w:t>
            </w:r>
          </w:p>
        </w:tc>
      </w:tr>
      <w:tr>
        <w:trPr>
          <w:trHeight w:val="174"/>
        </w:trPr>
        <w:tc>
          <w:tcPr>
            <w:tcW w:w="240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2820" w:type="dxa"/>
            <w:vAlign w:val="bottom"/>
            <w:shd w:val="clear" w:color="auto" w:fill="C00000"/>
          </w:tcPr>
          <w:p>
            <w:pPr>
              <w:jc w:val="center"/>
              <w:ind w:left="1044"/>
              <w:spacing w:after="0"/>
              <w:rPr>
                <w:sz w:val="20"/>
                <w:szCs w:val="20"/>
                <w:color w:val="auto"/>
              </w:rPr>
            </w:pPr>
            <w:r>
              <w:rPr>
                <w:rFonts w:ascii="Arial" w:cs="Arial" w:eastAsia="Arial" w:hAnsi="Arial"/>
                <w:sz w:val="14"/>
                <w:szCs w:val="14"/>
                <w:b w:val="1"/>
                <w:bCs w:val="1"/>
                <w:color w:val="FFFFFF"/>
              </w:rPr>
              <w:t>($)</w:t>
            </w:r>
          </w:p>
        </w:tc>
        <w:tc>
          <w:tcPr>
            <w:tcW w:w="1640" w:type="dxa"/>
            <w:vAlign w:val="bottom"/>
            <w:shd w:val="clear" w:color="auto" w:fill="C00000"/>
          </w:tcPr>
          <w:p>
            <w:pPr>
              <w:jc w:val="center"/>
              <w:ind w:right="185"/>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C00000"/>
          </w:tcPr>
          <w:p>
            <w:pPr>
              <w:jc w:val="center"/>
              <w:ind w:right="224"/>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C00000"/>
          </w:tcPr>
          <w:p>
            <w:pPr>
              <w:jc w:val="right"/>
              <w:ind w:right="864"/>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C00000"/>
          </w:tcPr>
          <w:p>
            <w:pPr>
              <w:jc w:val="right"/>
              <w:ind w:right="542"/>
              <w:spacing w:after="0"/>
              <w:rPr>
                <w:sz w:val="20"/>
                <w:szCs w:val="20"/>
                <w:color w:val="auto"/>
              </w:rPr>
            </w:pPr>
            <w:r>
              <w:rPr>
                <w:rFonts w:ascii="Arial" w:cs="Arial" w:eastAsia="Arial" w:hAnsi="Arial"/>
                <w:sz w:val="14"/>
                <w:szCs w:val="14"/>
                <w:b w:val="1"/>
                <w:bCs w:val="1"/>
                <w:color w:val="FFFFFF"/>
              </w:rPr>
              <w:t>($)</w:t>
            </w:r>
          </w:p>
        </w:tc>
      </w:tr>
      <w:tr>
        <w:trPr>
          <w:trHeight w:val="201"/>
        </w:trPr>
        <w:tc>
          <w:tcPr>
            <w:tcW w:w="2400" w:type="dxa"/>
            <w:vAlign w:val="bottom"/>
          </w:tcPr>
          <w:p>
            <w:pPr>
              <w:spacing w:after="0"/>
              <w:rPr>
                <w:sz w:val="20"/>
                <w:szCs w:val="20"/>
                <w:color w:val="auto"/>
              </w:rPr>
            </w:pPr>
            <w:r>
              <w:rPr>
                <w:rFonts w:ascii="Arial" w:cs="Arial" w:eastAsia="Arial" w:hAnsi="Arial"/>
                <w:sz w:val="16"/>
                <w:szCs w:val="16"/>
                <w:color w:val="auto"/>
              </w:rPr>
              <w:t>Mr. Olson</w:t>
            </w:r>
          </w:p>
        </w:tc>
        <w:tc>
          <w:tcPr>
            <w:tcW w:w="2820" w:type="dxa"/>
            <w:vAlign w:val="bottom"/>
          </w:tcPr>
          <w:p>
            <w:pPr>
              <w:jc w:val="right"/>
              <w:ind w:right="84"/>
              <w:spacing w:after="0"/>
              <w:rPr>
                <w:sz w:val="20"/>
                <w:szCs w:val="20"/>
                <w:color w:val="auto"/>
              </w:rPr>
            </w:pPr>
            <w:r>
              <w:rPr>
                <w:rFonts w:ascii="Arial" w:cs="Arial" w:eastAsia="Arial" w:hAnsi="Arial"/>
                <w:sz w:val="16"/>
                <w:szCs w:val="16"/>
                <w:color w:val="auto"/>
              </w:rPr>
              <w:t>13,858</w:t>
            </w:r>
          </w:p>
        </w:tc>
        <w:tc>
          <w:tcPr>
            <w:tcW w:w="1640" w:type="dxa"/>
            <w:vAlign w:val="bottom"/>
          </w:tcPr>
          <w:p>
            <w:pPr>
              <w:jc w:val="right"/>
              <w:ind w:right="185"/>
              <w:spacing w:after="0"/>
              <w:rPr>
                <w:sz w:val="20"/>
                <w:szCs w:val="20"/>
                <w:color w:val="auto"/>
              </w:rPr>
            </w:pPr>
            <w:r>
              <w:rPr>
                <w:rFonts w:ascii="Arial" w:cs="Arial" w:eastAsia="Arial" w:hAnsi="Arial"/>
                <w:sz w:val="16"/>
                <w:szCs w:val="16"/>
                <w:color w:val="auto"/>
              </w:rPr>
              <w:t>53,036</w:t>
            </w:r>
          </w:p>
        </w:tc>
        <w:tc>
          <w:tcPr>
            <w:tcW w:w="1480" w:type="dxa"/>
            <w:vAlign w:val="bottom"/>
          </w:tcPr>
          <w:p>
            <w:pPr>
              <w:jc w:val="right"/>
              <w:ind w:right="124"/>
              <w:spacing w:after="0"/>
              <w:rPr>
                <w:sz w:val="20"/>
                <w:szCs w:val="20"/>
                <w:color w:val="auto"/>
              </w:rPr>
            </w:pPr>
            <w:r>
              <w:rPr>
                <w:rFonts w:ascii="Arial" w:cs="Arial" w:eastAsia="Arial" w:hAnsi="Arial"/>
                <w:sz w:val="16"/>
                <w:szCs w:val="16"/>
                <w:color w:val="auto"/>
              </w:rPr>
              <w:t>3,000</w:t>
            </w:r>
          </w:p>
        </w:tc>
        <w:tc>
          <w:tcPr>
            <w:tcW w:w="1680" w:type="dxa"/>
            <w:vAlign w:val="bottom"/>
          </w:tcPr>
          <w:p>
            <w:pPr>
              <w:jc w:val="right"/>
              <w:ind w:right="264"/>
              <w:spacing w:after="0"/>
              <w:rPr>
                <w:sz w:val="20"/>
                <w:szCs w:val="20"/>
                <w:color w:val="auto"/>
              </w:rPr>
            </w:pPr>
            <w:r>
              <w:rPr>
                <w:rFonts w:ascii="Arial" w:cs="Arial" w:eastAsia="Arial" w:hAnsi="Arial"/>
                <w:sz w:val="16"/>
                <w:szCs w:val="16"/>
                <w:color w:val="auto"/>
              </w:rPr>
              <w:t>25,455</w:t>
            </w:r>
          </w:p>
        </w:tc>
        <w:tc>
          <w:tcPr>
            <w:tcW w:w="1220" w:type="dxa"/>
            <w:vAlign w:val="bottom"/>
          </w:tcPr>
          <w:p>
            <w:pPr>
              <w:jc w:val="right"/>
              <w:spacing w:after="0"/>
              <w:rPr>
                <w:sz w:val="20"/>
                <w:szCs w:val="20"/>
                <w:color w:val="auto"/>
              </w:rPr>
            </w:pPr>
            <w:r>
              <w:rPr>
                <w:rFonts w:ascii="Arial" w:cs="Arial" w:eastAsia="Arial" w:hAnsi="Arial"/>
                <w:sz w:val="16"/>
                <w:szCs w:val="16"/>
                <w:color w:val="auto"/>
              </w:rPr>
              <w:t>95,349</w:t>
            </w:r>
          </w:p>
        </w:tc>
      </w:tr>
      <w:tr>
        <w:trPr>
          <w:trHeight w:val="201"/>
        </w:trPr>
        <w:tc>
          <w:tcPr>
            <w:tcW w:w="240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2820" w:type="dxa"/>
            <w:vAlign w:val="bottom"/>
            <w:shd w:val="clear" w:color="auto" w:fill="D9D9D9"/>
          </w:tcPr>
          <w:p>
            <w:pPr>
              <w:jc w:val="right"/>
              <w:ind w:right="84"/>
              <w:spacing w:after="0"/>
              <w:rPr>
                <w:sz w:val="20"/>
                <w:szCs w:val="20"/>
                <w:color w:val="auto"/>
              </w:rPr>
            </w:pPr>
            <w:r>
              <w:rPr>
                <w:rFonts w:ascii="Arial" w:cs="Arial" w:eastAsia="Arial" w:hAnsi="Arial"/>
                <w:sz w:val="16"/>
                <w:szCs w:val="16"/>
                <w:color w:val="auto"/>
              </w:rPr>
              <w:t>13,858</w:t>
            </w:r>
          </w:p>
        </w:tc>
        <w:tc>
          <w:tcPr>
            <w:tcW w:w="1640" w:type="dxa"/>
            <w:vAlign w:val="bottom"/>
            <w:shd w:val="clear" w:color="auto" w:fill="D9D9D9"/>
          </w:tcPr>
          <w:p>
            <w:pPr>
              <w:jc w:val="right"/>
              <w:ind w:right="185"/>
              <w:spacing w:after="0"/>
              <w:rPr>
                <w:sz w:val="20"/>
                <w:szCs w:val="20"/>
                <w:color w:val="auto"/>
              </w:rPr>
            </w:pPr>
            <w:r>
              <w:rPr>
                <w:rFonts w:ascii="Arial" w:cs="Arial" w:eastAsia="Arial" w:hAnsi="Arial"/>
                <w:sz w:val="16"/>
                <w:szCs w:val="16"/>
                <w:color w:val="auto"/>
              </w:rPr>
              <w:t>19,993</w:t>
            </w:r>
          </w:p>
        </w:tc>
        <w:tc>
          <w:tcPr>
            <w:tcW w:w="1480" w:type="dxa"/>
            <w:vAlign w:val="bottom"/>
            <w:shd w:val="clear" w:color="auto" w:fill="D9D9D9"/>
          </w:tcPr>
          <w:p>
            <w:pPr>
              <w:jc w:val="right"/>
              <w:ind w:right="124"/>
              <w:spacing w:after="0"/>
              <w:rPr>
                <w:sz w:val="20"/>
                <w:szCs w:val="20"/>
                <w:color w:val="auto"/>
              </w:rPr>
            </w:pPr>
            <w:r>
              <w:rPr>
                <w:rFonts w:ascii="Arial" w:cs="Arial" w:eastAsia="Arial" w:hAnsi="Arial"/>
                <w:sz w:val="16"/>
                <w:szCs w:val="16"/>
                <w:color w:val="auto"/>
              </w:rPr>
              <w:t>3,500</w:t>
            </w:r>
          </w:p>
        </w:tc>
        <w:tc>
          <w:tcPr>
            <w:tcW w:w="1680" w:type="dxa"/>
            <w:vAlign w:val="bottom"/>
            <w:shd w:val="clear" w:color="auto" w:fill="D9D9D9"/>
          </w:tcPr>
          <w:p>
            <w:pPr>
              <w:jc w:val="right"/>
              <w:ind w:right="264"/>
              <w:spacing w:after="0"/>
              <w:rPr>
                <w:sz w:val="20"/>
                <w:szCs w:val="20"/>
                <w:color w:val="auto"/>
              </w:rPr>
            </w:pPr>
            <w:r>
              <w:rPr>
                <w:rFonts w:ascii="Arial" w:cs="Arial" w:eastAsia="Arial" w:hAnsi="Arial"/>
                <w:sz w:val="16"/>
                <w:szCs w:val="16"/>
                <w:color w:val="auto"/>
              </w:rPr>
              <w:t>35,860</w:t>
            </w:r>
          </w:p>
        </w:tc>
        <w:tc>
          <w:tcPr>
            <w:tcW w:w="12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73,211</w:t>
            </w:r>
          </w:p>
        </w:tc>
      </w:tr>
      <w:tr>
        <w:trPr>
          <w:trHeight w:val="201"/>
        </w:trPr>
        <w:tc>
          <w:tcPr>
            <w:tcW w:w="2400" w:type="dxa"/>
            <w:vAlign w:val="bottom"/>
          </w:tcPr>
          <w:p>
            <w:pPr>
              <w:spacing w:after="0"/>
              <w:rPr>
                <w:sz w:val="20"/>
                <w:szCs w:val="20"/>
                <w:color w:val="auto"/>
              </w:rPr>
            </w:pPr>
            <w:r>
              <w:rPr>
                <w:rFonts w:ascii="Arial" w:cs="Arial" w:eastAsia="Arial" w:hAnsi="Arial"/>
                <w:sz w:val="16"/>
                <w:szCs w:val="16"/>
                <w:color w:val="auto"/>
              </w:rPr>
              <w:t>Mr. Rodier</w:t>
            </w:r>
          </w:p>
        </w:tc>
        <w:tc>
          <w:tcPr>
            <w:tcW w:w="2820" w:type="dxa"/>
            <w:vAlign w:val="bottom"/>
          </w:tcPr>
          <w:p>
            <w:pPr>
              <w:jc w:val="right"/>
              <w:ind w:right="84"/>
              <w:spacing w:after="0"/>
              <w:rPr>
                <w:sz w:val="20"/>
                <w:szCs w:val="20"/>
                <w:color w:val="auto"/>
              </w:rPr>
            </w:pPr>
            <w:r>
              <w:rPr>
                <w:rFonts w:ascii="Arial" w:cs="Arial" w:eastAsia="Arial" w:hAnsi="Arial"/>
                <w:sz w:val="16"/>
                <w:szCs w:val="16"/>
                <w:color w:val="auto"/>
              </w:rPr>
              <w:t>13,353</w:t>
            </w:r>
          </w:p>
        </w:tc>
        <w:tc>
          <w:tcPr>
            <w:tcW w:w="1640" w:type="dxa"/>
            <w:vAlign w:val="bottom"/>
          </w:tcPr>
          <w:p>
            <w:pPr>
              <w:jc w:val="right"/>
              <w:ind w:right="185"/>
              <w:spacing w:after="0"/>
              <w:rPr>
                <w:sz w:val="20"/>
                <w:szCs w:val="20"/>
                <w:color w:val="auto"/>
              </w:rPr>
            </w:pPr>
            <w:r>
              <w:rPr>
                <w:rFonts w:ascii="Arial" w:cs="Arial" w:eastAsia="Arial" w:hAnsi="Arial"/>
                <w:sz w:val="16"/>
                <w:szCs w:val="16"/>
                <w:color w:val="auto"/>
              </w:rPr>
              <w:t>10,988</w:t>
            </w:r>
          </w:p>
        </w:tc>
        <w:tc>
          <w:tcPr>
            <w:tcW w:w="1480" w:type="dxa"/>
            <w:vAlign w:val="bottom"/>
          </w:tcPr>
          <w:p>
            <w:pPr>
              <w:jc w:val="right"/>
              <w:ind w:right="124"/>
              <w:spacing w:after="0"/>
              <w:rPr>
                <w:sz w:val="20"/>
                <w:szCs w:val="20"/>
                <w:color w:val="auto"/>
              </w:rPr>
            </w:pPr>
            <w:r>
              <w:rPr>
                <w:rFonts w:ascii="Arial" w:cs="Arial" w:eastAsia="Arial" w:hAnsi="Arial"/>
                <w:sz w:val="16"/>
                <w:szCs w:val="16"/>
                <w:color w:val="auto"/>
              </w:rPr>
              <w:t>13,000</w:t>
            </w:r>
          </w:p>
        </w:tc>
        <w:tc>
          <w:tcPr>
            <w:tcW w:w="1680" w:type="dxa"/>
            <w:vAlign w:val="bottom"/>
          </w:tcPr>
          <w:p>
            <w:pPr>
              <w:jc w:val="right"/>
              <w:ind w:right="264"/>
              <w:spacing w:after="0"/>
              <w:rPr>
                <w:sz w:val="20"/>
                <w:szCs w:val="20"/>
                <w:color w:val="auto"/>
              </w:rPr>
            </w:pPr>
            <w:r>
              <w:rPr>
                <w:rFonts w:ascii="Arial" w:cs="Arial" w:eastAsia="Arial" w:hAnsi="Arial"/>
                <w:sz w:val="16"/>
                <w:szCs w:val="16"/>
                <w:color w:val="auto"/>
              </w:rPr>
              <w:t>26,817</w:t>
            </w:r>
          </w:p>
        </w:tc>
        <w:tc>
          <w:tcPr>
            <w:tcW w:w="1220" w:type="dxa"/>
            <w:vAlign w:val="bottom"/>
          </w:tcPr>
          <w:p>
            <w:pPr>
              <w:jc w:val="right"/>
              <w:spacing w:after="0"/>
              <w:rPr>
                <w:sz w:val="20"/>
                <w:szCs w:val="20"/>
                <w:color w:val="auto"/>
              </w:rPr>
            </w:pPr>
            <w:r>
              <w:rPr>
                <w:rFonts w:ascii="Arial" w:cs="Arial" w:eastAsia="Arial" w:hAnsi="Arial"/>
                <w:sz w:val="16"/>
                <w:szCs w:val="16"/>
                <w:color w:val="auto"/>
              </w:rPr>
              <w:t>64,158</w:t>
            </w:r>
          </w:p>
        </w:tc>
      </w:tr>
      <w:tr>
        <w:trPr>
          <w:trHeight w:val="201"/>
        </w:trPr>
        <w:tc>
          <w:tcPr>
            <w:tcW w:w="2400" w:type="dxa"/>
            <w:vAlign w:val="bottom"/>
            <w:shd w:val="clear" w:color="auto" w:fill="D9D9D9"/>
          </w:tcPr>
          <w:p>
            <w:pPr>
              <w:spacing w:after="0"/>
              <w:rPr>
                <w:sz w:val="20"/>
                <w:szCs w:val="20"/>
                <w:color w:val="auto"/>
              </w:rPr>
            </w:pPr>
            <w:r>
              <w:rPr>
                <w:rFonts w:ascii="Arial" w:cs="Arial" w:eastAsia="Arial" w:hAnsi="Arial"/>
                <w:sz w:val="16"/>
                <w:szCs w:val="16"/>
                <w:color w:val="auto"/>
              </w:rPr>
              <w:t>Mr. Hamilton</w:t>
            </w:r>
          </w:p>
        </w:tc>
        <w:tc>
          <w:tcPr>
            <w:tcW w:w="2820" w:type="dxa"/>
            <w:vAlign w:val="bottom"/>
            <w:shd w:val="clear" w:color="auto" w:fill="D9D9D9"/>
          </w:tcPr>
          <w:p>
            <w:pPr>
              <w:jc w:val="right"/>
              <w:ind w:right="84"/>
              <w:spacing w:after="0"/>
              <w:rPr>
                <w:sz w:val="20"/>
                <w:szCs w:val="20"/>
                <w:color w:val="auto"/>
              </w:rPr>
            </w:pPr>
            <w:r>
              <w:rPr>
                <w:rFonts w:ascii="Arial" w:cs="Arial" w:eastAsia="Arial" w:hAnsi="Arial"/>
                <w:sz w:val="16"/>
                <w:szCs w:val="16"/>
                <w:color w:val="auto"/>
              </w:rPr>
              <w:t>11,006</w:t>
            </w:r>
          </w:p>
        </w:tc>
        <w:tc>
          <w:tcPr>
            <w:tcW w:w="1640" w:type="dxa"/>
            <w:vAlign w:val="bottom"/>
            <w:shd w:val="clear" w:color="auto" w:fill="D9D9D9"/>
          </w:tcPr>
          <w:p>
            <w:pPr>
              <w:jc w:val="right"/>
              <w:ind w:right="185"/>
              <w:spacing w:after="0"/>
              <w:rPr>
                <w:sz w:val="20"/>
                <w:szCs w:val="20"/>
                <w:color w:val="auto"/>
              </w:rPr>
            </w:pPr>
            <w:r>
              <w:rPr>
                <w:rFonts w:ascii="Arial" w:cs="Arial" w:eastAsia="Arial" w:hAnsi="Arial"/>
                <w:sz w:val="16"/>
                <w:szCs w:val="16"/>
                <w:color w:val="auto"/>
              </w:rPr>
              <w:t>10,303</w:t>
            </w:r>
          </w:p>
        </w:tc>
        <w:tc>
          <w:tcPr>
            <w:tcW w:w="1480" w:type="dxa"/>
            <w:vAlign w:val="bottom"/>
            <w:shd w:val="clear" w:color="auto" w:fill="D9D9D9"/>
          </w:tcPr>
          <w:p>
            <w:pPr>
              <w:jc w:val="right"/>
              <w:ind w:right="124"/>
              <w:spacing w:after="0"/>
              <w:rPr>
                <w:sz w:val="20"/>
                <w:szCs w:val="20"/>
                <w:color w:val="auto"/>
              </w:rPr>
            </w:pPr>
            <w:r>
              <w:rPr>
                <w:rFonts w:ascii="Arial" w:cs="Arial" w:eastAsia="Arial" w:hAnsi="Arial"/>
                <w:sz w:val="16"/>
                <w:szCs w:val="16"/>
                <w:color w:val="auto"/>
              </w:rPr>
              <w:t>1,500</w:t>
            </w:r>
          </w:p>
        </w:tc>
        <w:tc>
          <w:tcPr>
            <w:tcW w:w="1680" w:type="dxa"/>
            <w:vAlign w:val="bottom"/>
            <w:shd w:val="clear" w:color="auto" w:fill="D9D9D9"/>
          </w:tcPr>
          <w:p>
            <w:pPr>
              <w:jc w:val="right"/>
              <w:ind w:right="264"/>
              <w:spacing w:after="0"/>
              <w:rPr>
                <w:sz w:val="20"/>
                <w:szCs w:val="20"/>
                <w:color w:val="auto"/>
              </w:rPr>
            </w:pPr>
            <w:r>
              <w:rPr>
                <w:rFonts w:ascii="Arial" w:cs="Arial" w:eastAsia="Arial" w:hAnsi="Arial"/>
                <w:sz w:val="16"/>
                <w:szCs w:val="16"/>
                <w:color w:val="auto"/>
              </w:rPr>
              <w:t>23,559</w:t>
            </w:r>
          </w:p>
        </w:tc>
        <w:tc>
          <w:tcPr>
            <w:tcW w:w="12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46,368</w:t>
            </w:r>
          </w:p>
        </w:tc>
      </w:tr>
      <w:tr>
        <w:trPr>
          <w:trHeight w:val="222"/>
        </w:trPr>
        <w:tc>
          <w:tcPr>
            <w:tcW w:w="2400" w:type="dxa"/>
            <w:vAlign w:val="bottom"/>
          </w:tcPr>
          <w:p>
            <w:pPr>
              <w:spacing w:after="0"/>
              <w:rPr>
                <w:sz w:val="20"/>
                <w:szCs w:val="20"/>
                <w:color w:val="auto"/>
              </w:rPr>
            </w:pPr>
            <w:r>
              <w:rPr>
                <w:rFonts w:ascii="Arial" w:cs="Arial" w:eastAsia="Arial" w:hAnsi="Arial"/>
                <w:sz w:val="16"/>
                <w:szCs w:val="16"/>
                <w:color w:val="auto"/>
              </w:rPr>
              <w:t>Ms. Dahl</w:t>
            </w:r>
          </w:p>
        </w:tc>
        <w:tc>
          <w:tcPr>
            <w:tcW w:w="2820" w:type="dxa"/>
            <w:vAlign w:val="bottom"/>
          </w:tcPr>
          <w:p>
            <w:pPr>
              <w:jc w:val="right"/>
              <w:ind w:right="84"/>
              <w:spacing w:after="0"/>
              <w:rPr>
                <w:sz w:val="20"/>
                <w:szCs w:val="20"/>
                <w:color w:val="auto"/>
              </w:rPr>
            </w:pPr>
            <w:r>
              <w:rPr>
                <w:rFonts w:ascii="Arial" w:cs="Arial" w:eastAsia="Arial" w:hAnsi="Arial"/>
                <w:sz w:val="16"/>
                <w:szCs w:val="16"/>
                <w:color w:val="auto"/>
              </w:rPr>
              <w:t>13,858</w:t>
            </w:r>
          </w:p>
        </w:tc>
        <w:tc>
          <w:tcPr>
            <w:tcW w:w="1640" w:type="dxa"/>
            <w:vAlign w:val="bottom"/>
          </w:tcPr>
          <w:p>
            <w:pPr>
              <w:jc w:val="right"/>
              <w:ind w:right="185"/>
              <w:spacing w:after="0"/>
              <w:rPr>
                <w:sz w:val="20"/>
                <w:szCs w:val="20"/>
                <w:color w:val="auto"/>
              </w:rPr>
            </w:pPr>
            <w:r>
              <w:rPr>
                <w:rFonts w:ascii="Arial" w:cs="Arial" w:eastAsia="Arial" w:hAnsi="Arial"/>
                <w:sz w:val="16"/>
                <w:szCs w:val="16"/>
                <w:color w:val="auto"/>
              </w:rPr>
              <w:t>11,820</w:t>
            </w:r>
          </w:p>
        </w:tc>
        <w:tc>
          <w:tcPr>
            <w:tcW w:w="1480" w:type="dxa"/>
            <w:vAlign w:val="bottom"/>
          </w:tcPr>
          <w:p>
            <w:pPr>
              <w:jc w:val="right"/>
              <w:ind w:right="124"/>
              <w:spacing w:after="0"/>
              <w:rPr>
                <w:sz w:val="20"/>
                <w:szCs w:val="20"/>
                <w:color w:val="auto"/>
              </w:rPr>
            </w:pPr>
            <w:r>
              <w:rPr>
                <w:rFonts w:ascii="Arial" w:cs="Arial" w:eastAsia="Arial" w:hAnsi="Arial"/>
                <w:sz w:val="16"/>
                <w:szCs w:val="16"/>
                <w:color w:val="auto"/>
              </w:rPr>
              <w:t>4,000</w:t>
            </w:r>
          </w:p>
        </w:tc>
        <w:tc>
          <w:tcPr>
            <w:tcW w:w="1680" w:type="dxa"/>
            <w:vAlign w:val="bottom"/>
          </w:tcPr>
          <w:p>
            <w:pPr>
              <w:jc w:val="right"/>
              <w:ind w:right="264"/>
              <w:spacing w:after="0"/>
              <w:rPr>
                <w:sz w:val="20"/>
                <w:szCs w:val="20"/>
                <w:color w:val="auto"/>
              </w:rPr>
            </w:pPr>
            <w:r>
              <w:rPr>
                <w:rFonts w:ascii="Arial" w:cs="Arial" w:eastAsia="Arial" w:hAnsi="Arial"/>
                <w:sz w:val="16"/>
                <w:szCs w:val="16"/>
                <w:color w:val="auto"/>
              </w:rPr>
              <w:t>16,578</w:t>
            </w:r>
          </w:p>
        </w:tc>
        <w:tc>
          <w:tcPr>
            <w:tcW w:w="1220" w:type="dxa"/>
            <w:vAlign w:val="bottom"/>
          </w:tcPr>
          <w:p>
            <w:pPr>
              <w:jc w:val="right"/>
              <w:spacing w:after="0"/>
              <w:rPr>
                <w:sz w:val="20"/>
                <w:szCs w:val="20"/>
                <w:color w:val="auto"/>
              </w:rPr>
            </w:pPr>
            <w:r>
              <w:rPr>
                <w:rFonts w:ascii="Arial" w:cs="Arial" w:eastAsia="Arial" w:hAnsi="Arial"/>
                <w:sz w:val="16"/>
                <w:szCs w:val="16"/>
                <w:color w:val="auto"/>
              </w:rPr>
              <w:t>46,256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203454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46" w:lineRule="exact"/>
        <w:rPr>
          <w:sz w:val="20"/>
          <w:szCs w:val="20"/>
          <w:color w:val="auto"/>
        </w:rPr>
      </w:pPr>
    </w:p>
    <w:p>
      <w:pPr>
        <w:ind w:left="400" w:right="80" w:hanging="393"/>
        <w:spacing w:after="0" w:line="238" w:lineRule="auto"/>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reported represent Company matching contributions and the discretionary investment fund contribution for calendar year 2019. As part of our proactive cost-saving measures as a result of the COVID-19 pandemic, we eliminated the calendar 2020 discretionary investment fund contribution that would have been paid in calendar 2021.</w:t>
      </w:r>
    </w:p>
    <w:p>
      <w:pPr>
        <w:spacing w:after="0" w:line="41" w:lineRule="exact"/>
        <w:rPr>
          <w:rFonts w:ascii="Arial" w:cs="Arial" w:eastAsia="Arial" w:hAnsi="Arial"/>
          <w:sz w:val="18"/>
          <w:szCs w:val="18"/>
          <w:color w:val="auto"/>
        </w:rPr>
      </w:pPr>
    </w:p>
    <w:p>
      <w:pPr>
        <w:ind w:left="400" w:hanging="393"/>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w:t>
      </w:r>
    </w:p>
    <w:p>
      <w:pPr>
        <w:spacing w:after="0" w:line="47" w:lineRule="exact"/>
        <w:rPr>
          <w:rFonts w:ascii="Arial" w:cs="Arial" w:eastAsia="Arial" w:hAnsi="Arial"/>
          <w:sz w:val="18"/>
          <w:szCs w:val="18"/>
          <w:color w:val="auto"/>
        </w:rPr>
      </w:pPr>
    </w:p>
    <w:p>
      <w:pPr>
        <w:ind w:left="400" w:hanging="393"/>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reported represent matching contributions for charitable donations made by our executive officers.</w:t>
      </w:r>
    </w:p>
    <w:p>
      <w:pPr>
        <w:spacing w:after="0" w:line="47" w:lineRule="exact"/>
        <w:rPr>
          <w:rFonts w:ascii="Arial" w:cs="Arial" w:eastAsia="Arial" w:hAnsi="Arial"/>
          <w:sz w:val="18"/>
          <w:szCs w:val="18"/>
          <w:color w:val="auto"/>
        </w:rPr>
      </w:pPr>
    </w:p>
    <w:p>
      <w:pPr>
        <w:ind w:left="400" w:right="40" w:hanging="393"/>
        <w:spacing w:after="0" w:line="254" w:lineRule="auto"/>
        <w:tabs>
          <w:tab w:leader="none" w:pos="4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Amounts reported represent Company paid amounts for automobile lease plus reportable income for personal use of the automobile; Company paid amounts for financial planning expenses and executive physical expenses; value of Company products received for personal use; and incremental travel costs paid by the Company for spouses of our executive officers in connection with certain off-site meetings, such as an off-site Board of Directors meeting or other business-related meetings in which it was appropriate for a spouse to attend.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Grants of Plan-Based Awards for Fiscal 2020</w:t>
      </w:r>
    </w:p>
    <w:p>
      <w:pPr>
        <w:spacing w:after="0" w:line="118" w:lineRule="exact"/>
        <w:rPr>
          <w:sz w:val="20"/>
          <w:szCs w:val="20"/>
          <w:color w:val="auto"/>
        </w:rPr>
      </w:pPr>
    </w:p>
    <w:p>
      <w:pPr>
        <w:ind w:right="80" w:firstLine="401"/>
        <w:spacing w:after="0" w:line="238" w:lineRule="auto"/>
        <w:rPr>
          <w:sz w:val="20"/>
          <w:szCs w:val="20"/>
          <w:color w:val="auto"/>
        </w:rPr>
      </w:pPr>
      <w:r>
        <w:rPr>
          <w:rFonts w:ascii="Arial" w:cs="Arial" w:eastAsia="Arial" w:hAnsi="Arial"/>
          <w:sz w:val="18"/>
          <w:szCs w:val="18"/>
          <w:color w:val="auto"/>
        </w:rPr>
        <w:t>We currently grant cash and equity awards under our 2010 Plan. During fiscal 2020, plan-based awards granted to our named executive officers included annual cash incentive awards, performance share awards, restricted stock unit awards, and stock option awards. More details on these grants can be found within the “Compensation Discussion and Analysis.”</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all plan-based awards granted to our named executive officers during fiscal 2020.</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40" w:type="dxa"/>
            <w:vAlign w:val="bottom"/>
            <w:shd w:val="clear" w:color="auto" w:fill="C00000"/>
          </w:tcPr>
          <w:p>
            <w:pPr>
              <w:spacing w:after="0"/>
              <w:rPr>
                <w:sz w:val="12"/>
                <w:szCs w:val="12"/>
                <w:color w:val="auto"/>
              </w:rPr>
            </w:pPr>
          </w:p>
        </w:tc>
        <w:tc>
          <w:tcPr>
            <w:tcW w:w="700" w:type="dxa"/>
            <w:vAlign w:val="bottom"/>
            <w:shd w:val="clear" w:color="auto" w:fill="C00000"/>
          </w:tcPr>
          <w:p>
            <w:pPr>
              <w:spacing w:after="0"/>
              <w:rPr>
                <w:sz w:val="12"/>
                <w:szCs w:val="12"/>
                <w:color w:val="auto"/>
              </w:rPr>
            </w:pPr>
          </w:p>
        </w:tc>
        <w:tc>
          <w:tcPr>
            <w:tcW w:w="720" w:type="dxa"/>
            <w:vAlign w:val="bottom"/>
            <w:shd w:val="clear" w:color="auto" w:fill="C00000"/>
          </w:tcPr>
          <w:p>
            <w:pPr>
              <w:spacing w:after="0"/>
              <w:rPr>
                <w:sz w:val="12"/>
                <w:szCs w:val="12"/>
                <w:color w:val="auto"/>
              </w:rPr>
            </w:pPr>
          </w:p>
        </w:tc>
        <w:tc>
          <w:tcPr>
            <w:tcW w:w="760" w:type="dxa"/>
            <w:vAlign w:val="bottom"/>
            <w:shd w:val="clear" w:color="auto" w:fill="C00000"/>
          </w:tcPr>
          <w:p>
            <w:pPr>
              <w:spacing w:after="0"/>
              <w:rPr>
                <w:sz w:val="12"/>
                <w:szCs w:val="12"/>
                <w:color w:val="auto"/>
              </w:rPr>
            </w:pPr>
          </w:p>
        </w:tc>
        <w:tc>
          <w:tcPr>
            <w:tcW w:w="720" w:type="dxa"/>
            <w:vAlign w:val="bottom"/>
            <w:shd w:val="clear" w:color="auto" w:fill="C00000"/>
          </w:tcPr>
          <w:p>
            <w:pPr>
              <w:spacing w:after="0"/>
              <w:rPr>
                <w:sz w:val="12"/>
                <w:szCs w:val="12"/>
                <w:color w:val="auto"/>
              </w:rPr>
            </w:pPr>
          </w:p>
        </w:tc>
        <w:tc>
          <w:tcPr>
            <w:tcW w:w="640" w:type="dxa"/>
            <w:vAlign w:val="bottom"/>
            <w:shd w:val="clear" w:color="auto" w:fill="C00000"/>
          </w:tcPr>
          <w:p>
            <w:pPr>
              <w:spacing w:after="0"/>
              <w:rPr>
                <w:sz w:val="12"/>
                <w:szCs w:val="12"/>
                <w:color w:val="auto"/>
              </w:rPr>
            </w:pPr>
          </w:p>
        </w:tc>
        <w:tc>
          <w:tcPr>
            <w:tcW w:w="700" w:type="dxa"/>
            <w:vAlign w:val="bottom"/>
            <w:shd w:val="clear" w:color="auto" w:fill="C00000"/>
          </w:tcPr>
          <w:p>
            <w:pPr>
              <w:spacing w:after="0"/>
              <w:rPr>
                <w:sz w:val="12"/>
                <w:szCs w:val="12"/>
                <w:color w:val="auto"/>
              </w:rPr>
            </w:pPr>
          </w:p>
        </w:tc>
        <w:tc>
          <w:tcPr>
            <w:tcW w:w="700" w:type="dxa"/>
            <w:vAlign w:val="bottom"/>
            <w:shd w:val="clear" w:color="auto" w:fill="C00000"/>
          </w:tcPr>
          <w:p>
            <w:pPr>
              <w:spacing w:after="0"/>
              <w:rPr>
                <w:sz w:val="12"/>
                <w:szCs w:val="12"/>
                <w:color w:val="auto"/>
              </w:rPr>
            </w:pPr>
          </w:p>
        </w:tc>
        <w:tc>
          <w:tcPr>
            <w:tcW w:w="720" w:type="dxa"/>
            <w:vAlign w:val="bottom"/>
            <w:shd w:val="clear" w:color="auto" w:fill="C00000"/>
          </w:tcPr>
          <w:p>
            <w:pPr>
              <w:spacing w:after="0"/>
              <w:rPr>
                <w:sz w:val="12"/>
                <w:szCs w:val="12"/>
                <w:color w:val="auto"/>
              </w:rPr>
            </w:pPr>
          </w:p>
        </w:tc>
        <w:tc>
          <w:tcPr>
            <w:tcW w:w="840" w:type="dxa"/>
            <w:vAlign w:val="bottom"/>
            <w:shd w:val="clear" w:color="auto" w:fill="C00000"/>
          </w:tcPr>
          <w:p>
            <w:pPr>
              <w:jc w:val="center"/>
              <w:ind w:right="23"/>
              <w:spacing w:after="0"/>
              <w:rPr>
                <w:sz w:val="20"/>
                <w:szCs w:val="20"/>
                <w:color w:val="auto"/>
              </w:rPr>
            </w:pPr>
            <w:r>
              <w:rPr>
                <w:rFonts w:ascii="Arial" w:cs="Arial" w:eastAsia="Arial" w:hAnsi="Arial"/>
                <w:sz w:val="12"/>
                <w:szCs w:val="12"/>
                <w:b w:val="1"/>
                <w:bCs w:val="1"/>
                <w:color w:val="FFFFFF"/>
                <w:w w:val="94"/>
              </w:rPr>
              <w:t>All Other</w:t>
            </w:r>
          </w:p>
        </w:tc>
        <w:tc>
          <w:tcPr>
            <w:tcW w:w="860" w:type="dxa"/>
            <w:vAlign w:val="bottom"/>
            <w:shd w:val="clear" w:color="auto" w:fill="C00000"/>
          </w:tcPr>
          <w:p>
            <w:pPr>
              <w:jc w:val="center"/>
              <w:ind w:right="42"/>
              <w:spacing w:after="0"/>
              <w:rPr>
                <w:sz w:val="20"/>
                <w:szCs w:val="20"/>
                <w:color w:val="auto"/>
              </w:rPr>
            </w:pPr>
            <w:r>
              <w:rPr>
                <w:rFonts w:ascii="Arial" w:cs="Arial" w:eastAsia="Arial" w:hAnsi="Arial"/>
                <w:sz w:val="12"/>
                <w:szCs w:val="12"/>
                <w:b w:val="1"/>
                <w:bCs w:val="1"/>
                <w:color w:val="FFFFFF"/>
                <w:w w:val="94"/>
              </w:rPr>
              <w:t>All Other</w:t>
            </w:r>
          </w:p>
        </w:tc>
        <w:tc>
          <w:tcPr>
            <w:tcW w:w="860" w:type="dxa"/>
            <w:vAlign w:val="bottom"/>
            <w:shd w:val="clear" w:color="auto" w:fill="C00000"/>
          </w:tcPr>
          <w:p>
            <w:pPr>
              <w:spacing w:after="0"/>
              <w:rPr>
                <w:sz w:val="12"/>
                <w:szCs w:val="12"/>
                <w:color w:val="auto"/>
              </w:rPr>
            </w:pPr>
          </w:p>
        </w:tc>
        <w:tc>
          <w:tcPr>
            <w:tcW w:w="780" w:type="dxa"/>
            <w:vAlign w:val="bottom"/>
            <w:shd w:val="clear" w:color="auto" w:fill="C00000"/>
          </w:tcPr>
          <w:p>
            <w:pPr>
              <w:spacing w:after="0"/>
              <w:rPr>
                <w:sz w:val="12"/>
                <w:szCs w:val="12"/>
                <w:color w:val="auto"/>
              </w:rPr>
            </w:pPr>
          </w:p>
        </w:tc>
      </w:tr>
      <w:tr>
        <w:trPr>
          <w:trHeight w:val="134"/>
        </w:trPr>
        <w:tc>
          <w:tcPr>
            <w:tcW w:w="224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720" w:type="dxa"/>
            <w:vAlign w:val="bottom"/>
            <w:shd w:val="clear" w:color="auto" w:fill="C00000"/>
          </w:tcPr>
          <w:p>
            <w:pPr>
              <w:spacing w:after="0"/>
              <w:rPr>
                <w:sz w:val="11"/>
                <w:szCs w:val="11"/>
                <w:color w:val="auto"/>
              </w:rPr>
            </w:pPr>
          </w:p>
        </w:tc>
        <w:tc>
          <w:tcPr>
            <w:tcW w:w="760" w:type="dxa"/>
            <w:vAlign w:val="bottom"/>
            <w:shd w:val="clear" w:color="auto" w:fill="C00000"/>
          </w:tcPr>
          <w:p>
            <w:pPr>
              <w:spacing w:after="0"/>
              <w:rPr>
                <w:sz w:val="11"/>
                <w:szCs w:val="11"/>
                <w:color w:val="auto"/>
              </w:rPr>
            </w:pPr>
          </w:p>
        </w:tc>
        <w:tc>
          <w:tcPr>
            <w:tcW w:w="720" w:type="dxa"/>
            <w:vAlign w:val="bottom"/>
            <w:shd w:val="clear" w:color="auto" w:fill="C00000"/>
          </w:tcPr>
          <w:p>
            <w:pPr>
              <w:spacing w:after="0"/>
              <w:rPr>
                <w:sz w:val="11"/>
                <w:szCs w:val="11"/>
                <w:color w:val="auto"/>
              </w:rPr>
            </w:pPr>
          </w:p>
        </w:tc>
        <w:tc>
          <w:tcPr>
            <w:tcW w:w="64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720" w:type="dxa"/>
            <w:vAlign w:val="bottom"/>
            <w:shd w:val="clear" w:color="auto" w:fill="C00000"/>
          </w:tcPr>
          <w:p>
            <w:pPr>
              <w:spacing w:after="0"/>
              <w:rPr>
                <w:sz w:val="11"/>
                <w:szCs w:val="11"/>
                <w:color w:val="auto"/>
              </w:rPr>
            </w:pPr>
          </w:p>
        </w:tc>
        <w:tc>
          <w:tcPr>
            <w:tcW w:w="840" w:type="dxa"/>
            <w:vAlign w:val="bottom"/>
            <w:shd w:val="clear" w:color="auto" w:fill="C00000"/>
          </w:tcPr>
          <w:p>
            <w:pPr>
              <w:jc w:val="center"/>
              <w:ind w:right="23"/>
              <w:spacing w:after="0" w:line="134" w:lineRule="exact"/>
              <w:rPr>
                <w:sz w:val="20"/>
                <w:szCs w:val="20"/>
                <w:color w:val="auto"/>
              </w:rPr>
            </w:pPr>
            <w:r>
              <w:rPr>
                <w:rFonts w:ascii="Arial" w:cs="Arial" w:eastAsia="Arial" w:hAnsi="Arial"/>
                <w:sz w:val="12"/>
                <w:szCs w:val="12"/>
                <w:b w:val="1"/>
                <w:bCs w:val="1"/>
                <w:color w:val="FFFFFF"/>
                <w:w w:val="97"/>
              </w:rPr>
              <w:t>Stock</w:t>
            </w:r>
          </w:p>
        </w:tc>
        <w:tc>
          <w:tcPr>
            <w:tcW w:w="860" w:type="dxa"/>
            <w:vAlign w:val="bottom"/>
            <w:shd w:val="clear" w:color="auto" w:fill="C00000"/>
          </w:tcPr>
          <w:p>
            <w:pPr>
              <w:jc w:val="center"/>
              <w:ind w:right="42"/>
              <w:spacing w:after="0" w:line="134" w:lineRule="exact"/>
              <w:rPr>
                <w:sz w:val="20"/>
                <w:szCs w:val="20"/>
                <w:color w:val="auto"/>
              </w:rPr>
            </w:pPr>
            <w:r>
              <w:rPr>
                <w:rFonts w:ascii="Arial" w:cs="Arial" w:eastAsia="Arial" w:hAnsi="Arial"/>
                <w:sz w:val="12"/>
                <w:szCs w:val="12"/>
                <w:b w:val="1"/>
                <w:bCs w:val="1"/>
                <w:color w:val="FFFFFF"/>
                <w:w w:val="92"/>
              </w:rPr>
              <w:t>Option</w:t>
            </w:r>
          </w:p>
        </w:tc>
        <w:tc>
          <w:tcPr>
            <w:tcW w:w="860" w:type="dxa"/>
            <w:vAlign w:val="bottom"/>
            <w:shd w:val="clear" w:color="auto" w:fill="C00000"/>
          </w:tcPr>
          <w:p>
            <w:pPr>
              <w:spacing w:after="0"/>
              <w:rPr>
                <w:sz w:val="11"/>
                <w:szCs w:val="11"/>
                <w:color w:val="auto"/>
              </w:rPr>
            </w:pPr>
          </w:p>
        </w:tc>
        <w:tc>
          <w:tcPr>
            <w:tcW w:w="780" w:type="dxa"/>
            <w:vAlign w:val="bottom"/>
            <w:shd w:val="clear" w:color="auto" w:fill="C00000"/>
          </w:tcPr>
          <w:p>
            <w:pPr>
              <w:jc w:val="center"/>
              <w:spacing w:after="0" w:line="134" w:lineRule="exact"/>
              <w:rPr>
                <w:sz w:val="20"/>
                <w:szCs w:val="20"/>
                <w:color w:val="auto"/>
              </w:rPr>
            </w:pPr>
            <w:r>
              <w:rPr>
                <w:rFonts w:ascii="Arial" w:cs="Arial" w:eastAsia="Arial" w:hAnsi="Arial"/>
                <w:sz w:val="12"/>
                <w:szCs w:val="12"/>
                <w:b w:val="1"/>
                <w:bCs w:val="1"/>
                <w:color w:val="FFFFFF"/>
                <w:w w:val="99"/>
              </w:rPr>
              <w:t>Grant</w:t>
            </w:r>
          </w:p>
        </w:tc>
      </w:tr>
      <w:tr>
        <w:trPr>
          <w:trHeight w:val="134"/>
        </w:trPr>
        <w:tc>
          <w:tcPr>
            <w:tcW w:w="224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720" w:type="dxa"/>
            <w:vAlign w:val="bottom"/>
            <w:shd w:val="clear" w:color="auto" w:fill="C00000"/>
          </w:tcPr>
          <w:p>
            <w:pPr>
              <w:spacing w:after="0"/>
              <w:rPr>
                <w:sz w:val="11"/>
                <w:szCs w:val="11"/>
                <w:color w:val="auto"/>
              </w:rPr>
            </w:pPr>
          </w:p>
        </w:tc>
        <w:tc>
          <w:tcPr>
            <w:tcW w:w="760" w:type="dxa"/>
            <w:vAlign w:val="bottom"/>
            <w:shd w:val="clear" w:color="auto" w:fill="C00000"/>
          </w:tcPr>
          <w:p>
            <w:pPr>
              <w:spacing w:after="0"/>
              <w:rPr>
                <w:sz w:val="11"/>
                <w:szCs w:val="11"/>
                <w:color w:val="auto"/>
              </w:rPr>
            </w:pPr>
          </w:p>
        </w:tc>
        <w:tc>
          <w:tcPr>
            <w:tcW w:w="720" w:type="dxa"/>
            <w:vAlign w:val="bottom"/>
            <w:shd w:val="clear" w:color="auto" w:fill="C00000"/>
          </w:tcPr>
          <w:p>
            <w:pPr>
              <w:spacing w:after="0"/>
              <w:rPr>
                <w:sz w:val="11"/>
                <w:szCs w:val="11"/>
                <w:color w:val="auto"/>
              </w:rPr>
            </w:pPr>
          </w:p>
        </w:tc>
        <w:tc>
          <w:tcPr>
            <w:tcW w:w="64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720" w:type="dxa"/>
            <w:vAlign w:val="bottom"/>
            <w:shd w:val="clear" w:color="auto" w:fill="C00000"/>
          </w:tcPr>
          <w:p>
            <w:pPr>
              <w:spacing w:after="0"/>
              <w:rPr>
                <w:sz w:val="11"/>
                <w:szCs w:val="11"/>
                <w:color w:val="auto"/>
              </w:rPr>
            </w:pPr>
          </w:p>
        </w:tc>
        <w:tc>
          <w:tcPr>
            <w:tcW w:w="840" w:type="dxa"/>
            <w:vAlign w:val="bottom"/>
            <w:shd w:val="clear" w:color="auto" w:fill="C00000"/>
          </w:tcPr>
          <w:p>
            <w:pPr>
              <w:jc w:val="center"/>
              <w:ind w:right="23"/>
              <w:spacing w:after="0" w:line="134" w:lineRule="exact"/>
              <w:rPr>
                <w:sz w:val="20"/>
                <w:szCs w:val="20"/>
                <w:color w:val="auto"/>
              </w:rPr>
            </w:pPr>
            <w:r>
              <w:rPr>
                <w:rFonts w:ascii="Arial" w:cs="Arial" w:eastAsia="Arial" w:hAnsi="Arial"/>
                <w:sz w:val="12"/>
                <w:szCs w:val="12"/>
                <w:b w:val="1"/>
                <w:bCs w:val="1"/>
                <w:color w:val="FFFFFF"/>
                <w:w w:val="92"/>
              </w:rPr>
              <w:t>Awards:</w:t>
            </w:r>
          </w:p>
        </w:tc>
        <w:tc>
          <w:tcPr>
            <w:tcW w:w="860" w:type="dxa"/>
            <w:vAlign w:val="bottom"/>
            <w:shd w:val="clear" w:color="auto" w:fill="C00000"/>
          </w:tcPr>
          <w:p>
            <w:pPr>
              <w:jc w:val="center"/>
              <w:ind w:right="22"/>
              <w:spacing w:after="0" w:line="134" w:lineRule="exact"/>
              <w:rPr>
                <w:sz w:val="20"/>
                <w:szCs w:val="20"/>
                <w:color w:val="auto"/>
              </w:rPr>
            </w:pPr>
            <w:r>
              <w:rPr>
                <w:rFonts w:ascii="Arial" w:cs="Arial" w:eastAsia="Arial" w:hAnsi="Arial"/>
                <w:sz w:val="12"/>
                <w:szCs w:val="12"/>
                <w:b w:val="1"/>
                <w:bCs w:val="1"/>
                <w:color w:val="FFFFFF"/>
                <w:w w:val="97"/>
              </w:rPr>
              <w:t>Awards:</w:t>
            </w:r>
          </w:p>
        </w:tc>
        <w:tc>
          <w:tcPr>
            <w:tcW w:w="860" w:type="dxa"/>
            <w:vAlign w:val="bottom"/>
            <w:shd w:val="clear" w:color="auto" w:fill="C00000"/>
          </w:tcPr>
          <w:p>
            <w:pPr>
              <w:jc w:val="center"/>
              <w:ind w:right="42"/>
              <w:spacing w:after="0" w:line="134" w:lineRule="exact"/>
              <w:rPr>
                <w:sz w:val="20"/>
                <w:szCs w:val="20"/>
                <w:color w:val="auto"/>
              </w:rPr>
            </w:pPr>
            <w:r>
              <w:rPr>
                <w:rFonts w:ascii="Arial" w:cs="Arial" w:eastAsia="Arial" w:hAnsi="Arial"/>
                <w:sz w:val="12"/>
                <w:szCs w:val="12"/>
                <w:b w:val="1"/>
                <w:bCs w:val="1"/>
                <w:color w:val="FFFFFF"/>
                <w:w w:val="97"/>
              </w:rPr>
              <w:t>Exercise</w:t>
            </w:r>
          </w:p>
        </w:tc>
        <w:tc>
          <w:tcPr>
            <w:tcW w:w="780" w:type="dxa"/>
            <w:vAlign w:val="bottom"/>
            <w:shd w:val="clear" w:color="auto" w:fill="C00000"/>
          </w:tcPr>
          <w:p>
            <w:pPr>
              <w:jc w:val="center"/>
              <w:spacing w:after="0" w:line="134" w:lineRule="exact"/>
              <w:rPr>
                <w:sz w:val="20"/>
                <w:szCs w:val="20"/>
                <w:color w:val="auto"/>
              </w:rPr>
            </w:pPr>
            <w:r>
              <w:rPr>
                <w:rFonts w:ascii="Arial" w:cs="Arial" w:eastAsia="Arial" w:hAnsi="Arial"/>
                <w:sz w:val="12"/>
                <w:szCs w:val="12"/>
                <w:b w:val="1"/>
                <w:bCs w:val="1"/>
                <w:color w:val="FFFFFF"/>
                <w:w w:val="93"/>
              </w:rPr>
              <w:t>Date Fair</w:t>
            </w:r>
          </w:p>
        </w:tc>
      </w:tr>
      <w:tr>
        <w:trPr>
          <w:trHeight w:val="134"/>
        </w:trPr>
        <w:tc>
          <w:tcPr>
            <w:tcW w:w="224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720" w:type="dxa"/>
            <w:vAlign w:val="bottom"/>
            <w:shd w:val="clear" w:color="auto" w:fill="C00000"/>
          </w:tcPr>
          <w:p>
            <w:pPr>
              <w:spacing w:after="0"/>
              <w:rPr>
                <w:sz w:val="11"/>
                <w:szCs w:val="11"/>
                <w:color w:val="auto"/>
              </w:rPr>
            </w:pPr>
          </w:p>
        </w:tc>
        <w:tc>
          <w:tcPr>
            <w:tcW w:w="2120" w:type="dxa"/>
            <w:vAlign w:val="bottom"/>
            <w:gridSpan w:val="3"/>
            <w:shd w:val="clear" w:color="auto" w:fill="C00000"/>
          </w:tcPr>
          <w:p>
            <w:pPr>
              <w:jc w:val="center"/>
              <w:spacing w:after="0" w:line="134" w:lineRule="exact"/>
              <w:rPr>
                <w:sz w:val="20"/>
                <w:szCs w:val="20"/>
                <w:color w:val="auto"/>
              </w:rPr>
            </w:pPr>
            <w:r>
              <w:rPr>
                <w:rFonts w:ascii="Arial" w:cs="Arial" w:eastAsia="Arial" w:hAnsi="Arial"/>
                <w:sz w:val="12"/>
                <w:szCs w:val="12"/>
                <w:b w:val="1"/>
                <w:bCs w:val="1"/>
                <w:color w:val="FFFFFF"/>
                <w:w w:val="97"/>
              </w:rPr>
              <w:t>Estimated Future Payouts</w:t>
            </w:r>
          </w:p>
        </w:tc>
        <w:tc>
          <w:tcPr>
            <w:tcW w:w="2120" w:type="dxa"/>
            <w:vAlign w:val="bottom"/>
            <w:gridSpan w:val="3"/>
            <w:shd w:val="clear" w:color="auto" w:fill="C00000"/>
          </w:tcPr>
          <w:p>
            <w:pPr>
              <w:jc w:val="center"/>
              <w:ind w:right="2"/>
              <w:spacing w:after="0" w:line="134" w:lineRule="exact"/>
              <w:rPr>
                <w:sz w:val="20"/>
                <w:szCs w:val="20"/>
                <w:color w:val="auto"/>
              </w:rPr>
            </w:pPr>
            <w:r>
              <w:rPr>
                <w:rFonts w:ascii="Arial" w:cs="Arial" w:eastAsia="Arial" w:hAnsi="Arial"/>
                <w:sz w:val="12"/>
                <w:szCs w:val="12"/>
                <w:b w:val="1"/>
                <w:bCs w:val="1"/>
                <w:color w:val="FFFFFF"/>
                <w:w w:val="95"/>
              </w:rPr>
              <w:t>Estimated Future Payouts</w:t>
            </w:r>
          </w:p>
        </w:tc>
        <w:tc>
          <w:tcPr>
            <w:tcW w:w="840" w:type="dxa"/>
            <w:vAlign w:val="bottom"/>
            <w:shd w:val="clear" w:color="auto" w:fill="C00000"/>
          </w:tcPr>
          <w:p>
            <w:pPr>
              <w:jc w:val="center"/>
              <w:ind w:right="43"/>
              <w:spacing w:after="0" w:line="134" w:lineRule="exact"/>
              <w:rPr>
                <w:sz w:val="20"/>
                <w:szCs w:val="20"/>
                <w:color w:val="auto"/>
              </w:rPr>
            </w:pPr>
            <w:r>
              <w:rPr>
                <w:rFonts w:ascii="Arial" w:cs="Arial" w:eastAsia="Arial" w:hAnsi="Arial"/>
                <w:sz w:val="12"/>
                <w:szCs w:val="12"/>
                <w:b w:val="1"/>
                <w:bCs w:val="1"/>
                <w:color w:val="FFFFFF"/>
                <w:w w:val="96"/>
              </w:rPr>
              <w:t>Number of</w:t>
            </w:r>
          </w:p>
        </w:tc>
        <w:tc>
          <w:tcPr>
            <w:tcW w:w="860" w:type="dxa"/>
            <w:vAlign w:val="bottom"/>
            <w:shd w:val="clear" w:color="auto" w:fill="C00000"/>
          </w:tcPr>
          <w:p>
            <w:pPr>
              <w:jc w:val="center"/>
              <w:ind w:right="22"/>
              <w:spacing w:after="0" w:line="134" w:lineRule="exact"/>
              <w:rPr>
                <w:sz w:val="20"/>
                <w:szCs w:val="20"/>
                <w:color w:val="auto"/>
              </w:rPr>
            </w:pPr>
            <w:r>
              <w:rPr>
                <w:rFonts w:ascii="Arial" w:cs="Arial" w:eastAsia="Arial" w:hAnsi="Arial"/>
                <w:sz w:val="12"/>
                <w:szCs w:val="12"/>
                <w:b w:val="1"/>
                <w:bCs w:val="1"/>
                <w:color w:val="FFFFFF"/>
                <w:w w:val="96"/>
              </w:rPr>
              <w:t>Number of</w:t>
            </w:r>
          </w:p>
        </w:tc>
        <w:tc>
          <w:tcPr>
            <w:tcW w:w="860" w:type="dxa"/>
            <w:vAlign w:val="bottom"/>
            <w:shd w:val="clear" w:color="auto" w:fill="C00000"/>
          </w:tcPr>
          <w:p>
            <w:pPr>
              <w:jc w:val="center"/>
              <w:ind w:right="62"/>
              <w:spacing w:after="0" w:line="134" w:lineRule="exact"/>
              <w:rPr>
                <w:sz w:val="20"/>
                <w:szCs w:val="20"/>
                <w:color w:val="auto"/>
              </w:rPr>
            </w:pPr>
            <w:r>
              <w:rPr>
                <w:rFonts w:ascii="Arial" w:cs="Arial" w:eastAsia="Arial" w:hAnsi="Arial"/>
                <w:sz w:val="12"/>
                <w:szCs w:val="12"/>
                <w:b w:val="1"/>
                <w:bCs w:val="1"/>
                <w:color w:val="FFFFFF"/>
                <w:w w:val="95"/>
              </w:rPr>
              <w:t>or Base</w:t>
            </w:r>
          </w:p>
        </w:tc>
        <w:tc>
          <w:tcPr>
            <w:tcW w:w="780" w:type="dxa"/>
            <w:vAlign w:val="bottom"/>
            <w:shd w:val="clear" w:color="auto" w:fill="C00000"/>
          </w:tcPr>
          <w:p>
            <w:pPr>
              <w:jc w:val="center"/>
              <w:spacing w:after="0" w:line="134" w:lineRule="exact"/>
              <w:rPr>
                <w:sz w:val="20"/>
                <w:szCs w:val="20"/>
                <w:color w:val="auto"/>
              </w:rPr>
            </w:pPr>
            <w:r>
              <w:rPr>
                <w:rFonts w:ascii="Arial" w:cs="Arial" w:eastAsia="Arial" w:hAnsi="Arial"/>
                <w:sz w:val="12"/>
                <w:szCs w:val="12"/>
                <w:b w:val="1"/>
                <w:bCs w:val="1"/>
                <w:color w:val="FFFFFF"/>
                <w:w w:val="94"/>
              </w:rPr>
              <w:t>Value of</w:t>
            </w:r>
          </w:p>
        </w:tc>
      </w:tr>
      <w:tr>
        <w:trPr>
          <w:trHeight w:val="125"/>
        </w:trPr>
        <w:tc>
          <w:tcPr>
            <w:tcW w:w="2240" w:type="dxa"/>
            <w:vAlign w:val="bottom"/>
            <w:shd w:val="clear" w:color="auto" w:fill="C00000"/>
          </w:tcPr>
          <w:p>
            <w:pPr>
              <w:spacing w:after="0"/>
              <w:rPr>
                <w:sz w:val="10"/>
                <w:szCs w:val="10"/>
                <w:color w:val="auto"/>
              </w:rPr>
            </w:pPr>
          </w:p>
        </w:tc>
        <w:tc>
          <w:tcPr>
            <w:tcW w:w="700" w:type="dxa"/>
            <w:vAlign w:val="bottom"/>
            <w:shd w:val="clear" w:color="auto" w:fill="C00000"/>
          </w:tcPr>
          <w:p>
            <w:pPr>
              <w:spacing w:after="0"/>
              <w:rPr>
                <w:sz w:val="10"/>
                <w:szCs w:val="10"/>
                <w:color w:val="auto"/>
              </w:rPr>
            </w:pPr>
          </w:p>
        </w:tc>
        <w:tc>
          <w:tcPr>
            <w:tcW w:w="720" w:type="dxa"/>
            <w:vAlign w:val="bottom"/>
            <w:shd w:val="clear" w:color="auto" w:fill="C00000"/>
          </w:tcPr>
          <w:p>
            <w:pPr>
              <w:spacing w:after="0"/>
              <w:rPr>
                <w:sz w:val="10"/>
                <w:szCs w:val="10"/>
                <w:color w:val="auto"/>
              </w:rPr>
            </w:pPr>
          </w:p>
        </w:tc>
        <w:tc>
          <w:tcPr>
            <w:tcW w:w="2120" w:type="dxa"/>
            <w:vAlign w:val="bottom"/>
            <w:gridSpan w:val="3"/>
            <w:shd w:val="clear" w:color="auto" w:fill="C00000"/>
          </w:tcPr>
          <w:p>
            <w:pPr>
              <w:jc w:val="center"/>
              <w:spacing w:after="0" w:line="125" w:lineRule="exact"/>
              <w:rPr>
                <w:sz w:val="20"/>
                <w:szCs w:val="20"/>
                <w:color w:val="auto"/>
              </w:rPr>
            </w:pPr>
            <w:r>
              <w:rPr>
                <w:rFonts w:ascii="Arial" w:cs="Arial" w:eastAsia="Arial" w:hAnsi="Arial"/>
                <w:sz w:val="12"/>
                <w:szCs w:val="12"/>
                <w:b w:val="1"/>
                <w:bCs w:val="1"/>
                <w:color w:val="FFFFFF"/>
                <w:w w:val="96"/>
              </w:rPr>
              <w:t>Under Non-Equity Incentive</w:t>
            </w:r>
          </w:p>
        </w:tc>
        <w:tc>
          <w:tcPr>
            <w:tcW w:w="2120" w:type="dxa"/>
            <w:vAlign w:val="bottom"/>
            <w:gridSpan w:val="3"/>
            <w:shd w:val="clear" w:color="auto" w:fill="C00000"/>
          </w:tcPr>
          <w:p>
            <w:pPr>
              <w:jc w:val="center"/>
              <w:ind w:right="2"/>
              <w:spacing w:after="0" w:line="125" w:lineRule="exact"/>
              <w:rPr>
                <w:sz w:val="20"/>
                <w:szCs w:val="20"/>
                <w:color w:val="auto"/>
              </w:rPr>
            </w:pPr>
            <w:r>
              <w:rPr>
                <w:rFonts w:ascii="Arial" w:cs="Arial" w:eastAsia="Arial" w:hAnsi="Arial"/>
                <w:sz w:val="12"/>
                <w:szCs w:val="12"/>
                <w:b w:val="1"/>
                <w:bCs w:val="1"/>
                <w:color w:val="FFFFFF"/>
                <w:w w:val="96"/>
              </w:rPr>
              <w:t>Under Equity Incentive Plan</w:t>
            </w:r>
          </w:p>
        </w:tc>
        <w:tc>
          <w:tcPr>
            <w:tcW w:w="840" w:type="dxa"/>
            <w:vAlign w:val="bottom"/>
            <w:shd w:val="clear" w:color="auto" w:fill="C00000"/>
          </w:tcPr>
          <w:p>
            <w:pPr>
              <w:jc w:val="center"/>
              <w:ind w:right="23"/>
              <w:spacing w:after="0" w:line="125" w:lineRule="exact"/>
              <w:rPr>
                <w:sz w:val="20"/>
                <w:szCs w:val="20"/>
                <w:color w:val="auto"/>
              </w:rPr>
            </w:pPr>
            <w:r>
              <w:rPr>
                <w:rFonts w:ascii="Arial" w:cs="Arial" w:eastAsia="Arial" w:hAnsi="Arial"/>
                <w:sz w:val="12"/>
                <w:szCs w:val="12"/>
                <w:b w:val="1"/>
                <w:bCs w:val="1"/>
                <w:color w:val="FFFFFF"/>
                <w:w w:val="95"/>
              </w:rPr>
              <w:t>Shares of</w:t>
            </w:r>
          </w:p>
        </w:tc>
        <w:tc>
          <w:tcPr>
            <w:tcW w:w="860" w:type="dxa"/>
            <w:vAlign w:val="bottom"/>
            <w:shd w:val="clear" w:color="auto" w:fill="C00000"/>
          </w:tcPr>
          <w:p>
            <w:pPr>
              <w:jc w:val="center"/>
              <w:ind w:right="42"/>
              <w:spacing w:after="0" w:line="125" w:lineRule="exact"/>
              <w:rPr>
                <w:sz w:val="20"/>
                <w:szCs w:val="20"/>
                <w:color w:val="auto"/>
              </w:rPr>
            </w:pPr>
            <w:r>
              <w:rPr>
                <w:rFonts w:ascii="Arial" w:cs="Arial" w:eastAsia="Arial" w:hAnsi="Arial"/>
                <w:sz w:val="12"/>
                <w:szCs w:val="12"/>
                <w:b w:val="1"/>
                <w:bCs w:val="1"/>
                <w:color w:val="FFFFFF"/>
                <w:w w:val="97"/>
              </w:rPr>
              <w:t>Securities</w:t>
            </w:r>
          </w:p>
        </w:tc>
        <w:tc>
          <w:tcPr>
            <w:tcW w:w="860" w:type="dxa"/>
            <w:vAlign w:val="bottom"/>
            <w:shd w:val="clear" w:color="auto" w:fill="C00000"/>
          </w:tcPr>
          <w:p>
            <w:pPr>
              <w:jc w:val="center"/>
              <w:ind w:right="62"/>
              <w:spacing w:after="0" w:line="125" w:lineRule="exact"/>
              <w:rPr>
                <w:sz w:val="20"/>
                <w:szCs w:val="20"/>
                <w:color w:val="auto"/>
              </w:rPr>
            </w:pPr>
            <w:r>
              <w:rPr>
                <w:rFonts w:ascii="Arial" w:cs="Arial" w:eastAsia="Arial" w:hAnsi="Arial"/>
                <w:sz w:val="12"/>
                <w:szCs w:val="12"/>
                <w:b w:val="1"/>
                <w:bCs w:val="1"/>
                <w:color w:val="FFFFFF"/>
                <w:w w:val="95"/>
              </w:rPr>
              <w:t>Price of</w:t>
            </w:r>
          </w:p>
        </w:tc>
        <w:tc>
          <w:tcPr>
            <w:tcW w:w="780" w:type="dxa"/>
            <w:vAlign w:val="bottom"/>
            <w:shd w:val="clear" w:color="auto" w:fill="C00000"/>
          </w:tcPr>
          <w:p>
            <w:pPr>
              <w:jc w:val="center"/>
              <w:spacing w:after="0" w:line="125" w:lineRule="exact"/>
              <w:rPr>
                <w:sz w:val="20"/>
                <w:szCs w:val="20"/>
                <w:color w:val="auto"/>
              </w:rPr>
            </w:pPr>
            <w:r>
              <w:rPr>
                <w:rFonts w:ascii="Arial" w:cs="Arial" w:eastAsia="Arial" w:hAnsi="Arial"/>
                <w:sz w:val="12"/>
                <w:szCs w:val="12"/>
                <w:b w:val="1"/>
                <w:bCs w:val="1"/>
                <w:color w:val="FFFFFF"/>
                <w:w w:val="97"/>
              </w:rPr>
              <w:t>Stock and</w:t>
            </w:r>
          </w:p>
        </w:tc>
      </w:tr>
      <w:tr>
        <w:trPr>
          <w:trHeight w:val="155"/>
        </w:trPr>
        <w:tc>
          <w:tcPr>
            <w:tcW w:w="2240" w:type="dxa"/>
            <w:vAlign w:val="bottom"/>
            <w:shd w:val="clear" w:color="auto" w:fill="C00000"/>
          </w:tcPr>
          <w:p>
            <w:pPr>
              <w:spacing w:after="0"/>
              <w:rPr>
                <w:sz w:val="13"/>
                <w:szCs w:val="13"/>
                <w:color w:val="auto"/>
              </w:rPr>
            </w:pPr>
          </w:p>
        </w:tc>
        <w:tc>
          <w:tcPr>
            <w:tcW w:w="700" w:type="dxa"/>
            <w:vAlign w:val="bottom"/>
            <w:shd w:val="clear" w:color="auto" w:fill="C00000"/>
          </w:tcPr>
          <w:p>
            <w:pPr>
              <w:spacing w:after="0"/>
              <w:rPr>
                <w:sz w:val="13"/>
                <w:szCs w:val="13"/>
                <w:color w:val="auto"/>
              </w:rPr>
            </w:pPr>
          </w:p>
        </w:tc>
        <w:tc>
          <w:tcPr>
            <w:tcW w:w="720" w:type="dxa"/>
            <w:vAlign w:val="bottom"/>
            <w:shd w:val="clear" w:color="auto" w:fill="C00000"/>
          </w:tcPr>
          <w:p>
            <w:pPr>
              <w:spacing w:after="0"/>
              <w:rPr>
                <w:sz w:val="13"/>
                <w:szCs w:val="13"/>
                <w:color w:val="auto"/>
              </w:rPr>
            </w:pPr>
          </w:p>
        </w:tc>
        <w:tc>
          <w:tcPr>
            <w:tcW w:w="1480" w:type="dxa"/>
            <w:vAlign w:val="bottom"/>
            <w:gridSpan w:val="2"/>
            <w:shd w:val="clear" w:color="auto" w:fill="C00000"/>
          </w:tcPr>
          <w:p>
            <w:pPr>
              <w:jc w:val="center"/>
              <w:ind w:left="582"/>
              <w:spacing w:after="0" w:line="155" w:lineRule="exact"/>
              <w:rPr>
                <w:sz w:val="20"/>
                <w:szCs w:val="20"/>
                <w:color w:val="auto"/>
              </w:rPr>
            </w:pPr>
            <w:r>
              <w:rPr>
                <w:rFonts w:ascii="Arial" w:cs="Arial" w:eastAsia="Arial" w:hAnsi="Arial"/>
                <w:sz w:val="11"/>
                <w:szCs w:val="11"/>
                <w:b w:val="1"/>
                <w:bCs w:val="1"/>
                <w:color w:val="FFFFFF"/>
              </w:rPr>
              <w:t>Plan Awards</w:t>
            </w:r>
            <w:r>
              <w:rPr>
                <w:rFonts w:ascii="Arial" w:cs="Arial" w:eastAsia="Arial" w:hAnsi="Arial"/>
                <w:sz w:val="17"/>
                <w:szCs w:val="17"/>
                <w:b w:val="1"/>
                <w:bCs w:val="1"/>
                <w:color w:val="FFFFFF"/>
                <w:vertAlign w:val="superscript"/>
              </w:rPr>
              <w:t>(1)</w:t>
            </w:r>
          </w:p>
        </w:tc>
        <w:tc>
          <w:tcPr>
            <w:tcW w:w="640" w:type="dxa"/>
            <w:vAlign w:val="bottom"/>
            <w:shd w:val="clear" w:color="auto" w:fill="C00000"/>
          </w:tcPr>
          <w:p>
            <w:pPr>
              <w:spacing w:after="0"/>
              <w:rPr>
                <w:sz w:val="13"/>
                <w:szCs w:val="13"/>
                <w:color w:val="auto"/>
              </w:rPr>
            </w:pPr>
          </w:p>
        </w:tc>
        <w:tc>
          <w:tcPr>
            <w:tcW w:w="700" w:type="dxa"/>
            <w:vAlign w:val="bottom"/>
            <w:shd w:val="clear" w:color="auto" w:fill="C00000"/>
          </w:tcPr>
          <w:p>
            <w:pPr>
              <w:spacing w:after="0"/>
              <w:rPr>
                <w:sz w:val="13"/>
                <w:szCs w:val="13"/>
                <w:color w:val="auto"/>
              </w:rPr>
            </w:pPr>
          </w:p>
        </w:tc>
        <w:tc>
          <w:tcPr>
            <w:tcW w:w="700" w:type="dxa"/>
            <w:vAlign w:val="bottom"/>
            <w:shd w:val="clear" w:color="auto" w:fill="C00000"/>
          </w:tcPr>
          <w:p>
            <w:pPr>
              <w:jc w:val="center"/>
              <w:spacing w:after="0" w:line="155"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7"/>
                <w:szCs w:val="17"/>
                <w:b w:val="1"/>
                <w:bCs w:val="1"/>
                <w:color w:val="FFFFFF"/>
                <w:vertAlign w:val="superscript"/>
              </w:rPr>
              <w:t>(2)</w:t>
            </w:r>
          </w:p>
        </w:tc>
        <w:tc>
          <w:tcPr>
            <w:tcW w:w="720" w:type="dxa"/>
            <w:vAlign w:val="bottom"/>
            <w:shd w:val="clear" w:color="auto" w:fill="C00000"/>
          </w:tcPr>
          <w:p>
            <w:pPr>
              <w:spacing w:after="0"/>
              <w:rPr>
                <w:sz w:val="13"/>
                <w:szCs w:val="13"/>
                <w:color w:val="auto"/>
              </w:rPr>
            </w:pPr>
          </w:p>
        </w:tc>
        <w:tc>
          <w:tcPr>
            <w:tcW w:w="840" w:type="dxa"/>
            <w:vAlign w:val="bottom"/>
            <w:shd w:val="clear" w:color="auto" w:fill="C00000"/>
          </w:tcPr>
          <w:p>
            <w:pPr>
              <w:jc w:val="center"/>
              <w:ind w:right="23"/>
              <w:spacing w:after="0"/>
              <w:rPr>
                <w:sz w:val="20"/>
                <w:szCs w:val="20"/>
                <w:color w:val="auto"/>
              </w:rPr>
            </w:pPr>
            <w:r>
              <w:rPr>
                <w:rFonts w:ascii="Arial" w:cs="Arial" w:eastAsia="Arial" w:hAnsi="Arial"/>
                <w:sz w:val="12"/>
                <w:szCs w:val="12"/>
                <w:b w:val="1"/>
                <w:bCs w:val="1"/>
                <w:color w:val="FFFFFF"/>
                <w:w w:val="99"/>
              </w:rPr>
              <w:t>Stock or</w:t>
            </w:r>
          </w:p>
        </w:tc>
        <w:tc>
          <w:tcPr>
            <w:tcW w:w="860" w:type="dxa"/>
            <w:vAlign w:val="bottom"/>
            <w:shd w:val="clear" w:color="auto" w:fill="C00000"/>
          </w:tcPr>
          <w:p>
            <w:pPr>
              <w:jc w:val="center"/>
              <w:ind w:right="42"/>
              <w:spacing w:after="0"/>
              <w:rPr>
                <w:sz w:val="20"/>
                <w:szCs w:val="20"/>
                <w:color w:val="auto"/>
              </w:rPr>
            </w:pPr>
            <w:r>
              <w:rPr>
                <w:rFonts w:ascii="Arial" w:cs="Arial" w:eastAsia="Arial" w:hAnsi="Arial"/>
                <w:sz w:val="12"/>
                <w:szCs w:val="12"/>
                <w:b w:val="1"/>
                <w:bCs w:val="1"/>
                <w:color w:val="FFFFFF"/>
                <w:w w:val="95"/>
              </w:rPr>
              <w:t>Underlying</w:t>
            </w:r>
          </w:p>
        </w:tc>
        <w:tc>
          <w:tcPr>
            <w:tcW w:w="860" w:type="dxa"/>
            <w:vAlign w:val="bottom"/>
            <w:shd w:val="clear" w:color="auto" w:fill="C00000"/>
          </w:tcPr>
          <w:p>
            <w:pPr>
              <w:jc w:val="center"/>
              <w:ind w:right="62"/>
              <w:spacing w:after="0"/>
              <w:rPr>
                <w:sz w:val="20"/>
                <w:szCs w:val="20"/>
                <w:color w:val="auto"/>
              </w:rPr>
            </w:pPr>
            <w:r>
              <w:rPr>
                <w:rFonts w:ascii="Arial" w:cs="Arial" w:eastAsia="Arial" w:hAnsi="Arial"/>
                <w:sz w:val="12"/>
                <w:szCs w:val="12"/>
                <w:b w:val="1"/>
                <w:bCs w:val="1"/>
                <w:color w:val="FFFFFF"/>
                <w:w w:val="98"/>
              </w:rPr>
              <w:t>Option</w:t>
            </w:r>
          </w:p>
        </w:tc>
        <w:tc>
          <w:tcPr>
            <w:tcW w:w="78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2"/>
              </w:rPr>
              <w:t>Option</w:t>
            </w:r>
          </w:p>
        </w:tc>
      </w:tr>
      <w:tr>
        <w:trPr>
          <w:trHeight w:val="149"/>
        </w:trPr>
        <w:tc>
          <w:tcPr>
            <w:tcW w:w="2240" w:type="dxa"/>
            <w:vAlign w:val="bottom"/>
            <w:shd w:val="clear" w:color="auto" w:fill="C00000"/>
          </w:tcPr>
          <w:p>
            <w:pPr>
              <w:spacing w:after="0"/>
              <w:rPr>
                <w:sz w:val="12"/>
                <w:szCs w:val="12"/>
                <w:color w:val="auto"/>
              </w:rPr>
            </w:pPr>
          </w:p>
        </w:tc>
        <w:tc>
          <w:tcPr>
            <w:tcW w:w="700" w:type="dxa"/>
            <w:vAlign w:val="bottom"/>
            <w:shd w:val="clear" w:color="auto" w:fill="C00000"/>
          </w:tcPr>
          <w:p>
            <w:pPr>
              <w:jc w:val="center"/>
              <w:ind w:left="22"/>
              <w:spacing w:after="0"/>
              <w:rPr>
                <w:sz w:val="20"/>
                <w:szCs w:val="20"/>
                <w:color w:val="auto"/>
              </w:rPr>
            </w:pPr>
            <w:r>
              <w:rPr>
                <w:rFonts w:ascii="Arial" w:cs="Arial" w:eastAsia="Arial" w:hAnsi="Arial"/>
                <w:sz w:val="12"/>
                <w:szCs w:val="12"/>
                <w:b w:val="1"/>
                <w:bCs w:val="1"/>
                <w:color w:val="FFFFFF"/>
                <w:w w:val="93"/>
              </w:rPr>
              <w:t>Grant</w:t>
            </w:r>
          </w:p>
        </w:tc>
        <w:tc>
          <w:tcPr>
            <w:tcW w:w="720" w:type="dxa"/>
            <w:vAlign w:val="bottom"/>
            <w:shd w:val="clear" w:color="auto" w:fill="C00000"/>
          </w:tcPr>
          <w:p>
            <w:pPr>
              <w:jc w:val="center"/>
              <w:ind w:left="2"/>
              <w:spacing w:after="0"/>
              <w:rPr>
                <w:sz w:val="20"/>
                <w:szCs w:val="20"/>
                <w:color w:val="auto"/>
              </w:rPr>
            </w:pPr>
            <w:r>
              <w:rPr>
                <w:rFonts w:ascii="Arial" w:cs="Arial" w:eastAsia="Arial" w:hAnsi="Arial"/>
                <w:sz w:val="12"/>
                <w:szCs w:val="12"/>
                <w:b w:val="1"/>
                <w:bCs w:val="1"/>
                <w:color w:val="FFFFFF"/>
                <w:w w:val="96"/>
              </w:rPr>
              <w:t>Approval</w:t>
            </w:r>
          </w:p>
        </w:tc>
        <w:tc>
          <w:tcPr>
            <w:tcW w:w="760" w:type="dxa"/>
            <w:vAlign w:val="bottom"/>
            <w:shd w:val="clear" w:color="auto" w:fill="C00000"/>
          </w:tcPr>
          <w:p>
            <w:pPr>
              <w:jc w:val="right"/>
              <w:ind w:right="62"/>
              <w:spacing w:after="0"/>
              <w:rPr>
                <w:sz w:val="20"/>
                <w:szCs w:val="20"/>
                <w:color w:val="auto"/>
              </w:rPr>
            </w:pPr>
            <w:r>
              <w:rPr>
                <w:rFonts w:ascii="Arial" w:cs="Arial" w:eastAsia="Arial" w:hAnsi="Arial"/>
                <w:sz w:val="12"/>
                <w:szCs w:val="12"/>
                <w:b w:val="1"/>
                <w:bCs w:val="1"/>
                <w:color w:val="FFFFFF"/>
              </w:rPr>
              <w:t>Threshold</w:t>
            </w:r>
          </w:p>
        </w:tc>
        <w:tc>
          <w:tcPr>
            <w:tcW w:w="720" w:type="dxa"/>
            <w:vAlign w:val="bottom"/>
            <w:shd w:val="clear" w:color="auto" w:fill="C00000"/>
          </w:tcPr>
          <w:p>
            <w:pPr>
              <w:jc w:val="center"/>
              <w:ind w:right="62"/>
              <w:spacing w:after="0"/>
              <w:rPr>
                <w:sz w:val="20"/>
                <w:szCs w:val="20"/>
                <w:color w:val="auto"/>
              </w:rPr>
            </w:pPr>
            <w:r>
              <w:rPr>
                <w:rFonts w:ascii="Arial" w:cs="Arial" w:eastAsia="Arial" w:hAnsi="Arial"/>
                <w:sz w:val="12"/>
                <w:szCs w:val="12"/>
                <w:b w:val="1"/>
                <w:bCs w:val="1"/>
                <w:color w:val="FFFFFF"/>
                <w:w w:val="98"/>
              </w:rPr>
              <w:t>Target</w:t>
            </w:r>
          </w:p>
        </w:tc>
        <w:tc>
          <w:tcPr>
            <w:tcW w:w="640" w:type="dxa"/>
            <w:vAlign w:val="bottom"/>
            <w:shd w:val="clear" w:color="auto" w:fill="C00000"/>
          </w:tcPr>
          <w:p>
            <w:pPr>
              <w:jc w:val="right"/>
              <w:ind w:right="42"/>
              <w:spacing w:after="0"/>
              <w:rPr>
                <w:sz w:val="20"/>
                <w:szCs w:val="20"/>
                <w:color w:val="auto"/>
              </w:rPr>
            </w:pPr>
            <w:r>
              <w:rPr>
                <w:rFonts w:ascii="Arial" w:cs="Arial" w:eastAsia="Arial" w:hAnsi="Arial"/>
                <w:sz w:val="12"/>
                <w:szCs w:val="12"/>
                <w:b w:val="1"/>
                <w:bCs w:val="1"/>
                <w:color w:val="FFFFFF"/>
                <w:w w:val="93"/>
              </w:rPr>
              <w:t>Maximum</w:t>
            </w:r>
          </w:p>
        </w:tc>
        <w:tc>
          <w:tcPr>
            <w:tcW w:w="700" w:type="dxa"/>
            <w:vAlign w:val="bottom"/>
            <w:shd w:val="clear" w:color="auto" w:fill="C00000"/>
          </w:tcPr>
          <w:p>
            <w:pPr>
              <w:jc w:val="right"/>
              <w:ind w:right="22"/>
              <w:spacing w:after="0"/>
              <w:rPr>
                <w:sz w:val="20"/>
                <w:szCs w:val="20"/>
                <w:color w:val="auto"/>
              </w:rPr>
            </w:pPr>
            <w:r>
              <w:rPr>
                <w:rFonts w:ascii="Arial" w:cs="Arial" w:eastAsia="Arial" w:hAnsi="Arial"/>
                <w:sz w:val="12"/>
                <w:szCs w:val="12"/>
                <w:b w:val="1"/>
                <w:bCs w:val="1"/>
                <w:color w:val="FFFFFF"/>
              </w:rPr>
              <w:t>Threshold</w:t>
            </w:r>
          </w:p>
        </w:tc>
        <w:tc>
          <w:tcPr>
            <w:tcW w:w="70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2"/>
              </w:rPr>
              <w:t>Target</w:t>
            </w:r>
          </w:p>
        </w:tc>
        <w:tc>
          <w:tcPr>
            <w:tcW w:w="720" w:type="dxa"/>
            <w:vAlign w:val="bottom"/>
            <w:shd w:val="clear" w:color="auto" w:fill="C00000"/>
          </w:tcPr>
          <w:p>
            <w:pPr>
              <w:jc w:val="right"/>
              <w:ind w:right="62"/>
              <w:spacing w:after="0"/>
              <w:rPr>
                <w:sz w:val="20"/>
                <w:szCs w:val="20"/>
                <w:color w:val="auto"/>
              </w:rPr>
            </w:pPr>
            <w:r>
              <w:rPr>
                <w:rFonts w:ascii="Arial" w:cs="Arial" w:eastAsia="Arial" w:hAnsi="Arial"/>
                <w:sz w:val="12"/>
                <w:szCs w:val="12"/>
                <w:b w:val="1"/>
                <w:bCs w:val="1"/>
                <w:color w:val="FFFFFF"/>
              </w:rPr>
              <w:t>Maximum</w:t>
            </w:r>
          </w:p>
        </w:tc>
        <w:tc>
          <w:tcPr>
            <w:tcW w:w="840" w:type="dxa"/>
            <w:vAlign w:val="bottom"/>
            <w:shd w:val="clear" w:color="auto" w:fill="C00000"/>
          </w:tcPr>
          <w:p>
            <w:pPr>
              <w:jc w:val="center"/>
              <w:ind w:right="23"/>
              <w:spacing w:after="0" w:line="149" w:lineRule="exact"/>
              <w:rPr>
                <w:sz w:val="20"/>
                <w:szCs w:val="20"/>
                <w:color w:val="auto"/>
              </w:rPr>
            </w:pPr>
            <w:r>
              <w:rPr>
                <w:rFonts w:ascii="Arial" w:cs="Arial" w:eastAsia="Arial" w:hAnsi="Arial"/>
                <w:sz w:val="11"/>
                <w:szCs w:val="11"/>
                <w:b w:val="1"/>
                <w:bCs w:val="1"/>
                <w:color w:val="FFFFFF"/>
                <w:w w:val="96"/>
              </w:rPr>
              <w:t>Units</w:t>
            </w:r>
            <w:r>
              <w:rPr>
                <w:rFonts w:ascii="Arial" w:cs="Arial" w:eastAsia="Arial" w:hAnsi="Arial"/>
                <w:sz w:val="17"/>
                <w:szCs w:val="17"/>
                <w:b w:val="1"/>
                <w:bCs w:val="1"/>
                <w:color w:val="FFFFFF"/>
                <w:w w:val="96"/>
                <w:vertAlign w:val="superscript"/>
              </w:rPr>
              <w:t>(3)</w:t>
            </w:r>
          </w:p>
        </w:tc>
        <w:tc>
          <w:tcPr>
            <w:tcW w:w="860" w:type="dxa"/>
            <w:vAlign w:val="bottom"/>
            <w:shd w:val="clear" w:color="auto" w:fill="C00000"/>
          </w:tcPr>
          <w:p>
            <w:pPr>
              <w:jc w:val="center"/>
              <w:ind w:right="42"/>
              <w:spacing w:after="0" w:line="149" w:lineRule="exact"/>
              <w:rPr>
                <w:sz w:val="20"/>
                <w:szCs w:val="20"/>
                <w:color w:val="auto"/>
              </w:rPr>
            </w:pPr>
            <w:r>
              <w:rPr>
                <w:rFonts w:ascii="Arial" w:cs="Arial" w:eastAsia="Arial" w:hAnsi="Arial"/>
                <w:sz w:val="11"/>
                <w:szCs w:val="11"/>
                <w:b w:val="1"/>
                <w:bCs w:val="1"/>
                <w:color w:val="FFFFFF"/>
              </w:rPr>
              <w:t>Options</w:t>
            </w:r>
            <w:r>
              <w:rPr>
                <w:rFonts w:ascii="Arial" w:cs="Arial" w:eastAsia="Arial" w:hAnsi="Arial"/>
                <w:sz w:val="17"/>
                <w:szCs w:val="17"/>
                <w:b w:val="1"/>
                <w:bCs w:val="1"/>
                <w:color w:val="FFFFFF"/>
                <w:vertAlign w:val="superscript"/>
              </w:rPr>
              <w:t>(4)</w:t>
            </w:r>
          </w:p>
        </w:tc>
        <w:tc>
          <w:tcPr>
            <w:tcW w:w="860" w:type="dxa"/>
            <w:vAlign w:val="bottom"/>
            <w:shd w:val="clear" w:color="auto" w:fill="C00000"/>
          </w:tcPr>
          <w:p>
            <w:pPr>
              <w:jc w:val="center"/>
              <w:ind w:right="62"/>
              <w:spacing w:after="0" w:line="149"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7"/>
                <w:szCs w:val="17"/>
                <w:b w:val="1"/>
                <w:bCs w:val="1"/>
                <w:color w:val="FFFFFF"/>
                <w:vertAlign w:val="superscript"/>
              </w:rPr>
              <w:t>(5)</w:t>
            </w:r>
          </w:p>
        </w:tc>
        <w:tc>
          <w:tcPr>
            <w:tcW w:w="780" w:type="dxa"/>
            <w:vAlign w:val="bottom"/>
            <w:shd w:val="clear" w:color="auto" w:fill="C00000"/>
          </w:tcPr>
          <w:p>
            <w:pPr>
              <w:jc w:val="center"/>
              <w:spacing w:after="0" w:line="149"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7"/>
                <w:szCs w:val="17"/>
                <w:b w:val="1"/>
                <w:bCs w:val="1"/>
                <w:color w:val="FFFFFF"/>
                <w:vertAlign w:val="superscript"/>
              </w:rPr>
              <w:t>(6)</w:t>
            </w:r>
          </w:p>
        </w:tc>
      </w:tr>
      <w:tr>
        <w:trPr>
          <w:trHeight w:val="146"/>
        </w:trPr>
        <w:tc>
          <w:tcPr>
            <w:tcW w:w="2240" w:type="dxa"/>
            <w:vAlign w:val="bottom"/>
            <w:shd w:val="clear" w:color="auto" w:fill="C00000"/>
          </w:tcPr>
          <w:p>
            <w:pPr>
              <w:spacing w:after="0"/>
              <w:rPr>
                <w:sz w:val="20"/>
                <w:szCs w:val="20"/>
                <w:color w:val="auto"/>
              </w:rPr>
            </w:pPr>
            <w:r>
              <w:rPr>
                <w:rFonts w:ascii="Arial" w:cs="Arial" w:eastAsia="Arial" w:hAnsi="Arial"/>
                <w:sz w:val="12"/>
                <w:szCs w:val="12"/>
                <w:b w:val="1"/>
                <w:bCs w:val="1"/>
                <w:color w:val="FFFFFF"/>
              </w:rPr>
              <w:t>Name</w:t>
            </w:r>
          </w:p>
        </w:tc>
        <w:tc>
          <w:tcPr>
            <w:tcW w:w="700" w:type="dxa"/>
            <w:vAlign w:val="bottom"/>
            <w:shd w:val="clear" w:color="auto" w:fill="C00000"/>
          </w:tcPr>
          <w:p>
            <w:pPr>
              <w:jc w:val="center"/>
              <w:ind w:left="22"/>
              <w:spacing w:after="0"/>
              <w:rPr>
                <w:sz w:val="20"/>
                <w:szCs w:val="20"/>
                <w:color w:val="auto"/>
              </w:rPr>
            </w:pPr>
            <w:r>
              <w:rPr>
                <w:rFonts w:ascii="Arial" w:cs="Arial" w:eastAsia="Arial" w:hAnsi="Arial"/>
                <w:sz w:val="12"/>
                <w:szCs w:val="12"/>
                <w:b w:val="1"/>
                <w:bCs w:val="1"/>
                <w:color w:val="FFFFFF"/>
                <w:w w:val="99"/>
              </w:rPr>
              <w:t>Date</w:t>
            </w:r>
          </w:p>
        </w:tc>
        <w:tc>
          <w:tcPr>
            <w:tcW w:w="720" w:type="dxa"/>
            <w:vAlign w:val="bottom"/>
            <w:shd w:val="clear" w:color="auto" w:fill="C00000"/>
          </w:tcPr>
          <w:p>
            <w:pPr>
              <w:jc w:val="center"/>
              <w:ind w:left="2"/>
              <w:spacing w:after="0"/>
              <w:rPr>
                <w:sz w:val="20"/>
                <w:szCs w:val="20"/>
                <w:color w:val="auto"/>
              </w:rPr>
            </w:pPr>
            <w:r>
              <w:rPr>
                <w:rFonts w:ascii="Arial" w:cs="Arial" w:eastAsia="Arial" w:hAnsi="Arial"/>
                <w:sz w:val="12"/>
                <w:szCs w:val="12"/>
                <w:b w:val="1"/>
                <w:bCs w:val="1"/>
                <w:color w:val="FFFFFF"/>
                <w:w w:val="99"/>
              </w:rPr>
              <w:t>Date</w:t>
            </w:r>
          </w:p>
        </w:tc>
        <w:tc>
          <w:tcPr>
            <w:tcW w:w="760" w:type="dxa"/>
            <w:vAlign w:val="bottom"/>
            <w:shd w:val="clear" w:color="auto" w:fill="C00000"/>
          </w:tcPr>
          <w:p>
            <w:pPr>
              <w:jc w:val="right"/>
              <w:ind w:right="262"/>
              <w:spacing w:after="0"/>
              <w:rPr>
                <w:sz w:val="20"/>
                <w:szCs w:val="20"/>
                <w:color w:val="auto"/>
              </w:rPr>
            </w:pPr>
            <w:r>
              <w:rPr>
                <w:rFonts w:ascii="Arial" w:cs="Arial" w:eastAsia="Arial" w:hAnsi="Arial"/>
                <w:sz w:val="12"/>
                <w:szCs w:val="12"/>
                <w:b w:val="1"/>
                <w:bCs w:val="1"/>
                <w:color w:val="FFFFFF"/>
              </w:rPr>
              <w:t>($)</w:t>
            </w:r>
          </w:p>
        </w:tc>
        <w:tc>
          <w:tcPr>
            <w:tcW w:w="720" w:type="dxa"/>
            <w:vAlign w:val="bottom"/>
            <w:shd w:val="clear" w:color="auto" w:fill="C00000"/>
          </w:tcPr>
          <w:p>
            <w:pPr>
              <w:jc w:val="center"/>
              <w:ind w:right="62"/>
              <w:spacing w:after="0"/>
              <w:rPr>
                <w:sz w:val="20"/>
                <w:szCs w:val="20"/>
                <w:color w:val="auto"/>
              </w:rPr>
            </w:pPr>
            <w:r>
              <w:rPr>
                <w:rFonts w:ascii="Arial" w:cs="Arial" w:eastAsia="Arial" w:hAnsi="Arial"/>
                <w:sz w:val="12"/>
                <w:szCs w:val="12"/>
                <w:b w:val="1"/>
                <w:bCs w:val="1"/>
                <w:color w:val="FFFFFF"/>
              </w:rPr>
              <w:t>($)</w:t>
            </w:r>
          </w:p>
        </w:tc>
        <w:tc>
          <w:tcPr>
            <w:tcW w:w="640" w:type="dxa"/>
            <w:vAlign w:val="bottom"/>
            <w:shd w:val="clear" w:color="auto" w:fill="C00000"/>
          </w:tcPr>
          <w:p>
            <w:pPr>
              <w:jc w:val="right"/>
              <w:ind w:right="242"/>
              <w:spacing w:after="0"/>
              <w:rPr>
                <w:sz w:val="20"/>
                <w:szCs w:val="20"/>
                <w:color w:val="auto"/>
              </w:rPr>
            </w:pPr>
            <w:r>
              <w:rPr>
                <w:rFonts w:ascii="Arial" w:cs="Arial" w:eastAsia="Arial" w:hAnsi="Arial"/>
                <w:sz w:val="12"/>
                <w:szCs w:val="12"/>
                <w:b w:val="1"/>
                <w:bCs w:val="1"/>
                <w:color w:val="FFFFFF"/>
              </w:rPr>
              <w:t>($)</w:t>
            </w:r>
          </w:p>
        </w:tc>
        <w:tc>
          <w:tcPr>
            <w:tcW w:w="700" w:type="dxa"/>
            <w:vAlign w:val="bottom"/>
            <w:shd w:val="clear" w:color="auto" w:fill="C00000"/>
          </w:tcPr>
          <w:p>
            <w:pPr>
              <w:jc w:val="right"/>
              <w:ind w:right="242"/>
              <w:spacing w:after="0"/>
              <w:rPr>
                <w:sz w:val="20"/>
                <w:szCs w:val="20"/>
                <w:color w:val="auto"/>
              </w:rPr>
            </w:pPr>
            <w:r>
              <w:rPr>
                <w:rFonts w:ascii="Arial" w:cs="Arial" w:eastAsia="Arial" w:hAnsi="Arial"/>
                <w:sz w:val="12"/>
                <w:szCs w:val="12"/>
                <w:b w:val="1"/>
                <w:bCs w:val="1"/>
                <w:color w:val="FFFFFF"/>
              </w:rPr>
              <w:t>(#)</w:t>
            </w:r>
          </w:p>
        </w:tc>
        <w:tc>
          <w:tcPr>
            <w:tcW w:w="70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5"/>
              </w:rPr>
              <w:t>(#)</w:t>
            </w:r>
          </w:p>
        </w:tc>
        <w:tc>
          <w:tcPr>
            <w:tcW w:w="720" w:type="dxa"/>
            <w:vAlign w:val="bottom"/>
            <w:shd w:val="clear" w:color="auto" w:fill="C00000"/>
          </w:tcPr>
          <w:p>
            <w:pPr>
              <w:jc w:val="right"/>
              <w:ind w:right="262"/>
              <w:spacing w:after="0"/>
              <w:rPr>
                <w:sz w:val="20"/>
                <w:szCs w:val="20"/>
                <w:color w:val="auto"/>
              </w:rPr>
            </w:pPr>
            <w:r>
              <w:rPr>
                <w:rFonts w:ascii="Arial" w:cs="Arial" w:eastAsia="Arial" w:hAnsi="Arial"/>
                <w:sz w:val="12"/>
                <w:szCs w:val="12"/>
                <w:b w:val="1"/>
                <w:bCs w:val="1"/>
                <w:color w:val="FFFFFF"/>
              </w:rPr>
              <w:t>(#)</w:t>
            </w:r>
          </w:p>
        </w:tc>
        <w:tc>
          <w:tcPr>
            <w:tcW w:w="840" w:type="dxa"/>
            <w:vAlign w:val="bottom"/>
            <w:shd w:val="clear" w:color="auto" w:fill="C00000"/>
          </w:tcPr>
          <w:p>
            <w:pPr>
              <w:jc w:val="center"/>
              <w:ind w:right="43"/>
              <w:spacing w:after="0"/>
              <w:rPr>
                <w:sz w:val="20"/>
                <w:szCs w:val="20"/>
                <w:color w:val="auto"/>
              </w:rPr>
            </w:pPr>
            <w:r>
              <w:rPr>
                <w:rFonts w:ascii="Arial" w:cs="Arial" w:eastAsia="Arial" w:hAnsi="Arial"/>
                <w:sz w:val="12"/>
                <w:szCs w:val="12"/>
                <w:b w:val="1"/>
                <w:bCs w:val="1"/>
                <w:color w:val="FFFFFF"/>
                <w:w w:val="95"/>
              </w:rPr>
              <w:t>(#)</w:t>
            </w:r>
          </w:p>
        </w:tc>
        <w:tc>
          <w:tcPr>
            <w:tcW w:w="860" w:type="dxa"/>
            <w:vAlign w:val="bottom"/>
            <w:shd w:val="clear" w:color="auto" w:fill="C00000"/>
          </w:tcPr>
          <w:p>
            <w:pPr>
              <w:jc w:val="center"/>
              <w:ind w:right="22"/>
              <w:spacing w:after="0"/>
              <w:rPr>
                <w:sz w:val="20"/>
                <w:szCs w:val="20"/>
                <w:color w:val="auto"/>
              </w:rPr>
            </w:pPr>
            <w:r>
              <w:rPr>
                <w:rFonts w:ascii="Arial" w:cs="Arial" w:eastAsia="Arial" w:hAnsi="Arial"/>
                <w:sz w:val="12"/>
                <w:szCs w:val="12"/>
                <w:b w:val="1"/>
                <w:bCs w:val="1"/>
                <w:color w:val="FFFFFF"/>
                <w:w w:val="95"/>
              </w:rPr>
              <w:t>(#)</w:t>
            </w:r>
          </w:p>
        </w:tc>
        <w:tc>
          <w:tcPr>
            <w:tcW w:w="860" w:type="dxa"/>
            <w:vAlign w:val="bottom"/>
            <w:shd w:val="clear" w:color="auto" w:fill="C00000"/>
          </w:tcPr>
          <w:p>
            <w:pPr>
              <w:jc w:val="center"/>
              <w:ind w:right="42"/>
              <w:spacing w:after="0"/>
              <w:rPr>
                <w:sz w:val="20"/>
                <w:szCs w:val="20"/>
                <w:color w:val="auto"/>
              </w:rPr>
            </w:pPr>
            <w:r>
              <w:rPr>
                <w:rFonts w:ascii="Arial" w:cs="Arial" w:eastAsia="Arial" w:hAnsi="Arial"/>
                <w:sz w:val="12"/>
                <w:szCs w:val="12"/>
                <w:b w:val="1"/>
                <w:bCs w:val="1"/>
                <w:color w:val="FFFFFF"/>
                <w:w w:val="95"/>
              </w:rPr>
              <w:t>($/Sh)</w:t>
            </w:r>
          </w:p>
        </w:tc>
        <w:tc>
          <w:tcPr>
            <w:tcW w:w="78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5"/>
              </w:rPr>
              <w:t>($)</w:t>
            </w:r>
          </w:p>
        </w:tc>
      </w:tr>
      <w:tr>
        <w:trPr>
          <w:trHeight w:val="155"/>
        </w:trPr>
        <w:tc>
          <w:tcPr>
            <w:tcW w:w="2240" w:type="dxa"/>
            <w:vAlign w:val="bottom"/>
          </w:tcPr>
          <w:p>
            <w:pPr>
              <w:spacing w:after="0"/>
              <w:rPr>
                <w:sz w:val="20"/>
                <w:szCs w:val="20"/>
                <w:color w:val="auto"/>
              </w:rPr>
            </w:pPr>
            <w:r>
              <w:rPr>
                <w:rFonts w:ascii="Arial" w:cs="Arial" w:eastAsia="Arial" w:hAnsi="Arial"/>
                <w:sz w:val="12"/>
                <w:szCs w:val="12"/>
                <w:color w:val="auto"/>
              </w:rPr>
              <w:t>Richard M. Olson</w:t>
            </w: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7"/>
        </w:trPr>
        <w:tc>
          <w:tcPr>
            <w:tcW w:w="2240" w:type="dxa"/>
            <w:vAlign w:val="bottom"/>
          </w:tcPr>
          <w:p>
            <w:pPr>
              <w:ind w:left="260"/>
              <w:spacing w:after="0"/>
              <w:rPr>
                <w:sz w:val="20"/>
                <w:szCs w:val="20"/>
                <w:color w:val="auto"/>
              </w:rPr>
            </w:pPr>
            <w:r>
              <w:rPr>
                <w:rFonts w:ascii="Arial" w:cs="Arial" w:eastAsia="Arial" w:hAnsi="Arial"/>
                <w:sz w:val="12"/>
                <w:szCs w:val="12"/>
                <w:color w:val="auto"/>
              </w:rPr>
              <w:t>Annual Cash Incentive</w:t>
            </w:r>
          </w:p>
        </w:tc>
        <w:tc>
          <w:tcPr>
            <w:tcW w:w="700" w:type="dxa"/>
            <w:vAlign w:val="bottom"/>
          </w:tcPr>
          <w:p>
            <w:pPr>
              <w:jc w:val="center"/>
              <w:ind w:left="22"/>
              <w:spacing w:after="0"/>
              <w:rPr>
                <w:sz w:val="20"/>
                <w:szCs w:val="20"/>
                <w:color w:val="auto"/>
              </w:rPr>
            </w:pPr>
            <w:r>
              <w:rPr>
                <w:rFonts w:ascii="Arial" w:cs="Arial" w:eastAsia="Arial" w:hAnsi="Arial"/>
                <w:sz w:val="12"/>
                <w:szCs w:val="12"/>
                <w:color w:val="auto"/>
                <w:w w:val="82"/>
              </w:rPr>
              <w:t>—</w:t>
            </w:r>
          </w:p>
        </w:tc>
        <w:tc>
          <w:tcPr>
            <w:tcW w:w="72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400,775</w:t>
            </w: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1,001,938</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2,003,875</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7"/>
        </w:trPr>
        <w:tc>
          <w:tcPr>
            <w:tcW w:w="2240" w:type="dxa"/>
            <w:vAlign w:val="bottom"/>
          </w:tcPr>
          <w:p>
            <w:pPr>
              <w:ind w:left="260"/>
              <w:spacing w:after="0"/>
              <w:rPr>
                <w:sz w:val="20"/>
                <w:szCs w:val="20"/>
                <w:color w:val="auto"/>
              </w:rPr>
            </w:pPr>
            <w:r>
              <w:rPr>
                <w:rFonts w:ascii="Arial" w:cs="Arial" w:eastAsia="Arial" w:hAnsi="Arial"/>
                <w:sz w:val="12"/>
                <w:szCs w:val="12"/>
                <w:color w:val="auto"/>
              </w:rPr>
              <w:t>Performance Shares</w:t>
            </w:r>
          </w:p>
        </w:tc>
        <w:tc>
          <w:tcPr>
            <w:tcW w:w="700" w:type="dxa"/>
            <w:vAlign w:val="bottom"/>
          </w:tcPr>
          <w:p>
            <w:pPr>
              <w:jc w:val="center"/>
              <w:ind w:left="22"/>
              <w:spacing w:after="0"/>
              <w:rPr>
                <w:sz w:val="20"/>
                <w:szCs w:val="20"/>
                <w:color w:val="auto"/>
              </w:rPr>
            </w:pPr>
            <w:r>
              <w:rPr>
                <w:rFonts w:ascii="Arial" w:cs="Arial" w:eastAsia="Arial" w:hAnsi="Arial"/>
                <w:sz w:val="12"/>
                <w:szCs w:val="12"/>
                <w:color w:val="auto"/>
                <w:w w:val="98"/>
              </w:rPr>
              <w:t>12/03/19</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98"/>
              </w:rPr>
              <w:t>12/03/19</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12,080</w:t>
            </w:r>
          </w:p>
        </w:tc>
        <w:tc>
          <w:tcPr>
            <w:tcW w:w="700" w:type="dxa"/>
            <w:vAlign w:val="bottom"/>
          </w:tcPr>
          <w:p>
            <w:pPr>
              <w:jc w:val="right"/>
              <w:ind w:right="3"/>
              <w:spacing w:after="0"/>
              <w:rPr>
                <w:sz w:val="20"/>
                <w:szCs w:val="20"/>
                <w:color w:val="auto"/>
              </w:rPr>
            </w:pPr>
            <w:r>
              <w:rPr>
                <w:rFonts w:ascii="Arial" w:cs="Arial" w:eastAsia="Arial" w:hAnsi="Arial"/>
                <w:sz w:val="12"/>
                <w:szCs w:val="12"/>
                <w:color w:val="auto"/>
              </w:rPr>
              <w:t>30,200</w:t>
            </w: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60,400</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2,335,366</w:t>
            </w:r>
          </w:p>
        </w:tc>
      </w:tr>
      <w:tr>
        <w:trPr>
          <w:trHeight w:val="140"/>
        </w:trPr>
        <w:tc>
          <w:tcPr>
            <w:tcW w:w="2240" w:type="dxa"/>
            <w:vAlign w:val="bottom"/>
          </w:tcPr>
          <w:p>
            <w:pPr>
              <w:ind w:left="260"/>
              <w:spacing w:after="0"/>
              <w:rPr>
                <w:sz w:val="20"/>
                <w:szCs w:val="20"/>
                <w:color w:val="auto"/>
              </w:rPr>
            </w:pPr>
            <w:r>
              <w:rPr>
                <w:rFonts w:ascii="Arial" w:cs="Arial" w:eastAsia="Arial" w:hAnsi="Arial"/>
                <w:sz w:val="12"/>
                <w:szCs w:val="12"/>
                <w:color w:val="auto"/>
              </w:rPr>
              <w:t>Stock Options</w:t>
            </w:r>
          </w:p>
        </w:tc>
        <w:tc>
          <w:tcPr>
            <w:tcW w:w="700" w:type="dxa"/>
            <w:vAlign w:val="bottom"/>
          </w:tcPr>
          <w:p>
            <w:pPr>
              <w:jc w:val="center"/>
              <w:ind w:left="22"/>
              <w:spacing w:after="0"/>
              <w:rPr>
                <w:sz w:val="20"/>
                <w:szCs w:val="20"/>
                <w:color w:val="auto"/>
              </w:rPr>
            </w:pPr>
            <w:r>
              <w:rPr>
                <w:rFonts w:ascii="Arial" w:cs="Arial" w:eastAsia="Arial" w:hAnsi="Arial"/>
                <w:sz w:val="12"/>
                <w:szCs w:val="12"/>
                <w:color w:val="auto"/>
                <w:w w:val="98"/>
              </w:rPr>
              <w:t>12/19/19</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98"/>
              </w:rPr>
              <w:t>12/03/19</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152,900</w:t>
            </w: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76.53</w:t>
            </w:r>
          </w:p>
        </w:tc>
        <w:tc>
          <w:tcPr>
            <w:tcW w:w="780" w:type="dxa"/>
            <w:vAlign w:val="bottom"/>
          </w:tcPr>
          <w:p>
            <w:pPr>
              <w:jc w:val="right"/>
              <w:spacing w:after="0"/>
              <w:rPr>
                <w:sz w:val="20"/>
                <w:szCs w:val="20"/>
                <w:color w:val="auto"/>
              </w:rPr>
            </w:pPr>
            <w:r>
              <w:rPr>
                <w:rFonts w:ascii="Arial" w:cs="Arial" w:eastAsia="Arial" w:hAnsi="Arial"/>
                <w:sz w:val="12"/>
                <w:szCs w:val="12"/>
                <w:color w:val="auto"/>
              </w:rPr>
              <w:t>2,388,298</w:t>
            </w:r>
          </w:p>
        </w:tc>
      </w:tr>
      <w:tr>
        <w:trPr>
          <w:trHeight w:val="147"/>
        </w:trPr>
        <w:tc>
          <w:tcPr>
            <w:tcW w:w="2240" w:type="dxa"/>
            <w:vAlign w:val="bottom"/>
            <w:shd w:val="clear" w:color="auto" w:fill="D9D9D9"/>
          </w:tcPr>
          <w:p>
            <w:pPr>
              <w:spacing w:after="0"/>
              <w:rPr>
                <w:sz w:val="20"/>
                <w:szCs w:val="20"/>
                <w:color w:val="auto"/>
              </w:rPr>
            </w:pPr>
            <w:r>
              <w:rPr>
                <w:rFonts w:ascii="Arial" w:cs="Arial" w:eastAsia="Arial" w:hAnsi="Arial"/>
                <w:sz w:val="12"/>
                <w:szCs w:val="12"/>
                <w:color w:val="auto"/>
              </w:rPr>
              <w:t>Renee J. Peterson</w:t>
            </w:r>
          </w:p>
        </w:tc>
        <w:tc>
          <w:tcPr>
            <w:tcW w:w="70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76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64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780" w:type="dxa"/>
            <w:vAlign w:val="bottom"/>
            <w:shd w:val="clear" w:color="auto" w:fill="D9D9D9"/>
          </w:tcPr>
          <w:p>
            <w:pPr>
              <w:spacing w:after="0"/>
              <w:rPr>
                <w:sz w:val="12"/>
                <w:szCs w:val="12"/>
                <w:color w:val="auto"/>
              </w:rPr>
            </w:pPr>
          </w:p>
        </w:tc>
      </w:tr>
      <w:tr>
        <w:trPr>
          <w:trHeight w:val="147"/>
        </w:trPr>
        <w:tc>
          <w:tcPr>
            <w:tcW w:w="2240" w:type="dxa"/>
            <w:vAlign w:val="bottom"/>
            <w:shd w:val="clear" w:color="auto" w:fill="D9D9D9"/>
          </w:tcPr>
          <w:p>
            <w:pPr>
              <w:ind w:left="260"/>
              <w:spacing w:after="0"/>
              <w:rPr>
                <w:sz w:val="20"/>
                <w:szCs w:val="20"/>
                <w:color w:val="auto"/>
              </w:rPr>
            </w:pPr>
            <w:r>
              <w:rPr>
                <w:rFonts w:ascii="Arial" w:cs="Arial" w:eastAsia="Arial" w:hAnsi="Arial"/>
                <w:sz w:val="12"/>
                <w:szCs w:val="12"/>
                <w:color w:val="auto"/>
              </w:rPr>
              <w:t>Annual Cash Incentive</w:t>
            </w:r>
          </w:p>
        </w:tc>
        <w:tc>
          <w:tcPr>
            <w:tcW w:w="700" w:type="dxa"/>
            <w:vAlign w:val="bottom"/>
            <w:shd w:val="clear" w:color="auto" w:fill="D9D9D9"/>
          </w:tcPr>
          <w:p>
            <w:pPr>
              <w:jc w:val="center"/>
              <w:ind w:left="22"/>
              <w:spacing w:after="0"/>
              <w:rPr>
                <w:sz w:val="20"/>
                <w:szCs w:val="20"/>
                <w:color w:val="auto"/>
              </w:rPr>
            </w:pPr>
            <w:r>
              <w:rPr>
                <w:rFonts w:ascii="Arial" w:cs="Arial" w:eastAsia="Arial" w:hAnsi="Arial"/>
                <w:sz w:val="12"/>
                <w:szCs w:val="12"/>
                <w:color w:val="auto"/>
                <w:w w:val="82"/>
              </w:rPr>
              <w:t>—</w:t>
            </w:r>
          </w:p>
        </w:tc>
        <w:tc>
          <w:tcPr>
            <w:tcW w:w="72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9"/>
              </w:rPr>
              <w:t>—</w:t>
            </w:r>
          </w:p>
        </w:tc>
        <w:tc>
          <w:tcPr>
            <w:tcW w:w="76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149,040</w:t>
            </w:r>
          </w:p>
        </w:tc>
        <w:tc>
          <w:tcPr>
            <w:tcW w:w="7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372,600</w:t>
            </w:r>
          </w:p>
        </w:tc>
        <w:tc>
          <w:tcPr>
            <w:tcW w:w="64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745,200</w:t>
            </w:r>
          </w:p>
        </w:tc>
        <w:tc>
          <w:tcPr>
            <w:tcW w:w="70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780" w:type="dxa"/>
            <w:vAlign w:val="bottom"/>
            <w:shd w:val="clear" w:color="auto" w:fill="D9D9D9"/>
          </w:tcPr>
          <w:p>
            <w:pPr>
              <w:spacing w:after="0"/>
              <w:rPr>
                <w:sz w:val="12"/>
                <w:szCs w:val="12"/>
                <w:color w:val="auto"/>
              </w:rPr>
            </w:pPr>
          </w:p>
        </w:tc>
      </w:tr>
      <w:tr>
        <w:trPr>
          <w:trHeight w:val="147"/>
        </w:trPr>
        <w:tc>
          <w:tcPr>
            <w:tcW w:w="2240" w:type="dxa"/>
            <w:vAlign w:val="bottom"/>
            <w:shd w:val="clear" w:color="auto" w:fill="D9D9D9"/>
          </w:tcPr>
          <w:p>
            <w:pPr>
              <w:ind w:left="260"/>
              <w:spacing w:after="0"/>
              <w:rPr>
                <w:sz w:val="20"/>
                <w:szCs w:val="20"/>
                <w:color w:val="auto"/>
              </w:rPr>
            </w:pPr>
            <w:r>
              <w:rPr>
                <w:rFonts w:ascii="Arial" w:cs="Arial" w:eastAsia="Arial" w:hAnsi="Arial"/>
                <w:sz w:val="12"/>
                <w:szCs w:val="12"/>
                <w:color w:val="auto"/>
              </w:rPr>
              <w:t>Performance Shares</w:t>
            </w:r>
          </w:p>
        </w:tc>
        <w:tc>
          <w:tcPr>
            <w:tcW w:w="700" w:type="dxa"/>
            <w:vAlign w:val="bottom"/>
            <w:shd w:val="clear" w:color="auto" w:fill="D9D9D9"/>
          </w:tcPr>
          <w:p>
            <w:pPr>
              <w:jc w:val="center"/>
              <w:ind w:left="22"/>
              <w:spacing w:after="0"/>
              <w:rPr>
                <w:sz w:val="20"/>
                <w:szCs w:val="20"/>
                <w:color w:val="auto"/>
              </w:rPr>
            </w:pPr>
            <w:r>
              <w:rPr>
                <w:rFonts w:ascii="Arial" w:cs="Arial" w:eastAsia="Arial" w:hAnsi="Arial"/>
                <w:sz w:val="12"/>
                <w:szCs w:val="12"/>
                <w:color w:val="auto"/>
                <w:w w:val="98"/>
              </w:rPr>
              <w:t>12/03/19</w:t>
            </w:r>
          </w:p>
        </w:tc>
        <w:tc>
          <w:tcPr>
            <w:tcW w:w="72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8"/>
              </w:rPr>
              <w:t>12/03/19</w:t>
            </w:r>
          </w:p>
        </w:tc>
        <w:tc>
          <w:tcPr>
            <w:tcW w:w="76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640" w:type="dxa"/>
            <w:vAlign w:val="bottom"/>
            <w:shd w:val="clear" w:color="auto" w:fill="D9D9D9"/>
          </w:tcPr>
          <w:p>
            <w:pPr>
              <w:spacing w:after="0"/>
              <w:rPr>
                <w:sz w:val="12"/>
                <w:szCs w:val="12"/>
                <w:color w:val="auto"/>
              </w:rPr>
            </w:pPr>
          </w:p>
        </w:tc>
        <w:tc>
          <w:tcPr>
            <w:tcW w:w="70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2,680</w:t>
            </w:r>
          </w:p>
        </w:tc>
        <w:tc>
          <w:tcPr>
            <w:tcW w:w="700" w:type="dxa"/>
            <w:vAlign w:val="bottom"/>
            <w:shd w:val="clear" w:color="auto" w:fill="D9D9D9"/>
          </w:tcPr>
          <w:p>
            <w:pPr>
              <w:jc w:val="right"/>
              <w:ind w:right="3"/>
              <w:spacing w:after="0"/>
              <w:rPr>
                <w:sz w:val="20"/>
                <w:szCs w:val="20"/>
                <w:color w:val="auto"/>
              </w:rPr>
            </w:pPr>
            <w:r>
              <w:rPr>
                <w:rFonts w:ascii="Arial" w:cs="Arial" w:eastAsia="Arial" w:hAnsi="Arial"/>
                <w:sz w:val="12"/>
                <w:szCs w:val="12"/>
                <w:color w:val="auto"/>
              </w:rPr>
              <w:t>6,700</w:t>
            </w:r>
          </w:p>
        </w:tc>
        <w:tc>
          <w:tcPr>
            <w:tcW w:w="72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13,400</w:t>
            </w:r>
          </w:p>
        </w:tc>
        <w:tc>
          <w:tcPr>
            <w:tcW w:w="84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2"/>
                <w:szCs w:val="12"/>
                <w:color w:val="auto"/>
              </w:rPr>
              <w:t>518,111</w:t>
            </w:r>
          </w:p>
        </w:tc>
      </w:tr>
      <w:tr>
        <w:trPr>
          <w:trHeight w:val="147"/>
        </w:trPr>
        <w:tc>
          <w:tcPr>
            <w:tcW w:w="2240" w:type="dxa"/>
            <w:vAlign w:val="bottom"/>
            <w:shd w:val="clear" w:color="auto" w:fill="D9D9D9"/>
          </w:tcPr>
          <w:p>
            <w:pPr>
              <w:ind w:left="260"/>
              <w:spacing w:after="0"/>
              <w:rPr>
                <w:sz w:val="20"/>
                <w:szCs w:val="20"/>
                <w:color w:val="auto"/>
              </w:rPr>
            </w:pPr>
            <w:r>
              <w:rPr>
                <w:rFonts w:ascii="Arial" w:cs="Arial" w:eastAsia="Arial" w:hAnsi="Arial"/>
                <w:sz w:val="12"/>
                <w:szCs w:val="12"/>
                <w:color w:val="auto"/>
              </w:rPr>
              <w:t>Stock Options</w:t>
            </w:r>
          </w:p>
        </w:tc>
        <w:tc>
          <w:tcPr>
            <w:tcW w:w="700" w:type="dxa"/>
            <w:vAlign w:val="bottom"/>
            <w:shd w:val="clear" w:color="auto" w:fill="D9D9D9"/>
          </w:tcPr>
          <w:p>
            <w:pPr>
              <w:jc w:val="center"/>
              <w:ind w:left="22"/>
              <w:spacing w:after="0"/>
              <w:rPr>
                <w:sz w:val="20"/>
                <w:szCs w:val="20"/>
                <w:color w:val="auto"/>
              </w:rPr>
            </w:pPr>
            <w:r>
              <w:rPr>
                <w:rFonts w:ascii="Arial" w:cs="Arial" w:eastAsia="Arial" w:hAnsi="Arial"/>
                <w:sz w:val="12"/>
                <w:szCs w:val="12"/>
                <w:color w:val="auto"/>
                <w:w w:val="98"/>
              </w:rPr>
              <w:t>12/19/19</w:t>
            </w:r>
          </w:p>
        </w:tc>
        <w:tc>
          <w:tcPr>
            <w:tcW w:w="72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8"/>
              </w:rPr>
              <w:t>12/03/19</w:t>
            </w:r>
          </w:p>
        </w:tc>
        <w:tc>
          <w:tcPr>
            <w:tcW w:w="76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64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86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33,900</w:t>
            </w:r>
          </w:p>
        </w:tc>
        <w:tc>
          <w:tcPr>
            <w:tcW w:w="86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76.53</w:t>
            </w:r>
          </w:p>
        </w:tc>
        <w:tc>
          <w:tcPr>
            <w:tcW w:w="780" w:type="dxa"/>
            <w:vAlign w:val="bottom"/>
            <w:shd w:val="clear" w:color="auto" w:fill="D9D9D9"/>
          </w:tcPr>
          <w:p>
            <w:pPr>
              <w:jc w:val="right"/>
              <w:spacing w:after="0"/>
              <w:rPr>
                <w:sz w:val="20"/>
                <w:szCs w:val="20"/>
                <w:color w:val="auto"/>
              </w:rPr>
            </w:pPr>
            <w:r>
              <w:rPr>
                <w:rFonts w:ascii="Arial" w:cs="Arial" w:eastAsia="Arial" w:hAnsi="Arial"/>
                <w:sz w:val="12"/>
                <w:szCs w:val="12"/>
                <w:color w:val="auto"/>
              </w:rPr>
              <w:t>529,518</w:t>
            </w:r>
          </w:p>
        </w:tc>
      </w:tr>
      <w:tr>
        <w:trPr>
          <w:trHeight w:val="155"/>
        </w:trPr>
        <w:tc>
          <w:tcPr>
            <w:tcW w:w="2240" w:type="dxa"/>
            <w:vAlign w:val="bottom"/>
          </w:tcPr>
          <w:p>
            <w:pPr>
              <w:spacing w:after="0"/>
              <w:rPr>
                <w:sz w:val="20"/>
                <w:szCs w:val="20"/>
                <w:color w:val="auto"/>
              </w:rPr>
            </w:pPr>
            <w:r>
              <w:rPr>
                <w:rFonts w:ascii="Arial" w:cs="Arial" w:eastAsia="Arial" w:hAnsi="Arial"/>
                <w:sz w:val="12"/>
                <w:szCs w:val="12"/>
                <w:color w:val="auto"/>
              </w:rPr>
              <w:t>Richard W. Rodier</w:t>
            </w: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2"/>
        </w:trPr>
        <w:tc>
          <w:tcPr>
            <w:tcW w:w="2240" w:type="dxa"/>
            <w:vAlign w:val="bottom"/>
          </w:tcPr>
          <w:p>
            <w:pPr>
              <w:ind w:left="260"/>
              <w:spacing w:after="0"/>
              <w:rPr>
                <w:sz w:val="20"/>
                <w:szCs w:val="20"/>
                <w:color w:val="auto"/>
              </w:rPr>
            </w:pPr>
            <w:r>
              <w:rPr>
                <w:rFonts w:ascii="Arial" w:cs="Arial" w:eastAsia="Arial" w:hAnsi="Arial"/>
                <w:sz w:val="12"/>
                <w:szCs w:val="12"/>
                <w:color w:val="auto"/>
              </w:rPr>
              <w:t>Annual Cash Incentive (11/01/2019-</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9"/>
        </w:trPr>
        <w:tc>
          <w:tcPr>
            <w:tcW w:w="2240" w:type="dxa"/>
            <w:vAlign w:val="bottom"/>
          </w:tcPr>
          <w:p>
            <w:pPr>
              <w:ind w:left="260"/>
              <w:spacing w:after="0"/>
              <w:rPr>
                <w:sz w:val="20"/>
                <w:szCs w:val="20"/>
                <w:color w:val="auto"/>
              </w:rPr>
            </w:pPr>
            <w:r>
              <w:rPr>
                <w:rFonts w:ascii="Arial" w:cs="Arial" w:eastAsia="Arial" w:hAnsi="Arial"/>
                <w:sz w:val="12"/>
                <w:szCs w:val="12"/>
                <w:color w:val="auto"/>
              </w:rPr>
              <w:t>05/15/2020)</w:t>
            </w:r>
          </w:p>
        </w:tc>
        <w:tc>
          <w:tcPr>
            <w:tcW w:w="700" w:type="dxa"/>
            <w:vAlign w:val="bottom"/>
          </w:tcPr>
          <w:p>
            <w:pPr>
              <w:jc w:val="center"/>
              <w:ind w:left="22"/>
              <w:spacing w:after="0"/>
              <w:rPr>
                <w:sz w:val="20"/>
                <w:szCs w:val="20"/>
                <w:color w:val="auto"/>
              </w:rPr>
            </w:pPr>
            <w:r>
              <w:rPr>
                <w:rFonts w:ascii="Arial" w:cs="Arial" w:eastAsia="Arial" w:hAnsi="Arial"/>
                <w:sz w:val="12"/>
                <w:szCs w:val="12"/>
                <w:color w:val="auto"/>
                <w:w w:val="82"/>
              </w:rPr>
              <w:t>—</w:t>
            </w:r>
          </w:p>
        </w:tc>
        <w:tc>
          <w:tcPr>
            <w:tcW w:w="72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51,840</w:t>
            </w: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129,600</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259,200</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2"/>
        </w:trPr>
        <w:tc>
          <w:tcPr>
            <w:tcW w:w="2240" w:type="dxa"/>
            <w:vAlign w:val="bottom"/>
          </w:tcPr>
          <w:p>
            <w:pPr>
              <w:ind w:left="260"/>
              <w:spacing w:after="0"/>
              <w:rPr>
                <w:sz w:val="20"/>
                <w:szCs w:val="20"/>
                <w:color w:val="auto"/>
              </w:rPr>
            </w:pPr>
            <w:r>
              <w:rPr>
                <w:rFonts w:ascii="Arial" w:cs="Arial" w:eastAsia="Arial" w:hAnsi="Arial"/>
                <w:sz w:val="12"/>
                <w:szCs w:val="12"/>
                <w:color w:val="auto"/>
              </w:rPr>
              <w:t>Annual Cash Incentive (05/16/2020-</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9"/>
        </w:trPr>
        <w:tc>
          <w:tcPr>
            <w:tcW w:w="2240" w:type="dxa"/>
            <w:vAlign w:val="bottom"/>
          </w:tcPr>
          <w:p>
            <w:pPr>
              <w:ind w:left="260"/>
              <w:spacing w:after="0"/>
              <w:rPr>
                <w:sz w:val="20"/>
                <w:szCs w:val="20"/>
                <w:color w:val="auto"/>
              </w:rPr>
            </w:pPr>
            <w:r>
              <w:rPr>
                <w:rFonts w:ascii="Arial" w:cs="Arial" w:eastAsia="Arial" w:hAnsi="Arial"/>
                <w:sz w:val="12"/>
                <w:szCs w:val="12"/>
                <w:color w:val="auto"/>
              </w:rPr>
              <w:t>10/31/2020)</w:t>
            </w:r>
          </w:p>
        </w:tc>
        <w:tc>
          <w:tcPr>
            <w:tcW w:w="700" w:type="dxa"/>
            <w:vAlign w:val="bottom"/>
          </w:tcPr>
          <w:p>
            <w:pPr>
              <w:jc w:val="center"/>
              <w:ind w:left="22"/>
              <w:spacing w:after="0"/>
              <w:rPr>
                <w:sz w:val="20"/>
                <w:szCs w:val="20"/>
                <w:color w:val="auto"/>
              </w:rPr>
            </w:pPr>
            <w:r>
              <w:rPr>
                <w:rFonts w:ascii="Arial" w:cs="Arial" w:eastAsia="Arial" w:hAnsi="Arial"/>
                <w:sz w:val="12"/>
                <w:szCs w:val="12"/>
                <w:color w:val="auto"/>
                <w:w w:val="82"/>
              </w:rPr>
              <w:t>—</w:t>
            </w:r>
          </w:p>
        </w:tc>
        <w:tc>
          <w:tcPr>
            <w:tcW w:w="72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51,333</w:t>
            </w: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128,333</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256,666</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7"/>
        </w:trPr>
        <w:tc>
          <w:tcPr>
            <w:tcW w:w="2240" w:type="dxa"/>
            <w:vAlign w:val="bottom"/>
          </w:tcPr>
          <w:p>
            <w:pPr>
              <w:ind w:left="260"/>
              <w:spacing w:after="0"/>
              <w:rPr>
                <w:sz w:val="20"/>
                <w:szCs w:val="20"/>
                <w:color w:val="auto"/>
              </w:rPr>
            </w:pPr>
            <w:r>
              <w:rPr>
                <w:rFonts w:ascii="Arial" w:cs="Arial" w:eastAsia="Arial" w:hAnsi="Arial"/>
                <w:sz w:val="12"/>
                <w:szCs w:val="12"/>
                <w:color w:val="auto"/>
              </w:rPr>
              <w:t>Performance Shares</w:t>
            </w:r>
          </w:p>
        </w:tc>
        <w:tc>
          <w:tcPr>
            <w:tcW w:w="700" w:type="dxa"/>
            <w:vAlign w:val="bottom"/>
          </w:tcPr>
          <w:p>
            <w:pPr>
              <w:jc w:val="center"/>
              <w:ind w:left="22"/>
              <w:spacing w:after="0"/>
              <w:rPr>
                <w:sz w:val="20"/>
                <w:szCs w:val="20"/>
                <w:color w:val="auto"/>
              </w:rPr>
            </w:pPr>
            <w:r>
              <w:rPr>
                <w:rFonts w:ascii="Arial" w:cs="Arial" w:eastAsia="Arial" w:hAnsi="Arial"/>
                <w:sz w:val="12"/>
                <w:szCs w:val="12"/>
                <w:color w:val="auto"/>
                <w:w w:val="98"/>
              </w:rPr>
              <w:t>12/03/19</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98"/>
              </w:rPr>
              <w:t>12/03/19</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1,440</w:t>
            </w:r>
          </w:p>
        </w:tc>
        <w:tc>
          <w:tcPr>
            <w:tcW w:w="700" w:type="dxa"/>
            <w:vAlign w:val="bottom"/>
          </w:tcPr>
          <w:p>
            <w:pPr>
              <w:jc w:val="right"/>
              <w:ind w:right="3"/>
              <w:spacing w:after="0"/>
              <w:rPr>
                <w:sz w:val="20"/>
                <w:szCs w:val="20"/>
                <w:color w:val="auto"/>
              </w:rPr>
            </w:pPr>
            <w:r>
              <w:rPr>
                <w:rFonts w:ascii="Arial" w:cs="Arial" w:eastAsia="Arial" w:hAnsi="Arial"/>
                <w:sz w:val="12"/>
                <w:szCs w:val="12"/>
                <w:color w:val="auto"/>
              </w:rPr>
              <w:t>3,600</w:t>
            </w: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7,200</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278,388</w:t>
            </w:r>
          </w:p>
        </w:tc>
      </w:tr>
      <w:tr>
        <w:trPr>
          <w:trHeight w:val="147"/>
        </w:trPr>
        <w:tc>
          <w:tcPr>
            <w:tcW w:w="2240" w:type="dxa"/>
            <w:vAlign w:val="bottom"/>
          </w:tcPr>
          <w:p>
            <w:pPr>
              <w:ind w:left="260"/>
              <w:spacing w:after="0"/>
              <w:rPr>
                <w:sz w:val="20"/>
                <w:szCs w:val="20"/>
                <w:color w:val="auto"/>
              </w:rPr>
            </w:pPr>
            <w:r>
              <w:rPr>
                <w:rFonts w:ascii="Arial" w:cs="Arial" w:eastAsia="Arial" w:hAnsi="Arial"/>
                <w:sz w:val="12"/>
                <w:szCs w:val="12"/>
                <w:color w:val="auto"/>
              </w:rPr>
              <w:t>Stock Options</w:t>
            </w:r>
          </w:p>
        </w:tc>
        <w:tc>
          <w:tcPr>
            <w:tcW w:w="700" w:type="dxa"/>
            <w:vAlign w:val="bottom"/>
          </w:tcPr>
          <w:p>
            <w:pPr>
              <w:jc w:val="center"/>
              <w:ind w:left="22"/>
              <w:spacing w:after="0"/>
              <w:rPr>
                <w:sz w:val="20"/>
                <w:szCs w:val="20"/>
                <w:color w:val="auto"/>
              </w:rPr>
            </w:pPr>
            <w:r>
              <w:rPr>
                <w:rFonts w:ascii="Arial" w:cs="Arial" w:eastAsia="Arial" w:hAnsi="Arial"/>
                <w:sz w:val="12"/>
                <w:szCs w:val="12"/>
                <w:color w:val="auto"/>
                <w:w w:val="98"/>
              </w:rPr>
              <w:t>12/19/19</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98"/>
              </w:rPr>
              <w:t>12/03/19</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18,200</w:t>
            </w: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76.53</w:t>
            </w:r>
          </w:p>
        </w:tc>
        <w:tc>
          <w:tcPr>
            <w:tcW w:w="780" w:type="dxa"/>
            <w:vAlign w:val="bottom"/>
          </w:tcPr>
          <w:p>
            <w:pPr>
              <w:jc w:val="right"/>
              <w:spacing w:after="0"/>
              <w:rPr>
                <w:sz w:val="20"/>
                <w:szCs w:val="20"/>
                <w:color w:val="auto"/>
              </w:rPr>
            </w:pPr>
            <w:r>
              <w:rPr>
                <w:rFonts w:ascii="Arial" w:cs="Arial" w:eastAsia="Arial" w:hAnsi="Arial"/>
                <w:sz w:val="12"/>
                <w:szCs w:val="12"/>
                <w:color w:val="auto"/>
              </w:rPr>
              <w:t>284,284</w:t>
            </w:r>
          </w:p>
        </w:tc>
      </w:tr>
      <w:tr>
        <w:trPr>
          <w:trHeight w:val="147"/>
        </w:trPr>
        <w:tc>
          <w:tcPr>
            <w:tcW w:w="2240" w:type="dxa"/>
            <w:vAlign w:val="bottom"/>
          </w:tcPr>
          <w:p>
            <w:pPr>
              <w:ind w:left="260"/>
              <w:spacing w:after="0"/>
              <w:rPr>
                <w:sz w:val="20"/>
                <w:szCs w:val="20"/>
                <w:color w:val="auto"/>
              </w:rPr>
            </w:pPr>
            <w:r>
              <w:rPr>
                <w:rFonts w:ascii="Arial" w:cs="Arial" w:eastAsia="Arial" w:hAnsi="Arial"/>
                <w:sz w:val="12"/>
                <w:szCs w:val="12"/>
                <w:color w:val="auto"/>
              </w:rPr>
              <w:t>Stock Options</w:t>
            </w:r>
          </w:p>
        </w:tc>
        <w:tc>
          <w:tcPr>
            <w:tcW w:w="700" w:type="dxa"/>
            <w:vAlign w:val="bottom"/>
          </w:tcPr>
          <w:p>
            <w:pPr>
              <w:jc w:val="center"/>
              <w:ind w:left="22"/>
              <w:spacing w:after="0"/>
              <w:rPr>
                <w:sz w:val="20"/>
                <w:szCs w:val="20"/>
                <w:color w:val="auto"/>
              </w:rPr>
            </w:pPr>
            <w:r>
              <w:rPr>
                <w:rFonts w:ascii="Arial" w:cs="Arial" w:eastAsia="Arial" w:hAnsi="Arial"/>
                <w:sz w:val="12"/>
                <w:szCs w:val="12"/>
                <w:color w:val="auto"/>
                <w:w w:val="98"/>
              </w:rPr>
              <w:t>05/19/20</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98"/>
              </w:rPr>
              <w:t>05/19/20</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25,300</w:t>
            </w: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65.77</w:t>
            </w:r>
          </w:p>
        </w:tc>
        <w:tc>
          <w:tcPr>
            <w:tcW w:w="780" w:type="dxa"/>
            <w:vAlign w:val="bottom"/>
          </w:tcPr>
          <w:p>
            <w:pPr>
              <w:jc w:val="right"/>
              <w:spacing w:after="0"/>
              <w:rPr>
                <w:sz w:val="20"/>
                <w:szCs w:val="20"/>
                <w:color w:val="auto"/>
              </w:rPr>
            </w:pPr>
            <w:r>
              <w:rPr>
                <w:rFonts w:ascii="Arial" w:cs="Arial" w:eastAsia="Arial" w:hAnsi="Arial"/>
                <w:sz w:val="12"/>
                <w:szCs w:val="12"/>
                <w:color w:val="auto"/>
              </w:rPr>
              <w:t>320,045</w:t>
            </w:r>
          </w:p>
        </w:tc>
      </w:tr>
      <w:tr>
        <w:trPr>
          <w:trHeight w:val="140"/>
        </w:trPr>
        <w:tc>
          <w:tcPr>
            <w:tcW w:w="2240" w:type="dxa"/>
            <w:vAlign w:val="bottom"/>
          </w:tcPr>
          <w:p>
            <w:pPr>
              <w:ind w:left="260"/>
              <w:spacing w:after="0"/>
              <w:rPr>
                <w:sz w:val="20"/>
                <w:szCs w:val="20"/>
                <w:color w:val="auto"/>
              </w:rPr>
            </w:pPr>
            <w:r>
              <w:rPr>
                <w:rFonts w:ascii="Arial" w:cs="Arial" w:eastAsia="Arial" w:hAnsi="Arial"/>
                <w:sz w:val="12"/>
                <w:szCs w:val="12"/>
                <w:color w:val="auto"/>
              </w:rPr>
              <w:t>Restricted Stock Units</w:t>
            </w:r>
          </w:p>
        </w:tc>
        <w:tc>
          <w:tcPr>
            <w:tcW w:w="700" w:type="dxa"/>
            <w:vAlign w:val="bottom"/>
          </w:tcPr>
          <w:p>
            <w:pPr>
              <w:jc w:val="center"/>
              <w:ind w:left="22"/>
              <w:spacing w:after="0"/>
              <w:rPr>
                <w:sz w:val="20"/>
                <w:szCs w:val="20"/>
                <w:color w:val="auto"/>
              </w:rPr>
            </w:pPr>
            <w:r>
              <w:rPr>
                <w:rFonts w:ascii="Arial" w:cs="Arial" w:eastAsia="Arial" w:hAnsi="Arial"/>
                <w:sz w:val="12"/>
                <w:szCs w:val="12"/>
                <w:color w:val="auto"/>
                <w:w w:val="98"/>
              </w:rPr>
              <w:t>05/19/20</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98"/>
              </w:rPr>
              <w:t>05/19/20</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jc w:val="right"/>
              <w:ind w:right="23"/>
              <w:spacing w:after="0"/>
              <w:rPr>
                <w:sz w:val="20"/>
                <w:szCs w:val="20"/>
                <w:color w:val="auto"/>
              </w:rPr>
            </w:pPr>
            <w:r>
              <w:rPr>
                <w:rFonts w:ascii="Arial" w:cs="Arial" w:eastAsia="Arial" w:hAnsi="Arial"/>
                <w:sz w:val="12"/>
                <w:szCs w:val="12"/>
                <w:color w:val="auto"/>
              </w:rPr>
              <w:t>1,600</w:t>
            </w: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105,232</w:t>
            </w:r>
          </w:p>
        </w:tc>
      </w:tr>
      <w:tr>
        <w:trPr>
          <w:trHeight w:val="147"/>
        </w:trPr>
        <w:tc>
          <w:tcPr>
            <w:tcW w:w="2240" w:type="dxa"/>
            <w:vAlign w:val="bottom"/>
            <w:shd w:val="clear" w:color="auto" w:fill="D9D9D9"/>
          </w:tcPr>
          <w:p>
            <w:pPr>
              <w:spacing w:after="0"/>
              <w:rPr>
                <w:sz w:val="20"/>
                <w:szCs w:val="20"/>
                <w:color w:val="auto"/>
              </w:rPr>
            </w:pPr>
            <w:r>
              <w:rPr>
                <w:rFonts w:ascii="Arial" w:cs="Arial" w:eastAsia="Arial" w:hAnsi="Arial"/>
                <w:sz w:val="12"/>
                <w:szCs w:val="12"/>
                <w:color w:val="auto"/>
              </w:rPr>
              <w:t>Bradley A. Hamilton</w:t>
            </w:r>
          </w:p>
        </w:tc>
        <w:tc>
          <w:tcPr>
            <w:tcW w:w="70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76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64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780" w:type="dxa"/>
            <w:vAlign w:val="bottom"/>
            <w:shd w:val="clear" w:color="auto" w:fill="D9D9D9"/>
          </w:tcPr>
          <w:p>
            <w:pPr>
              <w:spacing w:after="0"/>
              <w:rPr>
                <w:sz w:val="12"/>
                <w:szCs w:val="12"/>
                <w:color w:val="auto"/>
              </w:rPr>
            </w:pPr>
          </w:p>
        </w:tc>
      </w:tr>
      <w:tr>
        <w:trPr>
          <w:trHeight w:val="147"/>
        </w:trPr>
        <w:tc>
          <w:tcPr>
            <w:tcW w:w="2240" w:type="dxa"/>
            <w:vAlign w:val="bottom"/>
            <w:shd w:val="clear" w:color="auto" w:fill="D9D9D9"/>
          </w:tcPr>
          <w:p>
            <w:pPr>
              <w:ind w:left="260"/>
              <w:spacing w:after="0"/>
              <w:rPr>
                <w:sz w:val="20"/>
                <w:szCs w:val="20"/>
                <w:color w:val="auto"/>
              </w:rPr>
            </w:pPr>
            <w:r>
              <w:rPr>
                <w:rFonts w:ascii="Arial" w:cs="Arial" w:eastAsia="Arial" w:hAnsi="Arial"/>
                <w:sz w:val="12"/>
                <w:szCs w:val="12"/>
                <w:color w:val="auto"/>
              </w:rPr>
              <w:t>Annual Cash Incentive</w:t>
            </w:r>
          </w:p>
        </w:tc>
        <w:tc>
          <w:tcPr>
            <w:tcW w:w="700" w:type="dxa"/>
            <w:vAlign w:val="bottom"/>
            <w:shd w:val="clear" w:color="auto" w:fill="D9D9D9"/>
          </w:tcPr>
          <w:p>
            <w:pPr>
              <w:jc w:val="center"/>
              <w:ind w:left="22"/>
              <w:spacing w:after="0"/>
              <w:rPr>
                <w:sz w:val="20"/>
                <w:szCs w:val="20"/>
                <w:color w:val="auto"/>
              </w:rPr>
            </w:pPr>
            <w:r>
              <w:rPr>
                <w:rFonts w:ascii="Arial" w:cs="Arial" w:eastAsia="Arial" w:hAnsi="Arial"/>
                <w:sz w:val="12"/>
                <w:szCs w:val="12"/>
                <w:color w:val="auto"/>
                <w:w w:val="82"/>
              </w:rPr>
              <w:t>—</w:t>
            </w:r>
          </w:p>
        </w:tc>
        <w:tc>
          <w:tcPr>
            <w:tcW w:w="720" w:type="dxa"/>
            <w:vAlign w:val="bottom"/>
            <w:shd w:val="clear" w:color="auto" w:fill="D9D9D9"/>
          </w:tcPr>
          <w:p>
            <w:pPr>
              <w:jc w:val="center"/>
              <w:spacing w:after="0"/>
              <w:rPr>
                <w:sz w:val="20"/>
                <w:szCs w:val="20"/>
                <w:color w:val="auto"/>
              </w:rPr>
            </w:pPr>
            <w:r>
              <w:rPr>
                <w:rFonts w:ascii="Arial" w:cs="Arial" w:eastAsia="Arial" w:hAnsi="Arial"/>
                <w:sz w:val="12"/>
                <w:szCs w:val="12"/>
                <w:color w:val="auto"/>
                <w:w w:val="99"/>
              </w:rPr>
              <w:t>—</w:t>
            </w:r>
          </w:p>
        </w:tc>
        <w:tc>
          <w:tcPr>
            <w:tcW w:w="76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90,720</w:t>
            </w:r>
          </w:p>
        </w:tc>
        <w:tc>
          <w:tcPr>
            <w:tcW w:w="7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226,800</w:t>
            </w:r>
          </w:p>
        </w:tc>
        <w:tc>
          <w:tcPr>
            <w:tcW w:w="64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453,600</w:t>
            </w:r>
          </w:p>
        </w:tc>
        <w:tc>
          <w:tcPr>
            <w:tcW w:w="70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780" w:type="dxa"/>
            <w:vAlign w:val="bottom"/>
            <w:shd w:val="clear" w:color="auto" w:fill="D9D9D9"/>
          </w:tcPr>
          <w:p>
            <w:pPr>
              <w:spacing w:after="0"/>
              <w:rPr>
                <w:sz w:val="12"/>
                <w:szCs w:val="12"/>
                <w:color w:val="auto"/>
              </w:rPr>
            </w:pPr>
          </w:p>
        </w:tc>
      </w:tr>
      <w:tr>
        <w:trPr>
          <w:trHeight w:val="147"/>
        </w:trPr>
        <w:tc>
          <w:tcPr>
            <w:tcW w:w="2240" w:type="dxa"/>
            <w:vAlign w:val="bottom"/>
            <w:shd w:val="clear" w:color="auto" w:fill="D9D9D9"/>
          </w:tcPr>
          <w:p>
            <w:pPr>
              <w:ind w:left="260"/>
              <w:spacing w:after="0"/>
              <w:rPr>
                <w:sz w:val="20"/>
                <w:szCs w:val="20"/>
                <w:color w:val="auto"/>
              </w:rPr>
            </w:pPr>
            <w:r>
              <w:rPr>
                <w:rFonts w:ascii="Arial" w:cs="Arial" w:eastAsia="Arial" w:hAnsi="Arial"/>
                <w:sz w:val="12"/>
                <w:szCs w:val="12"/>
                <w:color w:val="auto"/>
              </w:rPr>
              <w:t>Performance Shares</w:t>
            </w:r>
          </w:p>
        </w:tc>
        <w:tc>
          <w:tcPr>
            <w:tcW w:w="700" w:type="dxa"/>
            <w:vAlign w:val="bottom"/>
            <w:shd w:val="clear" w:color="auto" w:fill="D9D9D9"/>
          </w:tcPr>
          <w:p>
            <w:pPr>
              <w:jc w:val="center"/>
              <w:ind w:left="22"/>
              <w:spacing w:after="0"/>
              <w:rPr>
                <w:sz w:val="20"/>
                <w:szCs w:val="20"/>
                <w:color w:val="auto"/>
              </w:rPr>
            </w:pPr>
            <w:r>
              <w:rPr>
                <w:rFonts w:ascii="Arial" w:cs="Arial" w:eastAsia="Arial" w:hAnsi="Arial"/>
                <w:sz w:val="12"/>
                <w:szCs w:val="12"/>
                <w:color w:val="auto"/>
                <w:w w:val="98"/>
              </w:rPr>
              <w:t>12/03/19</w:t>
            </w:r>
          </w:p>
        </w:tc>
        <w:tc>
          <w:tcPr>
            <w:tcW w:w="72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8"/>
              </w:rPr>
              <w:t>12/03/19</w:t>
            </w:r>
          </w:p>
        </w:tc>
        <w:tc>
          <w:tcPr>
            <w:tcW w:w="76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640" w:type="dxa"/>
            <w:vAlign w:val="bottom"/>
            <w:shd w:val="clear" w:color="auto" w:fill="D9D9D9"/>
          </w:tcPr>
          <w:p>
            <w:pPr>
              <w:spacing w:after="0"/>
              <w:rPr>
                <w:sz w:val="12"/>
                <w:szCs w:val="12"/>
                <w:color w:val="auto"/>
              </w:rPr>
            </w:pPr>
          </w:p>
        </w:tc>
        <w:tc>
          <w:tcPr>
            <w:tcW w:w="70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1,800</w:t>
            </w:r>
          </w:p>
        </w:tc>
        <w:tc>
          <w:tcPr>
            <w:tcW w:w="700" w:type="dxa"/>
            <w:vAlign w:val="bottom"/>
            <w:shd w:val="clear" w:color="auto" w:fill="D9D9D9"/>
          </w:tcPr>
          <w:p>
            <w:pPr>
              <w:jc w:val="right"/>
              <w:ind w:right="3"/>
              <w:spacing w:after="0"/>
              <w:rPr>
                <w:sz w:val="20"/>
                <w:szCs w:val="20"/>
                <w:color w:val="auto"/>
              </w:rPr>
            </w:pPr>
            <w:r>
              <w:rPr>
                <w:rFonts w:ascii="Arial" w:cs="Arial" w:eastAsia="Arial" w:hAnsi="Arial"/>
                <w:sz w:val="12"/>
                <w:szCs w:val="12"/>
                <w:color w:val="auto"/>
              </w:rPr>
              <w:t>4,500</w:t>
            </w:r>
          </w:p>
        </w:tc>
        <w:tc>
          <w:tcPr>
            <w:tcW w:w="72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9,000</w:t>
            </w:r>
          </w:p>
        </w:tc>
        <w:tc>
          <w:tcPr>
            <w:tcW w:w="84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2"/>
                <w:szCs w:val="12"/>
                <w:color w:val="auto"/>
              </w:rPr>
              <w:t>347,985</w:t>
            </w:r>
          </w:p>
        </w:tc>
      </w:tr>
      <w:tr>
        <w:trPr>
          <w:trHeight w:val="147"/>
        </w:trPr>
        <w:tc>
          <w:tcPr>
            <w:tcW w:w="2240" w:type="dxa"/>
            <w:vAlign w:val="bottom"/>
            <w:shd w:val="clear" w:color="auto" w:fill="D9D9D9"/>
          </w:tcPr>
          <w:p>
            <w:pPr>
              <w:ind w:left="260"/>
              <w:spacing w:after="0"/>
              <w:rPr>
                <w:sz w:val="20"/>
                <w:szCs w:val="20"/>
                <w:color w:val="auto"/>
              </w:rPr>
            </w:pPr>
            <w:r>
              <w:rPr>
                <w:rFonts w:ascii="Arial" w:cs="Arial" w:eastAsia="Arial" w:hAnsi="Arial"/>
                <w:sz w:val="12"/>
                <w:szCs w:val="12"/>
                <w:color w:val="auto"/>
              </w:rPr>
              <w:t>Stock Options</w:t>
            </w:r>
          </w:p>
        </w:tc>
        <w:tc>
          <w:tcPr>
            <w:tcW w:w="700" w:type="dxa"/>
            <w:vAlign w:val="bottom"/>
            <w:shd w:val="clear" w:color="auto" w:fill="D9D9D9"/>
          </w:tcPr>
          <w:p>
            <w:pPr>
              <w:jc w:val="center"/>
              <w:ind w:left="22"/>
              <w:spacing w:after="0"/>
              <w:rPr>
                <w:sz w:val="20"/>
                <w:szCs w:val="20"/>
                <w:color w:val="auto"/>
              </w:rPr>
            </w:pPr>
            <w:r>
              <w:rPr>
                <w:rFonts w:ascii="Arial" w:cs="Arial" w:eastAsia="Arial" w:hAnsi="Arial"/>
                <w:sz w:val="12"/>
                <w:szCs w:val="12"/>
                <w:color w:val="auto"/>
                <w:w w:val="98"/>
              </w:rPr>
              <w:t>12/19/19</w:t>
            </w:r>
          </w:p>
        </w:tc>
        <w:tc>
          <w:tcPr>
            <w:tcW w:w="72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8"/>
              </w:rPr>
              <w:t>12/03/19</w:t>
            </w:r>
          </w:p>
        </w:tc>
        <w:tc>
          <w:tcPr>
            <w:tcW w:w="76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64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86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22,600</w:t>
            </w:r>
          </w:p>
        </w:tc>
        <w:tc>
          <w:tcPr>
            <w:tcW w:w="86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76.53</w:t>
            </w:r>
          </w:p>
        </w:tc>
        <w:tc>
          <w:tcPr>
            <w:tcW w:w="780" w:type="dxa"/>
            <w:vAlign w:val="bottom"/>
            <w:shd w:val="clear" w:color="auto" w:fill="D9D9D9"/>
          </w:tcPr>
          <w:p>
            <w:pPr>
              <w:jc w:val="right"/>
              <w:spacing w:after="0"/>
              <w:rPr>
                <w:sz w:val="20"/>
                <w:szCs w:val="20"/>
                <w:color w:val="auto"/>
              </w:rPr>
            </w:pPr>
            <w:r>
              <w:rPr>
                <w:rFonts w:ascii="Arial" w:cs="Arial" w:eastAsia="Arial" w:hAnsi="Arial"/>
                <w:sz w:val="12"/>
                <w:szCs w:val="12"/>
                <w:color w:val="auto"/>
              </w:rPr>
              <w:t>353,012</w:t>
            </w:r>
          </w:p>
        </w:tc>
      </w:tr>
      <w:tr>
        <w:trPr>
          <w:trHeight w:val="155"/>
        </w:trPr>
        <w:tc>
          <w:tcPr>
            <w:tcW w:w="2240" w:type="dxa"/>
            <w:vAlign w:val="bottom"/>
          </w:tcPr>
          <w:p>
            <w:pPr>
              <w:spacing w:after="0"/>
              <w:rPr>
                <w:sz w:val="20"/>
                <w:szCs w:val="20"/>
                <w:color w:val="auto"/>
              </w:rPr>
            </w:pPr>
            <w:r>
              <w:rPr>
                <w:rFonts w:ascii="Arial" w:cs="Arial" w:eastAsia="Arial" w:hAnsi="Arial"/>
                <w:sz w:val="12"/>
                <w:szCs w:val="12"/>
                <w:color w:val="auto"/>
              </w:rPr>
              <w:t>Amy E. Dahl</w:t>
            </w: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7"/>
        </w:trPr>
        <w:tc>
          <w:tcPr>
            <w:tcW w:w="2240" w:type="dxa"/>
            <w:vAlign w:val="bottom"/>
          </w:tcPr>
          <w:p>
            <w:pPr>
              <w:ind w:left="260"/>
              <w:spacing w:after="0"/>
              <w:rPr>
                <w:sz w:val="20"/>
                <w:szCs w:val="20"/>
                <w:color w:val="auto"/>
              </w:rPr>
            </w:pPr>
            <w:r>
              <w:rPr>
                <w:rFonts w:ascii="Arial" w:cs="Arial" w:eastAsia="Arial" w:hAnsi="Arial"/>
                <w:sz w:val="12"/>
                <w:szCs w:val="12"/>
                <w:color w:val="auto"/>
              </w:rPr>
              <w:t>Annual Cash Incentive</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100,440</w:t>
            </w: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251,100</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502,200</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7"/>
        </w:trPr>
        <w:tc>
          <w:tcPr>
            <w:tcW w:w="2240" w:type="dxa"/>
            <w:vAlign w:val="bottom"/>
          </w:tcPr>
          <w:p>
            <w:pPr>
              <w:ind w:left="260"/>
              <w:spacing w:after="0"/>
              <w:rPr>
                <w:sz w:val="20"/>
                <w:szCs w:val="20"/>
                <w:color w:val="auto"/>
              </w:rPr>
            </w:pPr>
            <w:r>
              <w:rPr>
                <w:rFonts w:ascii="Arial" w:cs="Arial" w:eastAsia="Arial" w:hAnsi="Arial"/>
                <w:sz w:val="12"/>
                <w:szCs w:val="12"/>
                <w:color w:val="auto"/>
              </w:rPr>
              <w:t>Performance Shares</w:t>
            </w:r>
          </w:p>
        </w:tc>
        <w:tc>
          <w:tcPr>
            <w:tcW w:w="700" w:type="dxa"/>
            <w:vAlign w:val="bottom"/>
          </w:tcPr>
          <w:p>
            <w:pPr>
              <w:jc w:val="center"/>
              <w:ind w:left="22"/>
              <w:spacing w:after="0"/>
              <w:rPr>
                <w:sz w:val="20"/>
                <w:szCs w:val="20"/>
                <w:color w:val="auto"/>
              </w:rPr>
            </w:pPr>
            <w:r>
              <w:rPr>
                <w:rFonts w:ascii="Arial" w:cs="Arial" w:eastAsia="Arial" w:hAnsi="Arial"/>
                <w:sz w:val="12"/>
                <w:szCs w:val="12"/>
                <w:color w:val="auto"/>
                <w:w w:val="98"/>
              </w:rPr>
              <w:t>12/03/19</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98"/>
              </w:rPr>
              <w:t>12/03/19</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1,640</w:t>
            </w:r>
          </w:p>
        </w:tc>
        <w:tc>
          <w:tcPr>
            <w:tcW w:w="700" w:type="dxa"/>
            <w:vAlign w:val="bottom"/>
          </w:tcPr>
          <w:p>
            <w:pPr>
              <w:jc w:val="right"/>
              <w:ind w:right="3"/>
              <w:spacing w:after="0"/>
              <w:rPr>
                <w:sz w:val="20"/>
                <w:szCs w:val="20"/>
                <w:color w:val="auto"/>
              </w:rPr>
            </w:pPr>
            <w:r>
              <w:rPr>
                <w:rFonts w:ascii="Arial" w:cs="Arial" w:eastAsia="Arial" w:hAnsi="Arial"/>
                <w:sz w:val="12"/>
                <w:szCs w:val="12"/>
                <w:color w:val="auto"/>
              </w:rPr>
              <w:t>4,100</w:t>
            </w:r>
          </w:p>
        </w:tc>
        <w:tc>
          <w:tcPr>
            <w:tcW w:w="720" w:type="dxa"/>
            <w:vAlign w:val="bottom"/>
          </w:tcPr>
          <w:p>
            <w:pPr>
              <w:jc w:val="right"/>
              <w:ind w:right="42"/>
              <w:spacing w:after="0"/>
              <w:rPr>
                <w:sz w:val="20"/>
                <w:szCs w:val="20"/>
                <w:color w:val="auto"/>
              </w:rPr>
            </w:pPr>
            <w:r>
              <w:rPr>
                <w:rFonts w:ascii="Arial" w:cs="Arial" w:eastAsia="Arial" w:hAnsi="Arial"/>
                <w:sz w:val="12"/>
                <w:szCs w:val="12"/>
                <w:color w:val="auto"/>
              </w:rPr>
              <w:t>8,200</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317,053</w:t>
            </w:r>
          </w:p>
        </w:tc>
      </w:tr>
      <w:tr>
        <w:trPr>
          <w:trHeight w:val="147"/>
        </w:trPr>
        <w:tc>
          <w:tcPr>
            <w:tcW w:w="2240" w:type="dxa"/>
            <w:vAlign w:val="bottom"/>
          </w:tcPr>
          <w:p>
            <w:pPr>
              <w:ind w:left="260"/>
              <w:spacing w:after="0"/>
              <w:rPr>
                <w:sz w:val="20"/>
                <w:szCs w:val="20"/>
                <w:color w:val="auto"/>
              </w:rPr>
            </w:pPr>
            <w:r>
              <w:rPr>
                <w:rFonts w:ascii="Arial" w:cs="Arial" w:eastAsia="Arial" w:hAnsi="Arial"/>
                <w:sz w:val="12"/>
                <w:szCs w:val="12"/>
                <w:color w:val="auto"/>
              </w:rPr>
              <w:t>Stock Options</w:t>
            </w:r>
          </w:p>
        </w:tc>
        <w:tc>
          <w:tcPr>
            <w:tcW w:w="700" w:type="dxa"/>
            <w:vAlign w:val="bottom"/>
          </w:tcPr>
          <w:p>
            <w:pPr>
              <w:jc w:val="center"/>
              <w:ind w:left="22"/>
              <w:spacing w:after="0"/>
              <w:rPr>
                <w:sz w:val="20"/>
                <w:szCs w:val="20"/>
                <w:color w:val="auto"/>
              </w:rPr>
            </w:pPr>
            <w:r>
              <w:rPr>
                <w:rFonts w:ascii="Arial" w:cs="Arial" w:eastAsia="Arial" w:hAnsi="Arial"/>
                <w:sz w:val="12"/>
                <w:szCs w:val="12"/>
                <w:color w:val="auto"/>
                <w:w w:val="98"/>
              </w:rPr>
              <w:t>12/19/19</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98"/>
              </w:rPr>
              <w:t>12/03/19</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20,800</w:t>
            </w: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76.53</w:t>
            </w:r>
          </w:p>
        </w:tc>
        <w:tc>
          <w:tcPr>
            <w:tcW w:w="780" w:type="dxa"/>
            <w:vAlign w:val="bottom"/>
          </w:tcPr>
          <w:p>
            <w:pPr>
              <w:jc w:val="right"/>
              <w:spacing w:after="0"/>
              <w:rPr>
                <w:sz w:val="20"/>
                <w:szCs w:val="20"/>
                <w:color w:val="auto"/>
              </w:rPr>
            </w:pPr>
            <w:r>
              <w:rPr>
                <w:rFonts w:ascii="Arial" w:cs="Arial" w:eastAsia="Arial" w:hAnsi="Arial"/>
                <w:sz w:val="12"/>
                <w:szCs w:val="12"/>
                <w:color w:val="auto"/>
              </w:rPr>
              <w:t>324,896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-2515235</wp:posOffset>
            </wp:positionV>
            <wp:extent cx="26047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0477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293370</wp:posOffset>
            </wp:positionV>
            <wp:extent cx="203454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400" w:right="80" w:hanging="393"/>
        <w:spacing w:after="0" w:line="234" w:lineRule="auto"/>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reported represent the range of payouts of annual cash incentive awards for fiscal 2020. Actual payouts for fiscal 2020 are included in the “Summary Compensation Table” beginning on page 44 in the “Non-Equity Incentive Plan Compensation” column. Effective May 1, 2020, the base salary of each named executive officer was reduced, resulting in a corresponding reduction in such officer’s applicable target annual cash incentive. In connection with his expanded responsibilities, Mr. Rodier was granted a new annual cash incentive award on May 16, 2020 and, as such, the table reflects his annual cash incentive award that was in place from November 1, 2019 through May 15, 2020 and from May 16, 2020 through October 31, 2020. Information regarding the fiscal 2020 base salary reductions, corresponding reductions to the fiscal 2020 annual cash incentive awards and the additional fiscal 2020 compensation changes for Mr. Rodier are set forth within the “Compensation Discussion and Analysis” section beginning on page 28.</w:t>
      </w:r>
    </w:p>
    <w:p>
      <w:pPr>
        <w:spacing w:after="0" w:line="47" w:lineRule="exact"/>
        <w:rPr>
          <w:rFonts w:ascii="Arial" w:cs="Arial" w:eastAsia="Arial" w:hAnsi="Arial"/>
          <w:sz w:val="18"/>
          <w:szCs w:val="18"/>
          <w:color w:val="auto"/>
        </w:rPr>
      </w:pPr>
    </w:p>
    <w:p>
      <w:pPr>
        <w:ind w:left="400" w:right="220" w:hanging="393"/>
        <w:spacing w:after="0" w:line="238" w:lineRule="auto"/>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reported represent the range of performance share award payouts for the fiscal 2020 to fiscal 2022 performance period. Information regarding the performance share awards is set forth within the “Compensation Discussion and Analysis” under “Long-Term Incentives—Performance Share Awards” beginning on page 39.</w:t>
      </w:r>
    </w:p>
    <w:p>
      <w:pPr>
        <w:spacing w:after="0" w:line="41" w:lineRule="exact"/>
        <w:rPr>
          <w:rFonts w:ascii="Arial" w:cs="Arial" w:eastAsia="Arial" w:hAnsi="Arial"/>
          <w:sz w:val="18"/>
          <w:szCs w:val="18"/>
          <w:color w:val="auto"/>
        </w:rPr>
      </w:pPr>
    </w:p>
    <w:p>
      <w:pPr>
        <w:ind w:left="400" w:hanging="393"/>
        <w:spacing w:after="0"/>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 reported represents restricted stock units, with three-year ratable vesting, granted to Mr. Rodier on May 19, 2020.</w:t>
      </w:r>
    </w:p>
    <w:p>
      <w:pPr>
        <w:spacing w:after="0" w:line="47" w:lineRule="exact"/>
        <w:rPr>
          <w:rFonts w:ascii="Arial" w:cs="Arial" w:eastAsia="Arial" w:hAnsi="Arial"/>
          <w:sz w:val="18"/>
          <w:szCs w:val="18"/>
          <w:color w:val="auto"/>
        </w:rPr>
      </w:pPr>
    </w:p>
    <w:p>
      <w:pPr>
        <w:ind w:left="400" w:right="200" w:hanging="393"/>
        <w:spacing w:after="0" w:line="236" w:lineRule="auto"/>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reported represent stock options granted during fiscal 2020, which grant date was December 19, 2019. In addition, the table reflects options granted to Mr. Rodier on May 19, 2020. All of these options have a ten-year term and vest ratably in three equal installments on each of the first, second and third year anniversaries of the grant date. Additional information regarding stock options is set forth within the “Compensation Discussion and Analysis” under “Long-Term Incentives—Stock Options” on page 38.</w:t>
      </w:r>
    </w:p>
    <w:p>
      <w:pPr>
        <w:spacing w:after="0" w:line="43" w:lineRule="exact"/>
        <w:rPr>
          <w:rFonts w:ascii="Arial" w:cs="Arial" w:eastAsia="Arial" w:hAnsi="Arial"/>
          <w:sz w:val="18"/>
          <w:szCs w:val="18"/>
          <w:color w:val="auto"/>
        </w:rPr>
      </w:pPr>
    </w:p>
    <w:p>
      <w:pPr>
        <w:ind w:left="400" w:right="60" w:hanging="393"/>
        <w:spacing w:after="0"/>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reported represent the exercise price of stock options granted during fiscal 2020, which equals the closing price of our common stock, as reported on the NYSE, on December 19, 2019, and for Mr. Rodier’s additional grant, on May 19, 2020.</w:t>
      </w:r>
    </w:p>
    <w:p>
      <w:pPr>
        <w:spacing w:after="0" w:line="41" w:lineRule="exact"/>
        <w:rPr>
          <w:rFonts w:ascii="Arial" w:cs="Arial" w:eastAsia="Arial" w:hAnsi="Arial"/>
          <w:sz w:val="18"/>
          <w:szCs w:val="18"/>
          <w:color w:val="auto"/>
        </w:rPr>
      </w:pPr>
    </w:p>
    <w:p>
      <w:pPr>
        <w:ind w:left="400" w:right="200" w:hanging="393"/>
        <w:spacing w:after="0" w:line="236" w:lineRule="auto"/>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of performance share awards at target granted for the fiscal 2020 to fiscal 2022 performance period and option awards for all named executive officers and restricted stock units for Mr. Rodier, in each as computed in accordance with FASB ASC Topic 718. The grant date fair value of the performance share awards is based on the closing price of our common stock, as reported on the NYSE, on December 3, 2019, the grant date, of $77.33. The grant date fair value of the restricted stock units for Mr. Rodier is based on the closing price of our common stock, as reported on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47" w:lineRule="exact"/>
        <w:rPr>
          <w:sz w:val="20"/>
          <w:szCs w:val="20"/>
          <w:color w:val="auto"/>
        </w:rPr>
      </w:pPr>
    </w:p>
    <w:p>
      <w:pPr>
        <w:ind w:left="400"/>
        <w:spacing w:after="0" w:line="236" w:lineRule="auto"/>
        <w:rPr>
          <w:sz w:val="20"/>
          <w:szCs w:val="20"/>
          <w:color w:val="auto"/>
        </w:rPr>
      </w:pPr>
      <w:r>
        <w:rPr>
          <w:rFonts w:ascii="Arial" w:cs="Arial" w:eastAsia="Arial" w:hAnsi="Arial"/>
          <w:sz w:val="18"/>
          <w:szCs w:val="18"/>
          <w:color w:val="auto"/>
        </w:rPr>
        <w:t>NYSE, on May 19, 2020, the grant date, of $65.77. These amounts are also set forth in the “Summary Compensation Table” beginning on page 44 in the “Stock Awards” column. The grant date fair value of the option awards is based on a Black-Scholes model valuation of $15.62 per share for options granted on December 19, 2019 and $12.65 per share for options granted on May 19, 2020. The specific assumptions used in the valuation of the options are included in footnote 3 to the “Summary Compensation Table.” The option amounts are also set forth in the “Summary Compensation Table” beginning on page 44 in the “Option Awards” column.</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Outstanding Equity Awards at Fiscal Year-End for 2020</w:t>
      </w:r>
    </w:p>
    <w:p>
      <w:pPr>
        <w:spacing w:after="0" w:line="118" w:lineRule="exact"/>
        <w:rPr>
          <w:sz w:val="20"/>
          <w:szCs w:val="20"/>
          <w:color w:val="auto"/>
        </w:rPr>
      </w:pPr>
    </w:p>
    <w:p>
      <w:pPr>
        <w:ind w:right="80" w:firstLine="401"/>
        <w:spacing w:after="0" w:line="238" w:lineRule="auto"/>
        <w:rPr>
          <w:sz w:val="20"/>
          <w:szCs w:val="20"/>
          <w:color w:val="auto"/>
        </w:rPr>
      </w:pPr>
      <w:r>
        <w:rPr>
          <w:rFonts w:ascii="Arial" w:cs="Arial" w:eastAsia="Arial" w:hAnsi="Arial"/>
          <w:sz w:val="18"/>
          <w:szCs w:val="18"/>
          <w:color w:val="auto"/>
        </w:rPr>
        <w:t>The following table summarizes all outstanding equity awards previously granted to our named executive officers that were outstanding on October 31, 2020, the last day of fiscal 2020. Specifically, it reflects exercisable and unexercisable stock options, unvested restricted stock unit awards and unvested performance share awards.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380" w:type="dxa"/>
            <w:vAlign w:val="bottom"/>
            <w:shd w:val="clear" w:color="auto" w:fill="C00000"/>
          </w:tcPr>
          <w:p>
            <w:pPr>
              <w:spacing w:after="0"/>
              <w:rPr>
                <w:sz w:val="18"/>
                <w:szCs w:val="18"/>
                <w:color w:val="auto"/>
              </w:rPr>
            </w:pPr>
          </w:p>
        </w:tc>
        <w:tc>
          <w:tcPr>
            <w:tcW w:w="1020" w:type="dxa"/>
            <w:vAlign w:val="bottom"/>
            <w:shd w:val="clear" w:color="auto" w:fill="C00000"/>
          </w:tcPr>
          <w:p>
            <w:pPr>
              <w:spacing w:after="0"/>
              <w:rPr>
                <w:sz w:val="18"/>
                <w:szCs w:val="18"/>
                <w:color w:val="auto"/>
              </w:rPr>
            </w:pPr>
          </w:p>
        </w:tc>
        <w:tc>
          <w:tcPr>
            <w:tcW w:w="2040" w:type="dxa"/>
            <w:vAlign w:val="bottom"/>
            <w:gridSpan w:val="2"/>
            <w:shd w:val="clear" w:color="auto" w:fill="C00000"/>
          </w:tcPr>
          <w:p>
            <w:pPr>
              <w:jc w:val="right"/>
              <w:ind w:right="526"/>
              <w:spacing w:after="0"/>
              <w:rPr>
                <w:sz w:val="20"/>
                <w:szCs w:val="20"/>
                <w:color w:val="auto"/>
              </w:rPr>
            </w:pPr>
            <w:r>
              <w:rPr>
                <w:rFonts w:ascii="Arial" w:cs="Arial" w:eastAsia="Arial" w:hAnsi="Arial"/>
                <w:sz w:val="11"/>
                <w:szCs w:val="11"/>
                <w:b w:val="1"/>
                <w:bCs w:val="1"/>
                <w:color w:val="FFFFFF"/>
              </w:rPr>
              <w:t>Option Awards</w:t>
            </w:r>
          </w:p>
        </w:tc>
        <w:tc>
          <w:tcPr>
            <w:tcW w:w="1160" w:type="dxa"/>
            <w:vAlign w:val="bottom"/>
            <w:shd w:val="clear" w:color="auto" w:fill="C00000"/>
          </w:tcPr>
          <w:p>
            <w:pPr>
              <w:spacing w:after="0"/>
              <w:rPr>
                <w:sz w:val="18"/>
                <w:szCs w:val="18"/>
                <w:color w:val="auto"/>
              </w:rPr>
            </w:pPr>
          </w:p>
        </w:tc>
        <w:tc>
          <w:tcPr>
            <w:tcW w:w="900" w:type="dxa"/>
            <w:vAlign w:val="bottom"/>
            <w:shd w:val="clear" w:color="auto" w:fill="C00000"/>
          </w:tcPr>
          <w:p>
            <w:pPr>
              <w:spacing w:after="0"/>
              <w:rPr>
                <w:sz w:val="18"/>
                <w:szCs w:val="18"/>
                <w:color w:val="auto"/>
              </w:rPr>
            </w:pPr>
          </w:p>
        </w:tc>
        <w:tc>
          <w:tcPr>
            <w:tcW w:w="900" w:type="dxa"/>
            <w:vAlign w:val="bottom"/>
            <w:shd w:val="clear" w:color="auto" w:fill="C00000"/>
          </w:tcPr>
          <w:p>
            <w:pPr>
              <w:spacing w:after="0"/>
              <w:rPr>
                <w:sz w:val="18"/>
                <w:szCs w:val="18"/>
                <w:color w:val="auto"/>
              </w:rPr>
            </w:pPr>
          </w:p>
        </w:tc>
        <w:tc>
          <w:tcPr>
            <w:tcW w:w="1600" w:type="dxa"/>
            <w:vAlign w:val="bottom"/>
            <w:shd w:val="clear" w:color="auto" w:fill="C00000"/>
          </w:tcPr>
          <w:p>
            <w:pPr>
              <w:jc w:val="right"/>
              <w:ind w:right="686"/>
              <w:spacing w:after="0"/>
              <w:rPr>
                <w:sz w:val="20"/>
                <w:szCs w:val="20"/>
                <w:color w:val="auto"/>
              </w:rPr>
            </w:pPr>
            <w:r>
              <w:rPr>
                <w:rFonts w:ascii="Arial" w:cs="Arial" w:eastAsia="Arial" w:hAnsi="Arial"/>
                <w:sz w:val="11"/>
                <w:szCs w:val="11"/>
                <w:b w:val="1"/>
                <w:bCs w:val="1"/>
                <w:color w:val="FFFFFF"/>
              </w:rPr>
              <w:t>Stock Awards</w:t>
            </w:r>
          </w:p>
        </w:tc>
        <w:tc>
          <w:tcPr>
            <w:tcW w:w="1240" w:type="dxa"/>
            <w:vAlign w:val="bottom"/>
            <w:shd w:val="clear" w:color="auto" w:fill="C00000"/>
          </w:tcPr>
          <w:p>
            <w:pPr>
              <w:spacing w:after="0"/>
              <w:rPr>
                <w:sz w:val="18"/>
                <w:szCs w:val="18"/>
                <w:color w:val="auto"/>
              </w:rPr>
            </w:pPr>
          </w:p>
        </w:tc>
      </w:tr>
      <w:tr>
        <w:trPr>
          <w:trHeight w:val="132"/>
        </w:trPr>
        <w:tc>
          <w:tcPr>
            <w:tcW w:w="2380" w:type="dxa"/>
            <w:vAlign w:val="bottom"/>
            <w:shd w:val="clear" w:color="auto" w:fill="C00000"/>
          </w:tcPr>
          <w:p>
            <w:pPr>
              <w:spacing w:after="0"/>
              <w:rPr>
                <w:sz w:val="11"/>
                <w:szCs w:val="11"/>
                <w:color w:val="auto"/>
              </w:rPr>
            </w:pPr>
          </w:p>
        </w:tc>
        <w:tc>
          <w:tcPr>
            <w:tcW w:w="1020" w:type="dxa"/>
            <w:vAlign w:val="bottom"/>
            <w:shd w:val="clear" w:color="auto" w:fill="C00000"/>
          </w:tcPr>
          <w:p>
            <w:pPr>
              <w:spacing w:after="0"/>
              <w:rPr>
                <w:sz w:val="11"/>
                <w:szCs w:val="11"/>
                <w:color w:val="auto"/>
              </w:rPr>
            </w:pPr>
          </w:p>
        </w:tc>
        <w:tc>
          <w:tcPr>
            <w:tcW w:w="1020" w:type="dxa"/>
            <w:vAlign w:val="bottom"/>
            <w:shd w:val="clear" w:color="auto" w:fill="C00000"/>
          </w:tcPr>
          <w:p>
            <w:pPr>
              <w:spacing w:after="0"/>
              <w:rPr>
                <w:sz w:val="11"/>
                <w:szCs w:val="11"/>
                <w:color w:val="auto"/>
              </w:rPr>
            </w:pPr>
          </w:p>
        </w:tc>
        <w:tc>
          <w:tcPr>
            <w:tcW w:w="1020" w:type="dxa"/>
            <w:vAlign w:val="bottom"/>
            <w:shd w:val="clear" w:color="auto" w:fill="C00000"/>
          </w:tcPr>
          <w:p>
            <w:pPr>
              <w:spacing w:after="0"/>
              <w:rPr>
                <w:sz w:val="11"/>
                <w:szCs w:val="11"/>
                <w:color w:val="auto"/>
              </w:rPr>
            </w:pPr>
          </w:p>
        </w:tc>
        <w:tc>
          <w:tcPr>
            <w:tcW w:w="1160" w:type="dxa"/>
            <w:vAlign w:val="bottom"/>
            <w:shd w:val="clear" w:color="auto" w:fill="C00000"/>
          </w:tcPr>
          <w:p>
            <w:pPr>
              <w:spacing w:after="0"/>
              <w:rPr>
                <w:sz w:val="11"/>
                <w:szCs w:val="11"/>
                <w:color w:val="auto"/>
              </w:rPr>
            </w:pPr>
          </w:p>
        </w:tc>
        <w:tc>
          <w:tcPr>
            <w:tcW w:w="900" w:type="dxa"/>
            <w:vAlign w:val="bottom"/>
            <w:shd w:val="clear" w:color="auto" w:fill="C00000"/>
          </w:tcPr>
          <w:p>
            <w:pPr>
              <w:spacing w:after="0"/>
              <w:rPr>
                <w:sz w:val="11"/>
                <w:szCs w:val="11"/>
                <w:color w:val="auto"/>
              </w:rPr>
            </w:pPr>
          </w:p>
        </w:tc>
        <w:tc>
          <w:tcPr>
            <w:tcW w:w="900" w:type="dxa"/>
            <w:vAlign w:val="bottom"/>
            <w:shd w:val="clear" w:color="auto" w:fill="C00000"/>
          </w:tcPr>
          <w:p>
            <w:pPr>
              <w:spacing w:after="0"/>
              <w:rPr>
                <w:sz w:val="11"/>
                <w:szCs w:val="11"/>
                <w:color w:val="auto"/>
              </w:rPr>
            </w:pPr>
          </w:p>
        </w:tc>
        <w:tc>
          <w:tcPr>
            <w:tcW w:w="1600" w:type="dxa"/>
            <w:vAlign w:val="bottom"/>
            <w:shd w:val="clear" w:color="auto" w:fill="C00000"/>
          </w:tcPr>
          <w:p>
            <w:pPr>
              <w:spacing w:after="0"/>
              <w:rPr>
                <w:sz w:val="11"/>
                <w:szCs w:val="11"/>
                <w:color w:val="auto"/>
              </w:rPr>
            </w:pPr>
          </w:p>
        </w:tc>
        <w:tc>
          <w:tcPr>
            <w:tcW w:w="1240" w:type="dxa"/>
            <w:vAlign w:val="bottom"/>
            <w:shd w:val="clear" w:color="auto" w:fill="C00000"/>
          </w:tcPr>
          <w:p>
            <w:pPr>
              <w:jc w:val="center"/>
              <w:ind w:right="26"/>
              <w:spacing w:after="0"/>
              <w:rPr>
                <w:sz w:val="20"/>
                <w:szCs w:val="20"/>
                <w:color w:val="auto"/>
              </w:rPr>
            </w:pPr>
            <w:r>
              <w:rPr>
                <w:rFonts w:ascii="Arial" w:cs="Arial" w:eastAsia="Arial" w:hAnsi="Arial"/>
                <w:sz w:val="11"/>
                <w:szCs w:val="11"/>
                <w:b w:val="1"/>
                <w:bCs w:val="1"/>
                <w:color w:val="FFFFFF"/>
                <w:w w:val="95"/>
              </w:rPr>
              <w:t>Equity</w:t>
            </w:r>
          </w:p>
        </w:tc>
      </w:tr>
      <w:tr>
        <w:trPr>
          <w:trHeight w:val="121"/>
        </w:trPr>
        <w:tc>
          <w:tcPr>
            <w:tcW w:w="238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116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1600" w:type="dxa"/>
            <w:vAlign w:val="bottom"/>
            <w:shd w:val="clear" w:color="auto" w:fill="C00000"/>
          </w:tcPr>
          <w:p>
            <w:pPr>
              <w:jc w:val="center"/>
              <w:spacing w:after="0" w:line="121" w:lineRule="exact"/>
              <w:rPr>
                <w:sz w:val="20"/>
                <w:szCs w:val="20"/>
                <w:color w:val="auto"/>
              </w:rPr>
            </w:pPr>
            <w:r>
              <w:rPr>
                <w:rFonts w:ascii="Arial" w:cs="Arial" w:eastAsia="Arial" w:hAnsi="Arial"/>
                <w:sz w:val="11"/>
                <w:szCs w:val="11"/>
                <w:b w:val="1"/>
                <w:bCs w:val="1"/>
                <w:color w:val="FFFFFF"/>
                <w:w w:val="95"/>
              </w:rPr>
              <w:t>Equity</w:t>
            </w:r>
          </w:p>
        </w:tc>
        <w:tc>
          <w:tcPr>
            <w:tcW w:w="1240" w:type="dxa"/>
            <w:vAlign w:val="bottom"/>
            <w:shd w:val="clear" w:color="auto" w:fill="C00000"/>
          </w:tcPr>
          <w:p>
            <w:pPr>
              <w:jc w:val="center"/>
              <w:ind w:right="6"/>
              <w:spacing w:after="0" w:line="121" w:lineRule="exact"/>
              <w:rPr>
                <w:sz w:val="20"/>
                <w:szCs w:val="20"/>
                <w:color w:val="auto"/>
              </w:rPr>
            </w:pPr>
            <w:r>
              <w:rPr>
                <w:rFonts w:ascii="Arial" w:cs="Arial" w:eastAsia="Arial" w:hAnsi="Arial"/>
                <w:sz w:val="11"/>
                <w:szCs w:val="11"/>
                <w:b w:val="1"/>
                <w:bCs w:val="1"/>
                <w:color w:val="FFFFFF"/>
                <w:w w:val="96"/>
              </w:rPr>
              <w:t>Incentive</w:t>
            </w:r>
          </w:p>
        </w:tc>
      </w:tr>
      <w:tr>
        <w:trPr>
          <w:trHeight w:val="121"/>
        </w:trPr>
        <w:tc>
          <w:tcPr>
            <w:tcW w:w="238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116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1600" w:type="dxa"/>
            <w:vAlign w:val="bottom"/>
            <w:shd w:val="clear" w:color="auto" w:fill="C00000"/>
          </w:tcPr>
          <w:p>
            <w:pPr>
              <w:jc w:val="center"/>
              <w:ind w:right="6"/>
              <w:spacing w:after="0" w:line="121" w:lineRule="exact"/>
              <w:rPr>
                <w:sz w:val="20"/>
                <w:szCs w:val="20"/>
                <w:color w:val="auto"/>
              </w:rPr>
            </w:pPr>
            <w:r>
              <w:rPr>
                <w:rFonts w:ascii="Arial" w:cs="Arial" w:eastAsia="Arial" w:hAnsi="Arial"/>
                <w:sz w:val="11"/>
                <w:szCs w:val="11"/>
                <w:b w:val="1"/>
                <w:bCs w:val="1"/>
                <w:color w:val="FFFFFF"/>
                <w:w w:val="96"/>
              </w:rPr>
              <w:t>Incentive</w:t>
            </w:r>
          </w:p>
        </w:tc>
        <w:tc>
          <w:tcPr>
            <w:tcW w:w="1240" w:type="dxa"/>
            <w:vAlign w:val="bottom"/>
            <w:shd w:val="clear" w:color="auto" w:fill="C00000"/>
          </w:tcPr>
          <w:p>
            <w:pPr>
              <w:jc w:val="center"/>
              <w:ind w:right="26"/>
              <w:spacing w:after="0" w:line="121" w:lineRule="exact"/>
              <w:rPr>
                <w:sz w:val="20"/>
                <w:szCs w:val="20"/>
                <w:color w:val="auto"/>
              </w:rPr>
            </w:pPr>
            <w:r>
              <w:rPr>
                <w:rFonts w:ascii="Arial" w:cs="Arial" w:eastAsia="Arial" w:hAnsi="Arial"/>
                <w:sz w:val="11"/>
                <w:szCs w:val="11"/>
                <w:b w:val="1"/>
                <w:bCs w:val="1"/>
                <w:color w:val="FFFFFF"/>
                <w:w w:val="97"/>
              </w:rPr>
              <w:t>Plan Awards:</w:t>
            </w:r>
          </w:p>
        </w:tc>
      </w:tr>
      <w:tr>
        <w:trPr>
          <w:trHeight w:val="121"/>
        </w:trPr>
        <w:tc>
          <w:tcPr>
            <w:tcW w:w="238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116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900" w:type="dxa"/>
            <w:vAlign w:val="bottom"/>
            <w:shd w:val="clear" w:color="auto" w:fill="C00000"/>
          </w:tcPr>
          <w:p>
            <w:pPr>
              <w:jc w:val="center"/>
              <w:spacing w:after="0" w:line="121" w:lineRule="exact"/>
              <w:rPr>
                <w:sz w:val="20"/>
                <w:szCs w:val="20"/>
                <w:color w:val="auto"/>
              </w:rPr>
            </w:pPr>
            <w:r>
              <w:rPr>
                <w:rFonts w:ascii="Arial" w:cs="Arial" w:eastAsia="Arial" w:hAnsi="Arial"/>
                <w:sz w:val="11"/>
                <w:szCs w:val="11"/>
                <w:b w:val="1"/>
                <w:bCs w:val="1"/>
                <w:color w:val="FFFFFF"/>
                <w:w w:val="95"/>
              </w:rPr>
              <w:t>Market</w:t>
            </w:r>
          </w:p>
        </w:tc>
        <w:tc>
          <w:tcPr>
            <w:tcW w:w="1600" w:type="dxa"/>
            <w:vAlign w:val="bottom"/>
            <w:shd w:val="clear" w:color="auto" w:fill="C00000"/>
          </w:tcPr>
          <w:p>
            <w:pPr>
              <w:jc w:val="center"/>
              <w:spacing w:after="0" w:line="121" w:lineRule="exact"/>
              <w:rPr>
                <w:sz w:val="20"/>
                <w:szCs w:val="20"/>
                <w:color w:val="auto"/>
              </w:rPr>
            </w:pPr>
            <w:r>
              <w:rPr>
                <w:rFonts w:ascii="Arial" w:cs="Arial" w:eastAsia="Arial" w:hAnsi="Arial"/>
                <w:sz w:val="11"/>
                <w:szCs w:val="11"/>
                <w:b w:val="1"/>
                <w:bCs w:val="1"/>
                <w:color w:val="FFFFFF"/>
                <w:w w:val="97"/>
              </w:rPr>
              <w:t>Plan Awards:</w:t>
            </w:r>
          </w:p>
        </w:tc>
        <w:tc>
          <w:tcPr>
            <w:tcW w:w="1240" w:type="dxa"/>
            <w:vAlign w:val="bottom"/>
            <w:shd w:val="clear" w:color="auto" w:fill="C00000"/>
          </w:tcPr>
          <w:p>
            <w:pPr>
              <w:jc w:val="center"/>
              <w:ind w:right="26"/>
              <w:spacing w:after="0" w:line="121" w:lineRule="exact"/>
              <w:rPr>
                <w:sz w:val="20"/>
                <w:szCs w:val="20"/>
                <w:color w:val="auto"/>
              </w:rPr>
            </w:pPr>
            <w:r>
              <w:rPr>
                <w:rFonts w:ascii="Arial" w:cs="Arial" w:eastAsia="Arial" w:hAnsi="Arial"/>
                <w:sz w:val="11"/>
                <w:szCs w:val="11"/>
                <w:b w:val="1"/>
                <w:bCs w:val="1"/>
                <w:color w:val="FFFFFF"/>
                <w:w w:val="96"/>
              </w:rPr>
              <w:t>Market or</w:t>
            </w:r>
          </w:p>
        </w:tc>
      </w:tr>
      <w:tr>
        <w:trPr>
          <w:trHeight w:val="121"/>
        </w:trPr>
        <w:tc>
          <w:tcPr>
            <w:tcW w:w="2380" w:type="dxa"/>
            <w:vAlign w:val="bottom"/>
            <w:shd w:val="clear" w:color="auto" w:fill="C00000"/>
          </w:tcPr>
          <w:p>
            <w:pPr>
              <w:spacing w:after="0"/>
              <w:rPr>
                <w:sz w:val="10"/>
                <w:szCs w:val="10"/>
                <w:color w:val="auto"/>
              </w:rPr>
            </w:pPr>
          </w:p>
        </w:tc>
        <w:tc>
          <w:tcPr>
            <w:tcW w:w="1020" w:type="dxa"/>
            <w:vAlign w:val="bottom"/>
            <w:shd w:val="clear" w:color="auto" w:fill="C00000"/>
          </w:tcPr>
          <w:p>
            <w:pPr>
              <w:jc w:val="center"/>
              <w:ind w:left="66"/>
              <w:spacing w:after="0" w:line="121" w:lineRule="exact"/>
              <w:rPr>
                <w:sz w:val="20"/>
                <w:szCs w:val="20"/>
                <w:color w:val="auto"/>
              </w:rPr>
            </w:pPr>
            <w:r>
              <w:rPr>
                <w:rFonts w:ascii="Arial" w:cs="Arial" w:eastAsia="Arial" w:hAnsi="Arial"/>
                <w:sz w:val="11"/>
                <w:szCs w:val="11"/>
                <w:b w:val="1"/>
                <w:bCs w:val="1"/>
                <w:color w:val="FFFFFF"/>
                <w:w w:val="98"/>
              </w:rPr>
              <w:t>Number of</w:t>
            </w:r>
          </w:p>
        </w:tc>
        <w:tc>
          <w:tcPr>
            <w:tcW w:w="1020" w:type="dxa"/>
            <w:vAlign w:val="bottom"/>
            <w:shd w:val="clear" w:color="auto" w:fill="C00000"/>
          </w:tcPr>
          <w:p>
            <w:pPr>
              <w:jc w:val="center"/>
              <w:ind w:left="46"/>
              <w:spacing w:after="0" w:line="121" w:lineRule="exact"/>
              <w:rPr>
                <w:sz w:val="20"/>
                <w:szCs w:val="20"/>
                <w:color w:val="auto"/>
              </w:rPr>
            </w:pPr>
            <w:r>
              <w:rPr>
                <w:rFonts w:ascii="Arial" w:cs="Arial" w:eastAsia="Arial" w:hAnsi="Arial"/>
                <w:sz w:val="11"/>
                <w:szCs w:val="11"/>
                <w:b w:val="1"/>
                <w:bCs w:val="1"/>
                <w:color w:val="FFFFFF"/>
                <w:w w:val="94"/>
              </w:rPr>
              <w:t>Number of</w:t>
            </w:r>
          </w:p>
        </w:tc>
        <w:tc>
          <w:tcPr>
            <w:tcW w:w="1020" w:type="dxa"/>
            <w:vAlign w:val="bottom"/>
            <w:shd w:val="clear" w:color="auto" w:fill="C00000"/>
          </w:tcPr>
          <w:p>
            <w:pPr>
              <w:spacing w:after="0"/>
              <w:rPr>
                <w:sz w:val="10"/>
                <w:szCs w:val="10"/>
                <w:color w:val="auto"/>
              </w:rPr>
            </w:pPr>
          </w:p>
        </w:tc>
        <w:tc>
          <w:tcPr>
            <w:tcW w:w="1160" w:type="dxa"/>
            <w:vAlign w:val="bottom"/>
            <w:shd w:val="clear" w:color="auto" w:fill="C00000"/>
          </w:tcPr>
          <w:p>
            <w:pPr>
              <w:spacing w:after="0"/>
              <w:rPr>
                <w:sz w:val="10"/>
                <w:szCs w:val="10"/>
                <w:color w:val="auto"/>
              </w:rPr>
            </w:pPr>
          </w:p>
        </w:tc>
        <w:tc>
          <w:tcPr>
            <w:tcW w:w="900" w:type="dxa"/>
            <w:vAlign w:val="bottom"/>
            <w:shd w:val="clear" w:color="auto" w:fill="C00000"/>
          </w:tcPr>
          <w:p>
            <w:pPr>
              <w:spacing w:after="0"/>
              <w:rPr>
                <w:sz w:val="10"/>
                <w:szCs w:val="10"/>
                <w:color w:val="auto"/>
              </w:rPr>
            </w:pPr>
          </w:p>
        </w:tc>
        <w:tc>
          <w:tcPr>
            <w:tcW w:w="900" w:type="dxa"/>
            <w:vAlign w:val="bottom"/>
            <w:shd w:val="clear" w:color="auto" w:fill="C00000"/>
          </w:tcPr>
          <w:p>
            <w:pPr>
              <w:jc w:val="center"/>
              <w:ind w:left="6"/>
              <w:spacing w:after="0" w:line="121" w:lineRule="exact"/>
              <w:rPr>
                <w:sz w:val="20"/>
                <w:szCs w:val="20"/>
                <w:color w:val="auto"/>
              </w:rPr>
            </w:pPr>
            <w:r>
              <w:rPr>
                <w:rFonts w:ascii="Arial" w:cs="Arial" w:eastAsia="Arial" w:hAnsi="Arial"/>
                <w:sz w:val="11"/>
                <w:szCs w:val="11"/>
                <w:b w:val="1"/>
                <w:bCs w:val="1"/>
                <w:color w:val="FFFFFF"/>
                <w:w w:val="93"/>
              </w:rPr>
              <w:t>Value of</w:t>
            </w:r>
          </w:p>
        </w:tc>
        <w:tc>
          <w:tcPr>
            <w:tcW w:w="1600" w:type="dxa"/>
            <w:vAlign w:val="bottom"/>
            <w:shd w:val="clear" w:color="auto" w:fill="C00000"/>
          </w:tcPr>
          <w:p>
            <w:pPr>
              <w:jc w:val="center"/>
              <w:ind w:right="6"/>
              <w:spacing w:after="0" w:line="121" w:lineRule="exact"/>
              <w:rPr>
                <w:sz w:val="20"/>
                <w:szCs w:val="20"/>
                <w:color w:val="auto"/>
              </w:rPr>
            </w:pPr>
            <w:r>
              <w:rPr>
                <w:rFonts w:ascii="Arial" w:cs="Arial" w:eastAsia="Arial" w:hAnsi="Arial"/>
                <w:sz w:val="11"/>
                <w:szCs w:val="11"/>
                <w:b w:val="1"/>
                <w:bCs w:val="1"/>
                <w:color w:val="FFFFFF"/>
                <w:w w:val="98"/>
              </w:rPr>
              <w:t>Number of</w:t>
            </w:r>
          </w:p>
        </w:tc>
        <w:tc>
          <w:tcPr>
            <w:tcW w:w="1240" w:type="dxa"/>
            <w:vAlign w:val="bottom"/>
            <w:shd w:val="clear" w:color="auto" w:fill="C00000"/>
          </w:tcPr>
          <w:p>
            <w:pPr>
              <w:jc w:val="center"/>
              <w:ind w:right="6"/>
              <w:spacing w:after="0" w:line="121" w:lineRule="exact"/>
              <w:rPr>
                <w:sz w:val="20"/>
                <w:szCs w:val="20"/>
                <w:color w:val="auto"/>
              </w:rPr>
            </w:pPr>
            <w:r>
              <w:rPr>
                <w:rFonts w:ascii="Arial" w:cs="Arial" w:eastAsia="Arial" w:hAnsi="Arial"/>
                <w:sz w:val="11"/>
                <w:szCs w:val="11"/>
                <w:b w:val="1"/>
                <w:bCs w:val="1"/>
                <w:color w:val="FFFFFF"/>
                <w:w w:val="95"/>
              </w:rPr>
              <w:t>Payout Value</w:t>
            </w:r>
          </w:p>
        </w:tc>
      </w:tr>
      <w:tr>
        <w:trPr>
          <w:trHeight w:val="121"/>
        </w:trPr>
        <w:tc>
          <w:tcPr>
            <w:tcW w:w="2380" w:type="dxa"/>
            <w:vAlign w:val="bottom"/>
            <w:shd w:val="clear" w:color="auto" w:fill="C00000"/>
          </w:tcPr>
          <w:p>
            <w:pPr>
              <w:spacing w:after="0"/>
              <w:rPr>
                <w:sz w:val="10"/>
                <w:szCs w:val="10"/>
                <w:color w:val="auto"/>
              </w:rPr>
            </w:pPr>
          </w:p>
        </w:tc>
        <w:tc>
          <w:tcPr>
            <w:tcW w:w="1020" w:type="dxa"/>
            <w:vAlign w:val="bottom"/>
            <w:shd w:val="clear" w:color="auto" w:fill="C00000"/>
          </w:tcPr>
          <w:p>
            <w:pPr>
              <w:jc w:val="center"/>
              <w:ind w:left="46"/>
              <w:spacing w:after="0" w:line="121" w:lineRule="exact"/>
              <w:rPr>
                <w:sz w:val="20"/>
                <w:szCs w:val="20"/>
                <w:color w:val="auto"/>
              </w:rPr>
            </w:pPr>
            <w:r>
              <w:rPr>
                <w:rFonts w:ascii="Arial" w:cs="Arial" w:eastAsia="Arial" w:hAnsi="Arial"/>
                <w:sz w:val="11"/>
                <w:szCs w:val="11"/>
                <w:b w:val="1"/>
                <w:bCs w:val="1"/>
                <w:color w:val="FFFFFF"/>
                <w:w w:val="98"/>
              </w:rPr>
              <w:t>Securities</w:t>
            </w:r>
          </w:p>
        </w:tc>
        <w:tc>
          <w:tcPr>
            <w:tcW w:w="1020" w:type="dxa"/>
            <w:vAlign w:val="bottom"/>
            <w:shd w:val="clear" w:color="auto" w:fill="C00000"/>
          </w:tcPr>
          <w:p>
            <w:pPr>
              <w:jc w:val="center"/>
              <w:ind w:left="46"/>
              <w:spacing w:after="0" w:line="121" w:lineRule="exact"/>
              <w:rPr>
                <w:sz w:val="20"/>
                <w:szCs w:val="20"/>
                <w:color w:val="auto"/>
              </w:rPr>
            </w:pPr>
            <w:r>
              <w:rPr>
                <w:rFonts w:ascii="Arial" w:cs="Arial" w:eastAsia="Arial" w:hAnsi="Arial"/>
                <w:sz w:val="11"/>
                <w:szCs w:val="11"/>
                <w:b w:val="1"/>
                <w:bCs w:val="1"/>
                <w:color w:val="FFFFFF"/>
                <w:w w:val="98"/>
              </w:rPr>
              <w:t>Securities</w:t>
            </w:r>
          </w:p>
        </w:tc>
        <w:tc>
          <w:tcPr>
            <w:tcW w:w="1020" w:type="dxa"/>
            <w:vAlign w:val="bottom"/>
            <w:shd w:val="clear" w:color="auto" w:fill="C00000"/>
          </w:tcPr>
          <w:p>
            <w:pPr>
              <w:spacing w:after="0"/>
              <w:rPr>
                <w:sz w:val="10"/>
                <w:szCs w:val="10"/>
                <w:color w:val="auto"/>
              </w:rPr>
            </w:pPr>
          </w:p>
        </w:tc>
        <w:tc>
          <w:tcPr>
            <w:tcW w:w="1160" w:type="dxa"/>
            <w:vAlign w:val="bottom"/>
            <w:shd w:val="clear" w:color="auto" w:fill="C00000"/>
          </w:tcPr>
          <w:p>
            <w:pPr>
              <w:spacing w:after="0"/>
              <w:rPr>
                <w:sz w:val="10"/>
                <w:szCs w:val="10"/>
                <w:color w:val="auto"/>
              </w:rPr>
            </w:pPr>
          </w:p>
        </w:tc>
        <w:tc>
          <w:tcPr>
            <w:tcW w:w="900" w:type="dxa"/>
            <w:vAlign w:val="bottom"/>
            <w:shd w:val="clear" w:color="auto" w:fill="C00000"/>
          </w:tcPr>
          <w:p>
            <w:pPr>
              <w:jc w:val="center"/>
              <w:ind w:right="26"/>
              <w:spacing w:after="0" w:line="121" w:lineRule="exact"/>
              <w:rPr>
                <w:sz w:val="20"/>
                <w:szCs w:val="20"/>
                <w:color w:val="auto"/>
              </w:rPr>
            </w:pPr>
            <w:r>
              <w:rPr>
                <w:rFonts w:ascii="Arial" w:cs="Arial" w:eastAsia="Arial" w:hAnsi="Arial"/>
                <w:sz w:val="11"/>
                <w:szCs w:val="11"/>
                <w:b w:val="1"/>
                <w:bCs w:val="1"/>
                <w:color w:val="FFFFFF"/>
                <w:w w:val="98"/>
              </w:rPr>
              <w:t>Number of</w:t>
            </w:r>
          </w:p>
        </w:tc>
        <w:tc>
          <w:tcPr>
            <w:tcW w:w="900" w:type="dxa"/>
            <w:vAlign w:val="bottom"/>
            <w:shd w:val="clear" w:color="auto" w:fill="C00000"/>
          </w:tcPr>
          <w:p>
            <w:pPr>
              <w:jc w:val="center"/>
              <w:spacing w:after="0" w:line="121" w:lineRule="exact"/>
              <w:rPr>
                <w:sz w:val="20"/>
                <w:szCs w:val="20"/>
                <w:color w:val="auto"/>
              </w:rPr>
            </w:pPr>
            <w:r>
              <w:rPr>
                <w:rFonts w:ascii="Arial" w:cs="Arial" w:eastAsia="Arial" w:hAnsi="Arial"/>
                <w:sz w:val="11"/>
                <w:szCs w:val="11"/>
                <w:b w:val="1"/>
                <w:bCs w:val="1"/>
                <w:color w:val="FFFFFF"/>
                <w:w w:val="98"/>
              </w:rPr>
              <w:t>Shares or</w:t>
            </w:r>
          </w:p>
        </w:tc>
        <w:tc>
          <w:tcPr>
            <w:tcW w:w="1600" w:type="dxa"/>
            <w:vAlign w:val="bottom"/>
            <w:shd w:val="clear" w:color="auto" w:fill="C00000"/>
          </w:tcPr>
          <w:p>
            <w:pPr>
              <w:jc w:val="center"/>
              <w:ind w:right="6"/>
              <w:spacing w:after="0" w:line="121" w:lineRule="exact"/>
              <w:rPr>
                <w:sz w:val="20"/>
                <w:szCs w:val="20"/>
                <w:color w:val="auto"/>
              </w:rPr>
            </w:pPr>
            <w:r>
              <w:rPr>
                <w:rFonts w:ascii="Arial" w:cs="Arial" w:eastAsia="Arial" w:hAnsi="Arial"/>
                <w:sz w:val="11"/>
                <w:szCs w:val="11"/>
                <w:b w:val="1"/>
                <w:bCs w:val="1"/>
                <w:color w:val="FFFFFF"/>
                <w:w w:val="98"/>
              </w:rPr>
              <w:t>Unearned</w:t>
            </w:r>
          </w:p>
        </w:tc>
        <w:tc>
          <w:tcPr>
            <w:tcW w:w="1240" w:type="dxa"/>
            <w:vAlign w:val="bottom"/>
            <w:shd w:val="clear" w:color="auto" w:fill="C00000"/>
          </w:tcPr>
          <w:p>
            <w:pPr>
              <w:jc w:val="center"/>
              <w:ind w:right="6"/>
              <w:spacing w:after="0" w:line="121" w:lineRule="exact"/>
              <w:rPr>
                <w:sz w:val="20"/>
                <w:szCs w:val="20"/>
                <w:color w:val="auto"/>
              </w:rPr>
            </w:pPr>
            <w:r>
              <w:rPr>
                <w:rFonts w:ascii="Arial" w:cs="Arial" w:eastAsia="Arial" w:hAnsi="Arial"/>
                <w:sz w:val="11"/>
                <w:szCs w:val="11"/>
                <w:b w:val="1"/>
                <w:bCs w:val="1"/>
                <w:color w:val="FFFFFF"/>
                <w:w w:val="96"/>
              </w:rPr>
              <w:t>of Unearned</w:t>
            </w:r>
          </w:p>
        </w:tc>
      </w:tr>
      <w:tr>
        <w:trPr>
          <w:trHeight w:val="121"/>
        </w:trPr>
        <w:tc>
          <w:tcPr>
            <w:tcW w:w="2380" w:type="dxa"/>
            <w:vAlign w:val="bottom"/>
            <w:shd w:val="clear" w:color="auto" w:fill="C00000"/>
          </w:tcPr>
          <w:p>
            <w:pPr>
              <w:spacing w:after="0"/>
              <w:rPr>
                <w:sz w:val="10"/>
                <w:szCs w:val="10"/>
                <w:color w:val="auto"/>
              </w:rPr>
            </w:pPr>
          </w:p>
        </w:tc>
        <w:tc>
          <w:tcPr>
            <w:tcW w:w="1020" w:type="dxa"/>
            <w:vAlign w:val="bottom"/>
            <w:shd w:val="clear" w:color="auto" w:fill="C00000"/>
          </w:tcPr>
          <w:p>
            <w:pPr>
              <w:jc w:val="center"/>
              <w:ind w:left="46"/>
              <w:spacing w:after="0" w:line="121" w:lineRule="exact"/>
              <w:rPr>
                <w:sz w:val="20"/>
                <w:szCs w:val="20"/>
                <w:color w:val="auto"/>
              </w:rPr>
            </w:pPr>
            <w:r>
              <w:rPr>
                <w:rFonts w:ascii="Arial" w:cs="Arial" w:eastAsia="Arial" w:hAnsi="Arial"/>
                <w:sz w:val="11"/>
                <w:szCs w:val="11"/>
                <w:b w:val="1"/>
                <w:bCs w:val="1"/>
                <w:color w:val="FFFFFF"/>
                <w:w w:val="97"/>
              </w:rPr>
              <w:t>Underlying</w:t>
            </w:r>
          </w:p>
        </w:tc>
        <w:tc>
          <w:tcPr>
            <w:tcW w:w="1020" w:type="dxa"/>
            <w:vAlign w:val="bottom"/>
            <w:shd w:val="clear" w:color="auto" w:fill="C00000"/>
          </w:tcPr>
          <w:p>
            <w:pPr>
              <w:jc w:val="center"/>
              <w:ind w:left="46"/>
              <w:spacing w:after="0" w:line="121" w:lineRule="exact"/>
              <w:rPr>
                <w:sz w:val="20"/>
                <w:szCs w:val="20"/>
                <w:color w:val="auto"/>
              </w:rPr>
            </w:pPr>
            <w:r>
              <w:rPr>
                <w:rFonts w:ascii="Arial" w:cs="Arial" w:eastAsia="Arial" w:hAnsi="Arial"/>
                <w:sz w:val="11"/>
                <w:szCs w:val="11"/>
                <w:b w:val="1"/>
                <w:bCs w:val="1"/>
                <w:color w:val="FFFFFF"/>
                <w:w w:val="97"/>
              </w:rPr>
              <w:t>Underlying</w:t>
            </w:r>
          </w:p>
        </w:tc>
        <w:tc>
          <w:tcPr>
            <w:tcW w:w="1020" w:type="dxa"/>
            <w:vAlign w:val="bottom"/>
            <w:shd w:val="clear" w:color="auto" w:fill="C00000"/>
          </w:tcPr>
          <w:p>
            <w:pPr>
              <w:spacing w:after="0"/>
              <w:rPr>
                <w:sz w:val="10"/>
                <w:szCs w:val="10"/>
                <w:color w:val="auto"/>
              </w:rPr>
            </w:pPr>
          </w:p>
        </w:tc>
        <w:tc>
          <w:tcPr>
            <w:tcW w:w="1160" w:type="dxa"/>
            <w:vAlign w:val="bottom"/>
            <w:shd w:val="clear" w:color="auto" w:fill="C00000"/>
          </w:tcPr>
          <w:p>
            <w:pPr>
              <w:spacing w:after="0"/>
              <w:rPr>
                <w:sz w:val="10"/>
                <w:szCs w:val="10"/>
                <w:color w:val="auto"/>
              </w:rPr>
            </w:pPr>
          </w:p>
        </w:tc>
        <w:tc>
          <w:tcPr>
            <w:tcW w:w="900" w:type="dxa"/>
            <w:vAlign w:val="bottom"/>
            <w:shd w:val="clear" w:color="auto" w:fill="C00000"/>
          </w:tcPr>
          <w:p>
            <w:pPr>
              <w:jc w:val="center"/>
              <w:ind w:right="26"/>
              <w:spacing w:after="0" w:line="121" w:lineRule="exact"/>
              <w:rPr>
                <w:sz w:val="20"/>
                <w:szCs w:val="20"/>
                <w:color w:val="auto"/>
              </w:rPr>
            </w:pPr>
            <w:r>
              <w:rPr>
                <w:rFonts w:ascii="Arial" w:cs="Arial" w:eastAsia="Arial" w:hAnsi="Arial"/>
                <w:sz w:val="11"/>
                <w:szCs w:val="11"/>
                <w:b w:val="1"/>
                <w:bCs w:val="1"/>
                <w:color w:val="FFFFFF"/>
                <w:w w:val="98"/>
              </w:rPr>
              <w:t>Shares or</w:t>
            </w:r>
          </w:p>
        </w:tc>
        <w:tc>
          <w:tcPr>
            <w:tcW w:w="900" w:type="dxa"/>
            <w:vAlign w:val="bottom"/>
            <w:shd w:val="clear" w:color="auto" w:fill="C00000"/>
          </w:tcPr>
          <w:p>
            <w:pPr>
              <w:jc w:val="center"/>
              <w:ind w:left="6"/>
              <w:spacing w:after="0" w:line="121" w:lineRule="exact"/>
              <w:rPr>
                <w:sz w:val="20"/>
                <w:szCs w:val="20"/>
                <w:color w:val="auto"/>
              </w:rPr>
            </w:pPr>
            <w:r>
              <w:rPr>
                <w:rFonts w:ascii="Arial" w:cs="Arial" w:eastAsia="Arial" w:hAnsi="Arial"/>
                <w:sz w:val="11"/>
                <w:szCs w:val="11"/>
                <w:b w:val="1"/>
                <w:bCs w:val="1"/>
                <w:color w:val="FFFFFF"/>
                <w:w w:val="97"/>
              </w:rPr>
              <w:t>Units of</w:t>
            </w:r>
          </w:p>
        </w:tc>
        <w:tc>
          <w:tcPr>
            <w:tcW w:w="1600" w:type="dxa"/>
            <w:vAlign w:val="bottom"/>
            <w:shd w:val="clear" w:color="auto" w:fill="C00000"/>
          </w:tcPr>
          <w:p>
            <w:pPr>
              <w:jc w:val="center"/>
              <w:spacing w:after="0" w:line="121" w:lineRule="exact"/>
              <w:rPr>
                <w:sz w:val="20"/>
                <w:szCs w:val="20"/>
                <w:color w:val="auto"/>
              </w:rPr>
            </w:pPr>
            <w:r>
              <w:rPr>
                <w:rFonts w:ascii="Arial" w:cs="Arial" w:eastAsia="Arial" w:hAnsi="Arial"/>
                <w:sz w:val="11"/>
                <w:szCs w:val="11"/>
                <w:b w:val="1"/>
                <w:bCs w:val="1"/>
                <w:color w:val="FFFFFF"/>
                <w:w w:val="96"/>
              </w:rPr>
              <w:t>Shares, Units</w:t>
            </w:r>
          </w:p>
        </w:tc>
        <w:tc>
          <w:tcPr>
            <w:tcW w:w="1240" w:type="dxa"/>
            <w:vAlign w:val="bottom"/>
            <w:shd w:val="clear" w:color="auto" w:fill="C00000"/>
          </w:tcPr>
          <w:p>
            <w:pPr>
              <w:jc w:val="center"/>
              <w:ind w:right="26"/>
              <w:spacing w:after="0" w:line="121" w:lineRule="exact"/>
              <w:rPr>
                <w:sz w:val="20"/>
                <w:szCs w:val="20"/>
                <w:color w:val="auto"/>
              </w:rPr>
            </w:pPr>
            <w:r>
              <w:rPr>
                <w:rFonts w:ascii="Arial" w:cs="Arial" w:eastAsia="Arial" w:hAnsi="Arial"/>
                <w:sz w:val="11"/>
                <w:szCs w:val="11"/>
                <w:b w:val="1"/>
                <w:bCs w:val="1"/>
                <w:color w:val="FFFFFF"/>
                <w:w w:val="96"/>
              </w:rPr>
              <w:t>Shares, Units</w:t>
            </w:r>
          </w:p>
        </w:tc>
      </w:tr>
      <w:tr>
        <w:trPr>
          <w:trHeight w:val="121"/>
        </w:trPr>
        <w:tc>
          <w:tcPr>
            <w:tcW w:w="2380" w:type="dxa"/>
            <w:vAlign w:val="bottom"/>
            <w:shd w:val="clear" w:color="auto" w:fill="C00000"/>
          </w:tcPr>
          <w:p>
            <w:pPr>
              <w:spacing w:after="0"/>
              <w:rPr>
                <w:sz w:val="10"/>
                <w:szCs w:val="10"/>
                <w:color w:val="auto"/>
              </w:rPr>
            </w:pPr>
          </w:p>
        </w:tc>
        <w:tc>
          <w:tcPr>
            <w:tcW w:w="1020" w:type="dxa"/>
            <w:vAlign w:val="bottom"/>
            <w:shd w:val="clear" w:color="auto" w:fill="C00000"/>
          </w:tcPr>
          <w:p>
            <w:pPr>
              <w:jc w:val="center"/>
              <w:ind w:left="46"/>
              <w:spacing w:after="0" w:line="121" w:lineRule="exact"/>
              <w:rPr>
                <w:sz w:val="20"/>
                <w:szCs w:val="20"/>
                <w:color w:val="auto"/>
              </w:rPr>
            </w:pPr>
            <w:r>
              <w:rPr>
                <w:rFonts w:ascii="Arial" w:cs="Arial" w:eastAsia="Arial" w:hAnsi="Arial"/>
                <w:sz w:val="11"/>
                <w:szCs w:val="11"/>
                <w:b w:val="1"/>
                <w:bCs w:val="1"/>
                <w:color w:val="FFFFFF"/>
                <w:w w:val="97"/>
              </w:rPr>
              <w:t>Unexercised</w:t>
            </w:r>
          </w:p>
        </w:tc>
        <w:tc>
          <w:tcPr>
            <w:tcW w:w="1020" w:type="dxa"/>
            <w:vAlign w:val="bottom"/>
            <w:shd w:val="clear" w:color="auto" w:fill="C00000"/>
          </w:tcPr>
          <w:p>
            <w:pPr>
              <w:jc w:val="center"/>
              <w:ind w:left="46"/>
              <w:spacing w:after="0" w:line="121" w:lineRule="exact"/>
              <w:rPr>
                <w:sz w:val="20"/>
                <w:szCs w:val="20"/>
                <w:color w:val="auto"/>
              </w:rPr>
            </w:pPr>
            <w:r>
              <w:rPr>
                <w:rFonts w:ascii="Arial" w:cs="Arial" w:eastAsia="Arial" w:hAnsi="Arial"/>
                <w:sz w:val="11"/>
                <w:szCs w:val="11"/>
                <w:b w:val="1"/>
                <w:bCs w:val="1"/>
                <w:color w:val="FFFFFF"/>
                <w:w w:val="97"/>
              </w:rPr>
              <w:t>Unexercised</w:t>
            </w:r>
          </w:p>
        </w:tc>
        <w:tc>
          <w:tcPr>
            <w:tcW w:w="1020" w:type="dxa"/>
            <w:vAlign w:val="bottom"/>
            <w:shd w:val="clear" w:color="auto" w:fill="C00000"/>
          </w:tcPr>
          <w:p>
            <w:pPr>
              <w:jc w:val="center"/>
              <w:ind w:left="66"/>
              <w:spacing w:after="0" w:line="121" w:lineRule="exact"/>
              <w:rPr>
                <w:sz w:val="20"/>
                <w:szCs w:val="20"/>
                <w:color w:val="auto"/>
              </w:rPr>
            </w:pPr>
            <w:r>
              <w:rPr>
                <w:rFonts w:ascii="Arial" w:cs="Arial" w:eastAsia="Arial" w:hAnsi="Arial"/>
                <w:sz w:val="11"/>
                <w:szCs w:val="11"/>
                <w:b w:val="1"/>
                <w:bCs w:val="1"/>
                <w:color w:val="FFFFFF"/>
                <w:w w:val="95"/>
              </w:rPr>
              <w:t>Option</w:t>
            </w:r>
          </w:p>
        </w:tc>
        <w:tc>
          <w:tcPr>
            <w:tcW w:w="1160" w:type="dxa"/>
            <w:vAlign w:val="bottom"/>
            <w:shd w:val="clear" w:color="auto" w:fill="C00000"/>
          </w:tcPr>
          <w:p>
            <w:pPr>
              <w:spacing w:after="0"/>
              <w:rPr>
                <w:sz w:val="10"/>
                <w:szCs w:val="10"/>
                <w:color w:val="auto"/>
              </w:rPr>
            </w:pPr>
          </w:p>
        </w:tc>
        <w:tc>
          <w:tcPr>
            <w:tcW w:w="900" w:type="dxa"/>
            <w:vAlign w:val="bottom"/>
            <w:shd w:val="clear" w:color="auto" w:fill="C00000"/>
          </w:tcPr>
          <w:p>
            <w:pPr>
              <w:jc w:val="center"/>
              <w:ind w:right="26"/>
              <w:spacing w:after="0" w:line="121" w:lineRule="exact"/>
              <w:rPr>
                <w:sz w:val="20"/>
                <w:szCs w:val="20"/>
                <w:color w:val="auto"/>
              </w:rPr>
            </w:pPr>
            <w:r>
              <w:rPr>
                <w:rFonts w:ascii="Arial" w:cs="Arial" w:eastAsia="Arial" w:hAnsi="Arial"/>
                <w:sz w:val="11"/>
                <w:szCs w:val="11"/>
                <w:b w:val="1"/>
                <w:bCs w:val="1"/>
                <w:color w:val="FFFFFF"/>
                <w:w w:val="98"/>
              </w:rPr>
              <w:t>Units that</w:t>
            </w:r>
          </w:p>
        </w:tc>
        <w:tc>
          <w:tcPr>
            <w:tcW w:w="900" w:type="dxa"/>
            <w:vAlign w:val="bottom"/>
            <w:shd w:val="clear" w:color="auto" w:fill="C00000"/>
          </w:tcPr>
          <w:p>
            <w:pPr>
              <w:jc w:val="center"/>
              <w:ind w:left="6"/>
              <w:spacing w:after="0" w:line="121" w:lineRule="exact"/>
              <w:rPr>
                <w:sz w:val="20"/>
                <w:szCs w:val="20"/>
                <w:color w:val="auto"/>
              </w:rPr>
            </w:pPr>
            <w:r>
              <w:rPr>
                <w:rFonts w:ascii="Arial" w:cs="Arial" w:eastAsia="Arial" w:hAnsi="Arial"/>
                <w:sz w:val="11"/>
                <w:szCs w:val="11"/>
                <w:b w:val="1"/>
                <w:bCs w:val="1"/>
                <w:color w:val="FFFFFF"/>
                <w:w w:val="97"/>
              </w:rPr>
              <w:t>Stock that</w:t>
            </w:r>
          </w:p>
        </w:tc>
        <w:tc>
          <w:tcPr>
            <w:tcW w:w="1600" w:type="dxa"/>
            <w:vAlign w:val="bottom"/>
            <w:shd w:val="clear" w:color="auto" w:fill="C00000"/>
          </w:tcPr>
          <w:p>
            <w:pPr>
              <w:jc w:val="center"/>
              <w:ind w:right="6"/>
              <w:spacing w:after="0" w:line="121" w:lineRule="exact"/>
              <w:rPr>
                <w:sz w:val="20"/>
                <w:szCs w:val="20"/>
                <w:color w:val="auto"/>
              </w:rPr>
            </w:pPr>
            <w:r>
              <w:rPr>
                <w:rFonts w:ascii="Arial" w:cs="Arial" w:eastAsia="Arial" w:hAnsi="Arial"/>
                <w:sz w:val="11"/>
                <w:szCs w:val="11"/>
                <w:b w:val="1"/>
                <w:bCs w:val="1"/>
                <w:color w:val="FFFFFF"/>
                <w:w w:val="96"/>
              </w:rPr>
              <w:t>or Other Rights</w:t>
            </w:r>
          </w:p>
        </w:tc>
        <w:tc>
          <w:tcPr>
            <w:tcW w:w="1240" w:type="dxa"/>
            <w:vAlign w:val="bottom"/>
            <w:shd w:val="clear" w:color="auto" w:fill="C00000"/>
          </w:tcPr>
          <w:p>
            <w:pPr>
              <w:jc w:val="center"/>
              <w:ind w:right="6"/>
              <w:spacing w:after="0" w:line="121" w:lineRule="exact"/>
              <w:rPr>
                <w:sz w:val="20"/>
                <w:szCs w:val="20"/>
                <w:color w:val="auto"/>
              </w:rPr>
            </w:pPr>
            <w:r>
              <w:rPr>
                <w:rFonts w:ascii="Arial" w:cs="Arial" w:eastAsia="Arial" w:hAnsi="Arial"/>
                <w:sz w:val="11"/>
                <w:szCs w:val="11"/>
                <w:b w:val="1"/>
                <w:bCs w:val="1"/>
                <w:color w:val="FFFFFF"/>
                <w:w w:val="96"/>
              </w:rPr>
              <w:t>or Other Rights</w:t>
            </w:r>
          </w:p>
        </w:tc>
      </w:tr>
      <w:tr>
        <w:trPr>
          <w:trHeight w:val="121"/>
        </w:trPr>
        <w:tc>
          <w:tcPr>
            <w:tcW w:w="2380" w:type="dxa"/>
            <w:vAlign w:val="bottom"/>
            <w:shd w:val="clear" w:color="auto" w:fill="C00000"/>
          </w:tcPr>
          <w:p>
            <w:pPr>
              <w:spacing w:after="0"/>
              <w:rPr>
                <w:sz w:val="10"/>
                <w:szCs w:val="10"/>
                <w:color w:val="auto"/>
              </w:rPr>
            </w:pPr>
          </w:p>
        </w:tc>
        <w:tc>
          <w:tcPr>
            <w:tcW w:w="1020" w:type="dxa"/>
            <w:vAlign w:val="bottom"/>
            <w:shd w:val="clear" w:color="auto" w:fill="C00000"/>
          </w:tcPr>
          <w:p>
            <w:pPr>
              <w:jc w:val="center"/>
              <w:ind w:left="46"/>
              <w:spacing w:after="0" w:line="121" w:lineRule="exact"/>
              <w:rPr>
                <w:sz w:val="20"/>
                <w:szCs w:val="20"/>
                <w:color w:val="auto"/>
              </w:rPr>
            </w:pPr>
            <w:r>
              <w:rPr>
                <w:rFonts w:ascii="Arial" w:cs="Arial" w:eastAsia="Arial" w:hAnsi="Arial"/>
                <w:sz w:val="11"/>
                <w:szCs w:val="11"/>
                <w:b w:val="1"/>
                <w:bCs w:val="1"/>
                <w:color w:val="FFFFFF"/>
                <w:w w:val="96"/>
              </w:rPr>
              <w:t>Options</w:t>
            </w:r>
          </w:p>
        </w:tc>
        <w:tc>
          <w:tcPr>
            <w:tcW w:w="1020" w:type="dxa"/>
            <w:vAlign w:val="bottom"/>
            <w:shd w:val="clear" w:color="auto" w:fill="C00000"/>
          </w:tcPr>
          <w:p>
            <w:pPr>
              <w:jc w:val="center"/>
              <w:ind w:left="46"/>
              <w:spacing w:after="0" w:line="121" w:lineRule="exact"/>
              <w:rPr>
                <w:sz w:val="20"/>
                <w:szCs w:val="20"/>
                <w:color w:val="auto"/>
              </w:rPr>
            </w:pPr>
            <w:r>
              <w:rPr>
                <w:rFonts w:ascii="Arial" w:cs="Arial" w:eastAsia="Arial" w:hAnsi="Arial"/>
                <w:sz w:val="11"/>
                <w:szCs w:val="11"/>
                <w:b w:val="1"/>
                <w:bCs w:val="1"/>
                <w:color w:val="FFFFFF"/>
                <w:w w:val="96"/>
              </w:rPr>
              <w:t>Options</w:t>
            </w:r>
          </w:p>
        </w:tc>
        <w:tc>
          <w:tcPr>
            <w:tcW w:w="1020" w:type="dxa"/>
            <w:vAlign w:val="bottom"/>
            <w:shd w:val="clear" w:color="auto" w:fill="C00000"/>
          </w:tcPr>
          <w:p>
            <w:pPr>
              <w:jc w:val="center"/>
              <w:ind w:left="46"/>
              <w:spacing w:after="0" w:line="121" w:lineRule="exact"/>
              <w:rPr>
                <w:sz w:val="20"/>
                <w:szCs w:val="20"/>
                <w:color w:val="auto"/>
              </w:rPr>
            </w:pPr>
            <w:r>
              <w:rPr>
                <w:rFonts w:ascii="Arial" w:cs="Arial" w:eastAsia="Arial" w:hAnsi="Arial"/>
                <w:sz w:val="11"/>
                <w:szCs w:val="11"/>
                <w:b w:val="1"/>
                <w:bCs w:val="1"/>
                <w:color w:val="FFFFFF"/>
                <w:w w:val="97"/>
              </w:rPr>
              <w:t>Exercise</w:t>
            </w:r>
          </w:p>
        </w:tc>
        <w:tc>
          <w:tcPr>
            <w:tcW w:w="1160" w:type="dxa"/>
            <w:vAlign w:val="bottom"/>
            <w:shd w:val="clear" w:color="auto" w:fill="C00000"/>
          </w:tcPr>
          <w:p>
            <w:pPr>
              <w:jc w:val="center"/>
              <w:spacing w:after="0" w:line="121" w:lineRule="exact"/>
              <w:rPr>
                <w:sz w:val="20"/>
                <w:szCs w:val="20"/>
                <w:color w:val="auto"/>
              </w:rPr>
            </w:pPr>
            <w:r>
              <w:rPr>
                <w:rFonts w:ascii="Arial" w:cs="Arial" w:eastAsia="Arial" w:hAnsi="Arial"/>
                <w:sz w:val="11"/>
                <w:szCs w:val="11"/>
                <w:b w:val="1"/>
                <w:bCs w:val="1"/>
                <w:color w:val="FFFFFF"/>
              </w:rPr>
              <w:t>Option</w:t>
            </w:r>
          </w:p>
        </w:tc>
        <w:tc>
          <w:tcPr>
            <w:tcW w:w="900" w:type="dxa"/>
            <w:vAlign w:val="bottom"/>
            <w:shd w:val="clear" w:color="auto" w:fill="C00000"/>
          </w:tcPr>
          <w:p>
            <w:pPr>
              <w:jc w:val="center"/>
              <w:ind w:right="26"/>
              <w:spacing w:after="0" w:line="121" w:lineRule="exact"/>
              <w:rPr>
                <w:sz w:val="20"/>
                <w:szCs w:val="20"/>
                <w:color w:val="auto"/>
              </w:rPr>
            </w:pPr>
            <w:r>
              <w:rPr>
                <w:rFonts w:ascii="Arial" w:cs="Arial" w:eastAsia="Arial" w:hAnsi="Arial"/>
                <w:sz w:val="11"/>
                <w:szCs w:val="11"/>
                <w:b w:val="1"/>
                <w:bCs w:val="1"/>
                <w:color w:val="FFFFFF"/>
                <w:w w:val="96"/>
              </w:rPr>
              <w:t>Have Not</w:t>
            </w:r>
          </w:p>
        </w:tc>
        <w:tc>
          <w:tcPr>
            <w:tcW w:w="900" w:type="dxa"/>
            <w:vAlign w:val="bottom"/>
            <w:shd w:val="clear" w:color="auto" w:fill="C00000"/>
          </w:tcPr>
          <w:p>
            <w:pPr>
              <w:jc w:val="center"/>
              <w:spacing w:after="0" w:line="121" w:lineRule="exact"/>
              <w:rPr>
                <w:sz w:val="20"/>
                <w:szCs w:val="20"/>
                <w:color w:val="auto"/>
              </w:rPr>
            </w:pPr>
            <w:r>
              <w:rPr>
                <w:rFonts w:ascii="Arial" w:cs="Arial" w:eastAsia="Arial" w:hAnsi="Arial"/>
                <w:sz w:val="11"/>
                <w:szCs w:val="11"/>
                <w:b w:val="1"/>
                <w:bCs w:val="1"/>
                <w:color w:val="FFFFFF"/>
                <w:w w:val="96"/>
              </w:rPr>
              <w:t>Have Not</w:t>
            </w:r>
          </w:p>
        </w:tc>
        <w:tc>
          <w:tcPr>
            <w:tcW w:w="1600" w:type="dxa"/>
            <w:vAlign w:val="bottom"/>
            <w:shd w:val="clear" w:color="auto" w:fill="C00000"/>
          </w:tcPr>
          <w:p>
            <w:pPr>
              <w:jc w:val="center"/>
              <w:spacing w:after="0" w:line="121" w:lineRule="exact"/>
              <w:rPr>
                <w:sz w:val="20"/>
                <w:szCs w:val="20"/>
                <w:color w:val="auto"/>
              </w:rPr>
            </w:pPr>
            <w:r>
              <w:rPr>
                <w:rFonts w:ascii="Arial" w:cs="Arial" w:eastAsia="Arial" w:hAnsi="Arial"/>
                <w:sz w:val="11"/>
                <w:szCs w:val="11"/>
                <w:b w:val="1"/>
                <w:bCs w:val="1"/>
                <w:color w:val="FFFFFF"/>
                <w:w w:val="98"/>
              </w:rPr>
              <w:t>That Have</w:t>
            </w:r>
          </w:p>
        </w:tc>
        <w:tc>
          <w:tcPr>
            <w:tcW w:w="1240" w:type="dxa"/>
            <w:vAlign w:val="bottom"/>
            <w:shd w:val="clear" w:color="auto" w:fill="C00000"/>
          </w:tcPr>
          <w:p>
            <w:pPr>
              <w:jc w:val="center"/>
              <w:ind w:right="26"/>
              <w:spacing w:after="0" w:line="121" w:lineRule="exact"/>
              <w:rPr>
                <w:sz w:val="20"/>
                <w:szCs w:val="20"/>
                <w:color w:val="auto"/>
              </w:rPr>
            </w:pPr>
            <w:r>
              <w:rPr>
                <w:rFonts w:ascii="Arial" w:cs="Arial" w:eastAsia="Arial" w:hAnsi="Arial"/>
                <w:sz w:val="11"/>
                <w:szCs w:val="11"/>
                <w:b w:val="1"/>
                <w:bCs w:val="1"/>
                <w:color w:val="FFFFFF"/>
                <w:w w:val="98"/>
              </w:rPr>
              <w:t>That Have</w:t>
            </w:r>
          </w:p>
        </w:tc>
      </w:tr>
      <w:tr>
        <w:trPr>
          <w:trHeight w:val="121"/>
        </w:trPr>
        <w:tc>
          <w:tcPr>
            <w:tcW w:w="2380" w:type="dxa"/>
            <w:vAlign w:val="bottom"/>
            <w:shd w:val="clear" w:color="auto" w:fill="C00000"/>
          </w:tcPr>
          <w:p>
            <w:pPr>
              <w:spacing w:after="0"/>
              <w:rPr>
                <w:sz w:val="10"/>
                <w:szCs w:val="10"/>
                <w:color w:val="auto"/>
              </w:rPr>
            </w:pPr>
          </w:p>
        </w:tc>
        <w:tc>
          <w:tcPr>
            <w:tcW w:w="1020" w:type="dxa"/>
            <w:vAlign w:val="bottom"/>
            <w:shd w:val="clear" w:color="auto" w:fill="C00000"/>
          </w:tcPr>
          <w:p>
            <w:pPr>
              <w:jc w:val="center"/>
              <w:ind w:left="46"/>
              <w:spacing w:after="0" w:line="121" w:lineRule="exact"/>
              <w:rPr>
                <w:sz w:val="20"/>
                <w:szCs w:val="20"/>
                <w:color w:val="auto"/>
              </w:rPr>
            </w:pPr>
            <w:r>
              <w:rPr>
                <w:rFonts w:ascii="Arial" w:cs="Arial" w:eastAsia="Arial" w:hAnsi="Arial"/>
                <w:sz w:val="11"/>
                <w:szCs w:val="11"/>
                <w:b w:val="1"/>
                <w:bCs w:val="1"/>
                <w:color w:val="FFFFFF"/>
                <w:w w:val="98"/>
              </w:rPr>
              <w:t>Exercisable</w:t>
            </w:r>
          </w:p>
        </w:tc>
        <w:tc>
          <w:tcPr>
            <w:tcW w:w="1020" w:type="dxa"/>
            <w:vAlign w:val="bottom"/>
            <w:shd w:val="clear" w:color="auto" w:fill="C00000"/>
          </w:tcPr>
          <w:p>
            <w:pPr>
              <w:jc w:val="center"/>
              <w:ind w:left="46"/>
              <w:spacing w:after="0" w:line="121" w:lineRule="exact"/>
              <w:rPr>
                <w:sz w:val="20"/>
                <w:szCs w:val="20"/>
                <w:color w:val="auto"/>
              </w:rPr>
            </w:pPr>
            <w:r>
              <w:rPr>
                <w:rFonts w:ascii="Arial" w:cs="Arial" w:eastAsia="Arial" w:hAnsi="Arial"/>
                <w:sz w:val="11"/>
                <w:szCs w:val="11"/>
                <w:b w:val="1"/>
                <w:bCs w:val="1"/>
                <w:color w:val="FFFFFF"/>
                <w:w w:val="98"/>
              </w:rPr>
              <w:t>Unexercisable</w:t>
            </w:r>
            <w:r>
              <w:rPr>
                <w:rFonts w:ascii="Arial" w:cs="Arial" w:eastAsia="Arial" w:hAnsi="Arial"/>
                <w:sz w:val="9"/>
                <w:szCs w:val="9"/>
                <w:b w:val="1"/>
                <w:bCs w:val="1"/>
                <w:color w:val="FFFFFF"/>
                <w:w w:val="98"/>
              </w:rPr>
              <w:t>(1)</w:t>
            </w:r>
          </w:p>
        </w:tc>
        <w:tc>
          <w:tcPr>
            <w:tcW w:w="1020" w:type="dxa"/>
            <w:vAlign w:val="bottom"/>
            <w:shd w:val="clear" w:color="auto" w:fill="C00000"/>
          </w:tcPr>
          <w:p>
            <w:pPr>
              <w:jc w:val="center"/>
              <w:ind w:left="66"/>
              <w:spacing w:after="0" w:line="121" w:lineRule="exact"/>
              <w:rPr>
                <w:sz w:val="20"/>
                <w:szCs w:val="20"/>
                <w:color w:val="auto"/>
              </w:rPr>
            </w:pPr>
            <w:r>
              <w:rPr>
                <w:rFonts w:ascii="Arial" w:cs="Arial" w:eastAsia="Arial" w:hAnsi="Arial"/>
                <w:sz w:val="11"/>
                <w:szCs w:val="11"/>
                <w:b w:val="1"/>
                <w:bCs w:val="1"/>
                <w:color w:val="FFFFFF"/>
                <w:w w:val="96"/>
              </w:rPr>
              <w:t>Price</w:t>
            </w:r>
          </w:p>
        </w:tc>
        <w:tc>
          <w:tcPr>
            <w:tcW w:w="1160" w:type="dxa"/>
            <w:vAlign w:val="bottom"/>
            <w:shd w:val="clear" w:color="auto" w:fill="C00000"/>
          </w:tcPr>
          <w:p>
            <w:pPr>
              <w:jc w:val="center"/>
              <w:spacing w:after="0" w:line="121" w:lineRule="exact"/>
              <w:rPr>
                <w:sz w:val="20"/>
                <w:szCs w:val="20"/>
                <w:color w:val="auto"/>
              </w:rPr>
            </w:pPr>
            <w:r>
              <w:rPr>
                <w:rFonts w:ascii="Arial" w:cs="Arial" w:eastAsia="Arial" w:hAnsi="Arial"/>
                <w:sz w:val="11"/>
                <w:szCs w:val="11"/>
                <w:b w:val="1"/>
                <w:bCs w:val="1"/>
                <w:color w:val="FFFFFF"/>
                <w:w w:val="96"/>
              </w:rPr>
              <w:t>Expiration</w:t>
            </w:r>
          </w:p>
        </w:tc>
        <w:tc>
          <w:tcPr>
            <w:tcW w:w="900" w:type="dxa"/>
            <w:vAlign w:val="bottom"/>
            <w:shd w:val="clear" w:color="auto" w:fill="C00000"/>
          </w:tcPr>
          <w:p>
            <w:pPr>
              <w:jc w:val="center"/>
              <w:ind w:right="26"/>
              <w:spacing w:after="0" w:line="121" w:lineRule="exact"/>
              <w:rPr>
                <w:sz w:val="20"/>
                <w:szCs w:val="20"/>
                <w:color w:val="auto"/>
              </w:rPr>
            </w:pPr>
            <w:r>
              <w:rPr>
                <w:rFonts w:ascii="Arial" w:cs="Arial" w:eastAsia="Arial" w:hAnsi="Arial"/>
                <w:sz w:val="11"/>
                <w:szCs w:val="11"/>
                <w:b w:val="1"/>
                <w:bCs w:val="1"/>
                <w:color w:val="FFFFFF"/>
                <w:w w:val="97"/>
              </w:rPr>
              <w:t>Vested</w:t>
            </w:r>
            <w:r>
              <w:rPr>
                <w:rFonts w:ascii="Arial" w:cs="Arial" w:eastAsia="Arial" w:hAnsi="Arial"/>
                <w:sz w:val="9"/>
                <w:szCs w:val="9"/>
                <w:b w:val="1"/>
                <w:bCs w:val="1"/>
                <w:color w:val="FFFFFF"/>
                <w:w w:val="97"/>
              </w:rPr>
              <w:t>(2)</w:t>
            </w:r>
          </w:p>
        </w:tc>
        <w:tc>
          <w:tcPr>
            <w:tcW w:w="900" w:type="dxa"/>
            <w:vAlign w:val="bottom"/>
            <w:shd w:val="clear" w:color="auto" w:fill="C00000"/>
          </w:tcPr>
          <w:p>
            <w:pPr>
              <w:jc w:val="center"/>
              <w:spacing w:after="0" w:line="121" w:lineRule="exact"/>
              <w:rPr>
                <w:sz w:val="20"/>
                <w:szCs w:val="20"/>
                <w:color w:val="auto"/>
              </w:rPr>
            </w:pPr>
            <w:r>
              <w:rPr>
                <w:rFonts w:ascii="Arial" w:cs="Arial" w:eastAsia="Arial" w:hAnsi="Arial"/>
                <w:sz w:val="11"/>
                <w:szCs w:val="11"/>
                <w:b w:val="1"/>
                <w:bCs w:val="1"/>
                <w:color w:val="FFFFFF"/>
                <w:w w:val="97"/>
              </w:rPr>
              <w:t>Vested</w:t>
            </w:r>
            <w:r>
              <w:rPr>
                <w:rFonts w:ascii="Arial" w:cs="Arial" w:eastAsia="Arial" w:hAnsi="Arial"/>
                <w:sz w:val="9"/>
                <w:szCs w:val="9"/>
                <w:b w:val="1"/>
                <w:bCs w:val="1"/>
                <w:color w:val="FFFFFF"/>
                <w:w w:val="97"/>
              </w:rPr>
              <w:t>(3)</w:t>
            </w:r>
          </w:p>
        </w:tc>
        <w:tc>
          <w:tcPr>
            <w:tcW w:w="1600" w:type="dxa"/>
            <w:vAlign w:val="bottom"/>
            <w:shd w:val="clear" w:color="auto" w:fill="C00000"/>
          </w:tcPr>
          <w:p>
            <w:pPr>
              <w:jc w:val="center"/>
              <w:ind w:right="6"/>
              <w:spacing w:after="0" w:line="121" w:lineRule="exact"/>
              <w:rPr>
                <w:sz w:val="20"/>
                <w:szCs w:val="20"/>
                <w:color w:val="auto"/>
              </w:rPr>
            </w:pPr>
            <w:r>
              <w:rPr>
                <w:rFonts w:ascii="Arial" w:cs="Arial" w:eastAsia="Arial" w:hAnsi="Arial"/>
                <w:sz w:val="11"/>
                <w:szCs w:val="11"/>
                <w:b w:val="1"/>
                <w:bCs w:val="1"/>
                <w:color w:val="FFFFFF"/>
                <w:w w:val="96"/>
              </w:rPr>
              <w:t>Not Vested</w:t>
            </w:r>
            <w:r>
              <w:rPr>
                <w:rFonts w:ascii="Arial" w:cs="Arial" w:eastAsia="Arial" w:hAnsi="Arial"/>
                <w:sz w:val="9"/>
                <w:szCs w:val="9"/>
                <w:b w:val="1"/>
                <w:bCs w:val="1"/>
                <w:color w:val="FFFFFF"/>
                <w:w w:val="96"/>
              </w:rPr>
              <w:t>(4)</w:t>
            </w:r>
          </w:p>
        </w:tc>
        <w:tc>
          <w:tcPr>
            <w:tcW w:w="1240" w:type="dxa"/>
            <w:vAlign w:val="bottom"/>
            <w:shd w:val="clear" w:color="auto" w:fill="C00000"/>
          </w:tcPr>
          <w:p>
            <w:pPr>
              <w:jc w:val="center"/>
              <w:ind w:right="6"/>
              <w:spacing w:after="0" w:line="121" w:lineRule="exact"/>
              <w:rPr>
                <w:sz w:val="20"/>
                <w:szCs w:val="20"/>
                <w:color w:val="auto"/>
              </w:rPr>
            </w:pPr>
            <w:r>
              <w:rPr>
                <w:rFonts w:ascii="Arial" w:cs="Arial" w:eastAsia="Arial" w:hAnsi="Arial"/>
                <w:sz w:val="11"/>
                <w:szCs w:val="11"/>
                <w:b w:val="1"/>
                <w:bCs w:val="1"/>
                <w:color w:val="FFFFFF"/>
                <w:w w:val="96"/>
              </w:rPr>
              <w:t>Not Vested</w:t>
            </w:r>
            <w:r>
              <w:rPr>
                <w:rFonts w:ascii="Arial" w:cs="Arial" w:eastAsia="Arial" w:hAnsi="Arial"/>
                <w:sz w:val="9"/>
                <w:szCs w:val="9"/>
                <w:b w:val="1"/>
                <w:bCs w:val="1"/>
                <w:color w:val="FFFFFF"/>
                <w:w w:val="96"/>
              </w:rPr>
              <w:t>(5)</w:t>
            </w:r>
          </w:p>
        </w:tc>
      </w:tr>
      <w:tr>
        <w:trPr>
          <w:trHeight w:val="136"/>
        </w:trPr>
        <w:tc>
          <w:tcPr>
            <w:tcW w:w="2380" w:type="dxa"/>
            <w:vAlign w:val="bottom"/>
            <w:shd w:val="clear" w:color="auto" w:fill="C00000"/>
          </w:tcPr>
          <w:p>
            <w:pPr>
              <w:spacing w:after="0"/>
              <w:rPr>
                <w:sz w:val="20"/>
                <w:szCs w:val="20"/>
                <w:color w:val="auto"/>
              </w:rPr>
            </w:pPr>
            <w:r>
              <w:rPr>
                <w:rFonts w:ascii="Arial" w:cs="Arial" w:eastAsia="Arial" w:hAnsi="Arial"/>
                <w:sz w:val="11"/>
                <w:szCs w:val="11"/>
                <w:b w:val="1"/>
                <w:bCs w:val="1"/>
                <w:color w:val="FFFFFF"/>
              </w:rPr>
              <w:t>Name</w:t>
            </w:r>
          </w:p>
        </w:tc>
        <w:tc>
          <w:tcPr>
            <w:tcW w:w="1020" w:type="dxa"/>
            <w:vAlign w:val="bottom"/>
            <w:shd w:val="clear" w:color="auto" w:fill="C00000"/>
          </w:tcPr>
          <w:p>
            <w:pPr>
              <w:jc w:val="center"/>
              <w:ind w:left="46"/>
              <w:spacing w:after="0"/>
              <w:rPr>
                <w:sz w:val="20"/>
                <w:szCs w:val="20"/>
                <w:color w:val="auto"/>
              </w:rPr>
            </w:pPr>
            <w:r>
              <w:rPr>
                <w:rFonts w:ascii="Arial" w:cs="Arial" w:eastAsia="Arial" w:hAnsi="Arial"/>
                <w:sz w:val="11"/>
                <w:szCs w:val="11"/>
                <w:b w:val="1"/>
                <w:bCs w:val="1"/>
                <w:color w:val="FFFFFF"/>
                <w:w w:val="88"/>
              </w:rPr>
              <w:t>(#)</w:t>
            </w:r>
          </w:p>
        </w:tc>
        <w:tc>
          <w:tcPr>
            <w:tcW w:w="1020" w:type="dxa"/>
            <w:vAlign w:val="bottom"/>
            <w:shd w:val="clear" w:color="auto" w:fill="C00000"/>
          </w:tcPr>
          <w:p>
            <w:pPr>
              <w:jc w:val="center"/>
              <w:ind w:left="46"/>
              <w:spacing w:after="0"/>
              <w:rPr>
                <w:sz w:val="20"/>
                <w:szCs w:val="20"/>
                <w:color w:val="auto"/>
              </w:rPr>
            </w:pPr>
            <w:r>
              <w:rPr>
                <w:rFonts w:ascii="Arial" w:cs="Arial" w:eastAsia="Arial" w:hAnsi="Arial"/>
                <w:sz w:val="11"/>
                <w:szCs w:val="11"/>
                <w:b w:val="1"/>
                <w:bCs w:val="1"/>
                <w:color w:val="FFFFFF"/>
                <w:w w:val="88"/>
              </w:rPr>
              <w:t>(#)</w:t>
            </w:r>
          </w:p>
        </w:tc>
        <w:tc>
          <w:tcPr>
            <w:tcW w:w="1020" w:type="dxa"/>
            <w:vAlign w:val="bottom"/>
            <w:shd w:val="clear" w:color="auto" w:fill="C00000"/>
          </w:tcPr>
          <w:p>
            <w:pPr>
              <w:jc w:val="center"/>
              <w:ind w:left="66"/>
              <w:spacing w:after="0"/>
              <w:rPr>
                <w:sz w:val="20"/>
                <w:szCs w:val="20"/>
                <w:color w:val="auto"/>
              </w:rPr>
            </w:pPr>
            <w:r>
              <w:rPr>
                <w:rFonts w:ascii="Arial" w:cs="Arial" w:eastAsia="Arial" w:hAnsi="Arial"/>
                <w:sz w:val="11"/>
                <w:szCs w:val="11"/>
                <w:b w:val="1"/>
                <w:bCs w:val="1"/>
                <w:color w:val="FFFFFF"/>
              </w:rPr>
              <w:t>($)</w:t>
            </w:r>
          </w:p>
        </w:tc>
        <w:tc>
          <w:tcPr>
            <w:tcW w:w="116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rPr>
              <w:t>Date</w:t>
            </w:r>
          </w:p>
        </w:tc>
        <w:tc>
          <w:tcPr>
            <w:tcW w:w="900" w:type="dxa"/>
            <w:vAlign w:val="bottom"/>
            <w:shd w:val="clear" w:color="auto" w:fill="C00000"/>
          </w:tcPr>
          <w:p>
            <w:pPr>
              <w:jc w:val="center"/>
              <w:ind w:right="26"/>
              <w:spacing w:after="0"/>
              <w:rPr>
                <w:sz w:val="20"/>
                <w:szCs w:val="20"/>
                <w:color w:val="auto"/>
              </w:rPr>
            </w:pPr>
            <w:r>
              <w:rPr>
                <w:rFonts w:ascii="Arial" w:cs="Arial" w:eastAsia="Arial" w:hAnsi="Arial"/>
                <w:sz w:val="11"/>
                <w:szCs w:val="11"/>
                <w:b w:val="1"/>
                <w:bCs w:val="1"/>
                <w:color w:val="FFFFFF"/>
              </w:rPr>
              <w:t>(#)</w:t>
            </w:r>
          </w:p>
        </w:tc>
        <w:tc>
          <w:tcPr>
            <w:tcW w:w="900" w:type="dxa"/>
            <w:vAlign w:val="bottom"/>
            <w:shd w:val="clear" w:color="auto" w:fill="C00000"/>
          </w:tcPr>
          <w:p>
            <w:pPr>
              <w:jc w:val="center"/>
              <w:ind w:left="6"/>
              <w:spacing w:after="0"/>
              <w:rPr>
                <w:sz w:val="20"/>
                <w:szCs w:val="20"/>
                <w:color w:val="auto"/>
              </w:rPr>
            </w:pPr>
            <w:r>
              <w:rPr>
                <w:rFonts w:ascii="Arial" w:cs="Arial" w:eastAsia="Arial" w:hAnsi="Arial"/>
                <w:sz w:val="11"/>
                <w:szCs w:val="11"/>
                <w:b w:val="1"/>
                <w:bCs w:val="1"/>
                <w:color w:val="FFFFFF"/>
                <w:w w:val="88"/>
              </w:rPr>
              <w:t>($)</w:t>
            </w:r>
          </w:p>
        </w:tc>
        <w:tc>
          <w:tcPr>
            <w:tcW w:w="160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88"/>
              </w:rPr>
              <w:t>(#)</w:t>
            </w:r>
          </w:p>
        </w:tc>
        <w:tc>
          <w:tcPr>
            <w:tcW w:w="1240" w:type="dxa"/>
            <w:vAlign w:val="bottom"/>
            <w:shd w:val="clear" w:color="auto" w:fill="C00000"/>
          </w:tcPr>
          <w:p>
            <w:pPr>
              <w:jc w:val="center"/>
              <w:ind w:right="26"/>
              <w:spacing w:after="0"/>
              <w:rPr>
                <w:sz w:val="20"/>
                <w:szCs w:val="20"/>
                <w:color w:val="auto"/>
              </w:rPr>
            </w:pPr>
            <w:r>
              <w:rPr>
                <w:rFonts w:ascii="Arial" w:cs="Arial" w:eastAsia="Arial" w:hAnsi="Arial"/>
                <w:sz w:val="11"/>
                <w:szCs w:val="11"/>
                <w:b w:val="1"/>
                <w:bCs w:val="1"/>
                <w:color w:val="FFFFFF"/>
                <w:w w:val="88"/>
              </w:rPr>
              <w:t>($)</w:t>
            </w:r>
          </w:p>
        </w:tc>
      </w:tr>
      <w:tr>
        <w:trPr>
          <w:trHeight w:val="139"/>
        </w:trPr>
        <w:tc>
          <w:tcPr>
            <w:tcW w:w="2380" w:type="dxa"/>
            <w:vAlign w:val="bottom"/>
          </w:tcPr>
          <w:p>
            <w:pPr>
              <w:spacing w:after="0"/>
              <w:rPr>
                <w:sz w:val="20"/>
                <w:szCs w:val="20"/>
                <w:color w:val="auto"/>
              </w:rPr>
            </w:pPr>
            <w:r>
              <w:rPr>
                <w:rFonts w:ascii="Arial" w:cs="Arial" w:eastAsia="Arial" w:hAnsi="Arial"/>
                <w:sz w:val="11"/>
                <w:szCs w:val="11"/>
                <w:color w:val="auto"/>
              </w:rPr>
              <w:t>Richard M. Olson</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34"/>
        </w:trPr>
        <w:tc>
          <w:tcPr>
            <w:tcW w:w="2380" w:type="dxa"/>
            <w:vAlign w:val="bottom"/>
          </w:tcPr>
          <w:p>
            <w:pPr>
              <w:ind w:left="120"/>
              <w:spacing w:after="0"/>
              <w:rPr>
                <w:sz w:val="20"/>
                <w:szCs w:val="20"/>
                <w:color w:val="auto"/>
              </w:rPr>
            </w:pPr>
            <w:r>
              <w:rPr>
                <w:rFonts w:ascii="Arial" w:cs="Arial" w:eastAsia="Arial" w:hAnsi="Arial"/>
                <w:sz w:val="11"/>
                <w:szCs w:val="11"/>
                <w:color w:val="auto"/>
              </w:rPr>
              <w:t>Stock Options</w:t>
            </w:r>
          </w:p>
        </w:tc>
        <w:tc>
          <w:tcPr>
            <w:tcW w:w="1020" w:type="dxa"/>
            <w:vAlign w:val="bottom"/>
          </w:tcPr>
          <w:p>
            <w:pPr>
              <w:jc w:val="right"/>
              <w:spacing w:after="0"/>
              <w:rPr>
                <w:sz w:val="20"/>
                <w:szCs w:val="20"/>
                <w:color w:val="auto"/>
              </w:rPr>
            </w:pPr>
            <w:r>
              <w:rPr>
                <w:rFonts w:ascii="Arial" w:cs="Arial" w:eastAsia="Arial" w:hAnsi="Arial"/>
                <w:sz w:val="11"/>
                <w:szCs w:val="11"/>
                <w:color w:val="auto"/>
              </w:rPr>
              <w:t>14,000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14.1125</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12/07/2021</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4"/>
        </w:trPr>
        <w:tc>
          <w:tcPr>
            <w:tcW w:w="2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12,600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21.0300</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12/11/2022</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4"/>
        </w:trPr>
        <w:tc>
          <w:tcPr>
            <w:tcW w:w="2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12,000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29.7500</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12/06/2023</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4"/>
        </w:trPr>
        <w:tc>
          <w:tcPr>
            <w:tcW w:w="2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20,000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31.3750</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12/05/2024</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4"/>
        </w:trPr>
        <w:tc>
          <w:tcPr>
            <w:tcW w:w="2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44,400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38.8200</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12/04/2025</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4"/>
        </w:trPr>
        <w:tc>
          <w:tcPr>
            <w:tcW w:w="2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119,400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56.5400</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12/09/2026</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4"/>
        </w:trPr>
        <w:tc>
          <w:tcPr>
            <w:tcW w:w="2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68,266</w:t>
            </w:r>
          </w:p>
        </w:tc>
        <w:tc>
          <w:tcPr>
            <w:tcW w:w="1020" w:type="dxa"/>
            <w:vAlign w:val="bottom"/>
          </w:tcPr>
          <w:p>
            <w:pPr>
              <w:jc w:val="right"/>
              <w:spacing w:after="0"/>
              <w:rPr>
                <w:sz w:val="20"/>
                <w:szCs w:val="20"/>
                <w:color w:val="auto"/>
              </w:rPr>
            </w:pPr>
            <w:r>
              <w:rPr>
                <w:rFonts w:ascii="Arial" w:cs="Arial" w:eastAsia="Arial" w:hAnsi="Arial"/>
                <w:sz w:val="11"/>
                <w:szCs w:val="11"/>
                <w:color w:val="auto"/>
              </w:rPr>
              <w:t>34,134</w:t>
            </w:r>
          </w:p>
        </w:tc>
        <w:tc>
          <w:tcPr>
            <w:tcW w:w="1020" w:type="dxa"/>
            <w:vAlign w:val="bottom"/>
          </w:tcPr>
          <w:p>
            <w:pPr>
              <w:jc w:val="right"/>
              <w:spacing w:after="0"/>
              <w:rPr>
                <w:sz w:val="20"/>
                <w:szCs w:val="20"/>
                <w:color w:val="auto"/>
              </w:rPr>
            </w:pPr>
            <w:r>
              <w:rPr>
                <w:rFonts w:ascii="Arial" w:cs="Arial" w:eastAsia="Arial" w:hAnsi="Arial"/>
                <w:sz w:val="11"/>
                <w:szCs w:val="11"/>
                <w:color w:val="auto"/>
              </w:rPr>
              <w:t>65.9300</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12/08/2027</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4"/>
        </w:trPr>
        <w:tc>
          <w:tcPr>
            <w:tcW w:w="2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45,700</w:t>
            </w:r>
          </w:p>
        </w:tc>
        <w:tc>
          <w:tcPr>
            <w:tcW w:w="1020" w:type="dxa"/>
            <w:vAlign w:val="bottom"/>
          </w:tcPr>
          <w:p>
            <w:pPr>
              <w:jc w:val="right"/>
              <w:spacing w:after="0"/>
              <w:rPr>
                <w:sz w:val="20"/>
                <w:szCs w:val="20"/>
                <w:color w:val="auto"/>
              </w:rPr>
            </w:pPr>
            <w:r>
              <w:rPr>
                <w:rFonts w:ascii="Arial" w:cs="Arial" w:eastAsia="Arial" w:hAnsi="Arial"/>
                <w:sz w:val="11"/>
                <w:szCs w:val="11"/>
                <w:color w:val="auto"/>
              </w:rPr>
              <w:t>91,400</w:t>
            </w:r>
          </w:p>
        </w:tc>
        <w:tc>
          <w:tcPr>
            <w:tcW w:w="1020" w:type="dxa"/>
            <w:vAlign w:val="bottom"/>
          </w:tcPr>
          <w:p>
            <w:pPr>
              <w:jc w:val="right"/>
              <w:spacing w:after="0"/>
              <w:rPr>
                <w:sz w:val="20"/>
                <w:szCs w:val="20"/>
                <w:color w:val="auto"/>
              </w:rPr>
            </w:pPr>
            <w:r>
              <w:rPr>
                <w:rFonts w:ascii="Arial" w:cs="Arial" w:eastAsia="Arial" w:hAnsi="Arial"/>
                <w:sz w:val="11"/>
                <w:szCs w:val="11"/>
                <w:color w:val="auto"/>
              </w:rPr>
              <w:t>58.5300</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12/07/2028</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4"/>
        </w:trPr>
        <w:tc>
          <w:tcPr>
            <w:tcW w:w="2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152,900</w:t>
            </w:r>
          </w:p>
        </w:tc>
        <w:tc>
          <w:tcPr>
            <w:tcW w:w="1020" w:type="dxa"/>
            <w:vAlign w:val="bottom"/>
          </w:tcPr>
          <w:p>
            <w:pPr>
              <w:jc w:val="right"/>
              <w:spacing w:after="0"/>
              <w:rPr>
                <w:sz w:val="20"/>
                <w:szCs w:val="20"/>
                <w:color w:val="auto"/>
              </w:rPr>
            </w:pPr>
            <w:r>
              <w:rPr>
                <w:rFonts w:ascii="Arial" w:cs="Arial" w:eastAsia="Arial" w:hAnsi="Arial"/>
                <w:sz w:val="11"/>
                <w:szCs w:val="11"/>
                <w:color w:val="auto"/>
              </w:rPr>
              <w:t>76.5300</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12/19/2029</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4"/>
        </w:trPr>
        <w:tc>
          <w:tcPr>
            <w:tcW w:w="2380" w:type="dxa"/>
            <w:vAlign w:val="bottom"/>
          </w:tcPr>
          <w:p>
            <w:pPr>
              <w:ind w:left="120"/>
              <w:spacing w:after="0"/>
              <w:rPr>
                <w:sz w:val="20"/>
                <w:szCs w:val="20"/>
                <w:color w:val="auto"/>
              </w:rPr>
            </w:pPr>
            <w:r>
              <w:rPr>
                <w:rFonts w:ascii="Arial" w:cs="Arial" w:eastAsia="Arial" w:hAnsi="Arial"/>
                <w:sz w:val="11"/>
                <w:szCs w:val="11"/>
                <w:color w:val="auto"/>
              </w:rPr>
              <w:t>F’19-F’21 Performance Shares</w:t>
            </w: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jc w:val="right"/>
              <w:ind w:right="146"/>
              <w:spacing w:after="0"/>
              <w:rPr>
                <w:sz w:val="20"/>
                <w:szCs w:val="20"/>
                <w:color w:val="auto"/>
              </w:rPr>
            </w:pPr>
            <w:r>
              <w:rPr>
                <w:rFonts w:ascii="Arial" w:cs="Arial" w:eastAsia="Arial" w:hAnsi="Arial"/>
                <w:sz w:val="11"/>
                <w:szCs w:val="11"/>
                <w:color w:val="auto"/>
              </w:rPr>
              <w:t>19,456</w:t>
            </w:r>
          </w:p>
        </w:tc>
        <w:tc>
          <w:tcPr>
            <w:tcW w:w="1240" w:type="dxa"/>
            <w:vAlign w:val="bottom"/>
          </w:tcPr>
          <w:p>
            <w:pPr>
              <w:jc w:val="right"/>
              <w:spacing w:after="0"/>
              <w:rPr>
                <w:sz w:val="20"/>
                <w:szCs w:val="20"/>
                <w:color w:val="auto"/>
              </w:rPr>
            </w:pPr>
            <w:r>
              <w:rPr>
                <w:rFonts w:ascii="Arial" w:cs="Arial" w:eastAsia="Arial" w:hAnsi="Arial"/>
                <w:sz w:val="11"/>
                <w:szCs w:val="11"/>
                <w:color w:val="auto"/>
              </w:rPr>
              <w:t>1,597,338</w:t>
            </w:r>
          </w:p>
        </w:tc>
      </w:tr>
      <w:tr>
        <w:trPr>
          <w:trHeight w:val="129"/>
        </w:trPr>
        <w:tc>
          <w:tcPr>
            <w:tcW w:w="2380" w:type="dxa"/>
            <w:vAlign w:val="bottom"/>
          </w:tcPr>
          <w:p>
            <w:pPr>
              <w:ind w:left="120"/>
              <w:spacing w:after="0"/>
              <w:rPr>
                <w:sz w:val="20"/>
                <w:szCs w:val="20"/>
                <w:color w:val="auto"/>
              </w:rPr>
            </w:pPr>
            <w:r>
              <w:rPr>
                <w:rFonts w:ascii="Arial" w:cs="Arial" w:eastAsia="Arial" w:hAnsi="Arial"/>
                <w:sz w:val="11"/>
                <w:szCs w:val="11"/>
                <w:color w:val="auto"/>
              </w:rPr>
              <w:t>F’20-F’22 Performance Shares</w:t>
            </w: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jc w:val="right"/>
              <w:ind w:right="146"/>
              <w:spacing w:after="0"/>
              <w:rPr>
                <w:sz w:val="20"/>
                <w:szCs w:val="20"/>
                <w:color w:val="auto"/>
              </w:rPr>
            </w:pPr>
            <w:r>
              <w:rPr>
                <w:rFonts w:ascii="Arial" w:cs="Arial" w:eastAsia="Arial" w:hAnsi="Arial"/>
                <w:sz w:val="11"/>
                <w:szCs w:val="11"/>
                <w:color w:val="auto"/>
              </w:rPr>
              <w:t>21,291</w:t>
            </w:r>
          </w:p>
        </w:tc>
        <w:tc>
          <w:tcPr>
            <w:tcW w:w="1240" w:type="dxa"/>
            <w:vAlign w:val="bottom"/>
          </w:tcPr>
          <w:p>
            <w:pPr>
              <w:jc w:val="right"/>
              <w:spacing w:after="0"/>
              <w:rPr>
                <w:sz w:val="20"/>
                <w:szCs w:val="20"/>
                <w:color w:val="auto"/>
              </w:rPr>
            </w:pPr>
            <w:r>
              <w:rPr>
                <w:rFonts w:ascii="Arial" w:cs="Arial" w:eastAsia="Arial" w:hAnsi="Arial"/>
                <w:sz w:val="11"/>
                <w:szCs w:val="11"/>
                <w:color w:val="auto"/>
              </w:rPr>
              <w:t>1,747,991</w:t>
            </w:r>
          </w:p>
        </w:tc>
      </w:tr>
      <w:tr>
        <w:trPr>
          <w:trHeight w:val="134"/>
        </w:trPr>
        <w:tc>
          <w:tcPr>
            <w:tcW w:w="2380" w:type="dxa"/>
            <w:vAlign w:val="bottom"/>
            <w:shd w:val="clear" w:color="auto" w:fill="D9D9D9"/>
          </w:tcPr>
          <w:p>
            <w:pPr>
              <w:spacing w:after="0"/>
              <w:rPr>
                <w:sz w:val="20"/>
                <w:szCs w:val="20"/>
                <w:color w:val="auto"/>
              </w:rPr>
            </w:pPr>
            <w:r>
              <w:rPr>
                <w:rFonts w:ascii="Arial" w:cs="Arial" w:eastAsia="Arial" w:hAnsi="Arial"/>
                <w:sz w:val="11"/>
                <w:szCs w:val="11"/>
                <w:color w:val="auto"/>
              </w:rPr>
              <w:t>Renee J. Peterson</w:t>
            </w: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60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4"/>
        </w:trPr>
        <w:tc>
          <w:tcPr>
            <w:tcW w:w="2380" w:type="dxa"/>
            <w:vAlign w:val="bottom"/>
            <w:shd w:val="clear" w:color="auto" w:fill="D9D9D9"/>
          </w:tcPr>
          <w:p>
            <w:pPr>
              <w:ind w:left="120"/>
              <w:spacing w:after="0"/>
              <w:rPr>
                <w:sz w:val="20"/>
                <w:szCs w:val="20"/>
                <w:color w:val="auto"/>
              </w:rPr>
            </w:pPr>
            <w:r>
              <w:rPr>
                <w:rFonts w:ascii="Arial" w:cs="Arial" w:eastAsia="Arial" w:hAnsi="Arial"/>
                <w:sz w:val="11"/>
                <w:szCs w:val="11"/>
                <w:color w:val="auto"/>
              </w:rPr>
              <w:t>Stock Options</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39,400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38.8200</w:t>
            </w:r>
          </w:p>
        </w:tc>
        <w:tc>
          <w:tcPr>
            <w:tcW w:w="1160" w:type="dxa"/>
            <w:vAlign w:val="bottom"/>
            <w:shd w:val="clear" w:color="auto" w:fill="D9D9D9"/>
          </w:tcPr>
          <w:p>
            <w:pPr>
              <w:jc w:val="right"/>
              <w:ind w:right="86"/>
              <w:spacing w:after="0"/>
              <w:rPr>
                <w:sz w:val="20"/>
                <w:szCs w:val="20"/>
                <w:color w:val="auto"/>
              </w:rPr>
            </w:pPr>
            <w:r>
              <w:rPr>
                <w:rFonts w:ascii="Arial" w:cs="Arial" w:eastAsia="Arial" w:hAnsi="Arial"/>
                <w:sz w:val="11"/>
                <w:szCs w:val="11"/>
                <w:color w:val="auto"/>
              </w:rPr>
              <w:t>12/04/2025</w:t>
            </w: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60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4"/>
        </w:trPr>
        <w:tc>
          <w:tcPr>
            <w:tcW w:w="2380" w:type="dxa"/>
            <w:vAlign w:val="bottom"/>
            <w:shd w:val="clear" w:color="auto" w:fill="D9D9D9"/>
          </w:tcPr>
          <w:p>
            <w:pPr>
              <w:spacing w:after="0"/>
              <w:rPr>
                <w:sz w:val="11"/>
                <w:szCs w:val="11"/>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36,300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56.5400</w:t>
            </w:r>
          </w:p>
        </w:tc>
        <w:tc>
          <w:tcPr>
            <w:tcW w:w="1160" w:type="dxa"/>
            <w:vAlign w:val="bottom"/>
            <w:shd w:val="clear" w:color="auto" w:fill="D9D9D9"/>
          </w:tcPr>
          <w:p>
            <w:pPr>
              <w:jc w:val="right"/>
              <w:ind w:right="86"/>
              <w:spacing w:after="0"/>
              <w:rPr>
                <w:sz w:val="20"/>
                <w:szCs w:val="20"/>
                <w:color w:val="auto"/>
              </w:rPr>
            </w:pPr>
            <w:r>
              <w:rPr>
                <w:rFonts w:ascii="Arial" w:cs="Arial" w:eastAsia="Arial" w:hAnsi="Arial"/>
                <w:sz w:val="11"/>
                <w:szCs w:val="11"/>
                <w:color w:val="auto"/>
              </w:rPr>
              <w:t>12/09/2026</w:t>
            </w: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60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4"/>
        </w:trPr>
        <w:tc>
          <w:tcPr>
            <w:tcW w:w="2380" w:type="dxa"/>
            <w:vAlign w:val="bottom"/>
            <w:shd w:val="clear" w:color="auto" w:fill="D9D9D9"/>
          </w:tcPr>
          <w:p>
            <w:pPr>
              <w:spacing w:after="0"/>
              <w:rPr>
                <w:sz w:val="11"/>
                <w:szCs w:val="11"/>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18,933</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9,467</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65.9300</w:t>
            </w:r>
          </w:p>
        </w:tc>
        <w:tc>
          <w:tcPr>
            <w:tcW w:w="1160" w:type="dxa"/>
            <w:vAlign w:val="bottom"/>
            <w:shd w:val="clear" w:color="auto" w:fill="D9D9D9"/>
          </w:tcPr>
          <w:p>
            <w:pPr>
              <w:jc w:val="right"/>
              <w:ind w:right="86"/>
              <w:spacing w:after="0"/>
              <w:rPr>
                <w:sz w:val="20"/>
                <w:szCs w:val="20"/>
                <w:color w:val="auto"/>
              </w:rPr>
            </w:pPr>
            <w:r>
              <w:rPr>
                <w:rFonts w:ascii="Arial" w:cs="Arial" w:eastAsia="Arial" w:hAnsi="Arial"/>
                <w:sz w:val="11"/>
                <w:szCs w:val="11"/>
                <w:color w:val="auto"/>
              </w:rPr>
              <w:t>12/08/2027</w:t>
            </w: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60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4"/>
        </w:trPr>
        <w:tc>
          <w:tcPr>
            <w:tcW w:w="2380" w:type="dxa"/>
            <w:vAlign w:val="bottom"/>
            <w:shd w:val="clear" w:color="auto" w:fill="D9D9D9"/>
          </w:tcPr>
          <w:p>
            <w:pPr>
              <w:spacing w:after="0"/>
              <w:rPr>
                <w:sz w:val="11"/>
                <w:szCs w:val="11"/>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11,133</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22,267</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58.5300</w:t>
            </w:r>
          </w:p>
        </w:tc>
        <w:tc>
          <w:tcPr>
            <w:tcW w:w="1160" w:type="dxa"/>
            <w:vAlign w:val="bottom"/>
            <w:shd w:val="clear" w:color="auto" w:fill="D9D9D9"/>
          </w:tcPr>
          <w:p>
            <w:pPr>
              <w:jc w:val="right"/>
              <w:ind w:right="86"/>
              <w:spacing w:after="0"/>
              <w:rPr>
                <w:sz w:val="20"/>
                <w:szCs w:val="20"/>
                <w:color w:val="auto"/>
              </w:rPr>
            </w:pPr>
            <w:r>
              <w:rPr>
                <w:rFonts w:ascii="Arial" w:cs="Arial" w:eastAsia="Arial" w:hAnsi="Arial"/>
                <w:sz w:val="11"/>
                <w:szCs w:val="11"/>
                <w:color w:val="auto"/>
              </w:rPr>
              <w:t>12/07/2028</w:t>
            </w: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60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4"/>
        </w:trPr>
        <w:tc>
          <w:tcPr>
            <w:tcW w:w="2380" w:type="dxa"/>
            <w:vAlign w:val="bottom"/>
            <w:shd w:val="clear" w:color="auto" w:fill="D9D9D9"/>
          </w:tcPr>
          <w:p>
            <w:pPr>
              <w:spacing w:after="0"/>
              <w:rPr>
                <w:sz w:val="11"/>
                <w:szCs w:val="11"/>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33,900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76.5300</w:t>
            </w:r>
          </w:p>
        </w:tc>
        <w:tc>
          <w:tcPr>
            <w:tcW w:w="1160" w:type="dxa"/>
            <w:vAlign w:val="bottom"/>
            <w:shd w:val="clear" w:color="auto" w:fill="D9D9D9"/>
          </w:tcPr>
          <w:p>
            <w:pPr>
              <w:jc w:val="right"/>
              <w:ind w:right="86"/>
              <w:spacing w:after="0"/>
              <w:rPr>
                <w:sz w:val="20"/>
                <w:szCs w:val="20"/>
                <w:color w:val="auto"/>
              </w:rPr>
            </w:pPr>
            <w:r>
              <w:rPr>
                <w:rFonts w:ascii="Arial" w:cs="Arial" w:eastAsia="Arial" w:hAnsi="Arial"/>
                <w:sz w:val="11"/>
                <w:szCs w:val="11"/>
                <w:color w:val="auto"/>
              </w:rPr>
              <w:t>12/19/2029</w:t>
            </w: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60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4"/>
        </w:trPr>
        <w:tc>
          <w:tcPr>
            <w:tcW w:w="2380" w:type="dxa"/>
            <w:vAlign w:val="bottom"/>
            <w:shd w:val="clear" w:color="auto" w:fill="D9D9D9"/>
          </w:tcPr>
          <w:p>
            <w:pPr>
              <w:ind w:left="120"/>
              <w:spacing w:after="0"/>
              <w:rPr>
                <w:sz w:val="20"/>
                <w:szCs w:val="20"/>
                <w:color w:val="auto"/>
              </w:rPr>
            </w:pPr>
            <w:r>
              <w:rPr>
                <w:rFonts w:ascii="Arial" w:cs="Arial" w:eastAsia="Arial" w:hAnsi="Arial"/>
                <w:sz w:val="11"/>
                <w:szCs w:val="11"/>
                <w:color w:val="auto"/>
              </w:rPr>
              <w:t>F’19-F’21 Performance Shares</w:t>
            </w: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600" w:type="dxa"/>
            <w:vAlign w:val="bottom"/>
            <w:shd w:val="clear" w:color="auto" w:fill="D9D9D9"/>
          </w:tcPr>
          <w:p>
            <w:pPr>
              <w:jc w:val="right"/>
              <w:ind w:right="146"/>
              <w:spacing w:after="0"/>
              <w:rPr>
                <w:sz w:val="20"/>
                <w:szCs w:val="20"/>
                <w:color w:val="auto"/>
              </w:rPr>
            </w:pPr>
            <w:r>
              <w:rPr>
                <w:rFonts w:ascii="Arial" w:cs="Arial" w:eastAsia="Arial" w:hAnsi="Arial"/>
                <w:sz w:val="11"/>
                <w:szCs w:val="11"/>
                <w:color w:val="auto"/>
              </w:rPr>
              <w:t>4,742</w:t>
            </w:r>
          </w:p>
        </w:tc>
        <w:tc>
          <w:tcPr>
            <w:tcW w:w="12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389,318</w:t>
            </w:r>
          </w:p>
        </w:tc>
      </w:tr>
      <w:tr>
        <w:trPr>
          <w:trHeight w:val="134"/>
        </w:trPr>
        <w:tc>
          <w:tcPr>
            <w:tcW w:w="2380" w:type="dxa"/>
            <w:vAlign w:val="bottom"/>
            <w:shd w:val="clear" w:color="auto" w:fill="D9D9D9"/>
          </w:tcPr>
          <w:p>
            <w:pPr>
              <w:ind w:left="120"/>
              <w:spacing w:after="0"/>
              <w:rPr>
                <w:sz w:val="20"/>
                <w:szCs w:val="20"/>
                <w:color w:val="auto"/>
              </w:rPr>
            </w:pPr>
            <w:r>
              <w:rPr>
                <w:rFonts w:ascii="Arial" w:cs="Arial" w:eastAsia="Arial" w:hAnsi="Arial"/>
                <w:sz w:val="11"/>
                <w:szCs w:val="11"/>
                <w:color w:val="auto"/>
              </w:rPr>
              <w:t>F’20-F’22 Performance Shares</w:t>
            </w: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900" w:type="dxa"/>
            <w:vAlign w:val="bottom"/>
            <w:shd w:val="clear" w:color="auto" w:fill="D9D9D9"/>
          </w:tcPr>
          <w:p>
            <w:pPr>
              <w:spacing w:after="0"/>
              <w:rPr>
                <w:sz w:val="11"/>
                <w:szCs w:val="11"/>
                <w:color w:val="auto"/>
              </w:rPr>
            </w:pPr>
          </w:p>
        </w:tc>
        <w:tc>
          <w:tcPr>
            <w:tcW w:w="1600" w:type="dxa"/>
            <w:vAlign w:val="bottom"/>
            <w:shd w:val="clear" w:color="auto" w:fill="D9D9D9"/>
          </w:tcPr>
          <w:p>
            <w:pPr>
              <w:jc w:val="right"/>
              <w:ind w:right="146"/>
              <w:spacing w:after="0"/>
              <w:rPr>
                <w:sz w:val="20"/>
                <w:szCs w:val="20"/>
                <w:color w:val="auto"/>
              </w:rPr>
            </w:pPr>
            <w:r>
              <w:rPr>
                <w:rFonts w:ascii="Arial" w:cs="Arial" w:eastAsia="Arial" w:hAnsi="Arial"/>
                <w:sz w:val="11"/>
                <w:szCs w:val="11"/>
                <w:color w:val="auto"/>
              </w:rPr>
              <w:t>4,724</w:t>
            </w:r>
          </w:p>
        </w:tc>
        <w:tc>
          <w:tcPr>
            <w:tcW w:w="12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387,840</w:t>
            </w:r>
          </w:p>
        </w:tc>
      </w:tr>
      <w:tr>
        <w:trPr>
          <w:trHeight w:val="139"/>
        </w:trPr>
        <w:tc>
          <w:tcPr>
            <w:tcW w:w="2380" w:type="dxa"/>
            <w:vAlign w:val="bottom"/>
          </w:tcPr>
          <w:p>
            <w:pPr>
              <w:spacing w:after="0"/>
              <w:rPr>
                <w:sz w:val="20"/>
                <w:szCs w:val="20"/>
                <w:color w:val="auto"/>
              </w:rPr>
            </w:pPr>
            <w:r>
              <w:rPr>
                <w:rFonts w:ascii="Arial" w:cs="Arial" w:eastAsia="Arial" w:hAnsi="Arial"/>
                <w:sz w:val="11"/>
                <w:szCs w:val="11"/>
                <w:color w:val="auto"/>
              </w:rPr>
              <w:t>Richard W. Rodier</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34"/>
        </w:trPr>
        <w:tc>
          <w:tcPr>
            <w:tcW w:w="2380" w:type="dxa"/>
            <w:vAlign w:val="bottom"/>
          </w:tcPr>
          <w:p>
            <w:pPr>
              <w:ind w:left="120"/>
              <w:spacing w:after="0"/>
              <w:rPr>
                <w:sz w:val="20"/>
                <w:szCs w:val="20"/>
                <w:color w:val="auto"/>
              </w:rPr>
            </w:pPr>
            <w:r>
              <w:rPr>
                <w:rFonts w:ascii="Arial" w:cs="Arial" w:eastAsia="Arial" w:hAnsi="Arial"/>
                <w:sz w:val="11"/>
                <w:szCs w:val="11"/>
                <w:color w:val="auto"/>
              </w:rPr>
              <w:t>Stock Options</w:t>
            </w:r>
          </w:p>
        </w:tc>
        <w:tc>
          <w:tcPr>
            <w:tcW w:w="1020" w:type="dxa"/>
            <w:vAlign w:val="bottom"/>
          </w:tcPr>
          <w:p>
            <w:pPr>
              <w:jc w:val="right"/>
              <w:spacing w:after="0"/>
              <w:rPr>
                <w:sz w:val="20"/>
                <w:szCs w:val="20"/>
                <w:color w:val="auto"/>
              </w:rPr>
            </w:pPr>
            <w:r>
              <w:rPr>
                <w:rFonts w:ascii="Arial" w:cs="Arial" w:eastAsia="Arial" w:hAnsi="Arial"/>
                <w:sz w:val="11"/>
                <w:szCs w:val="11"/>
                <w:color w:val="auto"/>
              </w:rPr>
              <w:t>3,400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14.1125</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12/07/2021</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4"/>
        </w:trPr>
        <w:tc>
          <w:tcPr>
            <w:tcW w:w="2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7,200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21.0300</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12/11/2022</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4"/>
        </w:trPr>
        <w:tc>
          <w:tcPr>
            <w:tcW w:w="2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6,000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29.7500</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12/06/2023</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4"/>
        </w:trPr>
        <w:tc>
          <w:tcPr>
            <w:tcW w:w="2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6,400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31.3750</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12/05/2024</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4"/>
        </w:trPr>
        <w:tc>
          <w:tcPr>
            <w:tcW w:w="2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7,400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38.8200</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12/04/2025</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4"/>
        </w:trPr>
        <w:tc>
          <w:tcPr>
            <w:tcW w:w="2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6,400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56.5400</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12/09/2026</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4"/>
        </w:trPr>
        <w:tc>
          <w:tcPr>
            <w:tcW w:w="2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4,400</w:t>
            </w:r>
          </w:p>
        </w:tc>
        <w:tc>
          <w:tcPr>
            <w:tcW w:w="1020" w:type="dxa"/>
            <w:vAlign w:val="bottom"/>
          </w:tcPr>
          <w:p>
            <w:pPr>
              <w:jc w:val="right"/>
              <w:spacing w:after="0"/>
              <w:rPr>
                <w:sz w:val="20"/>
                <w:szCs w:val="20"/>
                <w:color w:val="auto"/>
              </w:rPr>
            </w:pPr>
            <w:r>
              <w:rPr>
                <w:rFonts w:ascii="Arial" w:cs="Arial" w:eastAsia="Arial" w:hAnsi="Arial"/>
                <w:sz w:val="11"/>
                <w:szCs w:val="11"/>
                <w:color w:val="auto"/>
              </w:rPr>
              <w:t>2,200</w:t>
            </w:r>
          </w:p>
        </w:tc>
        <w:tc>
          <w:tcPr>
            <w:tcW w:w="1020" w:type="dxa"/>
            <w:vAlign w:val="bottom"/>
          </w:tcPr>
          <w:p>
            <w:pPr>
              <w:jc w:val="right"/>
              <w:spacing w:after="0"/>
              <w:rPr>
                <w:sz w:val="20"/>
                <w:szCs w:val="20"/>
                <w:color w:val="auto"/>
              </w:rPr>
            </w:pPr>
            <w:r>
              <w:rPr>
                <w:rFonts w:ascii="Arial" w:cs="Arial" w:eastAsia="Arial" w:hAnsi="Arial"/>
                <w:sz w:val="11"/>
                <w:szCs w:val="11"/>
                <w:color w:val="auto"/>
              </w:rPr>
              <w:t>65.9300</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12/08/2027</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4"/>
        </w:trPr>
        <w:tc>
          <w:tcPr>
            <w:tcW w:w="2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3,000</w:t>
            </w:r>
          </w:p>
        </w:tc>
        <w:tc>
          <w:tcPr>
            <w:tcW w:w="1020" w:type="dxa"/>
            <w:vAlign w:val="bottom"/>
          </w:tcPr>
          <w:p>
            <w:pPr>
              <w:jc w:val="right"/>
              <w:spacing w:after="0"/>
              <w:rPr>
                <w:sz w:val="20"/>
                <w:szCs w:val="20"/>
                <w:color w:val="auto"/>
              </w:rPr>
            </w:pPr>
            <w:r>
              <w:rPr>
                <w:rFonts w:ascii="Arial" w:cs="Arial" w:eastAsia="Arial" w:hAnsi="Arial"/>
                <w:sz w:val="11"/>
                <w:szCs w:val="11"/>
                <w:color w:val="auto"/>
              </w:rPr>
              <w:t>6,000</w:t>
            </w:r>
          </w:p>
        </w:tc>
        <w:tc>
          <w:tcPr>
            <w:tcW w:w="1020" w:type="dxa"/>
            <w:vAlign w:val="bottom"/>
          </w:tcPr>
          <w:p>
            <w:pPr>
              <w:jc w:val="right"/>
              <w:spacing w:after="0"/>
              <w:rPr>
                <w:sz w:val="20"/>
                <w:szCs w:val="20"/>
                <w:color w:val="auto"/>
              </w:rPr>
            </w:pPr>
            <w:r>
              <w:rPr>
                <w:rFonts w:ascii="Arial" w:cs="Arial" w:eastAsia="Arial" w:hAnsi="Arial"/>
                <w:sz w:val="11"/>
                <w:szCs w:val="11"/>
                <w:color w:val="auto"/>
              </w:rPr>
              <w:t>58.5300</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12/07/2028</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4"/>
        </w:trPr>
        <w:tc>
          <w:tcPr>
            <w:tcW w:w="2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18,200</w:t>
            </w:r>
          </w:p>
        </w:tc>
        <w:tc>
          <w:tcPr>
            <w:tcW w:w="1020" w:type="dxa"/>
            <w:vAlign w:val="bottom"/>
          </w:tcPr>
          <w:p>
            <w:pPr>
              <w:jc w:val="right"/>
              <w:spacing w:after="0"/>
              <w:rPr>
                <w:sz w:val="20"/>
                <w:szCs w:val="20"/>
                <w:color w:val="auto"/>
              </w:rPr>
            </w:pPr>
            <w:r>
              <w:rPr>
                <w:rFonts w:ascii="Arial" w:cs="Arial" w:eastAsia="Arial" w:hAnsi="Arial"/>
                <w:sz w:val="11"/>
                <w:szCs w:val="11"/>
                <w:color w:val="auto"/>
              </w:rPr>
              <w:t>76.5300</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12/19/2029</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4"/>
        </w:trPr>
        <w:tc>
          <w:tcPr>
            <w:tcW w:w="23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25,300</w:t>
            </w:r>
          </w:p>
        </w:tc>
        <w:tc>
          <w:tcPr>
            <w:tcW w:w="1020" w:type="dxa"/>
            <w:vAlign w:val="bottom"/>
          </w:tcPr>
          <w:p>
            <w:pPr>
              <w:jc w:val="right"/>
              <w:spacing w:after="0"/>
              <w:rPr>
                <w:sz w:val="20"/>
                <w:szCs w:val="20"/>
                <w:color w:val="auto"/>
              </w:rPr>
            </w:pPr>
            <w:r>
              <w:rPr>
                <w:rFonts w:ascii="Arial" w:cs="Arial" w:eastAsia="Arial" w:hAnsi="Arial"/>
                <w:sz w:val="11"/>
                <w:szCs w:val="11"/>
                <w:color w:val="auto"/>
              </w:rPr>
              <w:t>65.7700</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05/19/2030</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1588135</wp:posOffset>
            </wp:positionH>
            <wp:positionV relativeFrom="paragraph">
              <wp:posOffset>-3501390</wp:posOffset>
            </wp:positionV>
            <wp:extent cx="55499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5499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9"/>
        </w:trPr>
        <w:tc>
          <w:tcPr>
            <w:tcW w:w="1280" w:type="dxa"/>
            <w:vAlign w:val="bottom"/>
          </w:tcPr>
          <w:p>
            <w:pPr>
              <w:ind w:left="120"/>
              <w:spacing w:after="0"/>
              <w:rPr>
                <w:sz w:val="20"/>
                <w:szCs w:val="20"/>
                <w:color w:val="auto"/>
              </w:rPr>
            </w:pPr>
            <w:r>
              <w:rPr>
                <w:rFonts w:ascii="Arial" w:cs="Arial" w:eastAsia="Arial" w:hAnsi="Arial"/>
                <w:sz w:val="11"/>
                <w:szCs w:val="11"/>
                <w:color w:val="auto"/>
                <w:w w:val="99"/>
              </w:rPr>
              <w:t>Restricted Stock Units -</w:t>
            </w:r>
          </w:p>
        </w:tc>
        <w:tc>
          <w:tcPr>
            <w:tcW w:w="1160" w:type="dxa"/>
            <w:vAlign w:val="bottom"/>
          </w:tcPr>
          <w:p>
            <w:pPr>
              <w:jc w:val="right"/>
              <w:ind w:right="546"/>
              <w:spacing w:after="0"/>
              <w:rPr>
                <w:sz w:val="20"/>
                <w:szCs w:val="20"/>
                <w:color w:val="auto"/>
              </w:rPr>
            </w:pPr>
            <w:r>
              <w:rPr>
                <w:rFonts w:ascii="Arial" w:cs="Arial" w:eastAsia="Arial" w:hAnsi="Arial"/>
                <w:sz w:val="11"/>
                <w:szCs w:val="11"/>
                <w:color w:val="auto"/>
                <w:w w:val="98"/>
              </w:rPr>
              <w:t>04/01/2019</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80" w:type="dxa"/>
            <w:vAlign w:val="bottom"/>
          </w:tcPr>
          <w:p>
            <w:pPr>
              <w:jc w:val="right"/>
              <w:ind w:right="266"/>
              <w:spacing w:after="0"/>
              <w:rPr>
                <w:sz w:val="20"/>
                <w:szCs w:val="20"/>
                <w:color w:val="auto"/>
              </w:rPr>
            </w:pPr>
            <w:r>
              <w:rPr>
                <w:rFonts w:ascii="Arial" w:cs="Arial" w:eastAsia="Arial" w:hAnsi="Arial"/>
                <w:sz w:val="11"/>
                <w:szCs w:val="11"/>
                <w:color w:val="auto"/>
              </w:rPr>
              <w:t>3,928</w:t>
            </w:r>
          </w:p>
        </w:tc>
        <w:tc>
          <w:tcPr>
            <w:tcW w:w="2600" w:type="dxa"/>
            <w:vAlign w:val="bottom"/>
          </w:tcPr>
          <w:p>
            <w:pPr>
              <w:jc w:val="right"/>
              <w:ind w:right="1846"/>
              <w:spacing w:after="0"/>
              <w:rPr>
                <w:sz w:val="20"/>
                <w:szCs w:val="20"/>
                <w:color w:val="auto"/>
              </w:rPr>
            </w:pPr>
            <w:r>
              <w:rPr>
                <w:rFonts w:ascii="Arial" w:cs="Arial" w:eastAsia="Arial" w:hAnsi="Arial"/>
                <w:sz w:val="11"/>
                <w:szCs w:val="11"/>
                <w:color w:val="auto"/>
              </w:rPr>
              <w:t>322,489</w:t>
            </w:r>
          </w:p>
        </w:tc>
        <w:tc>
          <w:tcPr>
            <w:tcW w:w="920" w:type="dxa"/>
            <w:vAlign w:val="bottom"/>
          </w:tcPr>
          <w:p>
            <w:pPr>
              <w:spacing w:after="0"/>
              <w:rPr>
                <w:sz w:val="11"/>
                <w:szCs w:val="11"/>
                <w:color w:val="auto"/>
              </w:rPr>
            </w:pPr>
          </w:p>
        </w:tc>
      </w:tr>
      <w:tr>
        <w:trPr>
          <w:trHeight w:val="134"/>
        </w:trPr>
        <w:tc>
          <w:tcPr>
            <w:tcW w:w="3400" w:type="dxa"/>
            <w:vAlign w:val="bottom"/>
            <w:gridSpan w:val="4"/>
          </w:tcPr>
          <w:p>
            <w:pPr>
              <w:ind w:left="120"/>
              <w:spacing w:after="0"/>
              <w:rPr>
                <w:sz w:val="20"/>
                <w:szCs w:val="20"/>
                <w:color w:val="auto"/>
              </w:rPr>
            </w:pPr>
            <w:r>
              <w:rPr>
                <w:rFonts w:ascii="Arial" w:cs="Arial" w:eastAsia="Arial" w:hAnsi="Arial"/>
                <w:sz w:val="11"/>
                <w:szCs w:val="11"/>
                <w:color w:val="auto"/>
              </w:rPr>
              <w:t>Restricted Stock Units - 05/19/2020</w:t>
            </w: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80" w:type="dxa"/>
            <w:vAlign w:val="bottom"/>
          </w:tcPr>
          <w:p>
            <w:pPr>
              <w:jc w:val="right"/>
              <w:ind w:right="266"/>
              <w:spacing w:after="0"/>
              <w:rPr>
                <w:sz w:val="20"/>
                <w:szCs w:val="20"/>
                <w:color w:val="auto"/>
              </w:rPr>
            </w:pPr>
            <w:r>
              <w:rPr>
                <w:rFonts w:ascii="Arial" w:cs="Arial" w:eastAsia="Arial" w:hAnsi="Arial"/>
                <w:sz w:val="11"/>
                <w:szCs w:val="11"/>
                <w:color w:val="auto"/>
              </w:rPr>
              <w:t>1,611</w:t>
            </w:r>
          </w:p>
        </w:tc>
        <w:tc>
          <w:tcPr>
            <w:tcW w:w="2600" w:type="dxa"/>
            <w:vAlign w:val="bottom"/>
          </w:tcPr>
          <w:p>
            <w:pPr>
              <w:jc w:val="right"/>
              <w:ind w:right="1846"/>
              <w:spacing w:after="0"/>
              <w:rPr>
                <w:sz w:val="20"/>
                <w:szCs w:val="20"/>
                <w:color w:val="auto"/>
              </w:rPr>
            </w:pPr>
            <w:r>
              <w:rPr>
                <w:rFonts w:ascii="Arial" w:cs="Arial" w:eastAsia="Arial" w:hAnsi="Arial"/>
                <w:sz w:val="11"/>
                <w:szCs w:val="11"/>
                <w:color w:val="auto"/>
              </w:rPr>
              <w:t>132,263</w:t>
            </w:r>
          </w:p>
        </w:tc>
        <w:tc>
          <w:tcPr>
            <w:tcW w:w="920" w:type="dxa"/>
            <w:vAlign w:val="bottom"/>
          </w:tcPr>
          <w:p>
            <w:pPr>
              <w:spacing w:after="0"/>
              <w:rPr>
                <w:sz w:val="11"/>
                <w:szCs w:val="11"/>
                <w:color w:val="auto"/>
              </w:rPr>
            </w:pPr>
          </w:p>
        </w:tc>
      </w:tr>
      <w:tr>
        <w:trPr>
          <w:trHeight w:val="134"/>
        </w:trPr>
        <w:tc>
          <w:tcPr>
            <w:tcW w:w="3400" w:type="dxa"/>
            <w:vAlign w:val="bottom"/>
            <w:gridSpan w:val="4"/>
          </w:tcPr>
          <w:p>
            <w:pPr>
              <w:ind w:left="120"/>
              <w:spacing w:after="0"/>
              <w:rPr>
                <w:sz w:val="20"/>
                <w:szCs w:val="20"/>
                <w:color w:val="auto"/>
              </w:rPr>
            </w:pPr>
            <w:r>
              <w:rPr>
                <w:rFonts w:ascii="Arial" w:cs="Arial" w:eastAsia="Arial" w:hAnsi="Arial"/>
                <w:sz w:val="11"/>
                <w:szCs w:val="11"/>
                <w:color w:val="auto"/>
              </w:rPr>
              <w:t>F’19-F’21 Performance Shares</w:t>
            </w: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600" w:type="dxa"/>
            <w:vAlign w:val="bottom"/>
          </w:tcPr>
          <w:p>
            <w:pPr>
              <w:jc w:val="right"/>
              <w:ind w:right="466"/>
              <w:spacing w:after="0"/>
              <w:rPr>
                <w:sz w:val="20"/>
                <w:szCs w:val="20"/>
                <w:color w:val="auto"/>
              </w:rPr>
            </w:pPr>
            <w:r>
              <w:rPr>
                <w:rFonts w:ascii="Arial" w:cs="Arial" w:eastAsia="Arial" w:hAnsi="Arial"/>
                <w:sz w:val="11"/>
                <w:szCs w:val="11"/>
                <w:color w:val="auto"/>
              </w:rPr>
              <w:t>1,277</w:t>
            </w:r>
          </w:p>
        </w:tc>
        <w:tc>
          <w:tcPr>
            <w:tcW w:w="920" w:type="dxa"/>
            <w:vAlign w:val="bottom"/>
          </w:tcPr>
          <w:p>
            <w:pPr>
              <w:jc w:val="right"/>
              <w:spacing w:after="0"/>
              <w:rPr>
                <w:sz w:val="20"/>
                <w:szCs w:val="20"/>
                <w:color w:val="auto"/>
              </w:rPr>
            </w:pPr>
            <w:r>
              <w:rPr>
                <w:rFonts w:ascii="Arial" w:cs="Arial" w:eastAsia="Arial" w:hAnsi="Arial"/>
                <w:sz w:val="11"/>
                <w:szCs w:val="11"/>
                <w:color w:val="auto"/>
              </w:rPr>
              <w:t>104,841</w:t>
            </w:r>
          </w:p>
        </w:tc>
      </w:tr>
      <w:tr>
        <w:trPr>
          <w:trHeight w:val="129"/>
        </w:trPr>
        <w:tc>
          <w:tcPr>
            <w:tcW w:w="3400" w:type="dxa"/>
            <w:vAlign w:val="bottom"/>
            <w:gridSpan w:val="4"/>
          </w:tcPr>
          <w:p>
            <w:pPr>
              <w:ind w:left="120"/>
              <w:spacing w:after="0"/>
              <w:rPr>
                <w:sz w:val="20"/>
                <w:szCs w:val="20"/>
                <w:color w:val="auto"/>
              </w:rPr>
            </w:pPr>
            <w:r>
              <w:rPr>
                <w:rFonts w:ascii="Arial" w:cs="Arial" w:eastAsia="Arial" w:hAnsi="Arial"/>
                <w:sz w:val="11"/>
                <w:szCs w:val="11"/>
                <w:color w:val="auto"/>
              </w:rPr>
              <w:t>F’20-F’22 Performance Shares</w:t>
            </w: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600" w:type="dxa"/>
            <w:vAlign w:val="bottom"/>
          </w:tcPr>
          <w:p>
            <w:pPr>
              <w:jc w:val="right"/>
              <w:ind w:right="466"/>
              <w:spacing w:after="0"/>
              <w:rPr>
                <w:sz w:val="20"/>
                <w:szCs w:val="20"/>
                <w:color w:val="auto"/>
              </w:rPr>
            </w:pPr>
            <w:r>
              <w:rPr>
                <w:rFonts w:ascii="Arial" w:cs="Arial" w:eastAsia="Arial" w:hAnsi="Arial"/>
                <w:sz w:val="11"/>
                <w:szCs w:val="11"/>
                <w:color w:val="auto"/>
              </w:rPr>
              <w:t>2,538</w:t>
            </w:r>
          </w:p>
        </w:tc>
        <w:tc>
          <w:tcPr>
            <w:tcW w:w="920" w:type="dxa"/>
            <w:vAlign w:val="bottom"/>
          </w:tcPr>
          <w:p>
            <w:pPr>
              <w:jc w:val="right"/>
              <w:spacing w:after="0"/>
              <w:rPr>
                <w:sz w:val="20"/>
                <w:szCs w:val="20"/>
                <w:color w:val="auto"/>
              </w:rPr>
            </w:pPr>
            <w:r>
              <w:rPr>
                <w:rFonts w:ascii="Arial" w:cs="Arial" w:eastAsia="Arial" w:hAnsi="Arial"/>
                <w:sz w:val="11"/>
                <w:szCs w:val="11"/>
                <w:color w:val="auto"/>
              </w:rPr>
              <w:t>208,370</w:t>
            </w:r>
          </w:p>
        </w:tc>
      </w:tr>
      <w:tr>
        <w:trPr>
          <w:trHeight w:val="134"/>
        </w:trPr>
        <w:tc>
          <w:tcPr>
            <w:tcW w:w="1280" w:type="dxa"/>
            <w:vAlign w:val="bottom"/>
            <w:shd w:val="clear" w:color="auto" w:fill="D9D9D9"/>
          </w:tcPr>
          <w:p>
            <w:pPr>
              <w:spacing w:after="0"/>
              <w:rPr>
                <w:sz w:val="20"/>
                <w:szCs w:val="20"/>
                <w:color w:val="auto"/>
              </w:rPr>
            </w:pPr>
            <w:r>
              <w:rPr>
                <w:rFonts w:ascii="Arial" w:cs="Arial" w:eastAsia="Arial" w:hAnsi="Arial"/>
                <w:sz w:val="11"/>
                <w:szCs w:val="11"/>
                <w:color w:val="auto"/>
              </w:rPr>
              <w:t>Bradley A. Hamilton</w:t>
            </w:r>
          </w:p>
        </w:tc>
        <w:tc>
          <w:tcPr>
            <w:tcW w:w="1160" w:type="dxa"/>
            <w:vAlign w:val="bottom"/>
            <w:shd w:val="clear" w:color="auto" w:fill="D9D9D9"/>
          </w:tcPr>
          <w:p>
            <w:pPr>
              <w:spacing w:after="0"/>
              <w:rPr>
                <w:sz w:val="11"/>
                <w:szCs w:val="11"/>
                <w:color w:val="auto"/>
              </w:rPr>
            </w:pPr>
          </w:p>
        </w:tc>
        <w:tc>
          <w:tcPr>
            <w:tcW w:w="780" w:type="dxa"/>
            <w:vAlign w:val="bottom"/>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2280" w:type="dxa"/>
            <w:vAlign w:val="bottom"/>
            <w:shd w:val="clear" w:color="auto" w:fill="D9D9D9"/>
          </w:tcPr>
          <w:p>
            <w:pPr>
              <w:spacing w:after="0"/>
              <w:rPr>
                <w:sz w:val="11"/>
                <w:szCs w:val="11"/>
                <w:color w:val="auto"/>
              </w:rPr>
            </w:pPr>
          </w:p>
        </w:tc>
        <w:tc>
          <w:tcPr>
            <w:tcW w:w="260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r>
      <w:tr>
        <w:trPr>
          <w:trHeight w:val="134"/>
        </w:trPr>
        <w:tc>
          <w:tcPr>
            <w:tcW w:w="1280" w:type="dxa"/>
            <w:vAlign w:val="bottom"/>
            <w:shd w:val="clear" w:color="auto" w:fill="D9D9D9"/>
          </w:tcPr>
          <w:p>
            <w:pPr>
              <w:ind w:left="120"/>
              <w:spacing w:after="0"/>
              <w:rPr>
                <w:sz w:val="20"/>
                <w:szCs w:val="20"/>
                <w:color w:val="auto"/>
              </w:rPr>
            </w:pPr>
            <w:r>
              <w:rPr>
                <w:rFonts w:ascii="Arial" w:cs="Arial" w:eastAsia="Arial" w:hAnsi="Arial"/>
                <w:sz w:val="11"/>
                <w:szCs w:val="11"/>
                <w:color w:val="auto"/>
              </w:rPr>
              <w:t>Stock Options</w:t>
            </w:r>
          </w:p>
        </w:tc>
        <w:tc>
          <w:tcPr>
            <w:tcW w:w="1160" w:type="dxa"/>
            <w:vAlign w:val="bottom"/>
            <w:shd w:val="clear" w:color="auto" w:fill="D9D9D9"/>
          </w:tcPr>
          <w:p>
            <w:pPr>
              <w:spacing w:after="0"/>
              <w:rPr>
                <w:sz w:val="11"/>
                <w:szCs w:val="11"/>
                <w:color w:val="auto"/>
              </w:rPr>
            </w:pPr>
          </w:p>
        </w:tc>
        <w:tc>
          <w:tcPr>
            <w:tcW w:w="96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1,940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29.7500</w:t>
            </w:r>
          </w:p>
        </w:tc>
        <w:tc>
          <w:tcPr>
            <w:tcW w:w="2280" w:type="dxa"/>
            <w:vAlign w:val="bottom"/>
            <w:shd w:val="clear" w:color="auto" w:fill="D9D9D9"/>
          </w:tcPr>
          <w:p>
            <w:pPr>
              <w:jc w:val="right"/>
              <w:ind w:right="1206"/>
              <w:spacing w:after="0"/>
              <w:rPr>
                <w:sz w:val="20"/>
                <w:szCs w:val="20"/>
                <w:color w:val="auto"/>
              </w:rPr>
            </w:pPr>
            <w:r>
              <w:rPr>
                <w:rFonts w:ascii="Arial" w:cs="Arial" w:eastAsia="Arial" w:hAnsi="Arial"/>
                <w:sz w:val="11"/>
                <w:szCs w:val="11"/>
                <w:color w:val="auto"/>
              </w:rPr>
              <w:t>12/06/2023</w:t>
            </w:r>
          </w:p>
        </w:tc>
        <w:tc>
          <w:tcPr>
            <w:tcW w:w="260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r>
      <w:tr>
        <w:trPr>
          <w:trHeight w:val="134"/>
        </w:trPr>
        <w:tc>
          <w:tcPr>
            <w:tcW w:w="1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96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1,940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29.7500</w:t>
            </w:r>
          </w:p>
        </w:tc>
        <w:tc>
          <w:tcPr>
            <w:tcW w:w="2280" w:type="dxa"/>
            <w:vAlign w:val="bottom"/>
            <w:shd w:val="clear" w:color="auto" w:fill="D9D9D9"/>
          </w:tcPr>
          <w:p>
            <w:pPr>
              <w:jc w:val="right"/>
              <w:ind w:right="1206"/>
              <w:spacing w:after="0"/>
              <w:rPr>
                <w:sz w:val="20"/>
                <w:szCs w:val="20"/>
                <w:color w:val="auto"/>
              </w:rPr>
            </w:pPr>
            <w:r>
              <w:rPr>
                <w:rFonts w:ascii="Arial" w:cs="Arial" w:eastAsia="Arial" w:hAnsi="Arial"/>
                <w:sz w:val="11"/>
                <w:szCs w:val="11"/>
                <w:color w:val="auto"/>
              </w:rPr>
              <w:t>12/06/2023</w:t>
            </w:r>
          </w:p>
        </w:tc>
        <w:tc>
          <w:tcPr>
            <w:tcW w:w="260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r>
      <w:tr>
        <w:trPr>
          <w:trHeight w:val="134"/>
        </w:trPr>
        <w:tc>
          <w:tcPr>
            <w:tcW w:w="1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96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2,230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31.3750</w:t>
            </w:r>
          </w:p>
        </w:tc>
        <w:tc>
          <w:tcPr>
            <w:tcW w:w="2280" w:type="dxa"/>
            <w:vAlign w:val="bottom"/>
            <w:shd w:val="clear" w:color="auto" w:fill="D9D9D9"/>
          </w:tcPr>
          <w:p>
            <w:pPr>
              <w:jc w:val="right"/>
              <w:ind w:right="1206"/>
              <w:spacing w:after="0"/>
              <w:rPr>
                <w:sz w:val="20"/>
                <w:szCs w:val="20"/>
                <w:color w:val="auto"/>
              </w:rPr>
            </w:pPr>
            <w:r>
              <w:rPr>
                <w:rFonts w:ascii="Arial" w:cs="Arial" w:eastAsia="Arial" w:hAnsi="Arial"/>
                <w:sz w:val="11"/>
                <w:szCs w:val="11"/>
                <w:color w:val="auto"/>
              </w:rPr>
              <w:t>12/05/2024</w:t>
            </w:r>
          </w:p>
        </w:tc>
        <w:tc>
          <w:tcPr>
            <w:tcW w:w="260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r>
      <w:tr>
        <w:trPr>
          <w:trHeight w:val="134"/>
        </w:trPr>
        <w:tc>
          <w:tcPr>
            <w:tcW w:w="1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96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10,800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38.8200</w:t>
            </w:r>
          </w:p>
        </w:tc>
        <w:tc>
          <w:tcPr>
            <w:tcW w:w="2280" w:type="dxa"/>
            <w:vAlign w:val="bottom"/>
            <w:shd w:val="clear" w:color="auto" w:fill="D9D9D9"/>
          </w:tcPr>
          <w:p>
            <w:pPr>
              <w:jc w:val="right"/>
              <w:ind w:right="1206"/>
              <w:spacing w:after="0"/>
              <w:rPr>
                <w:sz w:val="20"/>
                <w:szCs w:val="20"/>
                <w:color w:val="auto"/>
              </w:rPr>
            </w:pPr>
            <w:r>
              <w:rPr>
                <w:rFonts w:ascii="Arial" w:cs="Arial" w:eastAsia="Arial" w:hAnsi="Arial"/>
                <w:sz w:val="11"/>
                <w:szCs w:val="11"/>
                <w:color w:val="auto"/>
              </w:rPr>
              <w:t>12/04/2025</w:t>
            </w:r>
          </w:p>
        </w:tc>
        <w:tc>
          <w:tcPr>
            <w:tcW w:w="260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r>
      <w:tr>
        <w:trPr>
          <w:trHeight w:val="134"/>
        </w:trPr>
        <w:tc>
          <w:tcPr>
            <w:tcW w:w="1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96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10,200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56.5400</w:t>
            </w:r>
          </w:p>
        </w:tc>
        <w:tc>
          <w:tcPr>
            <w:tcW w:w="2280" w:type="dxa"/>
            <w:vAlign w:val="bottom"/>
            <w:shd w:val="clear" w:color="auto" w:fill="D9D9D9"/>
          </w:tcPr>
          <w:p>
            <w:pPr>
              <w:jc w:val="right"/>
              <w:ind w:right="1206"/>
              <w:spacing w:after="0"/>
              <w:rPr>
                <w:sz w:val="20"/>
                <w:szCs w:val="20"/>
                <w:color w:val="auto"/>
              </w:rPr>
            </w:pPr>
            <w:r>
              <w:rPr>
                <w:rFonts w:ascii="Arial" w:cs="Arial" w:eastAsia="Arial" w:hAnsi="Arial"/>
                <w:sz w:val="11"/>
                <w:szCs w:val="11"/>
                <w:color w:val="auto"/>
              </w:rPr>
              <w:t>12/09/2026</w:t>
            </w:r>
          </w:p>
        </w:tc>
        <w:tc>
          <w:tcPr>
            <w:tcW w:w="260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r>
      <w:tr>
        <w:trPr>
          <w:trHeight w:val="134"/>
        </w:trPr>
        <w:tc>
          <w:tcPr>
            <w:tcW w:w="1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96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9,466</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4,734</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65.9300</w:t>
            </w:r>
          </w:p>
        </w:tc>
        <w:tc>
          <w:tcPr>
            <w:tcW w:w="2280" w:type="dxa"/>
            <w:vAlign w:val="bottom"/>
            <w:shd w:val="clear" w:color="auto" w:fill="D9D9D9"/>
          </w:tcPr>
          <w:p>
            <w:pPr>
              <w:jc w:val="right"/>
              <w:ind w:right="1206"/>
              <w:spacing w:after="0"/>
              <w:rPr>
                <w:sz w:val="20"/>
                <w:szCs w:val="20"/>
                <w:color w:val="auto"/>
              </w:rPr>
            </w:pPr>
            <w:r>
              <w:rPr>
                <w:rFonts w:ascii="Arial" w:cs="Arial" w:eastAsia="Arial" w:hAnsi="Arial"/>
                <w:sz w:val="11"/>
                <w:szCs w:val="11"/>
                <w:color w:val="auto"/>
              </w:rPr>
              <w:t>12/08/2027</w:t>
            </w:r>
          </w:p>
        </w:tc>
        <w:tc>
          <w:tcPr>
            <w:tcW w:w="260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r>
      <w:tr>
        <w:trPr>
          <w:trHeight w:val="134"/>
        </w:trPr>
        <w:tc>
          <w:tcPr>
            <w:tcW w:w="1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96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7,200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14,400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58.5300</w:t>
            </w:r>
          </w:p>
        </w:tc>
        <w:tc>
          <w:tcPr>
            <w:tcW w:w="2280" w:type="dxa"/>
            <w:vAlign w:val="bottom"/>
            <w:shd w:val="clear" w:color="auto" w:fill="D9D9D9"/>
          </w:tcPr>
          <w:p>
            <w:pPr>
              <w:jc w:val="right"/>
              <w:ind w:right="1206"/>
              <w:spacing w:after="0"/>
              <w:rPr>
                <w:sz w:val="20"/>
                <w:szCs w:val="20"/>
                <w:color w:val="auto"/>
              </w:rPr>
            </w:pPr>
            <w:r>
              <w:rPr>
                <w:rFonts w:ascii="Arial" w:cs="Arial" w:eastAsia="Arial" w:hAnsi="Arial"/>
                <w:sz w:val="11"/>
                <w:szCs w:val="11"/>
                <w:color w:val="auto"/>
              </w:rPr>
              <w:t>12/07/2028</w:t>
            </w:r>
          </w:p>
        </w:tc>
        <w:tc>
          <w:tcPr>
            <w:tcW w:w="260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r>
      <w:tr>
        <w:trPr>
          <w:trHeight w:val="134"/>
        </w:trPr>
        <w:tc>
          <w:tcPr>
            <w:tcW w:w="1280" w:type="dxa"/>
            <w:vAlign w:val="bottom"/>
            <w:shd w:val="clear" w:color="auto" w:fill="D9D9D9"/>
          </w:tcPr>
          <w:p>
            <w:pPr>
              <w:spacing w:after="0"/>
              <w:rPr>
                <w:sz w:val="11"/>
                <w:szCs w:val="11"/>
                <w:color w:val="auto"/>
              </w:rPr>
            </w:pPr>
          </w:p>
        </w:tc>
        <w:tc>
          <w:tcPr>
            <w:tcW w:w="1160" w:type="dxa"/>
            <w:vAlign w:val="bottom"/>
            <w:shd w:val="clear" w:color="auto" w:fill="D9D9D9"/>
          </w:tcPr>
          <w:p>
            <w:pPr>
              <w:spacing w:after="0"/>
              <w:rPr>
                <w:sz w:val="11"/>
                <w:szCs w:val="11"/>
                <w:color w:val="auto"/>
              </w:rPr>
            </w:pPr>
          </w:p>
        </w:tc>
        <w:tc>
          <w:tcPr>
            <w:tcW w:w="96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22,600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76.5300</w:t>
            </w:r>
          </w:p>
        </w:tc>
        <w:tc>
          <w:tcPr>
            <w:tcW w:w="2280" w:type="dxa"/>
            <w:vAlign w:val="bottom"/>
            <w:shd w:val="clear" w:color="auto" w:fill="D9D9D9"/>
          </w:tcPr>
          <w:p>
            <w:pPr>
              <w:jc w:val="right"/>
              <w:ind w:right="1206"/>
              <w:spacing w:after="0"/>
              <w:rPr>
                <w:sz w:val="20"/>
                <w:szCs w:val="20"/>
                <w:color w:val="auto"/>
              </w:rPr>
            </w:pPr>
            <w:r>
              <w:rPr>
                <w:rFonts w:ascii="Arial" w:cs="Arial" w:eastAsia="Arial" w:hAnsi="Arial"/>
                <w:sz w:val="11"/>
                <w:szCs w:val="11"/>
                <w:color w:val="auto"/>
              </w:rPr>
              <w:t>12/19/2029</w:t>
            </w:r>
          </w:p>
        </w:tc>
        <w:tc>
          <w:tcPr>
            <w:tcW w:w="2600" w:type="dxa"/>
            <w:vAlign w:val="bottom"/>
            <w:shd w:val="clear" w:color="auto" w:fill="D9D9D9"/>
          </w:tcPr>
          <w:p>
            <w:pPr>
              <w:spacing w:after="0"/>
              <w:rPr>
                <w:sz w:val="11"/>
                <w:szCs w:val="11"/>
                <w:color w:val="auto"/>
              </w:rPr>
            </w:pPr>
          </w:p>
        </w:tc>
        <w:tc>
          <w:tcPr>
            <w:tcW w:w="920" w:type="dxa"/>
            <w:vAlign w:val="bottom"/>
            <w:shd w:val="clear" w:color="auto" w:fill="D9D9D9"/>
          </w:tcPr>
          <w:p>
            <w:pPr>
              <w:spacing w:after="0"/>
              <w:rPr>
                <w:sz w:val="11"/>
                <w:szCs w:val="11"/>
                <w:color w:val="auto"/>
              </w:rPr>
            </w:pPr>
          </w:p>
        </w:tc>
      </w:tr>
      <w:tr>
        <w:trPr>
          <w:trHeight w:val="134"/>
        </w:trPr>
        <w:tc>
          <w:tcPr>
            <w:tcW w:w="2440" w:type="dxa"/>
            <w:vAlign w:val="bottom"/>
            <w:gridSpan w:val="2"/>
            <w:shd w:val="clear" w:color="auto" w:fill="D9D9D9"/>
          </w:tcPr>
          <w:p>
            <w:pPr>
              <w:ind w:left="120"/>
              <w:spacing w:after="0"/>
              <w:rPr>
                <w:sz w:val="20"/>
                <w:szCs w:val="20"/>
                <w:color w:val="auto"/>
              </w:rPr>
            </w:pPr>
            <w:r>
              <w:rPr>
                <w:rFonts w:ascii="Arial" w:cs="Arial" w:eastAsia="Arial" w:hAnsi="Arial"/>
                <w:sz w:val="11"/>
                <w:szCs w:val="11"/>
                <w:color w:val="auto"/>
              </w:rPr>
              <w:t>F’19-F’21 Performance Shares</w:t>
            </w:r>
          </w:p>
        </w:tc>
        <w:tc>
          <w:tcPr>
            <w:tcW w:w="780" w:type="dxa"/>
            <w:vAlign w:val="bottom"/>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2280" w:type="dxa"/>
            <w:vAlign w:val="bottom"/>
            <w:shd w:val="clear" w:color="auto" w:fill="D9D9D9"/>
          </w:tcPr>
          <w:p>
            <w:pPr>
              <w:spacing w:after="0"/>
              <w:rPr>
                <w:sz w:val="11"/>
                <w:szCs w:val="11"/>
                <w:color w:val="auto"/>
              </w:rPr>
            </w:pPr>
          </w:p>
        </w:tc>
        <w:tc>
          <w:tcPr>
            <w:tcW w:w="2600" w:type="dxa"/>
            <w:vAlign w:val="bottom"/>
            <w:shd w:val="clear" w:color="auto" w:fill="D9D9D9"/>
          </w:tcPr>
          <w:p>
            <w:pPr>
              <w:jc w:val="right"/>
              <w:ind w:right="466"/>
              <w:spacing w:after="0"/>
              <w:rPr>
                <w:sz w:val="20"/>
                <w:szCs w:val="20"/>
                <w:color w:val="auto"/>
              </w:rPr>
            </w:pPr>
            <w:r>
              <w:rPr>
                <w:rFonts w:ascii="Arial" w:cs="Arial" w:eastAsia="Arial" w:hAnsi="Arial"/>
                <w:sz w:val="11"/>
                <w:szCs w:val="11"/>
                <w:color w:val="auto"/>
              </w:rPr>
              <w:t>3,040</w:t>
            </w:r>
          </w:p>
        </w:tc>
        <w:tc>
          <w:tcPr>
            <w:tcW w:w="9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249,584</w:t>
            </w:r>
          </w:p>
        </w:tc>
      </w:tr>
      <w:tr>
        <w:trPr>
          <w:trHeight w:val="134"/>
        </w:trPr>
        <w:tc>
          <w:tcPr>
            <w:tcW w:w="2440" w:type="dxa"/>
            <w:vAlign w:val="bottom"/>
            <w:gridSpan w:val="2"/>
            <w:shd w:val="clear" w:color="auto" w:fill="D9D9D9"/>
          </w:tcPr>
          <w:p>
            <w:pPr>
              <w:ind w:left="120"/>
              <w:spacing w:after="0"/>
              <w:rPr>
                <w:sz w:val="20"/>
                <w:szCs w:val="20"/>
                <w:color w:val="auto"/>
              </w:rPr>
            </w:pPr>
            <w:r>
              <w:rPr>
                <w:rFonts w:ascii="Arial" w:cs="Arial" w:eastAsia="Arial" w:hAnsi="Arial"/>
                <w:sz w:val="11"/>
                <w:szCs w:val="11"/>
                <w:color w:val="auto"/>
              </w:rPr>
              <w:t>F’20-F’22 Performance Shares</w:t>
            </w:r>
          </w:p>
        </w:tc>
        <w:tc>
          <w:tcPr>
            <w:tcW w:w="780" w:type="dxa"/>
            <w:vAlign w:val="bottom"/>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2280" w:type="dxa"/>
            <w:vAlign w:val="bottom"/>
            <w:shd w:val="clear" w:color="auto" w:fill="D9D9D9"/>
          </w:tcPr>
          <w:p>
            <w:pPr>
              <w:spacing w:after="0"/>
              <w:rPr>
                <w:sz w:val="11"/>
                <w:szCs w:val="11"/>
                <w:color w:val="auto"/>
              </w:rPr>
            </w:pPr>
          </w:p>
        </w:tc>
        <w:tc>
          <w:tcPr>
            <w:tcW w:w="2600" w:type="dxa"/>
            <w:vAlign w:val="bottom"/>
            <w:shd w:val="clear" w:color="auto" w:fill="D9D9D9"/>
          </w:tcPr>
          <w:p>
            <w:pPr>
              <w:jc w:val="right"/>
              <w:ind w:right="466"/>
              <w:spacing w:after="0"/>
              <w:rPr>
                <w:sz w:val="20"/>
                <w:szCs w:val="20"/>
                <w:color w:val="auto"/>
              </w:rPr>
            </w:pPr>
            <w:r>
              <w:rPr>
                <w:rFonts w:ascii="Arial" w:cs="Arial" w:eastAsia="Arial" w:hAnsi="Arial"/>
                <w:sz w:val="11"/>
                <w:szCs w:val="11"/>
                <w:color w:val="auto"/>
              </w:rPr>
              <w:t>3,173</w:t>
            </w:r>
          </w:p>
        </w:tc>
        <w:tc>
          <w:tcPr>
            <w:tcW w:w="9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260,351</w:t>
            </w:r>
          </w:p>
        </w:tc>
      </w:tr>
      <w:tr>
        <w:trPr>
          <w:trHeight w:val="139"/>
        </w:trPr>
        <w:tc>
          <w:tcPr>
            <w:tcW w:w="1280" w:type="dxa"/>
            <w:vAlign w:val="bottom"/>
          </w:tcPr>
          <w:p>
            <w:pPr>
              <w:spacing w:after="0"/>
              <w:rPr>
                <w:sz w:val="20"/>
                <w:szCs w:val="20"/>
                <w:color w:val="auto"/>
              </w:rPr>
            </w:pPr>
            <w:r>
              <w:rPr>
                <w:rFonts w:ascii="Arial" w:cs="Arial" w:eastAsia="Arial" w:hAnsi="Arial"/>
                <w:sz w:val="11"/>
                <w:szCs w:val="11"/>
                <w:color w:val="auto"/>
              </w:rPr>
              <w:t>Amy E. Dahl</w:t>
            </w: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34"/>
        </w:trPr>
        <w:tc>
          <w:tcPr>
            <w:tcW w:w="1280" w:type="dxa"/>
            <w:vAlign w:val="bottom"/>
          </w:tcPr>
          <w:p>
            <w:pPr>
              <w:ind w:left="120"/>
              <w:spacing w:after="0"/>
              <w:rPr>
                <w:sz w:val="20"/>
                <w:szCs w:val="20"/>
                <w:color w:val="auto"/>
              </w:rPr>
            </w:pPr>
            <w:r>
              <w:rPr>
                <w:rFonts w:ascii="Arial" w:cs="Arial" w:eastAsia="Arial" w:hAnsi="Arial"/>
                <w:sz w:val="11"/>
                <w:szCs w:val="11"/>
                <w:color w:val="auto"/>
              </w:rPr>
              <w:t>Stock Options</w:t>
            </w:r>
          </w:p>
        </w:tc>
        <w:tc>
          <w:tcPr>
            <w:tcW w:w="2120" w:type="dxa"/>
            <w:vAlign w:val="bottom"/>
            <w:gridSpan w:val="3"/>
          </w:tcPr>
          <w:p>
            <w:pPr>
              <w:jc w:val="right"/>
              <w:ind w:right="20"/>
              <w:spacing w:after="0"/>
              <w:rPr>
                <w:sz w:val="20"/>
                <w:szCs w:val="20"/>
                <w:color w:val="auto"/>
              </w:rPr>
            </w:pPr>
            <w:r>
              <w:rPr>
                <w:rFonts w:ascii="Arial" w:cs="Arial" w:eastAsia="Arial" w:hAnsi="Arial"/>
                <w:sz w:val="11"/>
                <w:szCs w:val="11"/>
                <w:color w:val="auto"/>
              </w:rPr>
              <w:t>2,600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21.0300</w:t>
            </w:r>
          </w:p>
        </w:tc>
        <w:tc>
          <w:tcPr>
            <w:tcW w:w="2280" w:type="dxa"/>
            <w:vAlign w:val="bottom"/>
          </w:tcPr>
          <w:p>
            <w:pPr>
              <w:jc w:val="right"/>
              <w:ind w:right="1206"/>
              <w:spacing w:after="0"/>
              <w:rPr>
                <w:sz w:val="20"/>
                <w:szCs w:val="20"/>
                <w:color w:val="auto"/>
              </w:rPr>
            </w:pPr>
            <w:r>
              <w:rPr>
                <w:rFonts w:ascii="Arial" w:cs="Arial" w:eastAsia="Arial" w:hAnsi="Arial"/>
                <w:sz w:val="11"/>
                <w:szCs w:val="11"/>
                <w:color w:val="auto"/>
              </w:rPr>
              <w:t>12/11/2022</w:t>
            </w:r>
          </w:p>
        </w:tc>
        <w:tc>
          <w:tcPr>
            <w:tcW w:w="26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4"/>
        </w:trPr>
        <w:tc>
          <w:tcPr>
            <w:tcW w:w="1280" w:type="dxa"/>
            <w:vAlign w:val="bottom"/>
          </w:tcPr>
          <w:p>
            <w:pPr>
              <w:spacing w:after="0"/>
              <w:rPr>
                <w:sz w:val="11"/>
                <w:szCs w:val="11"/>
                <w:color w:val="auto"/>
              </w:rPr>
            </w:pPr>
          </w:p>
        </w:tc>
        <w:tc>
          <w:tcPr>
            <w:tcW w:w="2120" w:type="dxa"/>
            <w:vAlign w:val="bottom"/>
            <w:gridSpan w:val="3"/>
          </w:tcPr>
          <w:p>
            <w:pPr>
              <w:jc w:val="right"/>
              <w:ind w:right="20"/>
              <w:spacing w:after="0"/>
              <w:rPr>
                <w:sz w:val="20"/>
                <w:szCs w:val="20"/>
                <w:color w:val="auto"/>
              </w:rPr>
            </w:pPr>
            <w:r>
              <w:rPr>
                <w:rFonts w:ascii="Arial" w:cs="Arial" w:eastAsia="Arial" w:hAnsi="Arial"/>
                <w:sz w:val="11"/>
                <w:szCs w:val="11"/>
                <w:color w:val="auto"/>
              </w:rPr>
              <w:t>2,600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21.0300</w:t>
            </w:r>
          </w:p>
        </w:tc>
        <w:tc>
          <w:tcPr>
            <w:tcW w:w="2280" w:type="dxa"/>
            <w:vAlign w:val="bottom"/>
          </w:tcPr>
          <w:p>
            <w:pPr>
              <w:jc w:val="right"/>
              <w:ind w:right="1206"/>
              <w:spacing w:after="0"/>
              <w:rPr>
                <w:sz w:val="20"/>
                <w:szCs w:val="20"/>
                <w:color w:val="auto"/>
              </w:rPr>
            </w:pPr>
            <w:r>
              <w:rPr>
                <w:rFonts w:ascii="Arial" w:cs="Arial" w:eastAsia="Arial" w:hAnsi="Arial"/>
                <w:sz w:val="11"/>
                <w:szCs w:val="11"/>
                <w:color w:val="auto"/>
              </w:rPr>
              <w:t>12/11/2022</w:t>
            </w:r>
          </w:p>
        </w:tc>
        <w:tc>
          <w:tcPr>
            <w:tcW w:w="26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4"/>
        </w:trPr>
        <w:tc>
          <w:tcPr>
            <w:tcW w:w="1280" w:type="dxa"/>
            <w:vAlign w:val="bottom"/>
          </w:tcPr>
          <w:p>
            <w:pPr>
              <w:spacing w:after="0"/>
              <w:rPr>
                <w:sz w:val="11"/>
                <w:szCs w:val="11"/>
                <w:color w:val="auto"/>
              </w:rPr>
            </w:pPr>
          </w:p>
        </w:tc>
        <w:tc>
          <w:tcPr>
            <w:tcW w:w="2120" w:type="dxa"/>
            <w:vAlign w:val="bottom"/>
            <w:gridSpan w:val="3"/>
          </w:tcPr>
          <w:p>
            <w:pPr>
              <w:jc w:val="right"/>
              <w:ind w:right="20"/>
              <w:spacing w:after="0"/>
              <w:rPr>
                <w:sz w:val="20"/>
                <w:szCs w:val="20"/>
                <w:color w:val="auto"/>
              </w:rPr>
            </w:pPr>
            <w:r>
              <w:rPr>
                <w:rFonts w:ascii="Arial" w:cs="Arial" w:eastAsia="Arial" w:hAnsi="Arial"/>
                <w:sz w:val="11"/>
                <w:szCs w:val="11"/>
                <w:color w:val="auto"/>
              </w:rPr>
              <w:t>2,230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29.7500</w:t>
            </w:r>
          </w:p>
        </w:tc>
        <w:tc>
          <w:tcPr>
            <w:tcW w:w="2280" w:type="dxa"/>
            <w:vAlign w:val="bottom"/>
          </w:tcPr>
          <w:p>
            <w:pPr>
              <w:jc w:val="right"/>
              <w:ind w:right="1206"/>
              <w:spacing w:after="0"/>
              <w:rPr>
                <w:sz w:val="20"/>
                <w:szCs w:val="20"/>
                <w:color w:val="auto"/>
              </w:rPr>
            </w:pPr>
            <w:r>
              <w:rPr>
                <w:rFonts w:ascii="Arial" w:cs="Arial" w:eastAsia="Arial" w:hAnsi="Arial"/>
                <w:sz w:val="11"/>
                <w:szCs w:val="11"/>
                <w:color w:val="auto"/>
              </w:rPr>
              <w:t>12/06/2023</w:t>
            </w:r>
          </w:p>
        </w:tc>
        <w:tc>
          <w:tcPr>
            <w:tcW w:w="26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4"/>
        </w:trPr>
        <w:tc>
          <w:tcPr>
            <w:tcW w:w="1280" w:type="dxa"/>
            <w:vAlign w:val="bottom"/>
          </w:tcPr>
          <w:p>
            <w:pPr>
              <w:spacing w:after="0"/>
              <w:rPr>
                <w:sz w:val="11"/>
                <w:szCs w:val="11"/>
                <w:color w:val="auto"/>
              </w:rPr>
            </w:pPr>
          </w:p>
        </w:tc>
        <w:tc>
          <w:tcPr>
            <w:tcW w:w="2120" w:type="dxa"/>
            <w:vAlign w:val="bottom"/>
            <w:gridSpan w:val="3"/>
          </w:tcPr>
          <w:p>
            <w:pPr>
              <w:jc w:val="right"/>
              <w:ind w:right="20"/>
              <w:spacing w:after="0"/>
              <w:rPr>
                <w:sz w:val="20"/>
                <w:szCs w:val="20"/>
                <w:color w:val="auto"/>
              </w:rPr>
            </w:pPr>
            <w:r>
              <w:rPr>
                <w:rFonts w:ascii="Arial" w:cs="Arial" w:eastAsia="Arial" w:hAnsi="Arial"/>
                <w:sz w:val="11"/>
                <w:szCs w:val="11"/>
                <w:color w:val="auto"/>
              </w:rPr>
              <w:t>2,230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29.7500</w:t>
            </w:r>
          </w:p>
        </w:tc>
        <w:tc>
          <w:tcPr>
            <w:tcW w:w="2280" w:type="dxa"/>
            <w:vAlign w:val="bottom"/>
          </w:tcPr>
          <w:p>
            <w:pPr>
              <w:jc w:val="right"/>
              <w:ind w:right="1206"/>
              <w:spacing w:after="0"/>
              <w:rPr>
                <w:sz w:val="20"/>
                <w:szCs w:val="20"/>
                <w:color w:val="auto"/>
              </w:rPr>
            </w:pPr>
            <w:r>
              <w:rPr>
                <w:rFonts w:ascii="Arial" w:cs="Arial" w:eastAsia="Arial" w:hAnsi="Arial"/>
                <w:sz w:val="11"/>
                <w:szCs w:val="11"/>
                <w:color w:val="auto"/>
              </w:rPr>
              <w:t>12/06/2023</w:t>
            </w:r>
          </w:p>
        </w:tc>
        <w:tc>
          <w:tcPr>
            <w:tcW w:w="26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4"/>
        </w:trPr>
        <w:tc>
          <w:tcPr>
            <w:tcW w:w="1280" w:type="dxa"/>
            <w:vAlign w:val="bottom"/>
          </w:tcPr>
          <w:p>
            <w:pPr>
              <w:spacing w:after="0"/>
              <w:rPr>
                <w:sz w:val="11"/>
                <w:szCs w:val="11"/>
                <w:color w:val="auto"/>
              </w:rPr>
            </w:pPr>
          </w:p>
        </w:tc>
        <w:tc>
          <w:tcPr>
            <w:tcW w:w="2120" w:type="dxa"/>
            <w:vAlign w:val="bottom"/>
            <w:gridSpan w:val="3"/>
          </w:tcPr>
          <w:p>
            <w:pPr>
              <w:jc w:val="right"/>
              <w:ind w:right="20"/>
              <w:spacing w:after="0"/>
              <w:rPr>
                <w:sz w:val="20"/>
                <w:szCs w:val="20"/>
                <w:color w:val="auto"/>
              </w:rPr>
            </w:pPr>
            <w:r>
              <w:rPr>
                <w:rFonts w:ascii="Arial" w:cs="Arial" w:eastAsia="Arial" w:hAnsi="Arial"/>
                <w:sz w:val="11"/>
                <w:szCs w:val="11"/>
                <w:color w:val="auto"/>
              </w:rPr>
              <w:t>2,230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31.3750</w:t>
            </w:r>
          </w:p>
        </w:tc>
        <w:tc>
          <w:tcPr>
            <w:tcW w:w="2280" w:type="dxa"/>
            <w:vAlign w:val="bottom"/>
          </w:tcPr>
          <w:p>
            <w:pPr>
              <w:jc w:val="right"/>
              <w:ind w:right="1206"/>
              <w:spacing w:after="0"/>
              <w:rPr>
                <w:sz w:val="20"/>
                <w:szCs w:val="20"/>
                <w:color w:val="auto"/>
              </w:rPr>
            </w:pPr>
            <w:r>
              <w:rPr>
                <w:rFonts w:ascii="Arial" w:cs="Arial" w:eastAsia="Arial" w:hAnsi="Arial"/>
                <w:sz w:val="11"/>
                <w:szCs w:val="11"/>
                <w:color w:val="auto"/>
              </w:rPr>
              <w:t>12/05/2024</w:t>
            </w:r>
          </w:p>
        </w:tc>
        <w:tc>
          <w:tcPr>
            <w:tcW w:w="26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4"/>
        </w:trPr>
        <w:tc>
          <w:tcPr>
            <w:tcW w:w="1280" w:type="dxa"/>
            <w:vAlign w:val="bottom"/>
          </w:tcPr>
          <w:p>
            <w:pPr>
              <w:spacing w:after="0"/>
              <w:rPr>
                <w:sz w:val="11"/>
                <w:szCs w:val="11"/>
                <w:color w:val="auto"/>
              </w:rPr>
            </w:pPr>
          </w:p>
        </w:tc>
        <w:tc>
          <w:tcPr>
            <w:tcW w:w="2120" w:type="dxa"/>
            <w:vAlign w:val="bottom"/>
            <w:gridSpan w:val="3"/>
          </w:tcPr>
          <w:p>
            <w:pPr>
              <w:jc w:val="right"/>
              <w:ind w:right="20"/>
              <w:spacing w:after="0"/>
              <w:rPr>
                <w:sz w:val="20"/>
                <w:szCs w:val="20"/>
                <w:color w:val="auto"/>
              </w:rPr>
            </w:pPr>
            <w:r>
              <w:rPr>
                <w:rFonts w:ascii="Arial" w:cs="Arial" w:eastAsia="Arial" w:hAnsi="Arial"/>
                <w:sz w:val="11"/>
                <w:szCs w:val="11"/>
                <w:color w:val="auto"/>
              </w:rPr>
              <w:t>2,230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31.3750</w:t>
            </w:r>
          </w:p>
        </w:tc>
        <w:tc>
          <w:tcPr>
            <w:tcW w:w="2280" w:type="dxa"/>
            <w:vAlign w:val="bottom"/>
          </w:tcPr>
          <w:p>
            <w:pPr>
              <w:jc w:val="right"/>
              <w:ind w:right="1206"/>
              <w:spacing w:after="0"/>
              <w:rPr>
                <w:sz w:val="20"/>
                <w:szCs w:val="20"/>
                <w:color w:val="auto"/>
              </w:rPr>
            </w:pPr>
            <w:r>
              <w:rPr>
                <w:rFonts w:ascii="Arial" w:cs="Arial" w:eastAsia="Arial" w:hAnsi="Arial"/>
                <w:sz w:val="11"/>
                <w:szCs w:val="11"/>
                <w:color w:val="auto"/>
              </w:rPr>
              <w:t>12/05/2024</w:t>
            </w:r>
          </w:p>
        </w:tc>
        <w:tc>
          <w:tcPr>
            <w:tcW w:w="26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4"/>
        </w:trPr>
        <w:tc>
          <w:tcPr>
            <w:tcW w:w="1280" w:type="dxa"/>
            <w:vAlign w:val="bottom"/>
          </w:tcPr>
          <w:p>
            <w:pPr>
              <w:spacing w:after="0"/>
              <w:rPr>
                <w:sz w:val="11"/>
                <w:szCs w:val="11"/>
                <w:color w:val="auto"/>
              </w:rPr>
            </w:pPr>
          </w:p>
        </w:tc>
        <w:tc>
          <w:tcPr>
            <w:tcW w:w="2120" w:type="dxa"/>
            <w:vAlign w:val="bottom"/>
            <w:gridSpan w:val="3"/>
          </w:tcPr>
          <w:p>
            <w:pPr>
              <w:jc w:val="right"/>
              <w:ind w:right="20"/>
              <w:spacing w:after="0"/>
              <w:rPr>
                <w:sz w:val="20"/>
                <w:szCs w:val="20"/>
                <w:color w:val="auto"/>
              </w:rPr>
            </w:pPr>
            <w:r>
              <w:rPr>
                <w:rFonts w:ascii="Arial" w:cs="Arial" w:eastAsia="Arial" w:hAnsi="Arial"/>
                <w:sz w:val="11"/>
                <w:szCs w:val="11"/>
                <w:color w:val="auto"/>
              </w:rPr>
              <w:t>17,200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38.8200</w:t>
            </w:r>
          </w:p>
        </w:tc>
        <w:tc>
          <w:tcPr>
            <w:tcW w:w="2280" w:type="dxa"/>
            <w:vAlign w:val="bottom"/>
          </w:tcPr>
          <w:p>
            <w:pPr>
              <w:jc w:val="right"/>
              <w:ind w:right="1206"/>
              <w:spacing w:after="0"/>
              <w:rPr>
                <w:sz w:val="20"/>
                <w:szCs w:val="20"/>
                <w:color w:val="auto"/>
              </w:rPr>
            </w:pPr>
            <w:r>
              <w:rPr>
                <w:rFonts w:ascii="Arial" w:cs="Arial" w:eastAsia="Arial" w:hAnsi="Arial"/>
                <w:sz w:val="11"/>
                <w:szCs w:val="11"/>
                <w:color w:val="auto"/>
              </w:rPr>
              <w:t>12/04/2025</w:t>
            </w:r>
          </w:p>
        </w:tc>
        <w:tc>
          <w:tcPr>
            <w:tcW w:w="26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4"/>
        </w:trPr>
        <w:tc>
          <w:tcPr>
            <w:tcW w:w="1280" w:type="dxa"/>
            <w:vAlign w:val="bottom"/>
          </w:tcPr>
          <w:p>
            <w:pPr>
              <w:spacing w:after="0"/>
              <w:rPr>
                <w:sz w:val="11"/>
                <w:szCs w:val="11"/>
                <w:color w:val="auto"/>
              </w:rPr>
            </w:pPr>
          </w:p>
        </w:tc>
        <w:tc>
          <w:tcPr>
            <w:tcW w:w="2120" w:type="dxa"/>
            <w:vAlign w:val="bottom"/>
            <w:gridSpan w:val="3"/>
          </w:tcPr>
          <w:p>
            <w:pPr>
              <w:jc w:val="right"/>
              <w:ind w:right="20"/>
              <w:spacing w:after="0"/>
              <w:rPr>
                <w:sz w:val="20"/>
                <w:szCs w:val="20"/>
                <w:color w:val="auto"/>
              </w:rPr>
            </w:pPr>
            <w:r>
              <w:rPr>
                <w:rFonts w:ascii="Arial" w:cs="Arial" w:eastAsia="Arial" w:hAnsi="Arial"/>
                <w:sz w:val="11"/>
                <w:szCs w:val="11"/>
                <w:color w:val="auto"/>
              </w:rPr>
              <w:t>16,600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56.5400</w:t>
            </w:r>
          </w:p>
        </w:tc>
        <w:tc>
          <w:tcPr>
            <w:tcW w:w="2280" w:type="dxa"/>
            <w:vAlign w:val="bottom"/>
          </w:tcPr>
          <w:p>
            <w:pPr>
              <w:jc w:val="right"/>
              <w:ind w:right="1206"/>
              <w:spacing w:after="0"/>
              <w:rPr>
                <w:sz w:val="20"/>
                <w:szCs w:val="20"/>
                <w:color w:val="auto"/>
              </w:rPr>
            </w:pPr>
            <w:r>
              <w:rPr>
                <w:rFonts w:ascii="Arial" w:cs="Arial" w:eastAsia="Arial" w:hAnsi="Arial"/>
                <w:sz w:val="11"/>
                <w:szCs w:val="11"/>
                <w:color w:val="auto"/>
              </w:rPr>
              <w:t>12/09/2026</w:t>
            </w:r>
          </w:p>
        </w:tc>
        <w:tc>
          <w:tcPr>
            <w:tcW w:w="26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4"/>
        </w:trPr>
        <w:tc>
          <w:tcPr>
            <w:tcW w:w="1280" w:type="dxa"/>
            <w:vAlign w:val="bottom"/>
          </w:tcPr>
          <w:p>
            <w:pPr>
              <w:spacing w:after="0"/>
              <w:rPr>
                <w:sz w:val="11"/>
                <w:szCs w:val="11"/>
                <w:color w:val="auto"/>
              </w:rPr>
            </w:pPr>
          </w:p>
        </w:tc>
        <w:tc>
          <w:tcPr>
            <w:tcW w:w="2120" w:type="dxa"/>
            <w:vAlign w:val="bottom"/>
            <w:gridSpan w:val="3"/>
          </w:tcPr>
          <w:p>
            <w:pPr>
              <w:jc w:val="right"/>
              <w:ind w:right="20"/>
              <w:spacing w:after="0"/>
              <w:rPr>
                <w:sz w:val="20"/>
                <w:szCs w:val="20"/>
                <w:color w:val="auto"/>
              </w:rPr>
            </w:pPr>
            <w:r>
              <w:rPr>
                <w:rFonts w:ascii="Arial" w:cs="Arial" w:eastAsia="Arial" w:hAnsi="Arial"/>
                <w:sz w:val="11"/>
                <w:szCs w:val="11"/>
                <w:color w:val="auto"/>
              </w:rPr>
              <w:t>8,800</w:t>
            </w:r>
          </w:p>
        </w:tc>
        <w:tc>
          <w:tcPr>
            <w:tcW w:w="1020" w:type="dxa"/>
            <w:vAlign w:val="bottom"/>
          </w:tcPr>
          <w:p>
            <w:pPr>
              <w:jc w:val="right"/>
              <w:spacing w:after="0"/>
              <w:rPr>
                <w:sz w:val="20"/>
                <w:szCs w:val="20"/>
                <w:color w:val="auto"/>
              </w:rPr>
            </w:pPr>
            <w:r>
              <w:rPr>
                <w:rFonts w:ascii="Arial" w:cs="Arial" w:eastAsia="Arial" w:hAnsi="Arial"/>
                <w:sz w:val="11"/>
                <w:szCs w:val="11"/>
                <w:color w:val="auto"/>
              </w:rPr>
              <w:t>4,400</w:t>
            </w:r>
          </w:p>
        </w:tc>
        <w:tc>
          <w:tcPr>
            <w:tcW w:w="1020" w:type="dxa"/>
            <w:vAlign w:val="bottom"/>
          </w:tcPr>
          <w:p>
            <w:pPr>
              <w:jc w:val="right"/>
              <w:spacing w:after="0"/>
              <w:rPr>
                <w:sz w:val="20"/>
                <w:szCs w:val="20"/>
                <w:color w:val="auto"/>
              </w:rPr>
            </w:pPr>
            <w:r>
              <w:rPr>
                <w:rFonts w:ascii="Arial" w:cs="Arial" w:eastAsia="Arial" w:hAnsi="Arial"/>
                <w:sz w:val="11"/>
                <w:szCs w:val="11"/>
                <w:color w:val="auto"/>
              </w:rPr>
              <w:t>65.9300</w:t>
            </w:r>
          </w:p>
        </w:tc>
        <w:tc>
          <w:tcPr>
            <w:tcW w:w="2280" w:type="dxa"/>
            <w:vAlign w:val="bottom"/>
          </w:tcPr>
          <w:p>
            <w:pPr>
              <w:jc w:val="right"/>
              <w:ind w:right="1206"/>
              <w:spacing w:after="0"/>
              <w:rPr>
                <w:sz w:val="20"/>
                <w:szCs w:val="20"/>
                <w:color w:val="auto"/>
              </w:rPr>
            </w:pPr>
            <w:r>
              <w:rPr>
                <w:rFonts w:ascii="Arial" w:cs="Arial" w:eastAsia="Arial" w:hAnsi="Arial"/>
                <w:sz w:val="11"/>
                <w:szCs w:val="11"/>
                <w:color w:val="auto"/>
              </w:rPr>
              <w:t>12/08/2027</w:t>
            </w:r>
          </w:p>
        </w:tc>
        <w:tc>
          <w:tcPr>
            <w:tcW w:w="26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4"/>
        </w:trPr>
        <w:tc>
          <w:tcPr>
            <w:tcW w:w="1280" w:type="dxa"/>
            <w:vAlign w:val="bottom"/>
          </w:tcPr>
          <w:p>
            <w:pPr>
              <w:spacing w:after="0"/>
              <w:rPr>
                <w:sz w:val="11"/>
                <w:szCs w:val="11"/>
                <w:color w:val="auto"/>
              </w:rPr>
            </w:pPr>
          </w:p>
        </w:tc>
        <w:tc>
          <w:tcPr>
            <w:tcW w:w="2120" w:type="dxa"/>
            <w:vAlign w:val="bottom"/>
            <w:gridSpan w:val="3"/>
          </w:tcPr>
          <w:p>
            <w:pPr>
              <w:jc w:val="right"/>
              <w:ind w:right="20"/>
              <w:spacing w:after="0"/>
              <w:rPr>
                <w:sz w:val="20"/>
                <w:szCs w:val="20"/>
                <w:color w:val="auto"/>
              </w:rPr>
            </w:pPr>
            <w:r>
              <w:rPr>
                <w:rFonts w:ascii="Arial" w:cs="Arial" w:eastAsia="Arial" w:hAnsi="Arial"/>
                <w:sz w:val="11"/>
                <w:szCs w:val="11"/>
                <w:color w:val="auto"/>
              </w:rPr>
              <w:t>5,400</w:t>
            </w:r>
          </w:p>
        </w:tc>
        <w:tc>
          <w:tcPr>
            <w:tcW w:w="1020" w:type="dxa"/>
            <w:vAlign w:val="bottom"/>
          </w:tcPr>
          <w:p>
            <w:pPr>
              <w:jc w:val="right"/>
              <w:spacing w:after="0"/>
              <w:rPr>
                <w:sz w:val="20"/>
                <w:szCs w:val="20"/>
                <w:color w:val="auto"/>
              </w:rPr>
            </w:pPr>
            <w:r>
              <w:rPr>
                <w:rFonts w:ascii="Arial" w:cs="Arial" w:eastAsia="Arial" w:hAnsi="Arial"/>
                <w:sz w:val="11"/>
                <w:szCs w:val="11"/>
                <w:color w:val="auto"/>
              </w:rPr>
              <w:t>10,800</w:t>
            </w:r>
          </w:p>
        </w:tc>
        <w:tc>
          <w:tcPr>
            <w:tcW w:w="1020" w:type="dxa"/>
            <w:vAlign w:val="bottom"/>
          </w:tcPr>
          <w:p>
            <w:pPr>
              <w:jc w:val="right"/>
              <w:spacing w:after="0"/>
              <w:rPr>
                <w:sz w:val="20"/>
                <w:szCs w:val="20"/>
                <w:color w:val="auto"/>
              </w:rPr>
            </w:pPr>
            <w:r>
              <w:rPr>
                <w:rFonts w:ascii="Arial" w:cs="Arial" w:eastAsia="Arial" w:hAnsi="Arial"/>
                <w:sz w:val="11"/>
                <w:szCs w:val="11"/>
                <w:color w:val="auto"/>
              </w:rPr>
              <w:t>58.5300</w:t>
            </w:r>
          </w:p>
        </w:tc>
        <w:tc>
          <w:tcPr>
            <w:tcW w:w="2280" w:type="dxa"/>
            <w:vAlign w:val="bottom"/>
          </w:tcPr>
          <w:p>
            <w:pPr>
              <w:jc w:val="right"/>
              <w:ind w:right="1206"/>
              <w:spacing w:after="0"/>
              <w:rPr>
                <w:sz w:val="20"/>
                <w:szCs w:val="20"/>
                <w:color w:val="auto"/>
              </w:rPr>
            </w:pPr>
            <w:r>
              <w:rPr>
                <w:rFonts w:ascii="Arial" w:cs="Arial" w:eastAsia="Arial" w:hAnsi="Arial"/>
                <w:sz w:val="11"/>
                <w:szCs w:val="11"/>
                <w:color w:val="auto"/>
              </w:rPr>
              <w:t>12/07/2028</w:t>
            </w:r>
          </w:p>
        </w:tc>
        <w:tc>
          <w:tcPr>
            <w:tcW w:w="26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4"/>
        </w:trPr>
        <w:tc>
          <w:tcPr>
            <w:tcW w:w="1280" w:type="dxa"/>
            <w:vAlign w:val="bottom"/>
          </w:tcPr>
          <w:p>
            <w:pPr>
              <w:spacing w:after="0"/>
              <w:rPr>
                <w:sz w:val="11"/>
                <w:szCs w:val="11"/>
                <w:color w:val="auto"/>
              </w:rPr>
            </w:pPr>
          </w:p>
        </w:tc>
        <w:tc>
          <w:tcPr>
            <w:tcW w:w="2120" w:type="dxa"/>
            <w:vAlign w:val="bottom"/>
            <w:gridSpan w:val="3"/>
          </w:tcPr>
          <w:p>
            <w:pPr>
              <w:jc w:val="right"/>
              <w:ind w:right="20"/>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20,800</w:t>
            </w:r>
          </w:p>
        </w:tc>
        <w:tc>
          <w:tcPr>
            <w:tcW w:w="1020" w:type="dxa"/>
            <w:vAlign w:val="bottom"/>
          </w:tcPr>
          <w:p>
            <w:pPr>
              <w:jc w:val="right"/>
              <w:spacing w:after="0"/>
              <w:rPr>
                <w:sz w:val="20"/>
                <w:szCs w:val="20"/>
                <w:color w:val="auto"/>
              </w:rPr>
            </w:pPr>
            <w:r>
              <w:rPr>
                <w:rFonts w:ascii="Arial" w:cs="Arial" w:eastAsia="Arial" w:hAnsi="Arial"/>
                <w:sz w:val="11"/>
                <w:szCs w:val="11"/>
                <w:color w:val="auto"/>
              </w:rPr>
              <w:t>76.5300</w:t>
            </w:r>
          </w:p>
        </w:tc>
        <w:tc>
          <w:tcPr>
            <w:tcW w:w="2280" w:type="dxa"/>
            <w:vAlign w:val="bottom"/>
          </w:tcPr>
          <w:p>
            <w:pPr>
              <w:jc w:val="right"/>
              <w:ind w:right="1206"/>
              <w:spacing w:after="0"/>
              <w:rPr>
                <w:sz w:val="20"/>
                <w:szCs w:val="20"/>
                <w:color w:val="auto"/>
              </w:rPr>
            </w:pPr>
            <w:r>
              <w:rPr>
                <w:rFonts w:ascii="Arial" w:cs="Arial" w:eastAsia="Arial" w:hAnsi="Arial"/>
                <w:sz w:val="11"/>
                <w:szCs w:val="11"/>
                <w:color w:val="auto"/>
              </w:rPr>
              <w:t>12/19/2029</w:t>
            </w:r>
          </w:p>
        </w:tc>
        <w:tc>
          <w:tcPr>
            <w:tcW w:w="26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4"/>
        </w:trPr>
        <w:tc>
          <w:tcPr>
            <w:tcW w:w="3400" w:type="dxa"/>
            <w:vAlign w:val="bottom"/>
            <w:gridSpan w:val="4"/>
          </w:tcPr>
          <w:p>
            <w:pPr>
              <w:ind w:left="120"/>
              <w:spacing w:after="0"/>
              <w:rPr>
                <w:sz w:val="20"/>
                <w:szCs w:val="20"/>
                <w:color w:val="auto"/>
              </w:rPr>
            </w:pPr>
            <w:r>
              <w:rPr>
                <w:rFonts w:ascii="Arial" w:cs="Arial" w:eastAsia="Arial" w:hAnsi="Arial"/>
                <w:sz w:val="11"/>
                <w:szCs w:val="11"/>
                <w:color w:val="auto"/>
              </w:rPr>
              <w:t>F’19-F’21 Performance Shares</w:t>
            </w: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600" w:type="dxa"/>
            <w:vAlign w:val="bottom"/>
          </w:tcPr>
          <w:p>
            <w:pPr>
              <w:jc w:val="right"/>
              <w:ind w:right="466"/>
              <w:spacing w:after="0"/>
              <w:rPr>
                <w:sz w:val="20"/>
                <w:szCs w:val="20"/>
                <w:color w:val="auto"/>
              </w:rPr>
            </w:pPr>
            <w:r>
              <w:rPr>
                <w:rFonts w:ascii="Arial" w:cs="Arial" w:eastAsia="Arial" w:hAnsi="Arial"/>
                <w:sz w:val="11"/>
                <w:szCs w:val="11"/>
                <w:color w:val="auto"/>
              </w:rPr>
              <w:t>2,310</w:t>
            </w:r>
          </w:p>
        </w:tc>
        <w:tc>
          <w:tcPr>
            <w:tcW w:w="920" w:type="dxa"/>
            <w:vAlign w:val="bottom"/>
          </w:tcPr>
          <w:p>
            <w:pPr>
              <w:jc w:val="right"/>
              <w:spacing w:after="0"/>
              <w:rPr>
                <w:sz w:val="20"/>
                <w:szCs w:val="20"/>
                <w:color w:val="auto"/>
              </w:rPr>
            </w:pPr>
            <w:r>
              <w:rPr>
                <w:rFonts w:ascii="Arial" w:cs="Arial" w:eastAsia="Arial" w:hAnsi="Arial"/>
                <w:sz w:val="11"/>
                <w:szCs w:val="11"/>
                <w:color w:val="auto"/>
              </w:rPr>
              <w:t>189,651</w:t>
            </w:r>
          </w:p>
        </w:tc>
      </w:tr>
      <w:tr>
        <w:trPr>
          <w:trHeight w:val="134"/>
        </w:trPr>
        <w:tc>
          <w:tcPr>
            <w:tcW w:w="3400" w:type="dxa"/>
            <w:vAlign w:val="bottom"/>
            <w:gridSpan w:val="4"/>
          </w:tcPr>
          <w:p>
            <w:pPr>
              <w:ind w:left="120"/>
              <w:spacing w:after="0"/>
              <w:rPr>
                <w:sz w:val="20"/>
                <w:szCs w:val="20"/>
                <w:color w:val="auto"/>
              </w:rPr>
            </w:pPr>
            <w:r>
              <w:rPr>
                <w:rFonts w:ascii="Arial" w:cs="Arial" w:eastAsia="Arial" w:hAnsi="Arial"/>
                <w:sz w:val="11"/>
                <w:szCs w:val="11"/>
                <w:color w:val="auto"/>
              </w:rPr>
              <w:t>F’20-F’22 Performance Shares</w:t>
            </w: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600" w:type="dxa"/>
            <w:vAlign w:val="bottom"/>
          </w:tcPr>
          <w:p>
            <w:pPr>
              <w:jc w:val="right"/>
              <w:ind w:right="466"/>
              <w:spacing w:after="0"/>
              <w:rPr>
                <w:sz w:val="20"/>
                <w:szCs w:val="20"/>
                <w:color w:val="auto"/>
              </w:rPr>
            </w:pPr>
            <w:r>
              <w:rPr>
                <w:rFonts w:ascii="Arial" w:cs="Arial" w:eastAsia="Arial" w:hAnsi="Arial"/>
                <w:sz w:val="11"/>
                <w:szCs w:val="11"/>
                <w:color w:val="auto"/>
              </w:rPr>
              <w:t>2,891</w:t>
            </w:r>
          </w:p>
        </w:tc>
        <w:tc>
          <w:tcPr>
            <w:tcW w:w="920" w:type="dxa"/>
            <w:vAlign w:val="bottom"/>
          </w:tcPr>
          <w:p>
            <w:pPr>
              <w:jc w:val="right"/>
              <w:spacing w:after="0"/>
              <w:rPr>
                <w:sz w:val="20"/>
                <w:szCs w:val="20"/>
                <w:color w:val="auto"/>
              </w:rPr>
            </w:pPr>
            <w:r>
              <w:rPr>
                <w:rFonts w:ascii="Arial" w:cs="Arial" w:eastAsia="Arial" w:hAnsi="Arial"/>
                <w:sz w:val="11"/>
                <w:szCs w:val="11"/>
                <w:color w:val="auto"/>
              </w:rPr>
              <w:t>237,351</w:t>
            </w:r>
          </w:p>
        </w:tc>
      </w:tr>
      <w:tr>
        <w:trPr>
          <w:trHeight w:val="102"/>
        </w:trPr>
        <w:tc>
          <w:tcPr>
            <w:tcW w:w="1280" w:type="dxa"/>
            <w:vAlign w:val="bottom"/>
            <w:tcBorders>
              <w:bottom w:val="single" w:sz="8" w:color="C00000"/>
            </w:tcBorders>
          </w:tcPr>
          <w:p>
            <w:pPr>
              <w:spacing w:after="0"/>
              <w:rPr>
                <w:sz w:val="8"/>
                <w:szCs w:val="8"/>
                <w:color w:val="auto"/>
              </w:rPr>
            </w:pPr>
          </w:p>
        </w:tc>
        <w:tc>
          <w:tcPr>
            <w:tcW w:w="1160" w:type="dxa"/>
            <w:vAlign w:val="bottom"/>
            <w:tcBorders>
              <w:bottom w:val="single" w:sz="8" w:color="C00000"/>
            </w:tcBorders>
          </w:tcPr>
          <w:p>
            <w:pPr>
              <w:spacing w:after="0"/>
              <w:rPr>
                <w:sz w:val="8"/>
                <w:szCs w:val="8"/>
                <w:color w:val="auto"/>
              </w:rPr>
            </w:pPr>
          </w:p>
        </w:tc>
        <w:tc>
          <w:tcPr>
            <w:tcW w:w="780" w:type="dxa"/>
            <w:vAlign w:val="bottom"/>
            <w:tcBorders>
              <w:bottom w:val="single" w:sz="8" w:color="C00000"/>
            </w:tcBorders>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36" w:lineRule="exact"/>
        <w:rPr>
          <w:sz w:val="20"/>
          <w:szCs w:val="20"/>
          <w:color w:val="auto"/>
        </w:rPr>
      </w:pPr>
    </w:p>
    <w:p>
      <w:pPr>
        <w:ind w:left="400" w:right="400" w:hanging="393"/>
        <w:spacing w:after="0" w:line="257" w:lineRule="auto"/>
        <w:tabs>
          <w:tab w:leader="none" w:pos="4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Stock options have a ten-year term and vest ratably in three equal installments on each of the first, second and third year anniversaries of the grant date. The vesting schedule for options unexercisable as of October 31, 2020 is as follows:</w:t>
      </w:r>
    </w:p>
    <w:p>
      <w:pPr>
        <w:spacing w:after="0" w:line="10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shd w:val="clear" w:color="auto" w:fill="C00000"/>
          </w:tcPr>
          <w:p>
            <w:pPr>
              <w:spacing w:after="0"/>
              <w:rPr>
                <w:sz w:val="14"/>
                <w:szCs w:val="14"/>
                <w:color w:val="auto"/>
              </w:rPr>
            </w:pPr>
          </w:p>
        </w:tc>
        <w:tc>
          <w:tcPr>
            <w:tcW w:w="880" w:type="dxa"/>
            <w:vAlign w:val="bottom"/>
            <w:shd w:val="clear" w:color="auto" w:fill="C00000"/>
          </w:tcPr>
          <w:p>
            <w:pPr>
              <w:spacing w:after="0"/>
              <w:rPr>
                <w:sz w:val="14"/>
                <w:szCs w:val="14"/>
                <w:color w:val="auto"/>
              </w:rPr>
            </w:pPr>
          </w:p>
        </w:tc>
        <w:tc>
          <w:tcPr>
            <w:tcW w:w="840" w:type="dxa"/>
            <w:vAlign w:val="bottom"/>
            <w:shd w:val="clear" w:color="auto" w:fill="C00000"/>
          </w:tcPr>
          <w:p>
            <w:pPr>
              <w:spacing w:after="0"/>
              <w:rPr>
                <w:sz w:val="14"/>
                <w:szCs w:val="14"/>
                <w:color w:val="auto"/>
              </w:rPr>
            </w:pPr>
          </w:p>
        </w:tc>
        <w:tc>
          <w:tcPr>
            <w:tcW w:w="3380" w:type="dxa"/>
            <w:vAlign w:val="bottom"/>
            <w:shd w:val="clear" w:color="auto" w:fill="C00000"/>
          </w:tcPr>
          <w:p>
            <w:pPr>
              <w:spacing w:after="0"/>
              <w:rPr>
                <w:sz w:val="14"/>
                <w:szCs w:val="14"/>
                <w:color w:val="auto"/>
              </w:rPr>
            </w:pPr>
          </w:p>
        </w:tc>
        <w:tc>
          <w:tcPr>
            <w:tcW w:w="1700" w:type="dxa"/>
            <w:vAlign w:val="bottom"/>
            <w:shd w:val="clear" w:color="auto" w:fill="C00000"/>
          </w:tcPr>
          <w:p>
            <w:pPr>
              <w:spacing w:after="0"/>
              <w:rPr>
                <w:sz w:val="14"/>
                <w:szCs w:val="14"/>
                <w:color w:val="auto"/>
              </w:rPr>
            </w:pPr>
          </w:p>
        </w:tc>
        <w:tc>
          <w:tcPr>
            <w:tcW w:w="1680" w:type="dxa"/>
            <w:vAlign w:val="bottom"/>
            <w:shd w:val="clear" w:color="auto" w:fill="C00000"/>
          </w:tcPr>
          <w:p>
            <w:pPr>
              <w:spacing w:after="0"/>
              <w:rPr>
                <w:sz w:val="14"/>
                <w:szCs w:val="14"/>
                <w:color w:val="auto"/>
              </w:rPr>
            </w:pPr>
          </w:p>
        </w:tc>
        <w:tc>
          <w:tcPr>
            <w:tcW w:w="8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Option</w:t>
            </w:r>
          </w:p>
        </w:tc>
      </w:tr>
      <w:tr>
        <w:trPr>
          <w:trHeight w:val="161"/>
        </w:trPr>
        <w:tc>
          <w:tcPr>
            <w:tcW w:w="1500" w:type="dxa"/>
            <w:vAlign w:val="bottom"/>
            <w:shd w:val="clear" w:color="auto" w:fill="C00000"/>
          </w:tcPr>
          <w:p>
            <w:pPr>
              <w:spacing w:after="0"/>
              <w:rPr>
                <w:sz w:val="13"/>
                <w:szCs w:val="13"/>
                <w:color w:val="auto"/>
              </w:rPr>
            </w:pPr>
          </w:p>
        </w:tc>
        <w:tc>
          <w:tcPr>
            <w:tcW w:w="880" w:type="dxa"/>
            <w:vAlign w:val="bottom"/>
            <w:shd w:val="clear" w:color="auto" w:fill="C00000"/>
          </w:tcPr>
          <w:p>
            <w:pPr>
              <w:jc w:val="right"/>
              <w:ind w:right="149"/>
              <w:spacing w:after="0"/>
              <w:rPr>
                <w:sz w:val="20"/>
                <w:szCs w:val="20"/>
                <w:color w:val="auto"/>
              </w:rPr>
            </w:pPr>
            <w:r>
              <w:rPr>
                <w:rFonts w:ascii="Arial" w:cs="Arial" w:eastAsia="Arial" w:hAnsi="Arial"/>
                <w:sz w:val="14"/>
                <w:szCs w:val="14"/>
                <w:b w:val="1"/>
                <w:bCs w:val="1"/>
                <w:color w:val="FFFFFF"/>
              </w:rPr>
              <w:t>Grant</w:t>
            </w:r>
          </w:p>
        </w:tc>
        <w:tc>
          <w:tcPr>
            <w:tcW w:w="840" w:type="dxa"/>
            <w:vAlign w:val="bottom"/>
            <w:shd w:val="clear" w:color="auto" w:fill="C00000"/>
          </w:tcPr>
          <w:p>
            <w:pPr>
              <w:spacing w:after="0"/>
              <w:rPr>
                <w:sz w:val="13"/>
                <w:szCs w:val="13"/>
                <w:color w:val="auto"/>
              </w:rPr>
            </w:pPr>
          </w:p>
        </w:tc>
        <w:tc>
          <w:tcPr>
            <w:tcW w:w="3380" w:type="dxa"/>
            <w:vAlign w:val="bottom"/>
            <w:shd w:val="clear" w:color="auto" w:fill="C00000"/>
          </w:tcPr>
          <w:p>
            <w:pPr>
              <w:spacing w:after="0"/>
              <w:rPr>
                <w:sz w:val="13"/>
                <w:szCs w:val="13"/>
                <w:color w:val="auto"/>
              </w:rPr>
            </w:pPr>
          </w:p>
        </w:tc>
        <w:tc>
          <w:tcPr>
            <w:tcW w:w="1700" w:type="dxa"/>
            <w:vAlign w:val="bottom"/>
            <w:shd w:val="clear" w:color="auto" w:fill="C00000"/>
          </w:tcPr>
          <w:p>
            <w:pPr>
              <w:spacing w:after="0"/>
              <w:rPr>
                <w:sz w:val="13"/>
                <w:szCs w:val="13"/>
                <w:color w:val="auto"/>
              </w:rPr>
            </w:pPr>
          </w:p>
        </w:tc>
        <w:tc>
          <w:tcPr>
            <w:tcW w:w="1680" w:type="dxa"/>
            <w:vAlign w:val="bottom"/>
            <w:shd w:val="clear" w:color="auto" w:fill="C00000"/>
          </w:tcPr>
          <w:p>
            <w:pPr>
              <w:spacing w:after="0"/>
              <w:rPr>
                <w:sz w:val="13"/>
                <w:szCs w:val="13"/>
                <w:color w:val="auto"/>
              </w:rPr>
            </w:pPr>
          </w:p>
        </w:tc>
        <w:tc>
          <w:tcPr>
            <w:tcW w:w="8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Expiration</w:t>
            </w:r>
          </w:p>
        </w:tc>
      </w:tr>
      <w:tr>
        <w:trPr>
          <w:trHeight w:val="174"/>
        </w:trPr>
        <w:tc>
          <w:tcPr>
            <w:tcW w:w="150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880" w:type="dxa"/>
            <w:vAlign w:val="bottom"/>
            <w:shd w:val="clear" w:color="auto" w:fill="C00000"/>
          </w:tcPr>
          <w:p>
            <w:pPr>
              <w:jc w:val="right"/>
              <w:ind w:right="189"/>
              <w:spacing w:after="0"/>
              <w:rPr>
                <w:sz w:val="20"/>
                <w:szCs w:val="20"/>
                <w:color w:val="auto"/>
              </w:rPr>
            </w:pPr>
            <w:r>
              <w:rPr>
                <w:rFonts w:ascii="Arial" w:cs="Arial" w:eastAsia="Arial" w:hAnsi="Arial"/>
                <w:sz w:val="14"/>
                <w:szCs w:val="14"/>
                <w:b w:val="1"/>
                <w:bCs w:val="1"/>
                <w:color w:val="FFFFFF"/>
              </w:rPr>
              <w:t>Date</w:t>
            </w:r>
          </w:p>
        </w:tc>
        <w:tc>
          <w:tcPr>
            <w:tcW w:w="840" w:type="dxa"/>
            <w:vAlign w:val="bottom"/>
            <w:shd w:val="clear" w:color="auto" w:fill="C00000"/>
          </w:tcPr>
          <w:p>
            <w:pPr>
              <w:jc w:val="right"/>
              <w:spacing w:after="0"/>
              <w:rPr>
                <w:sz w:val="20"/>
                <w:szCs w:val="20"/>
                <w:color w:val="auto"/>
              </w:rPr>
            </w:pPr>
            <w:r>
              <w:rPr>
                <w:rFonts w:ascii="Arial" w:cs="Arial" w:eastAsia="Arial" w:hAnsi="Arial"/>
                <w:sz w:val="14"/>
                <w:szCs w:val="14"/>
                <w:b w:val="1"/>
                <w:bCs w:val="1"/>
                <w:color w:val="FFFFFF"/>
              </w:rPr>
              <w:t>12/07/2020</w:t>
            </w:r>
          </w:p>
        </w:tc>
        <w:tc>
          <w:tcPr>
            <w:tcW w:w="3380" w:type="dxa"/>
            <w:vAlign w:val="bottom"/>
            <w:shd w:val="clear" w:color="auto" w:fill="C00000"/>
          </w:tcPr>
          <w:p>
            <w:pPr>
              <w:jc w:val="right"/>
              <w:spacing w:after="0"/>
              <w:rPr>
                <w:sz w:val="20"/>
                <w:szCs w:val="20"/>
                <w:color w:val="auto"/>
              </w:rPr>
            </w:pPr>
            <w:r>
              <w:rPr>
                <w:rFonts w:ascii="Arial" w:cs="Arial" w:eastAsia="Arial" w:hAnsi="Arial"/>
                <w:sz w:val="14"/>
                <w:szCs w:val="14"/>
                <w:b w:val="1"/>
                <w:bCs w:val="1"/>
                <w:color w:val="FFFFFF"/>
              </w:rPr>
              <w:t>12/08/2020  12/19/2020  05/19/2021  12/07/2021</w:t>
            </w:r>
          </w:p>
        </w:tc>
        <w:tc>
          <w:tcPr>
            <w:tcW w:w="1700" w:type="dxa"/>
            <w:vAlign w:val="bottom"/>
            <w:shd w:val="clear" w:color="auto" w:fill="C00000"/>
          </w:tcPr>
          <w:p>
            <w:pPr>
              <w:jc w:val="right"/>
              <w:ind w:right="9"/>
              <w:spacing w:after="0"/>
              <w:rPr>
                <w:sz w:val="20"/>
                <w:szCs w:val="20"/>
                <w:color w:val="auto"/>
              </w:rPr>
            </w:pPr>
            <w:r>
              <w:rPr>
                <w:rFonts w:ascii="Arial" w:cs="Arial" w:eastAsia="Arial" w:hAnsi="Arial"/>
                <w:sz w:val="14"/>
                <w:szCs w:val="14"/>
                <w:b w:val="1"/>
                <w:bCs w:val="1"/>
                <w:color w:val="FFFFFF"/>
              </w:rPr>
              <w:t>12/19/2021  05/19/2022</w:t>
            </w:r>
          </w:p>
        </w:tc>
        <w:tc>
          <w:tcPr>
            <w:tcW w:w="1680" w:type="dxa"/>
            <w:vAlign w:val="bottom"/>
            <w:shd w:val="clear" w:color="auto" w:fill="C00000"/>
          </w:tcPr>
          <w:p>
            <w:pPr>
              <w:jc w:val="right"/>
              <w:spacing w:after="0"/>
              <w:rPr>
                <w:sz w:val="20"/>
                <w:szCs w:val="20"/>
                <w:color w:val="auto"/>
              </w:rPr>
            </w:pPr>
            <w:r>
              <w:rPr>
                <w:rFonts w:ascii="Arial" w:cs="Arial" w:eastAsia="Arial" w:hAnsi="Arial"/>
                <w:sz w:val="14"/>
                <w:szCs w:val="14"/>
                <w:b w:val="1"/>
                <w:bCs w:val="1"/>
                <w:color w:val="FFFFFF"/>
              </w:rPr>
              <w:t>12/19/2022  05/19/2023</w:t>
            </w:r>
          </w:p>
        </w:tc>
        <w:tc>
          <w:tcPr>
            <w:tcW w:w="8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Date</w:t>
            </w:r>
          </w:p>
        </w:tc>
      </w:tr>
      <w:tr>
        <w:trPr>
          <w:trHeight w:val="189"/>
        </w:trPr>
        <w:tc>
          <w:tcPr>
            <w:tcW w:w="1500" w:type="dxa"/>
            <w:vAlign w:val="bottom"/>
          </w:tcPr>
          <w:p>
            <w:pPr>
              <w:spacing w:after="0"/>
              <w:rPr>
                <w:sz w:val="20"/>
                <w:szCs w:val="20"/>
                <w:color w:val="auto"/>
              </w:rPr>
            </w:pPr>
            <w:r>
              <w:rPr>
                <w:rFonts w:ascii="Arial" w:cs="Arial" w:eastAsia="Arial" w:hAnsi="Arial"/>
                <w:sz w:val="14"/>
                <w:szCs w:val="14"/>
                <w:color w:val="auto"/>
              </w:rPr>
              <w:t>Mr. Olson</w:t>
            </w:r>
          </w:p>
        </w:tc>
        <w:tc>
          <w:tcPr>
            <w:tcW w:w="880" w:type="dxa"/>
            <w:vAlign w:val="bottom"/>
          </w:tcPr>
          <w:p>
            <w:pPr>
              <w:jc w:val="right"/>
              <w:spacing w:after="0"/>
              <w:rPr>
                <w:sz w:val="20"/>
                <w:szCs w:val="20"/>
                <w:color w:val="auto"/>
              </w:rPr>
            </w:pPr>
            <w:r>
              <w:rPr>
                <w:rFonts w:ascii="Arial" w:cs="Arial" w:eastAsia="Arial" w:hAnsi="Arial"/>
                <w:sz w:val="14"/>
                <w:szCs w:val="14"/>
                <w:color w:val="auto"/>
              </w:rPr>
              <w:t>12/08/2017</w:t>
            </w:r>
          </w:p>
        </w:tc>
        <w:tc>
          <w:tcPr>
            <w:tcW w:w="840" w:type="dxa"/>
            <w:vAlign w:val="bottom"/>
          </w:tcPr>
          <w:p>
            <w:pPr>
              <w:spacing w:after="0"/>
              <w:rPr>
                <w:sz w:val="16"/>
                <w:szCs w:val="16"/>
                <w:color w:val="auto"/>
              </w:rPr>
            </w:pPr>
          </w:p>
        </w:tc>
        <w:tc>
          <w:tcPr>
            <w:tcW w:w="3380" w:type="dxa"/>
            <w:vAlign w:val="bottom"/>
          </w:tcPr>
          <w:p>
            <w:pPr>
              <w:jc w:val="right"/>
              <w:ind w:right="2509"/>
              <w:spacing w:after="0"/>
              <w:rPr>
                <w:sz w:val="20"/>
                <w:szCs w:val="20"/>
                <w:color w:val="auto"/>
              </w:rPr>
            </w:pPr>
            <w:r>
              <w:rPr>
                <w:rFonts w:ascii="Arial" w:cs="Arial" w:eastAsia="Arial" w:hAnsi="Arial"/>
                <w:sz w:val="14"/>
                <w:szCs w:val="14"/>
                <w:color w:val="auto"/>
              </w:rPr>
              <w:t>34,134</w:t>
            </w:r>
          </w:p>
        </w:tc>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12/08/2027</w:t>
            </w:r>
          </w:p>
        </w:tc>
      </w:tr>
      <w:tr>
        <w:trPr>
          <w:trHeight w:val="174"/>
        </w:trPr>
        <w:tc>
          <w:tcPr>
            <w:tcW w:w="1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12/07/2018</w:t>
            </w:r>
          </w:p>
        </w:tc>
        <w:tc>
          <w:tcPr>
            <w:tcW w:w="840" w:type="dxa"/>
            <w:vAlign w:val="bottom"/>
          </w:tcPr>
          <w:p>
            <w:pPr>
              <w:jc w:val="right"/>
              <w:spacing w:after="0"/>
              <w:rPr>
                <w:sz w:val="20"/>
                <w:szCs w:val="20"/>
                <w:color w:val="auto"/>
              </w:rPr>
            </w:pPr>
            <w:r>
              <w:rPr>
                <w:rFonts w:ascii="Arial" w:cs="Arial" w:eastAsia="Arial" w:hAnsi="Arial"/>
                <w:sz w:val="14"/>
                <w:szCs w:val="14"/>
                <w:color w:val="auto"/>
              </w:rPr>
              <w:t>45,700</w:t>
            </w:r>
          </w:p>
        </w:tc>
        <w:tc>
          <w:tcPr>
            <w:tcW w:w="3380" w:type="dxa"/>
            <w:vAlign w:val="bottom"/>
          </w:tcPr>
          <w:p>
            <w:pPr>
              <w:jc w:val="right"/>
              <w:spacing w:after="0"/>
              <w:rPr>
                <w:sz w:val="20"/>
                <w:szCs w:val="20"/>
                <w:color w:val="auto"/>
              </w:rPr>
            </w:pPr>
            <w:r>
              <w:rPr>
                <w:rFonts w:ascii="Arial" w:cs="Arial" w:eastAsia="Arial" w:hAnsi="Arial"/>
                <w:sz w:val="14"/>
                <w:szCs w:val="14"/>
                <w:color w:val="auto"/>
              </w:rPr>
              <w:t>45,700</w:t>
            </w:r>
          </w:p>
        </w:tc>
        <w:tc>
          <w:tcPr>
            <w:tcW w:w="1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12/07/2028</w:t>
            </w:r>
          </w:p>
        </w:tc>
      </w:tr>
      <w:tr>
        <w:trPr>
          <w:trHeight w:val="159"/>
        </w:trPr>
        <w:tc>
          <w:tcPr>
            <w:tcW w:w="150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12/19/2019</w:t>
            </w:r>
          </w:p>
        </w:tc>
        <w:tc>
          <w:tcPr>
            <w:tcW w:w="840" w:type="dxa"/>
            <w:vAlign w:val="bottom"/>
          </w:tcPr>
          <w:p>
            <w:pPr>
              <w:spacing w:after="0"/>
              <w:rPr>
                <w:sz w:val="13"/>
                <w:szCs w:val="13"/>
                <w:color w:val="auto"/>
              </w:rPr>
            </w:pPr>
          </w:p>
        </w:tc>
        <w:tc>
          <w:tcPr>
            <w:tcW w:w="3380" w:type="dxa"/>
            <w:vAlign w:val="bottom"/>
          </w:tcPr>
          <w:p>
            <w:pPr>
              <w:jc w:val="right"/>
              <w:ind w:right="1669"/>
              <w:spacing w:after="0" w:line="159" w:lineRule="exact"/>
              <w:rPr>
                <w:sz w:val="20"/>
                <w:szCs w:val="20"/>
                <w:color w:val="auto"/>
              </w:rPr>
            </w:pPr>
            <w:r>
              <w:rPr>
                <w:rFonts w:ascii="Arial" w:cs="Arial" w:eastAsia="Arial" w:hAnsi="Arial"/>
                <w:sz w:val="14"/>
                <w:szCs w:val="14"/>
                <w:color w:val="auto"/>
              </w:rPr>
              <w:t>50,966</w:t>
            </w:r>
          </w:p>
        </w:tc>
        <w:tc>
          <w:tcPr>
            <w:tcW w:w="1700" w:type="dxa"/>
            <w:vAlign w:val="bottom"/>
          </w:tcPr>
          <w:p>
            <w:pPr>
              <w:jc w:val="right"/>
              <w:ind w:right="849"/>
              <w:spacing w:after="0" w:line="159" w:lineRule="exact"/>
              <w:rPr>
                <w:sz w:val="20"/>
                <w:szCs w:val="20"/>
                <w:color w:val="auto"/>
              </w:rPr>
            </w:pPr>
            <w:r>
              <w:rPr>
                <w:rFonts w:ascii="Arial" w:cs="Arial" w:eastAsia="Arial" w:hAnsi="Arial"/>
                <w:sz w:val="14"/>
                <w:szCs w:val="14"/>
                <w:color w:val="auto"/>
              </w:rPr>
              <w:t>50,967</w:t>
            </w:r>
          </w:p>
        </w:tc>
        <w:tc>
          <w:tcPr>
            <w:tcW w:w="1680" w:type="dxa"/>
            <w:vAlign w:val="bottom"/>
          </w:tcPr>
          <w:p>
            <w:pPr>
              <w:jc w:val="right"/>
              <w:ind w:right="829"/>
              <w:spacing w:after="0" w:line="159" w:lineRule="exact"/>
              <w:rPr>
                <w:sz w:val="20"/>
                <w:szCs w:val="20"/>
                <w:color w:val="auto"/>
              </w:rPr>
            </w:pPr>
            <w:r>
              <w:rPr>
                <w:rFonts w:ascii="Arial" w:cs="Arial" w:eastAsia="Arial" w:hAnsi="Arial"/>
                <w:sz w:val="14"/>
                <w:szCs w:val="14"/>
                <w:color w:val="auto"/>
              </w:rPr>
              <w:t>50,967</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12/19/2029</w:t>
            </w:r>
          </w:p>
        </w:tc>
      </w:tr>
      <w:tr>
        <w:trPr>
          <w:trHeight w:val="174"/>
        </w:trPr>
        <w:tc>
          <w:tcPr>
            <w:tcW w:w="1500" w:type="dxa"/>
            <w:vAlign w:val="bottom"/>
            <w:shd w:val="clear" w:color="auto" w:fill="D9D9D9"/>
          </w:tcPr>
          <w:p>
            <w:pPr>
              <w:spacing w:after="0"/>
              <w:rPr>
                <w:sz w:val="20"/>
                <w:szCs w:val="20"/>
                <w:color w:val="auto"/>
              </w:rPr>
            </w:pPr>
            <w:r>
              <w:rPr>
                <w:rFonts w:ascii="Arial" w:cs="Arial" w:eastAsia="Arial" w:hAnsi="Arial"/>
                <w:sz w:val="14"/>
                <w:szCs w:val="14"/>
                <w:color w:val="auto"/>
              </w:rPr>
              <w:t>Ms. Peterson</w:t>
            </w: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12/08/2017</w:t>
            </w:r>
          </w:p>
        </w:tc>
        <w:tc>
          <w:tcPr>
            <w:tcW w:w="840" w:type="dxa"/>
            <w:vAlign w:val="bottom"/>
            <w:shd w:val="clear" w:color="auto" w:fill="D9D9D9"/>
          </w:tcPr>
          <w:p>
            <w:pPr>
              <w:spacing w:after="0"/>
              <w:rPr>
                <w:sz w:val="15"/>
                <w:szCs w:val="15"/>
                <w:color w:val="auto"/>
              </w:rPr>
            </w:pPr>
          </w:p>
        </w:tc>
        <w:tc>
          <w:tcPr>
            <w:tcW w:w="3380" w:type="dxa"/>
            <w:vAlign w:val="bottom"/>
            <w:shd w:val="clear" w:color="auto" w:fill="D9D9D9"/>
          </w:tcPr>
          <w:p>
            <w:pPr>
              <w:jc w:val="right"/>
              <w:ind w:right="2509"/>
              <w:spacing w:after="0"/>
              <w:rPr>
                <w:sz w:val="20"/>
                <w:szCs w:val="20"/>
                <w:color w:val="auto"/>
              </w:rPr>
            </w:pPr>
            <w:r>
              <w:rPr>
                <w:rFonts w:ascii="Arial" w:cs="Arial" w:eastAsia="Arial" w:hAnsi="Arial"/>
                <w:sz w:val="14"/>
                <w:szCs w:val="14"/>
                <w:color w:val="auto"/>
              </w:rPr>
              <w:t>9,467</w:t>
            </w:r>
          </w:p>
        </w:tc>
        <w:tc>
          <w:tcPr>
            <w:tcW w:w="1700" w:type="dxa"/>
            <w:vAlign w:val="bottom"/>
            <w:shd w:val="clear" w:color="auto" w:fill="D9D9D9"/>
          </w:tcPr>
          <w:p>
            <w:pPr>
              <w:spacing w:after="0"/>
              <w:rPr>
                <w:sz w:val="15"/>
                <w:szCs w:val="15"/>
                <w:color w:val="auto"/>
              </w:rPr>
            </w:pPr>
          </w:p>
        </w:tc>
        <w:tc>
          <w:tcPr>
            <w:tcW w:w="1680" w:type="dxa"/>
            <w:vAlign w:val="bottom"/>
            <w:shd w:val="clear" w:color="auto" w:fill="D9D9D9"/>
          </w:tcPr>
          <w:p>
            <w:pPr>
              <w:spacing w:after="0"/>
              <w:rPr>
                <w:sz w:val="15"/>
                <w:szCs w:val="15"/>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12/08/2027</w:t>
            </w:r>
          </w:p>
        </w:tc>
      </w:tr>
      <w:tr>
        <w:trPr>
          <w:trHeight w:val="174"/>
        </w:trPr>
        <w:tc>
          <w:tcPr>
            <w:tcW w:w="1500" w:type="dxa"/>
            <w:vAlign w:val="bottom"/>
            <w:shd w:val="clear" w:color="auto" w:fill="D9D9D9"/>
          </w:tcPr>
          <w:p>
            <w:pPr>
              <w:spacing w:after="0"/>
              <w:rPr>
                <w:sz w:val="15"/>
                <w:szCs w:val="15"/>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12/07/2018</w:t>
            </w: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11,133</w:t>
            </w:r>
          </w:p>
        </w:tc>
        <w:tc>
          <w:tcPr>
            <w:tcW w:w="33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11,134</w:t>
            </w:r>
          </w:p>
        </w:tc>
        <w:tc>
          <w:tcPr>
            <w:tcW w:w="1700" w:type="dxa"/>
            <w:vAlign w:val="bottom"/>
            <w:shd w:val="clear" w:color="auto" w:fill="D9D9D9"/>
          </w:tcPr>
          <w:p>
            <w:pPr>
              <w:spacing w:after="0"/>
              <w:rPr>
                <w:sz w:val="15"/>
                <w:szCs w:val="15"/>
                <w:color w:val="auto"/>
              </w:rPr>
            </w:pPr>
          </w:p>
        </w:tc>
        <w:tc>
          <w:tcPr>
            <w:tcW w:w="1680" w:type="dxa"/>
            <w:vAlign w:val="bottom"/>
            <w:shd w:val="clear" w:color="auto" w:fill="D9D9D9"/>
          </w:tcPr>
          <w:p>
            <w:pPr>
              <w:spacing w:after="0"/>
              <w:rPr>
                <w:sz w:val="15"/>
                <w:szCs w:val="15"/>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12/07/2028</w:t>
            </w:r>
          </w:p>
        </w:tc>
      </w:tr>
      <w:tr>
        <w:trPr>
          <w:trHeight w:val="174"/>
        </w:trPr>
        <w:tc>
          <w:tcPr>
            <w:tcW w:w="1500" w:type="dxa"/>
            <w:vAlign w:val="bottom"/>
            <w:shd w:val="clear" w:color="auto" w:fill="D9D9D9"/>
          </w:tcPr>
          <w:p>
            <w:pPr>
              <w:spacing w:after="0"/>
              <w:rPr>
                <w:sz w:val="15"/>
                <w:szCs w:val="15"/>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12/19/2019</w:t>
            </w:r>
          </w:p>
        </w:tc>
        <w:tc>
          <w:tcPr>
            <w:tcW w:w="840" w:type="dxa"/>
            <w:vAlign w:val="bottom"/>
            <w:shd w:val="clear" w:color="auto" w:fill="D9D9D9"/>
          </w:tcPr>
          <w:p>
            <w:pPr>
              <w:spacing w:after="0"/>
              <w:rPr>
                <w:sz w:val="15"/>
                <w:szCs w:val="15"/>
                <w:color w:val="auto"/>
              </w:rPr>
            </w:pPr>
          </w:p>
        </w:tc>
        <w:tc>
          <w:tcPr>
            <w:tcW w:w="3380" w:type="dxa"/>
            <w:vAlign w:val="bottom"/>
            <w:shd w:val="clear" w:color="auto" w:fill="D9D9D9"/>
          </w:tcPr>
          <w:p>
            <w:pPr>
              <w:jc w:val="right"/>
              <w:ind w:right="1669"/>
              <w:spacing w:after="0"/>
              <w:rPr>
                <w:sz w:val="20"/>
                <w:szCs w:val="20"/>
                <w:color w:val="auto"/>
              </w:rPr>
            </w:pPr>
            <w:r>
              <w:rPr>
                <w:rFonts w:ascii="Arial" w:cs="Arial" w:eastAsia="Arial" w:hAnsi="Arial"/>
                <w:sz w:val="14"/>
                <w:szCs w:val="14"/>
                <w:color w:val="auto"/>
              </w:rPr>
              <w:t>11,300</w:t>
            </w:r>
          </w:p>
        </w:tc>
        <w:tc>
          <w:tcPr>
            <w:tcW w:w="1700" w:type="dxa"/>
            <w:vAlign w:val="bottom"/>
            <w:shd w:val="clear" w:color="auto" w:fill="D9D9D9"/>
          </w:tcPr>
          <w:p>
            <w:pPr>
              <w:jc w:val="right"/>
              <w:ind w:right="849"/>
              <w:spacing w:after="0"/>
              <w:rPr>
                <w:sz w:val="20"/>
                <w:szCs w:val="20"/>
                <w:color w:val="auto"/>
              </w:rPr>
            </w:pPr>
            <w:r>
              <w:rPr>
                <w:rFonts w:ascii="Arial" w:cs="Arial" w:eastAsia="Arial" w:hAnsi="Arial"/>
                <w:sz w:val="14"/>
                <w:szCs w:val="14"/>
                <w:color w:val="auto"/>
              </w:rPr>
              <w:t>11,300</w:t>
            </w:r>
          </w:p>
        </w:tc>
        <w:tc>
          <w:tcPr>
            <w:tcW w:w="1680" w:type="dxa"/>
            <w:vAlign w:val="bottom"/>
            <w:shd w:val="clear" w:color="auto" w:fill="D9D9D9"/>
          </w:tcPr>
          <w:p>
            <w:pPr>
              <w:jc w:val="right"/>
              <w:ind w:right="829"/>
              <w:spacing w:after="0"/>
              <w:rPr>
                <w:sz w:val="20"/>
                <w:szCs w:val="20"/>
                <w:color w:val="auto"/>
              </w:rPr>
            </w:pPr>
            <w:r>
              <w:rPr>
                <w:rFonts w:ascii="Arial" w:cs="Arial" w:eastAsia="Arial" w:hAnsi="Arial"/>
                <w:sz w:val="14"/>
                <w:szCs w:val="14"/>
                <w:color w:val="auto"/>
              </w:rPr>
              <w:t>11,300</w:t>
            </w: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12/19/2029</w:t>
            </w:r>
          </w:p>
        </w:tc>
      </w:tr>
      <w:tr>
        <w:trPr>
          <w:trHeight w:val="189"/>
        </w:trPr>
        <w:tc>
          <w:tcPr>
            <w:tcW w:w="1500" w:type="dxa"/>
            <w:vAlign w:val="bottom"/>
          </w:tcPr>
          <w:p>
            <w:pPr>
              <w:spacing w:after="0"/>
              <w:rPr>
                <w:sz w:val="20"/>
                <w:szCs w:val="20"/>
                <w:color w:val="auto"/>
              </w:rPr>
            </w:pPr>
            <w:r>
              <w:rPr>
                <w:rFonts w:ascii="Arial" w:cs="Arial" w:eastAsia="Arial" w:hAnsi="Arial"/>
                <w:sz w:val="14"/>
                <w:szCs w:val="14"/>
                <w:color w:val="auto"/>
              </w:rPr>
              <w:t>Mr. Rodier</w:t>
            </w:r>
          </w:p>
        </w:tc>
        <w:tc>
          <w:tcPr>
            <w:tcW w:w="880" w:type="dxa"/>
            <w:vAlign w:val="bottom"/>
          </w:tcPr>
          <w:p>
            <w:pPr>
              <w:jc w:val="right"/>
              <w:spacing w:after="0"/>
              <w:rPr>
                <w:sz w:val="20"/>
                <w:szCs w:val="20"/>
                <w:color w:val="auto"/>
              </w:rPr>
            </w:pPr>
            <w:r>
              <w:rPr>
                <w:rFonts w:ascii="Arial" w:cs="Arial" w:eastAsia="Arial" w:hAnsi="Arial"/>
                <w:sz w:val="14"/>
                <w:szCs w:val="14"/>
                <w:color w:val="auto"/>
              </w:rPr>
              <w:t>12/08/2017</w:t>
            </w:r>
          </w:p>
        </w:tc>
        <w:tc>
          <w:tcPr>
            <w:tcW w:w="840" w:type="dxa"/>
            <w:vAlign w:val="bottom"/>
          </w:tcPr>
          <w:p>
            <w:pPr>
              <w:spacing w:after="0"/>
              <w:rPr>
                <w:sz w:val="16"/>
                <w:szCs w:val="16"/>
                <w:color w:val="auto"/>
              </w:rPr>
            </w:pPr>
          </w:p>
        </w:tc>
        <w:tc>
          <w:tcPr>
            <w:tcW w:w="3380" w:type="dxa"/>
            <w:vAlign w:val="bottom"/>
          </w:tcPr>
          <w:p>
            <w:pPr>
              <w:jc w:val="right"/>
              <w:ind w:right="2509"/>
              <w:spacing w:after="0"/>
              <w:rPr>
                <w:sz w:val="20"/>
                <w:szCs w:val="20"/>
                <w:color w:val="auto"/>
              </w:rPr>
            </w:pPr>
            <w:r>
              <w:rPr>
                <w:rFonts w:ascii="Arial" w:cs="Arial" w:eastAsia="Arial" w:hAnsi="Arial"/>
                <w:sz w:val="14"/>
                <w:szCs w:val="14"/>
                <w:color w:val="auto"/>
              </w:rPr>
              <w:t>2,200</w:t>
            </w:r>
          </w:p>
        </w:tc>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12/08/2027</w:t>
            </w:r>
          </w:p>
        </w:tc>
      </w:tr>
      <w:tr>
        <w:trPr>
          <w:trHeight w:val="174"/>
        </w:trPr>
        <w:tc>
          <w:tcPr>
            <w:tcW w:w="1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12/07/2018</w:t>
            </w:r>
          </w:p>
        </w:tc>
        <w:tc>
          <w:tcPr>
            <w:tcW w:w="840" w:type="dxa"/>
            <w:vAlign w:val="bottom"/>
          </w:tcPr>
          <w:p>
            <w:pPr>
              <w:jc w:val="right"/>
              <w:spacing w:after="0"/>
              <w:rPr>
                <w:sz w:val="20"/>
                <w:szCs w:val="20"/>
                <w:color w:val="auto"/>
              </w:rPr>
            </w:pPr>
            <w:r>
              <w:rPr>
                <w:rFonts w:ascii="Arial" w:cs="Arial" w:eastAsia="Arial" w:hAnsi="Arial"/>
                <w:sz w:val="14"/>
                <w:szCs w:val="14"/>
                <w:color w:val="auto"/>
              </w:rPr>
              <w:t>3,000</w:t>
            </w:r>
          </w:p>
        </w:tc>
        <w:tc>
          <w:tcPr>
            <w:tcW w:w="3380" w:type="dxa"/>
            <w:vAlign w:val="bottom"/>
          </w:tcPr>
          <w:p>
            <w:pPr>
              <w:jc w:val="right"/>
              <w:spacing w:after="0"/>
              <w:rPr>
                <w:sz w:val="20"/>
                <w:szCs w:val="20"/>
                <w:color w:val="auto"/>
              </w:rPr>
            </w:pPr>
            <w:r>
              <w:rPr>
                <w:rFonts w:ascii="Arial" w:cs="Arial" w:eastAsia="Arial" w:hAnsi="Arial"/>
                <w:sz w:val="14"/>
                <w:szCs w:val="14"/>
                <w:color w:val="auto"/>
              </w:rPr>
              <w:t>3,000</w:t>
            </w:r>
          </w:p>
        </w:tc>
        <w:tc>
          <w:tcPr>
            <w:tcW w:w="1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12/07/2028</w:t>
            </w:r>
          </w:p>
        </w:tc>
      </w:tr>
      <w:tr>
        <w:trPr>
          <w:trHeight w:val="228"/>
        </w:trPr>
        <w:tc>
          <w:tcPr>
            <w:tcW w:w="1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12/19/2019</w:t>
            </w:r>
          </w:p>
        </w:tc>
        <w:tc>
          <w:tcPr>
            <w:tcW w:w="840" w:type="dxa"/>
            <w:vAlign w:val="bottom"/>
          </w:tcPr>
          <w:p>
            <w:pPr>
              <w:spacing w:after="0"/>
              <w:rPr>
                <w:sz w:val="19"/>
                <w:szCs w:val="19"/>
                <w:color w:val="auto"/>
              </w:rPr>
            </w:pPr>
          </w:p>
        </w:tc>
        <w:tc>
          <w:tcPr>
            <w:tcW w:w="3380" w:type="dxa"/>
            <w:vAlign w:val="bottom"/>
          </w:tcPr>
          <w:p>
            <w:pPr>
              <w:jc w:val="right"/>
              <w:ind w:right="1669"/>
              <w:spacing w:after="0"/>
              <w:rPr>
                <w:sz w:val="20"/>
                <w:szCs w:val="20"/>
                <w:color w:val="auto"/>
              </w:rPr>
            </w:pPr>
            <w:r>
              <w:rPr>
                <w:rFonts w:ascii="Arial" w:cs="Arial" w:eastAsia="Arial" w:hAnsi="Arial"/>
                <w:sz w:val="14"/>
                <w:szCs w:val="14"/>
                <w:color w:val="auto"/>
              </w:rPr>
              <w:t>6,066</w:t>
            </w:r>
          </w:p>
        </w:tc>
        <w:tc>
          <w:tcPr>
            <w:tcW w:w="1700" w:type="dxa"/>
            <w:vAlign w:val="bottom"/>
          </w:tcPr>
          <w:p>
            <w:pPr>
              <w:jc w:val="right"/>
              <w:ind w:right="849"/>
              <w:spacing w:after="0"/>
              <w:rPr>
                <w:sz w:val="20"/>
                <w:szCs w:val="20"/>
                <w:color w:val="auto"/>
              </w:rPr>
            </w:pPr>
            <w:r>
              <w:rPr>
                <w:rFonts w:ascii="Arial" w:cs="Arial" w:eastAsia="Arial" w:hAnsi="Arial"/>
                <w:sz w:val="14"/>
                <w:szCs w:val="14"/>
                <w:color w:val="auto"/>
              </w:rPr>
              <w:t>6,067</w:t>
            </w:r>
          </w:p>
        </w:tc>
        <w:tc>
          <w:tcPr>
            <w:tcW w:w="1680" w:type="dxa"/>
            <w:vAlign w:val="bottom"/>
          </w:tcPr>
          <w:p>
            <w:pPr>
              <w:jc w:val="right"/>
              <w:ind w:right="829"/>
              <w:spacing w:after="0"/>
              <w:rPr>
                <w:sz w:val="20"/>
                <w:szCs w:val="20"/>
                <w:color w:val="auto"/>
              </w:rPr>
            </w:pPr>
            <w:r>
              <w:rPr>
                <w:rFonts w:ascii="Arial" w:cs="Arial" w:eastAsia="Arial" w:hAnsi="Arial"/>
                <w:sz w:val="14"/>
                <w:szCs w:val="14"/>
                <w:color w:val="auto"/>
              </w:rPr>
              <w:t>6,067</w:t>
            </w:r>
          </w:p>
        </w:tc>
        <w:tc>
          <w:tcPr>
            <w:tcW w:w="800" w:type="dxa"/>
            <w:vAlign w:val="bottom"/>
          </w:tcPr>
          <w:p>
            <w:pPr>
              <w:jc w:val="right"/>
              <w:spacing w:after="0"/>
              <w:rPr>
                <w:sz w:val="20"/>
                <w:szCs w:val="20"/>
                <w:color w:val="auto"/>
              </w:rPr>
            </w:pPr>
            <w:r>
              <w:rPr>
                <w:rFonts w:ascii="Arial" w:cs="Arial" w:eastAsia="Arial" w:hAnsi="Arial"/>
                <w:sz w:val="14"/>
                <w:szCs w:val="14"/>
                <w:color w:val="auto"/>
              </w:rPr>
              <w:t>12/19/2029</w:t>
            </w:r>
          </w:p>
        </w:tc>
      </w:tr>
      <w:tr>
        <w:trPr>
          <w:trHeight w:val="213"/>
        </w:trPr>
        <w:tc>
          <w:tcPr>
            <w:tcW w:w="1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5/19/2020</w:t>
            </w:r>
          </w:p>
        </w:tc>
        <w:tc>
          <w:tcPr>
            <w:tcW w:w="840" w:type="dxa"/>
            <w:vAlign w:val="bottom"/>
          </w:tcPr>
          <w:p>
            <w:pPr>
              <w:spacing w:after="0"/>
              <w:rPr>
                <w:sz w:val="18"/>
                <w:szCs w:val="18"/>
                <w:color w:val="auto"/>
              </w:rPr>
            </w:pPr>
          </w:p>
        </w:tc>
        <w:tc>
          <w:tcPr>
            <w:tcW w:w="3380" w:type="dxa"/>
            <w:vAlign w:val="bottom"/>
          </w:tcPr>
          <w:p>
            <w:pPr>
              <w:jc w:val="right"/>
              <w:ind w:right="829"/>
              <w:spacing w:after="0"/>
              <w:rPr>
                <w:sz w:val="20"/>
                <w:szCs w:val="20"/>
                <w:color w:val="auto"/>
              </w:rPr>
            </w:pPr>
            <w:r>
              <w:rPr>
                <w:rFonts w:ascii="Arial" w:cs="Arial" w:eastAsia="Arial" w:hAnsi="Arial"/>
                <w:sz w:val="14"/>
                <w:szCs w:val="14"/>
                <w:color w:val="auto"/>
              </w:rPr>
              <w:t>8,433</w:t>
            </w:r>
          </w:p>
        </w:tc>
        <w:tc>
          <w:tcPr>
            <w:tcW w:w="1700" w:type="dxa"/>
            <w:vAlign w:val="bottom"/>
          </w:tcPr>
          <w:p>
            <w:pPr>
              <w:jc w:val="right"/>
              <w:spacing w:after="0"/>
              <w:rPr>
                <w:sz w:val="20"/>
                <w:szCs w:val="20"/>
                <w:color w:val="auto"/>
              </w:rPr>
            </w:pPr>
            <w:r>
              <w:rPr>
                <w:rFonts w:ascii="Arial" w:cs="Arial" w:eastAsia="Arial" w:hAnsi="Arial"/>
                <w:sz w:val="14"/>
                <w:szCs w:val="14"/>
                <w:color w:val="auto"/>
              </w:rPr>
              <w:t>8,433</w:t>
            </w:r>
          </w:p>
        </w:tc>
        <w:tc>
          <w:tcPr>
            <w:tcW w:w="1680" w:type="dxa"/>
            <w:vAlign w:val="bottom"/>
          </w:tcPr>
          <w:p>
            <w:pPr>
              <w:jc w:val="right"/>
              <w:spacing w:after="0"/>
              <w:rPr>
                <w:sz w:val="20"/>
                <w:szCs w:val="20"/>
                <w:color w:val="auto"/>
              </w:rPr>
            </w:pPr>
            <w:r>
              <w:rPr>
                <w:rFonts w:ascii="Arial" w:cs="Arial" w:eastAsia="Arial" w:hAnsi="Arial"/>
                <w:sz w:val="14"/>
                <w:szCs w:val="14"/>
                <w:color w:val="auto"/>
              </w:rPr>
              <w:t>8,434</w:t>
            </w:r>
          </w:p>
        </w:tc>
        <w:tc>
          <w:tcPr>
            <w:tcW w:w="800" w:type="dxa"/>
            <w:vAlign w:val="bottom"/>
          </w:tcPr>
          <w:p>
            <w:pPr>
              <w:jc w:val="right"/>
              <w:spacing w:after="0"/>
              <w:rPr>
                <w:sz w:val="20"/>
                <w:szCs w:val="20"/>
                <w:color w:val="auto"/>
              </w:rPr>
            </w:pPr>
            <w:r>
              <w:rPr>
                <w:rFonts w:ascii="Arial" w:cs="Arial" w:eastAsia="Arial" w:hAnsi="Arial"/>
                <w:sz w:val="14"/>
                <w:szCs w:val="14"/>
                <w:color w:val="auto"/>
              </w:rPr>
              <w:t>5/19/2030</w:t>
            </w:r>
          </w:p>
        </w:tc>
      </w:tr>
      <w:tr>
        <w:trPr>
          <w:trHeight w:val="174"/>
        </w:trPr>
        <w:tc>
          <w:tcPr>
            <w:tcW w:w="1500" w:type="dxa"/>
            <w:vAlign w:val="bottom"/>
            <w:shd w:val="clear" w:color="auto" w:fill="D9D9D9"/>
          </w:tcPr>
          <w:p>
            <w:pPr>
              <w:spacing w:after="0"/>
              <w:rPr>
                <w:sz w:val="20"/>
                <w:szCs w:val="20"/>
                <w:color w:val="auto"/>
              </w:rPr>
            </w:pPr>
            <w:r>
              <w:rPr>
                <w:rFonts w:ascii="Arial" w:cs="Arial" w:eastAsia="Arial" w:hAnsi="Arial"/>
                <w:sz w:val="14"/>
                <w:szCs w:val="14"/>
                <w:color w:val="auto"/>
              </w:rPr>
              <w:t>Mr. Hamilton</w:t>
            </w: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12/08/2017</w:t>
            </w:r>
          </w:p>
        </w:tc>
        <w:tc>
          <w:tcPr>
            <w:tcW w:w="840" w:type="dxa"/>
            <w:vAlign w:val="bottom"/>
            <w:shd w:val="clear" w:color="auto" w:fill="D9D9D9"/>
          </w:tcPr>
          <w:p>
            <w:pPr>
              <w:spacing w:after="0"/>
              <w:rPr>
                <w:sz w:val="15"/>
                <w:szCs w:val="15"/>
                <w:color w:val="auto"/>
              </w:rPr>
            </w:pPr>
          </w:p>
        </w:tc>
        <w:tc>
          <w:tcPr>
            <w:tcW w:w="3380" w:type="dxa"/>
            <w:vAlign w:val="bottom"/>
            <w:shd w:val="clear" w:color="auto" w:fill="D9D9D9"/>
          </w:tcPr>
          <w:p>
            <w:pPr>
              <w:jc w:val="right"/>
              <w:ind w:right="2509"/>
              <w:spacing w:after="0"/>
              <w:rPr>
                <w:sz w:val="20"/>
                <w:szCs w:val="20"/>
                <w:color w:val="auto"/>
              </w:rPr>
            </w:pPr>
            <w:r>
              <w:rPr>
                <w:rFonts w:ascii="Arial" w:cs="Arial" w:eastAsia="Arial" w:hAnsi="Arial"/>
                <w:sz w:val="14"/>
                <w:szCs w:val="14"/>
                <w:color w:val="auto"/>
              </w:rPr>
              <w:t>4,734</w:t>
            </w:r>
          </w:p>
        </w:tc>
        <w:tc>
          <w:tcPr>
            <w:tcW w:w="1700" w:type="dxa"/>
            <w:vAlign w:val="bottom"/>
            <w:shd w:val="clear" w:color="auto" w:fill="D9D9D9"/>
          </w:tcPr>
          <w:p>
            <w:pPr>
              <w:spacing w:after="0"/>
              <w:rPr>
                <w:sz w:val="15"/>
                <w:szCs w:val="15"/>
                <w:color w:val="auto"/>
              </w:rPr>
            </w:pPr>
          </w:p>
        </w:tc>
        <w:tc>
          <w:tcPr>
            <w:tcW w:w="1680" w:type="dxa"/>
            <w:vAlign w:val="bottom"/>
            <w:shd w:val="clear" w:color="auto" w:fill="D9D9D9"/>
          </w:tcPr>
          <w:p>
            <w:pPr>
              <w:spacing w:after="0"/>
              <w:rPr>
                <w:sz w:val="15"/>
                <w:szCs w:val="15"/>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12/08/2027</w:t>
            </w:r>
          </w:p>
        </w:tc>
      </w:tr>
      <w:tr>
        <w:trPr>
          <w:trHeight w:val="174"/>
        </w:trPr>
        <w:tc>
          <w:tcPr>
            <w:tcW w:w="1500" w:type="dxa"/>
            <w:vAlign w:val="bottom"/>
            <w:shd w:val="clear" w:color="auto" w:fill="D9D9D9"/>
          </w:tcPr>
          <w:p>
            <w:pPr>
              <w:spacing w:after="0"/>
              <w:rPr>
                <w:sz w:val="15"/>
                <w:szCs w:val="15"/>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12/07/2018</w:t>
            </w: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7,200</w:t>
            </w:r>
          </w:p>
        </w:tc>
        <w:tc>
          <w:tcPr>
            <w:tcW w:w="33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7,200</w:t>
            </w:r>
          </w:p>
        </w:tc>
        <w:tc>
          <w:tcPr>
            <w:tcW w:w="1700" w:type="dxa"/>
            <w:vAlign w:val="bottom"/>
            <w:shd w:val="clear" w:color="auto" w:fill="D9D9D9"/>
          </w:tcPr>
          <w:p>
            <w:pPr>
              <w:spacing w:after="0"/>
              <w:rPr>
                <w:sz w:val="15"/>
                <w:szCs w:val="15"/>
                <w:color w:val="auto"/>
              </w:rPr>
            </w:pPr>
          </w:p>
        </w:tc>
        <w:tc>
          <w:tcPr>
            <w:tcW w:w="1680" w:type="dxa"/>
            <w:vAlign w:val="bottom"/>
            <w:shd w:val="clear" w:color="auto" w:fill="D9D9D9"/>
          </w:tcPr>
          <w:p>
            <w:pPr>
              <w:spacing w:after="0"/>
              <w:rPr>
                <w:sz w:val="15"/>
                <w:szCs w:val="15"/>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12/07/2028</w:t>
            </w:r>
          </w:p>
        </w:tc>
      </w:tr>
      <w:tr>
        <w:trPr>
          <w:trHeight w:val="174"/>
        </w:trPr>
        <w:tc>
          <w:tcPr>
            <w:tcW w:w="1500" w:type="dxa"/>
            <w:vAlign w:val="bottom"/>
            <w:shd w:val="clear" w:color="auto" w:fill="D9D9D9"/>
          </w:tcPr>
          <w:p>
            <w:pPr>
              <w:spacing w:after="0"/>
              <w:rPr>
                <w:sz w:val="15"/>
                <w:szCs w:val="15"/>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12/19/2019</w:t>
            </w:r>
          </w:p>
        </w:tc>
        <w:tc>
          <w:tcPr>
            <w:tcW w:w="840" w:type="dxa"/>
            <w:vAlign w:val="bottom"/>
            <w:shd w:val="clear" w:color="auto" w:fill="D9D9D9"/>
          </w:tcPr>
          <w:p>
            <w:pPr>
              <w:spacing w:after="0"/>
              <w:rPr>
                <w:sz w:val="15"/>
                <w:szCs w:val="15"/>
                <w:color w:val="auto"/>
              </w:rPr>
            </w:pPr>
          </w:p>
        </w:tc>
        <w:tc>
          <w:tcPr>
            <w:tcW w:w="3380" w:type="dxa"/>
            <w:vAlign w:val="bottom"/>
            <w:shd w:val="clear" w:color="auto" w:fill="D9D9D9"/>
          </w:tcPr>
          <w:p>
            <w:pPr>
              <w:jc w:val="right"/>
              <w:ind w:right="1669"/>
              <w:spacing w:after="0"/>
              <w:rPr>
                <w:sz w:val="20"/>
                <w:szCs w:val="20"/>
                <w:color w:val="auto"/>
              </w:rPr>
            </w:pPr>
            <w:r>
              <w:rPr>
                <w:rFonts w:ascii="Arial" w:cs="Arial" w:eastAsia="Arial" w:hAnsi="Arial"/>
                <w:sz w:val="14"/>
                <w:szCs w:val="14"/>
                <w:color w:val="auto"/>
              </w:rPr>
              <w:t>7,533</w:t>
            </w:r>
          </w:p>
        </w:tc>
        <w:tc>
          <w:tcPr>
            <w:tcW w:w="1700" w:type="dxa"/>
            <w:vAlign w:val="bottom"/>
            <w:shd w:val="clear" w:color="auto" w:fill="D9D9D9"/>
          </w:tcPr>
          <w:p>
            <w:pPr>
              <w:jc w:val="right"/>
              <w:ind w:right="849"/>
              <w:spacing w:after="0"/>
              <w:rPr>
                <w:sz w:val="20"/>
                <w:szCs w:val="20"/>
                <w:color w:val="auto"/>
              </w:rPr>
            </w:pPr>
            <w:r>
              <w:rPr>
                <w:rFonts w:ascii="Arial" w:cs="Arial" w:eastAsia="Arial" w:hAnsi="Arial"/>
                <w:sz w:val="14"/>
                <w:szCs w:val="14"/>
                <w:color w:val="auto"/>
              </w:rPr>
              <w:t>7,533</w:t>
            </w:r>
          </w:p>
        </w:tc>
        <w:tc>
          <w:tcPr>
            <w:tcW w:w="1680" w:type="dxa"/>
            <w:vAlign w:val="bottom"/>
            <w:shd w:val="clear" w:color="auto" w:fill="D9D9D9"/>
          </w:tcPr>
          <w:p>
            <w:pPr>
              <w:jc w:val="right"/>
              <w:ind w:right="829"/>
              <w:spacing w:after="0"/>
              <w:rPr>
                <w:sz w:val="20"/>
                <w:szCs w:val="20"/>
                <w:color w:val="auto"/>
              </w:rPr>
            </w:pPr>
            <w:r>
              <w:rPr>
                <w:rFonts w:ascii="Arial" w:cs="Arial" w:eastAsia="Arial" w:hAnsi="Arial"/>
                <w:sz w:val="14"/>
                <w:szCs w:val="14"/>
                <w:color w:val="auto"/>
              </w:rPr>
              <w:t>7,534</w:t>
            </w: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12/19/2029</w:t>
            </w:r>
          </w:p>
        </w:tc>
      </w:tr>
      <w:tr>
        <w:trPr>
          <w:trHeight w:val="179"/>
        </w:trPr>
        <w:tc>
          <w:tcPr>
            <w:tcW w:w="1500" w:type="dxa"/>
            <w:vAlign w:val="bottom"/>
          </w:tcPr>
          <w:p>
            <w:pPr>
              <w:spacing w:after="0"/>
              <w:rPr>
                <w:sz w:val="20"/>
                <w:szCs w:val="20"/>
                <w:color w:val="auto"/>
              </w:rPr>
            </w:pPr>
            <w:r>
              <w:rPr>
                <w:rFonts w:ascii="Arial" w:cs="Arial" w:eastAsia="Arial" w:hAnsi="Arial"/>
                <w:sz w:val="14"/>
                <w:szCs w:val="14"/>
                <w:color w:val="auto"/>
              </w:rPr>
              <w:t>Ms.</w:t>
            </w: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Dahl</w:t>
            </w:r>
          </w:p>
        </w:tc>
        <w:tc>
          <w:tcPr>
            <w:tcW w:w="880" w:type="dxa"/>
            <w:vAlign w:val="bottom"/>
          </w:tcPr>
          <w:p>
            <w:pPr>
              <w:jc w:val="right"/>
              <w:spacing w:after="0"/>
              <w:rPr>
                <w:sz w:val="20"/>
                <w:szCs w:val="20"/>
                <w:color w:val="auto"/>
              </w:rPr>
            </w:pPr>
            <w:r>
              <w:rPr>
                <w:rFonts w:ascii="Arial" w:cs="Arial" w:eastAsia="Arial" w:hAnsi="Arial"/>
                <w:sz w:val="14"/>
                <w:szCs w:val="14"/>
                <w:color w:val="auto"/>
              </w:rPr>
              <w:t>12/08/2017</w:t>
            </w:r>
          </w:p>
        </w:tc>
        <w:tc>
          <w:tcPr>
            <w:tcW w:w="840" w:type="dxa"/>
            <w:vAlign w:val="bottom"/>
          </w:tcPr>
          <w:p>
            <w:pPr>
              <w:spacing w:after="0"/>
              <w:rPr>
                <w:sz w:val="14"/>
                <w:szCs w:val="14"/>
                <w:color w:val="auto"/>
              </w:rPr>
            </w:pPr>
          </w:p>
        </w:tc>
        <w:tc>
          <w:tcPr>
            <w:tcW w:w="3380" w:type="dxa"/>
            <w:vAlign w:val="bottom"/>
          </w:tcPr>
          <w:p>
            <w:pPr>
              <w:jc w:val="right"/>
              <w:ind w:right="2509"/>
              <w:spacing w:after="0"/>
              <w:rPr>
                <w:sz w:val="20"/>
                <w:szCs w:val="20"/>
                <w:color w:val="auto"/>
              </w:rPr>
            </w:pPr>
            <w:r>
              <w:rPr>
                <w:rFonts w:ascii="Arial" w:cs="Arial" w:eastAsia="Arial" w:hAnsi="Arial"/>
                <w:sz w:val="14"/>
                <w:szCs w:val="14"/>
                <w:color w:val="auto"/>
              </w:rPr>
              <w:t>4,400</w:t>
            </w:r>
          </w:p>
        </w:tc>
        <w:tc>
          <w:tcPr>
            <w:tcW w:w="1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12/08/2027</w:t>
            </w:r>
          </w:p>
        </w:tc>
      </w:tr>
      <w:tr>
        <w:trPr>
          <w:trHeight w:val="174"/>
        </w:trPr>
        <w:tc>
          <w:tcPr>
            <w:tcW w:w="1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12/07/2018</w:t>
            </w:r>
          </w:p>
        </w:tc>
        <w:tc>
          <w:tcPr>
            <w:tcW w:w="840" w:type="dxa"/>
            <w:vAlign w:val="bottom"/>
          </w:tcPr>
          <w:p>
            <w:pPr>
              <w:jc w:val="right"/>
              <w:spacing w:after="0"/>
              <w:rPr>
                <w:sz w:val="20"/>
                <w:szCs w:val="20"/>
                <w:color w:val="auto"/>
              </w:rPr>
            </w:pPr>
            <w:r>
              <w:rPr>
                <w:rFonts w:ascii="Arial" w:cs="Arial" w:eastAsia="Arial" w:hAnsi="Arial"/>
                <w:sz w:val="14"/>
                <w:szCs w:val="14"/>
                <w:color w:val="auto"/>
              </w:rPr>
              <w:t>5,400</w:t>
            </w:r>
          </w:p>
        </w:tc>
        <w:tc>
          <w:tcPr>
            <w:tcW w:w="3380" w:type="dxa"/>
            <w:vAlign w:val="bottom"/>
          </w:tcPr>
          <w:p>
            <w:pPr>
              <w:jc w:val="right"/>
              <w:spacing w:after="0"/>
              <w:rPr>
                <w:sz w:val="20"/>
                <w:szCs w:val="20"/>
                <w:color w:val="auto"/>
              </w:rPr>
            </w:pPr>
            <w:r>
              <w:rPr>
                <w:rFonts w:ascii="Arial" w:cs="Arial" w:eastAsia="Arial" w:hAnsi="Arial"/>
                <w:sz w:val="14"/>
                <w:szCs w:val="14"/>
                <w:color w:val="auto"/>
              </w:rPr>
              <w:t>5,400</w:t>
            </w:r>
          </w:p>
        </w:tc>
        <w:tc>
          <w:tcPr>
            <w:tcW w:w="1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12/07/2028</w:t>
            </w:r>
          </w:p>
        </w:tc>
      </w:tr>
      <w:tr>
        <w:trPr>
          <w:trHeight w:val="228"/>
        </w:trPr>
        <w:tc>
          <w:tcPr>
            <w:tcW w:w="1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12/19/2019</w:t>
            </w:r>
          </w:p>
        </w:tc>
        <w:tc>
          <w:tcPr>
            <w:tcW w:w="840" w:type="dxa"/>
            <w:vAlign w:val="bottom"/>
          </w:tcPr>
          <w:p>
            <w:pPr>
              <w:spacing w:after="0"/>
              <w:rPr>
                <w:sz w:val="19"/>
                <w:szCs w:val="19"/>
                <w:color w:val="auto"/>
              </w:rPr>
            </w:pPr>
          </w:p>
        </w:tc>
        <w:tc>
          <w:tcPr>
            <w:tcW w:w="3380" w:type="dxa"/>
            <w:vAlign w:val="bottom"/>
          </w:tcPr>
          <w:p>
            <w:pPr>
              <w:jc w:val="right"/>
              <w:ind w:right="1669"/>
              <w:spacing w:after="0"/>
              <w:rPr>
                <w:sz w:val="20"/>
                <w:szCs w:val="20"/>
                <w:color w:val="auto"/>
              </w:rPr>
            </w:pPr>
            <w:r>
              <w:rPr>
                <w:rFonts w:ascii="Arial" w:cs="Arial" w:eastAsia="Arial" w:hAnsi="Arial"/>
                <w:sz w:val="14"/>
                <w:szCs w:val="14"/>
                <w:color w:val="auto"/>
              </w:rPr>
              <w:t>6,933</w:t>
            </w:r>
          </w:p>
        </w:tc>
        <w:tc>
          <w:tcPr>
            <w:tcW w:w="1700" w:type="dxa"/>
            <w:vAlign w:val="bottom"/>
          </w:tcPr>
          <w:p>
            <w:pPr>
              <w:jc w:val="right"/>
              <w:ind w:right="849"/>
              <w:spacing w:after="0"/>
              <w:rPr>
                <w:sz w:val="20"/>
                <w:szCs w:val="20"/>
                <w:color w:val="auto"/>
              </w:rPr>
            </w:pPr>
            <w:r>
              <w:rPr>
                <w:rFonts w:ascii="Arial" w:cs="Arial" w:eastAsia="Arial" w:hAnsi="Arial"/>
                <w:sz w:val="14"/>
                <w:szCs w:val="14"/>
                <w:color w:val="auto"/>
              </w:rPr>
              <w:t>6,933</w:t>
            </w:r>
          </w:p>
        </w:tc>
        <w:tc>
          <w:tcPr>
            <w:tcW w:w="1680" w:type="dxa"/>
            <w:vAlign w:val="bottom"/>
          </w:tcPr>
          <w:p>
            <w:pPr>
              <w:jc w:val="right"/>
              <w:ind w:right="829"/>
              <w:spacing w:after="0"/>
              <w:rPr>
                <w:sz w:val="20"/>
                <w:szCs w:val="20"/>
                <w:color w:val="auto"/>
              </w:rPr>
            </w:pPr>
            <w:r>
              <w:rPr>
                <w:rFonts w:ascii="Arial" w:cs="Arial" w:eastAsia="Arial" w:hAnsi="Arial"/>
                <w:sz w:val="14"/>
                <w:szCs w:val="14"/>
                <w:color w:val="auto"/>
              </w:rPr>
              <w:t>6,934</w:t>
            </w:r>
          </w:p>
        </w:tc>
        <w:tc>
          <w:tcPr>
            <w:tcW w:w="800" w:type="dxa"/>
            <w:vAlign w:val="bottom"/>
          </w:tcPr>
          <w:p>
            <w:pPr>
              <w:jc w:val="right"/>
              <w:spacing w:after="0"/>
              <w:rPr>
                <w:sz w:val="20"/>
                <w:szCs w:val="20"/>
                <w:color w:val="auto"/>
              </w:rPr>
            </w:pPr>
            <w:r>
              <w:rPr>
                <w:rFonts w:ascii="Arial" w:cs="Arial" w:eastAsia="Arial" w:hAnsi="Arial"/>
                <w:sz w:val="14"/>
                <w:szCs w:val="14"/>
                <w:color w:val="auto"/>
              </w:rPr>
              <w:t>12/19/2029</w:t>
            </w:r>
          </w:p>
        </w:tc>
      </w:tr>
    </w:tbl>
    <w:p>
      <w:pPr>
        <w:spacing w:after="0" w:line="38" w:lineRule="exact"/>
        <w:rPr>
          <w:sz w:val="20"/>
          <w:szCs w:val="20"/>
          <w:color w:val="auto"/>
        </w:rPr>
      </w:pPr>
    </w:p>
    <w:p>
      <w:pPr>
        <w:ind w:left="400" w:right="200" w:hanging="393"/>
        <w:spacing w:after="0"/>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reported represent the number of unvested restricted stock units held by Mr. Rodier, including dividend equivalents earned on those restricted stock units. These unvested restricted stock units vest in full on the three-year anniversary of the grant date.</w:t>
      </w:r>
    </w:p>
    <w:p>
      <w:pPr>
        <w:spacing w:after="0" w:line="41" w:lineRule="exact"/>
        <w:rPr>
          <w:rFonts w:ascii="Arial" w:cs="Arial" w:eastAsia="Arial" w:hAnsi="Arial"/>
          <w:sz w:val="18"/>
          <w:szCs w:val="18"/>
          <w:color w:val="auto"/>
        </w:rPr>
      </w:pPr>
    </w:p>
    <w:p>
      <w:pPr>
        <w:ind w:left="400" w:right="100" w:hanging="393"/>
        <w:spacing w:after="0"/>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reported represent the value of unvested restricted stock units based on the closing price of our common stock, as reported on the NYSE, on October 30, 2020, the last trading day preceding October 31, 2020, of $82.10 per share.</w:t>
      </w:r>
    </w:p>
    <w:p>
      <w:pPr>
        <w:spacing w:after="0" w:line="41" w:lineRule="exact"/>
        <w:rPr>
          <w:rFonts w:ascii="Arial" w:cs="Arial" w:eastAsia="Arial" w:hAnsi="Arial"/>
          <w:sz w:val="18"/>
          <w:szCs w:val="18"/>
          <w:color w:val="auto"/>
        </w:rPr>
      </w:pPr>
    </w:p>
    <w:p>
      <w:pPr>
        <w:ind w:left="400" w:right="80" w:hanging="393"/>
        <w:spacing w:after="0" w:line="252" w:lineRule="auto"/>
        <w:tabs>
          <w:tab w:leader="none" w:pos="4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Amounts reported represent the number of performance share awards that were in progress based on actual levels of performance for fiscal 2019 and fiscal 2020 and financial plan levels of performance for fiscal 2021 and fiscal 2022. The fiscal 2019 to fiscal 2021 performance share awards will vest solely based on the accomplishment of the performance goals established for the three-year performance period, which will end on October 31, 2021. The fiscal 2020 to fiscal 2022 performance share awards will vest solely based on the accomplishment of the performance goals established for the three-year performance period, which will end on October 31, 2022.</w:t>
      </w:r>
    </w:p>
    <w:p>
      <w:pPr>
        <w:spacing w:after="0" w:line="32" w:lineRule="exact"/>
        <w:rPr>
          <w:rFonts w:ascii="Arial" w:cs="Arial" w:eastAsia="Arial" w:hAnsi="Arial"/>
          <w:sz w:val="17"/>
          <w:szCs w:val="17"/>
          <w:color w:val="auto"/>
        </w:rPr>
      </w:pPr>
    </w:p>
    <w:p>
      <w:pPr>
        <w:ind w:left="400" w:right="380" w:hanging="393"/>
        <w:spacing w:after="0" w:line="269" w:lineRule="auto"/>
        <w:tabs>
          <w:tab w:leader="none" w:pos="4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Amounts reported represent the value of performance share awards that were in progress based on the closing price of our common stock, as reported on the NYSE, on October 30, 2020, the last trading day preceding October 31, 2020, of $82.10 per share.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Option Exercises and Stock Vested for Fiscal 2020</w:t>
      </w:r>
    </w:p>
    <w:p>
      <w:pPr>
        <w:spacing w:after="0" w:line="118" w:lineRule="exact"/>
        <w:rPr>
          <w:sz w:val="20"/>
          <w:szCs w:val="20"/>
          <w:color w:val="auto"/>
        </w:rPr>
      </w:pPr>
    </w:p>
    <w:p>
      <w:pPr>
        <w:ind w:right="40" w:firstLine="401"/>
        <w:spacing w:after="0" w:line="238" w:lineRule="auto"/>
        <w:rPr>
          <w:sz w:val="20"/>
          <w:szCs w:val="20"/>
          <w:color w:val="auto"/>
        </w:rPr>
      </w:pPr>
      <w:r>
        <w:rPr>
          <w:rFonts w:ascii="Arial" w:cs="Arial" w:eastAsia="Arial" w:hAnsi="Arial"/>
          <w:sz w:val="18"/>
          <w:szCs w:val="18"/>
          <w:color w:val="auto"/>
        </w:rPr>
        <w:t>The following table summarizes all of the stock options exercised during fiscal 2020 and performance share awards that were paid out or deferred by our named executive officers for the fiscal 2018 to fiscal 2020 performance period. No restricted stock units held by our named executive officers vested during fiscal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700" w:type="dxa"/>
            <w:vAlign w:val="bottom"/>
            <w:shd w:val="clear" w:color="auto" w:fill="C00000"/>
          </w:tcPr>
          <w:p>
            <w:pPr>
              <w:spacing w:after="0"/>
              <w:rPr>
                <w:sz w:val="23"/>
                <w:szCs w:val="23"/>
                <w:color w:val="auto"/>
              </w:rPr>
            </w:pPr>
          </w:p>
        </w:tc>
        <w:tc>
          <w:tcPr>
            <w:tcW w:w="2940" w:type="dxa"/>
            <w:vAlign w:val="bottom"/>
            <w:gridSpan w:val="2"/>
            <w:shd w:val="clear" w:color="auto" w:fill="C00000"/>
          </w:tcPr>
          <w:p>
            <w:pPr>
              <w:jc w:val="right"/>
              <w:ind w:right="849"/>
              <w:spacing w:after="0"/>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24"/>
                <w:szCs w:val="24"/>
                <w:b w:val="1"/>
                <w:bCs w:val="1"/>
                <w:color w:val="FFFFFF"/>
                <w:vertAlign w:val="superscript"/>
              </w:rPr>
              <w:t>(1)</w:t>
            </w:r>
          </w:p>
        </w:tc>
        <w:tc>
          <w:tcPr>
            <w:tcW w:w="2600" w:type="dxa"/>
            <w:vAlign w:val="bottom"/>
            <w:gridSpan w:val="2"/>
            <w:shd w:val="clear" w:color="auto" w:fill="C00000"/>
          </w:tcPr>
          <w:p>
            <w:pPr>
              <w:jc w:val="right"/>
              <w:ind w:right="709"/>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24"/>
                <w:szCs w:val="24"/>
                <w:b w:val="1"/>
                <w:bCs w:val="1"/>
                <w:color w:val="FFFFFF"/>
                <w:vertAlign w:val="superscript"/>
              </w:rPr>
              <w:t>(2)</w:t>
            </w:r>
          </w:p>
        </w:tc>
        <w:tc>
          <w:tcPr>
            <w:tcW w:w="0" w:type="dxa"/>
            <w:vAlign w:val="bottom"/>
          </w:tcPr>
          <w:p>
            <w:pPr>
              <w:spacing w:after="0"/>
              <w:rPr>
                <w:sz w:val="1"/>
                <w:szCs w:val="1"/>
                <w:color w:val="auto"/>
              </w:rPr>
            </w:pPr>
          </w:p>
        </w:tc>
      </w:tr>
      <w:tr>
        <w:trPr>
          <w:trHeight w:val="174"/>
        </w:trPr>
        <w:tc>
          <w:tcPr>
            <w:tcW w:w="5700" w:type="dxa"/>
            <w:vAlign w:val="bottom"/>
            <w:shd w:val="clear" w:color="auto" w:fill="C00000"/>
          </w:tcPr>
          <w:p>
            <w:pPr>
              <w:spacing w:after="0"/>
              <w:rPr>
                <w:sz w:val="15"/>
                <w:szCs w:val="15"/>
                <w:color w:val="auto"/>
              </w:rPr>
            </w:pPr>
          </w:p>
        </w:tc>
        <w:tc>
          <w:tcPr>
            <w:tcW w:w="15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Number of</w:t>
            </w:r>
          </w:p>
        </w:tc>
        <w:tc>
          <w:tcPr>
            <w:tcW w:w="1400" w:type="dxa"/>
            <w:vAlign w:val="bottom"/>
            <w:shd w:val="clear" w:color="auto" w:fill="C00000"/>
          </w:tcPr>
          <w:p>
            <w:pPr>
              <w:spacing w:after="0"/>
              <w:rPr>
                <w:sz w:val="15"/>
                <w:szCs w:val="15"/>
                <w:color w:val="auto"/>
              </w:rPr>
            </w:pPr>
          </w:p>
        </w:tc>
        <w:tc>
          <w:tcPr>
            <w:tcW w:w="1380" w:type="dxa"/>
            <w:vAlign w:val="bottom"/>
            <w:shd w:val="clear" w:color="auto" w:fill="C00000"/>
          </w:tcPr>
          <w:p>
            <w:pPr>
              <w:jc w:val="center"/>
              <w:ind w:right="169"/>
              <w:spacing w:after="0"/>
              <w:rPr>
                <w:sz w:val="20"/>
                <w:szCs w:val="20"/>
                <w:color w:val="auto"/>
              </w:rPr>
            </w:pPr>
            <w:r>
              <w:rPr>
                <w:rFonts w:ascii="Arial" w:cs="Arial" w:eastAsia="Arial" w:hAnsi="Arial"/>
                <w:sz w:val="14"/>
                <w:szCs w:val="14"/>
                <w:b w:val="1"/>
                <w:bCs w:val="1"/>
                <w:color w:val="FFFFFF"/>
                <w:w w:val="99"/>
              </w:rPr>
              <w:t>Number of</w:t>
            </w:r>
          </w:p>
        </w:tc>
        <w:tc>
          <w:tcPr>
            <w:tcW w:w="1220" w:type="dxa"/>
            <w:vAlign w:val="bottom"/>
            <w:shd w:val="clear" w:color="auto" w:fill="C00000"/>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5700" w:type="dxa"/>
            <w:vAlign w:val="bottom"/>
            <w:shd w:val="clear" w:color="auto" w:fill="C00000"/>
          </w:tcPr>
          <w:p>
            <w:pPr>
              <w:spacing w:after="0"/>
              <w:rPr>
                <w:sz w:val="13"/>
                <w:szCs w:val="13"/>
                <w:color w:val="auto"/>
              </w:rPr>
            </w:pPr>
          </w:p>
        </w:tc>
        <w:tc>
          <w:tcPr>
            <w:tcW w:w="15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Shares</w:t>
            </w:r>
          </w:p>
        </w:tc>
        <w:tc>
          <w:tcPr>
            <w:tcW w:w="1400" w:type="dxa"/>
            <w:vAlign w:val="bottom"/>
            <w:shd w:val="clear" w:color="auto" w:fill="C00000"/>
          </w:tcPr>
          <w:p>
            <w:pPr>
              <w:jc w:val="center"/>
              <w:ind w:right="169"/>
              <w:spacing w:after="0"/>
              <w:rPr>
                <w:sz w:val="20"/>
                <w:szCs w:val="20"/>
                <w:color w:val="auto"/>
              </w:rPr>
            </w:pPr>
            <w:r>
              <w:rPr>
                <w:rFonts w:ascii="Arial" w:cs="Arial" w:eastAsia="Arial" w:hAnsi="Arial"/>
                <w:sz w:val="14"/>
                <w:szCs w:val="14"/>
                <w:b w:val="1"/>
                <w:bCs w:val="1"/>
                <w:color w:val="FFFFFF"/>
                <w:w w:val="96"/>
              </w:rPr>
              <w:t>Value</w:t>
            </w:r>
          </w:p>
        </w:tc>
        <w:tc>
          <w:tcPr>
            <w:tcW w:w="1380" w:type="dxa"/>
            <w:vAlign w:val="bottom"/>
            <w:shd w:val="clear" w:color="auto" w:fill="C00000"/>
          </w:tcPr>
          <w:p>
            <w:pPr>
              <w:jc w:val="center"/>
              <w:ind w:right="169"/>
              <w:spacing w:after="0"/>
              <w:rPr>
                <w:sz w:val="20"/>
                <w:szCs w:val="20"/>
                <w:color w:val="auto"/>
              </w:rPr>
            </w:pPr>
            <w:r>
              <w:rPr>
                <w:rFonts w:ascii="Arial" w:cs="Arial" w:eastAsia="Arial" w:hAnsi="Arial"/>
                <w:sz w:val="14"/>
                <w:szCs w:val="14"/>
                <w:b w:val="1"/>
                <w:bCs w:val="1"/>
                <w:color w:val="FFFFFF"/>
                <w:w w:val="98"/>
              </w:rPr>
              <w:t>Shares</w:t>
            </w:r>
          </w:p>
        </w:tc>
        <w:tc>
          <w:tcPr>
            <w:tcW w:w="12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Value</w:t>
            </w:r>
          </w:p>
        </w:tc>
        <w:tc>
          <w:tcPr>
            <w:tcW w:w="0" w:type="dxa"/>
            <w:vAlign w:val="bottom"/>
          </w:tcPr>
          <w:p>
            <w:pPr>
              <w:spacing w:after="0"/>
              <w:rPr>
                <w:sz w:val="1"/>
                <w:szCs w:val="1"/>
                <w:color w:val="auto"/>
              </w:rPr>
            </w:pPr>
          </w:p>
        </w:tc>
      </w:tr>
      <w:tr>
        <w:trPr>
          <w:trHeight w:val="161"/>
        </w:trPr>
        <w:tc>
          <w:tcPr>
            <w:tcW w:w="5700" w:type="dxa"/>
            <w:vAlign w:val="bottom"/>
            <w:shd w:val="clear" w:color="auto" w:fill="C00000"/>
          </w:tcPr>
          <w:p>
            <w:pPr>
              <w:spacing w:after="0"/>
              <w:rPr>
                <w:sz w:val="13"/>
                <w:szCs w:val="13"/>
                <w:color w:val="auto"/>
              </w:rPr>
            </w:pPr>
          </w:p>
        </w:tc>
        <w:tc>
          <w:tcPr>
            <w:tcW w:w="15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Acquired</w:t>
            </w:r>
          </w:p>
        </w:tc>
        <w:tc>
          <w:tcPr>
            <w:tcW w:w="1400" w:type="dxa"/>
            <w:vAlign w:val="bottom"/>
            <w:shd w:val="clear" w:color="auto" w:fill="C00000"/>
          </w:tcPr>
          <w:p>
            <w:pPr>
              <w:jc w:val="center"/>
              <w:ind w:right="149"/>
              <w:spacing w:after="0"/>
              <w:rPr>
                <w:sz w:val="20"/>
                <w:szCs w:val="20"/>
                <w:color w:val="auto"/>
              </w:rPr>
            </w:pPr>
            <w:r>
              <w:rPr>
                <w:rFonts w:ascii="Arial" w:cs="Arial" w:eastAsia="Arial" w:hAnsi="Arial"/>
                <w:sz w:val="14"/>
                <w:szCs w:val="14"/>
                <w:b w:val="1"/>
                <w:bCs w:val="1"/>
                <w:color w:val="FFFFFF"/>
              </w:rPr>
              <w:t>Realized</w:t>
            </w:r>
          </w:p>
        </w:tc>
        <w:tc>
          <w:tcPr>
            <w:tcW w:w="1380" w:type="dxa"/>
            <w:vAlign w:val="bottom"/>
            <w:shd w:val="clear" w:color="auto" w:fill="C00000"/>
          </w:tcPr>
          <w:p>
            <w:pPr>
              <w:jc w:val="center"/>
              <w:ind w:right="169"/>
              <w:spacing w:after="0"/>
              <w:rPr>
                <w:sz w:val="20"/>
                <w:szCs w:val="20"/>
                <w:color w:val="auto"/>
              </w:rPr>
            </w:pPr>
            <w:r>
              <w:rPr>
                <w:rFonts w:ascii="Arial" w:cs="Arial" w:eastAsia="Arial" w:hAnsi="Arial"/>
                <w:sz w:val="14"/>
                <w:szCs w:val="14"/>
                <w:b w:val="1"/>
                <w:bCs w:val="1"/>
                <w:color w:val="FFFFFF"/>
              </w:rPr>
              <w:t>Acquired</w:t>
            </w:r>
          </w:p>
        </w:tc>
        <w:tc>
          <w:tcPr>
            <w:tcW w:w="12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Realized on</w:t>
            </w:r>
          </w:p>
        </w:tc>
        <w:tc>
          <w:tcPr>
            <w:tcW w:w="0" w:type="dxa"/>
            <w:vAlign w:val="bottom"/>
          </w:tcPr>
          <w:p>
            <w:pPr>
              <w:spacing w:after="0"/>
              <w:rPr>
                <w:sz w:val="1"/>
                <w:szCs w:val="1"/>
                <w:color w:val="auto"/>
              </w:rPr>
            </w:pPr>
          </w:p>
        </w:tc>
      </w:tr>
      <w:tr>
        <w:trPr>
          <w:trHeight w:val="161"/>
        </w:trPr>
        <w:tc>
          <w:tcPr>
            <w:tcW w:w="5700" w:type="dxa"/>
            <w:vAlign w:val="bottom"/>
            <w:shd w:val="clear" w:color="auto" w:fill="C00000"/>
          </w:tcPr>
          <w:p>
            <w:pPr>
              <w:spacing w:after="0"/>
              <w:rPr>
                <w:sz w:val="13"/>
                <w:szCs w:val="13"/>
                <w:color w:val="auto"/>
              </w:rPr>
            </w:pPr>
          </w:p>
        </w:tc>
        <w:tc>
          <w:tcPr>
            <w:tcW w:w="15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On Exercise</w:t>
            </w:r>
          </w:p>
        </w:tc>
        <w:tc>
          <w:tcPr>
            <w:tcW w:w="1400" w:type="dxa"/>
            <w:vAlign w:val="bottom"/>
            <w:shd w:val="clear" w:color="auto" w:fill="C00000"/>
          </w:tcPr>
          <w:p>
            <w:pPr>
              <w:jc w:val="center"/>
              <w:ind w:right="169"/>
              <w:spacing w:after="0"/>
              <w:rPr>
                <w:sz w:val="20"/>
                <w:szCs w:val="20"/>
                <w:color w:val="auto"/>
              </w:rPr>
            </w:pPr>
            <w:r>
              <w:rPr>
                <w:rFonts w:ascii="Arial" w:cs="Arial" w:eastAsia="Arial" w:hAnsi="Arial"/>
                <w:sz w:val="14"/>
                <w:szCs w:val="14"/>
                <w:b w:val="1"/>
                <w:bCs w:val="1"/>
                <w:color w:val="FFFFFF"/>
              </w:rPr>
              <w:t>On Exercise</w:t>
            </w:r>
          </w:p>
        </w:tc>
        <w:tc>
          <w:tcPr>
            <w:tcW w:w="1380" w:type="dxa"/>
            <w:vAlign w:val="bottom"/>
            <w:shd w:val="clear" w:color="auto" w:fill="C00000"/>
          </w:tcPr>
          <w:p>
            <w:pPr>
              <w:jc w:val="center"/>
              <w:ind w:right="169"/>
              <w:spacing w:after="0"/>
              <w:rPr>
                <w:sz w:val="20"/>
                <w:szCs w:val="20"/>
                <w:color w:val="auto"/>
              </w:rPr>
            </w:pPr>
            <w:r>
              <w:rPr>
                <w:rFonts w:ascii="Arial" w:cs="Arial" w:eastAsia="Arial" w:hAnsi="Arial"/>
                <w:sz w:val="14"/>
                <w:szCs w:val="14"/>
                <w:b w:val="1"/>
                <w:bCs w:val="1"/>
                <w:color w:val="FFFFFF"/>
              </w:rPr>
              <w:t>on Vesting</w:t>
            </w:r>
          </w:p>
        </w:tc>
        <w:tc>
          <w:tcPr>
            <w:tcW w:w="12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Vesting</w:t>
            </w:r>
          </w:p>
        </w:tc>
        <w:tc>
          <w:tcPr>
            <w:tcW w:w="0" w:type="dxa"/>
            <w:vAlign w:val="bottom"/>
          </w:tcPr>
          <w:p>
            <w:pPr>
              <w:spacing w:after="0"/>
              <w:rPr>
                <w:sz w:val="1"/>
                <w:szCs w:val="1"/>
                <w:color w:val="auto"/>
              </w:rPr>
            </w:pPr>
          </w:p>
        </w:tc>
      </w:tr>
      <w:tr>
        <w:trPr>
          <w:trHeight w:val="174"/>
        </w:trPr>
        <w:tc>
          <w:tcPr>
            <w:tcW w:w="570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15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3"/>
              </w:rPr>
              <w:t>(#)</w:t>
            </w:r>
          </w:p>
        </w:tc>
        <w:tc>
          <w:tcPr>
            <w:tcW w:w="1400" w:type="dxa"/>
            <w:vAlign w:val="bottom"/>
            <w:shd w:val="clear" w:color="auto" w:fill="C00000"/>
          </w:tcPr>
          <w:p>
            <w:pPr>
              <w:jc w:val="center"/>
              <w:ind w:right="169"/>
              <w:spacing w:after="0"/>
              <w:rPr>
                <w:sz w:val="20"/>
                <w:szCs w:val="20"/>
                <w:color w:val="auto"/>
              </w:rPr>
            </w:pPr>
            <w:r>
              <w:rPr>
                <w:rFonts w:ascii="Arial" w:cs="Arial" w:eastAsia="Arial" w:hAnsi="Arial"/>
                <w:sz w:val="14"/>
                <w:szCs w:val="14"/>
                <w:b w:val="1"/>
                <w:bCs w:val="1"/>
                <w:color w:val="FFFFFF"/>
                <w:w w:val="93"/>
              </w:rPr>
              <w:t>($)</w:t>
            </w:r>
          </w:p>
        </w:tc>
        <w:tc>
          <w:tcPr>
            <w:tcW w:w="1380" w:type="dxa"/>
            <w:vAlign w:val="bottom"/>
            <w:shd w:val="clear" w:color="auto" w:fill="C00000"/>
          </w:tcPr>
          <w:p>
            <w:pPr>
              <w:jc w:val="center"/>
              <w:ind w:right="169"/>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4"/>
                <w:szCs w:val="14"/>
                <w:color w:val="auto"/>
              </w:rPr>
              <w:t>Richard M. Olson</w:t>
            </w:r>
          </w:p>
        </w:tc>
        <w:tc>
          <w:tcPr>
            <w:tcW w:w="1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700" w:type="dxa"/>
            <w:vAlign w:val="bottom"/>
          </w:tcPr>
          <w:p>
            <w:pPr>
              <w:ind w:left="260"/>
              <w:spacing w:after="0"/>
              <w:rPr>
                <w:sz w:val="20"/>
                <w:szCs w:val="20"/>
                <w:color w:val="auto"/>
              </w:rPr>
            </w:pPr>
            <w:r>
              <w:rPr>
                <w:rFonts w:ascii="Arial" w:cs="Arial" w:eastAsia="Arial" w:hAnsi="Arial"/>
                <w:sz w:val="14"/>
                <w:szCs w:val="14"/>
                <w:color w:val="auto"/>
              </w:rPr>
              <w:t>Stock Option Exercises</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13,200</w:t>
            </w:r>
          </w:p>
        </w:tc>
        <w:tc>
          <w:tcPr>
            <w:tcW w:w="1400" w:type="dxa"/>
            <w:vAlign w:val="bottom"/>
          </w:tcPr>
          <w:p>
            <w:pPr>
              <w:jc w:val="right"/>
              <w:ind w:right="129"/>
              <w:spacing w:after="0"/>
              <w:rPr>
                <w:sz w:val="20"/>
                <w:szCs w:val="20"/>
                <w:color w:val="auto"/>
              </w:rPr>
            </w:pPr>
            <w:r>
              <w:rPr>
                <w:rFonts w:ascii="Arial" w:cs="Arial" w:eastAsia="Arial" w:hAnsi="Arial"/>
                <w:sz w:val="14"/>
                <w:szCs w:val="14"/>
                <w:color w:val="auto"/>
              </w:rPr>
              <w:t>745,800</w:t>
            </w: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700" w:type="dxa"/>
            <w:vAlign w:val="bottom"/>
          </w:tcPr>
          <w:p>
            <w:pPr>
              <w:ind w:left="260"/>
              <w:spacing w:after="0" w:line="159" w:lineRule="exact"/>
              <w:rPr>
                <w:sz w:val="20"/>
                <w:szCs w:val="20"/>
                <w:color w:val="auto"/>
              </w:rPr>
            </w:pPr>
            <w:r>
              <w:rPr>
                <w:rFonts w:ascii="Arial" w:cs="Arial" w:eastAsia="Arial" w:hAnsi="Arial"/>
                <w:sz w:val="14"/>
                <w:szCs w:val="14"/>
                <w:color w:val="auto"/>
              </w:rPr>
              <w:t>F’18-F’20 Performance Share Award Payout</w:t>
            </w:r>
          </w:p>
        </w:tc>
        <w:tc>
          <w:tcPr>
            <w:tcW w:w="1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16,529</w:t>
            </w:r>
          </w:p>
        </w:tc>
        <w:tc>
          <w:tcPr>
            <w:tcW w:w="1220" w:type="dxa"/>
            <w:vAlign w:val="bottom"/>
          </w:tcPr>
          <w:p>
            <w:pPr>
              <w:jc w:val="right"/>
              <w:spacing w:after="0" w:line="159" w:lineRule="exact"/>
              <w:rPr>
                <w:sz w:val="20"/>
                <w:szCs w:val="20"/>
                <w:color w:val="auto"/>
              </w:rPr>
            </w:pPr>
            <w:r>
              <w:rPr>
                <w:rFonts w:ascii="Arial" w:cs="Arial" w:eastAsia="Arial" w:hAnsi="Arial"/>
                <w:sz w:val="14"/>
                <w:szCs w:val="14"/>
                <w:color w:val="auto"/>
              </w:rPr>
              <w:t>1,524,966</w:t>
            </w:r>
          </w:p>
        </w:tc>
        <w:tc>
          <w:tcPr>
            <w:tcW w:w="0" w:type="dxa"/>
            <w:vAlign w:val="bottom"/>
          </w:tcPr>
          <w:p>
            <w:pPr>
              <w:spacing w:after="0"/>
              <w:rPr>
                <w:sz w:val="1"/>
                <w:szCs w:val="1"/>
                <w:color w:val="auto"/>
              </w:rPr>
            </w:pPr>
          </w:p>
        </w:tc>
      </w:tr>
      <w:tr>
        <w:trPr>
          <w:trHeight w:val="174"/>
        </w:trPr>
        <w:tc>
          <w:tcPr>
            <w:tcW w:w="5700" w:type="dxa"/>
            <w:vAlign w:val="bottom"/>
            <w:shd w:val="clear" w:color="auto" w:fill="D9D9D9"/>
          </w:tcPr>
          <w:p>
            <w:pPr>
              <w:spacing w:after="0"/>
              <w:rPr>
                <w:sz w:val="20"/>
                <w:szCs w:val="20"/>
                <w:color w:val="auto"/>
              </w:rPr>
            </w:pPr>
            <w:r>
              <w:rPr>
                <w:rFonts w:ascii="Arial" w:cs="Arial" w:eastAsia="Arial" w:hAnsi="Arial"/>
                <w:sz w:val="14"/>
                <w:szCs w:val="14"/>
                <w:color w:val="auto"/>
              </w:rPr>
              <w:t>Renee J. Peterson</w:t>
            </w:r>
          </w:p>
        </w:tc>
        <w:tc>
          <w:tcPr>
            <w:tcW w:w="1540" w:type="dxa"/>
            <w:vAlign w:val="bottom"/>
            <w:shd w:val="clear" w:color="auto" w:fill="D9D9D9"/>
          </w:tcPr>
          <w:p>
            <w:pPr>
              <w:spacing w:after="0"/>
              <w:rPr>
                <w:sz w:val="15"/>
                <w:szCs w:val="15"/>
                <w:color w:val="auto"/>
              </w:rPr>
            </w:pPr>
          </w:p>
        </w:tc>
        <w:tc>
          <w:tcPr>
            <w:tcW w:w="1400" w:type="dxa"/>
            <w:vAlign w:val="bottom"/>
            <w:shd w:val="clear" w:color="auto" w:fill="D9D9D9"/>
          </w:tcPr>
          <w:p>
            <w:pPr>
              <w:spacing w:after="0"/>
              <w:rPr>
                <w:sz w:val="15"/>
                <w:szCs w:val="15"/>
                <w:color w:val="auto"/>
              </w:rPr>
            </w:pPr>
          </w:p>
        </w:tc>
        <w:tc>
          <w:tcPr>
            <w:tcW w:w="1380" w:type="dxa"/>
            <w:vAlign w:val="bottom"/>
            <w:shd w:val="clear" w:color="auto" w:fill="D9D9D9"/>
          </w:tcPr>
          <w:p>
            <w:pPr>
              <w:spacing w:after="0"/>
              <w:rPr>
                <w:sz w:val="15"/>
                <w:szCs w:val="15"/>
                <w:color w:val="auto"/>
              </w:rPr>
            </w:pPr>
          </w:p>
        </w:tc>
        <w:tc>
          <w:tcPr>
            <w:tcW w:w="122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00" w:type="dxa"/>
            <w:vAlign w:val="bottom"/>
            <w:shd w:val="clear" w:color="auto" w:fill="D9D9D9"/>
          </w:tcPr>
          <w:p>
            <w:pPr>
              <w:ind w:left="260"/>
              <w:spacing w:after="0"/>
              <w:rPr>
                <w:sz w:val="20"/>
                <w:szCs w:val="20"/>
                <w:color w:val="auto"/>
              </w:rPr>
            </w:pPr>
            <w:r>
              <w:rPr>
                <w:rFonts w:ascii="Arial" w:cs="Arial" w:eastAsia="Arial" w:hAnsi="Arial"/>
                <w:sz w:val="14"/>
                <w:szCs w:val="14"/>
                <w:color w:val="auto"/>
              </w:rPr>
              <w:t>Stock Option Exercises</w:t>
            </w:r>
          </w:p>
        </w:tc>
        <w:tc>
          <w:tcPr>
            <w:tcW w:w="1540" w:type="dxa"/>
            <w:vAlign w:val="bottom"/>
            <w:shd w:val="clear" w:color="auto" w:fill="D9D9D9"/>
          </w:tcPr>
          <w:p>
            <w:pPr>
              <w:jc w:val="right"/>
              <w:ind w:right="109"/>
              <w:spacing w:after="0"/>
              <w:rPr>
                <w:sz w:val="20"/>
                <w:szCs w:val="20"/>
                <w:color w:val="auto"/>
              </w:rPr>
            </w:pPr>
            <w:r>
              <w:rPr>
                <w:rFonts w:ascii="Arial" w:cs="Arial" w:eastAsia="Arial" w:hAnsi="Arial"/>
                <w:sz w:val="14"/>
                <w:szCs w:val="14"/>
                <w:color w:val="auto"/>
              </w:rPr>
              <w:t>76,800</w:t>
            </w:r>
          </w:p>
        </w:tc>
        <w:tc>
          <w:tcPr>
            <w:tcW w:w="1400" w:type="dxa"/>
            <w:vAlign w:val="bottom"/>
            <w:shd w:val="clear" w:color="auto" w:fill="D9D9D9"/>
          </w:tcPr>
          <w:p>
            <w:pPr>
              <w:jc w:val="right"/>
              <w:ind w:right="129"/>
              <w:spacing w:after="0"/>
              <w:rPr>
                <w:sz w:val="20"/>
                <w:szCs w:val="20"/>
                <w:color w:val="auto"/>
              </w:rPr>
            </w:pPr>
            <w:r>
              <w:rPr>
                <w:rFonts w:ascii="Arial" w:cs="Arial" w:eastAsia="Arial" w:hAnsi="Arial"/>
                <w:sz w:val="14"/>
                <w:szCs w:val="14"/>
                <w:color w:val="auto"/>
              </w:rPr>
              <w:t>4,004,811</w:t>
            </w:r>
          </w:p>
        </w:tc>
        <w:tc>
          <w:tcPr>
            <w:tcW w:w="1380" w:type="dxa"/>
            <w:vAlign w:val="bottom"/>
            <w:shd w:val="clear" w:color="auto" w:fill="D9D9D9"/>
          </w:tcPr>
          <w:p>
            <w:pPr>
              <w:spacing w:after="0"/>
              <w:rPr>
                <w:sz w:val="15"/>
                <w:szCs w:val="15"/>
                <w:color w:val="auto"/>
              </w:rPr>
            </w:pPr>
          </w:p>
        </w:tc>
        <w:tc>
          <w:tcPr>
            <w:tcW w:w="122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00" w:type="dxa"/>
            <w:vAlign w:val="bottom"/>
            <w:shd w:val="clear" w:color="auto" w:fill="D9D9D9"/>
          </w:tcPr>
          <w:p>
            <w:pPr>
              <w:ind w:left="260"/>
              <w:spacing w:after="0"/>
              <w:rPr>
                <w:sz w:val="20"/>
                <w:szCs w:val="20"/>
                <w:color w:val="auto"/>
              </w:rPr>
            </w:pPr>
            <w:r>
              <w:rPr>
                <w:rFonts w:ascii="Arial" w:cs="Arial" w:eastAsia="Arial" w:hAnsi="Arial"/>
                <w:sz w:val="14"/>
                <w:szCs w:val="14"/>
                <w:color w:val="auto"/>
              </w:rPr>
              <w:t>F’18-F’20 Performance Share Award Payout</w:t>
            </w:r>
          </w:p>
        </w:tc>
        <w:tc>
          <w:tcPr>
            <w:tcW w:w="1540" w:type="dxa"/>
            <w:vAlign w:val="bottom"/>
            <w:shd w:val="clear" w:color="auto" w:fill="D9D9D9"/>
          </w:tcPr>
          <w:p>
            <w:pPr>
              <w:spacing w:after="0"/>
              <w:rPr>
                <w:sz w:val="15"/>
                <w:szCs w:val="15"/>
                <w:color w:val="auto"/>
              </w:rPr>
            </w:pPr>
          </w:p>
        </w:tc>
        <w:tc>
          <w:tcPr>
            <w:tcW w:w="1400" w:type="dxa"/>
            <w:vAlign w:val="bottom"/>
            <w:shd w:val="clear" w:color="auto" w:fill="D9D9D9"/>
          </w:tcPr>
          <w:p>
            <w:pPr>
              <w:spacing w:after="0"/>
              <w:rPr>
                <w:sz w:val="15"/>
                <w:szCs w:val="15"/>
                <w:color w:val="auto"/>
              </w:rPr>
            </w:pPr>
          </w:p>
        </w:tc>
        <w:tc>
          <w:tcPr>
            <w:tcW w:w="1380" w:type="dxa"/>
            <w:vAlign w:val="bottom"/>
            <w:shd w:val="clear" w:color="auto" w:fill="D9D9D9"/>
          </w:tcPr>
          <w:p>
            <w:pPr>
              <w:jc w:val="right"/>
              <w:ind w:right="109"/>
              <w:spacing w:after="0"/>
              <w:rPr>
                <w:sz w:val="20"/>
                <w:szCs w:val="20"/>
                <w:color w:val="auto"/>
              </w:rPr>
            </w:pPr>
            <w:r>
              <w:rPr>
                <w:rFonts w:ascii="Arial" w:cs="Arial" w:eastAsia="Arial" w:hAnsi="Arial"/>
                <w:sz w:val="14"/>
                <w:szCs w:val="14"/>
                <w:color w:val="auto"/>
              </w:rPr>
              <w:t>4,595</w:t>
            </w: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423,935</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4"/>
                <w:szCs w:val="14"/>
                <w:color w:val="auto"/>
              </w:rPr>
              <w:t>Richard W. Rodier</w:t>
            </w:r>
          </w:p>
        </w:tc>
        <w:tc>
          <w:tcPr>
            <w:tcW w:w="1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700" w:type="dxa"/>
            <w:vAlign w:val="bottom"/>
          </w:tcPr>
          <w:p>
            <w:pPr>
              <w:ind w:left="260"/>
              <w:spacing w:after="0"/>
              <w:rPr>
                <w:sz w:val="20"/>
                <w:szCs w:val="20"/>
                <w:color w:val="auto"/>
              </w:rPr>
            </w:pPr>
            <w:r>
              <w:rPr>
                <w:rFonts w:ascii="Arial" w:cs="Arial" w:eastAsia="Arial" w:hAnsi="Arial"/>
                <w:sz w:val="14"/>
                <w:szCs w:val="14"/>
                <w:color w:val="auto"/>
              </w:rPr>
              <w:t>Stock Option Exercises</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8,400</w:t>
            </w:r>
          </w:p>
        </w:tc>
        <w:tc>
          <w:tcPr>
            <w:tcW w:w="1400" w:type="dxa"/>
            <w:vAlign w:val="bottom"/>
          </w:tcPr>
          <w:p>
            <w:pPr>
              <w:jc w:val="right"/>
              <w:ind w:right="129"/>
              <w:spacing w:after="0"/>
              <w:rPr>
                <w:sz w:val="20"/>
                <w:szCs w:val="20"/>
                <w:color w:val="auto"/>
              </w:rPr>
            </w:pPr>
            <w:r>
              <w:rPr>
                <w:rFonts w:ascii="Arial" w:cs="Arial" w:eastAsia="Arial" w:hAnsi="Arial"/>
                <w:sz w:val="14"/>
                <w:szCs w:val="14"/>
                <w:color w:val="auto"/>
              </w:rPr>
              <w:t>528,480</w:t>
            </w: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700" w:type="dxa"/>
            <w:vAlign w:val="bottom"/>
          </w:tcPr>
          <w:p>
            <w:pPr>
              <w:ind w:left="260"/>
              <w:spacing w:after="0" w:line="159" w:lineRule="exact"/>
              <w:rPr>
                <w:sz w:val="20"/>
                <w:szCs w:val="20"/>
                <w:color w:val="auto"/>
              </w:rPr>
            </w:pPr>
            <w:r>
              <w:rPr>
                <w:rFonts w:ascii="Arial" w:cs="Arial" w:eastAsia="Arial" w:hAnsi="Arial"/>
                <w:sz w:val="14"/>
                <w:szCs w:val="14"/>
                <w:color w:val="auto"/>
              </w:rPr>
              <w:t>F’18-F’20 Performance Share Award Payout</w:t>
            </w:r>
          </w:p>
        </w:tc>
        <w:tc>
          <w:tcPr>
            <w:tcW w:w="1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1,097</w:t>
            </w:r>
          </w:p>
        </w:tc>
        <w:tc>
          <w:tcPr>
            <w:tcW w:w="1220" w:type="dxa"/>
            <w:vAlign w:val="bottom"/>
          </w:tcPr>
          <w:p>
            <w:pPr>
              <w:jc w:val="right"/>
              <w:spacing w:after="0" w:line="159" w:lineRule="exact"/>
              <w:rPr>
                <w:sz w:val="20"/>
                <w:szCs w:val="20"/>
                <w:color w:val="auto"/>
              </w:rPr>
            </w:pPr>
            <w:r>
              <w:rPr>
                <w:rFonts w:ascii="Arial" w:cs="Arial" w:eastAsia="Arial" w:hAnsi="Arial"/>
                <w:sz w:val="14"/>
                <w:szCs w:val="14"/>
                <w:color w:val="auto"/>
              </w:rPr>
              <w:t>101,209</w:t>
            </w:r>
          </w:p>
        </w:tc>
        <w:tc>
          <w:tcPr>
            <w:tcW w:w="0" w:type="dxa"/>
            <w:vAlign w:val="bottom"/>
          </w:tcPr>
          <w:p>
            <w:pPr>
              <w:spacing w:after="0"/>
              <w:rPr>
                <w:sz w:val="1"/>
                <w:szCs w:val="1"/>
                <w:color w:val="auto"/>
              </w:rPr>
            </w:pPr>
          </w:p>
        </w:tc>
      </w:tr>
      <w:tr>
        <w:trPr>
          <w:trHeight w:val="174"/>
        </w:trPr>
        <w:tc>
          <w:tcPr>
            <w:tcW w:w="5700" w:type="dxa"/>
            <w:vAlign w:val="bottom"/>
            <w:shd w:val="clear" w:color="auto" w:fill="D9D9D9"/>
          </w:tcPr>
          <w:p>
            <w:pPr>
              <w:spacing w:after="0"/>
              <w:rPr>
                <w:sz w:val="20"/>
                <w:szCs w:val="20"/>
                <w:color w:val="auto"/>
              </w:rPr>
            </w:pPr>
            <w:r>
              <w:rPr>
                <w:rFonts w:ascii="Arial" w:cs="Arial" w:eastAsia="Arial" w:hAnsi="Arial"/>
                <w:sz w:val="14"/>
                <w:szCs w:val="14"/>
                <w:color w:val="auto"/>
              </w:rPr>
              <w:t>Bradley A. Hamilton</w:t>
            </w:r>
          </w:p>
        </w:tc>
        <w:tc>
          <w:tcPr>
            <w:tcW w:w="1540" w:type="dxa"/>
            <w:vAlign w:val="bottom"/>
            <w:shd w:val="clear" w:color="auto" w:fill="D9D9D9"/>
          </w:tcPr>
          <w:p>
            <w:pPr>
              <w:spacing w:after="0"/>
              <w:rPr>
                <w:sz w:val="15"/>
                <w:szCs w:val="15"/>
                <w:color w:val="auto"/>
              </w:rPr>
            </w:pPr>
          </w:p>
        </w:tc>
        <w:tc>
          <w:tcPr>
            <w:tcW w:w="1400" w:type="dxa"/>
            <w:vAlign w:val="bottom"/>
            <w:shd w:val="clear" w:color="auto" w:fill="D9D9D9"/>
          </w:tcPr>
          <w:p>
            <w:pPr>
              <w:spacing w:after="0"/>
              <w:rPr>
                <w:sz w:val="15"/>
                <w:szCs w:val="15"/>
                <w:color w:val="auto"/>
              </w:rPr>
            </w:pPr>
          </w:p>
        </w:tc>
        <w:tc>
          <w:tcPr>
            <w:tcW w:w="1380" w:type="dxa"/>
            <w:vAlign w:val="bottom"/>
            <w:shd w:val="clear" w:color="auto" w:fill="D9D9D9"/>
          </w:tcPr>
          <w:p>
            <w:pPr>
              <w:spacing w:after="0"/>
              <w:rPr>
                <w:sz w:val="15"/>
                <w:szCs w:val="15"/>
                <w:color w:val="auto"/>
              </w:rPr>
            </w:pPr>
          </w:p>
        </w:tc>
        <w:tc>
          <w:tcPr>
            <w:tcW w:w="122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00" w:type="dxa"/>
            <w:vAlign w:val="bottom"/>
            <w:shd w:val="clear" w:color="auto" w:fill="D9D9D9"/>
          </w:tcPr>
          <w:p>
            <w:pPr>
              <w:ind w:left="260"/>
              <w:spacing w:after="0"/>
              <w:rPr>
                <w:sz w:val="20"/>
                <w:szCs w:val="20"/>
                <w:color w:val="auto"/>
              </w:rPr>
            </w:pPr>
            <w:r>
              <w:rPr>
                <w:rFonts w:ascii="Arial" w:cs="Arial" w:eastAsia="Arial" w:hAnsi="Arial"/>
                <w:sz w:val="14"/>
                <w:szCs w:val="14"/>
                <w:color w:val="auto"/>
              </w:rPr>
              <w:t>Stock Option Exercises</w:t>
            </w:r>
          </w:p>
        </w:tc>
        <w:tc>
          <w:tcPr>
            <w:tcW w:w="1540" w:type="dxa"/>
            <w:vAlign w:val="bottom"/>
            <w:shd w:val="clear" w:color="auto" w:fill="D9D9D9"/>
          </w:tcPr>
          <w:p>
            <w:pPr>
              <w:jc w:val="right"/>
              <w:ind w:right="109"/>
              <w:spacing w:after="0"/>
              <w:rPr>
                <w:sz w:val="20"/>
                <w:szCs w:val="20"/>
                <w:color w:val="auto"/>
              </w:rPr>
            </w:pPr>
            <w:r>
              <w:rPr>
                <w:rFonts w:ascii="Arial" w:cs="Arial" w:eastAsia="Arial" w:hAnsi="Arial"/>
                <w:sz w:val="14"/>
                <w:szCs w:val="14"/>
                <w:color w:val="auto"/>
              </w:rPr>
              <w:t>6,080</w:t>
            </w:r>
          </w:p>
        </w:tc>
        <w:tc>
          <w:tcPr>
            <w:tcW w:w="1400" w:type="dxa"/>
            <w:vAlign w:val="bottom"/>
            <w:shd w:val="clear" w:color="auto" w:fill="D9D9D9"/>
          </w:tcPr>
          <w:p>
            <w:pPr>
              <w:jc w:val="right"/>
              <w:ind w:right="129"/>
              <w:spacing w:after="0"/>
              <w:rPr>
                <w:sz w:val="20"/>
                <w:szCs w:val="20"/>
                <w:color w:val="auto"/>
              </w:rPr>
            </w:pPr>
            <w:r>
              <w:rPr>
                <w:rFonts w:ascii="Arial" w:cs="Arial" w:eastAsia="Arial" w:hAnsi="Arial"/>
                <w:sz w:val="14"/>
                <w:szCs w:val="14"/>
                <w:color w:val="auto"/>
              </w:rPr>
              <w:t>389,476</w:t>
            </w:r>
          </w:p>
        </w:tc>
        <w:tc>
          <w:tcPr>
            <w:tcW w:w="1380" w:type="dxa"/>
            <w:vAlign w:val="bottom"/>
            <w:shd w:val="clear" w:color="auto" w:fill="D9D9D9"/>
          </w:tcPr>
          <w:p>
            <w:pPr>
              <w:spacing w:after="0"/>
              <w:rPr>
                <w:sz w:val="15"/>
                <w:szCs w:val="15"/>
                <w:color w:val="auto"/>
              </w:rPr>
            </w:pPr>
          </w:p>
        </w:tc>
        <w:tc>
          <w:tcPr>
            <w:tcW w:w="122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00" w:type="dxa"/>
            <w:vAlign w:val="bottom"/>
            <w:shd w:val="clear" w:color="auto" w:fill="D9D9D9"/>
          </w:tcPr>
          <w:p>
            <w:pPr>
              <w:ind w:left="260"/>
              <w:spacing w:after="0"/>
              <w:rPr>
                <w:sz w:val="20"/>
                <w:szCs w:val="20"/>
                <w:color w:val="auto"/>
              </w:rPr>
            </w:pPr>
            <w:r>
              <w:rPr>
                <w:rFonts w:ascii="Arial" w:cs="Arial" w:eastAsia="Arial" w:hAnsi="Arial"/>
                <w:sz w:val="14"/>
                <w:szCs w:val="14"/>
                <w:color w:val="auto"/>
              </w:rPr>
              <w:t>F’18-F’20 Performance Share Award Payout</w:t>
            </w:r>
          </w:p>
        </w:tc>
        <w:tc>
          <w:tcPr>
            <w:tcW w:w="1540" w:type="dxa"/>
            <w:vAlign w:val="bottom"/>
            <w:shd w:val="clear" w:color="auto" w:fill="D9D9D9"/>
          </w:tcPr>
          <w:p>
            <w:pPr>
              <w:spacing w:after="0"/>
              <w:rPr>
                <w:sz w:val="15"/>
                <w:szCs w:val="15"/>
                <w:color w:val="auto"/>
              </w:rPr>
            </w:pPr>
          </w:p>
        </w:tc>
        <w:tc>
          <w:tcPr>
            <w:tcW w:w="1400" w:type="dxa"/>
            <w:vAlign w:val="bottom"/>
            <w:shd w:val="clear" w:color="auto" w:fill="D9D9D9"/>
          </w:tcPr>
          <w:p>
            <w:pPr>
              <w:spacing w:after="0"/>
              <w:rPr>
                <w:sz w:val="15"/>
                <w:szCs w:val="15"/>
                <w:color w:val="auto"/>
              </w:rPr>
            </w:pPr>
          </w:p>
        </w:tc>
        <w:tc>
          <w:tcPr>
            <w:tcW w:w="1380" w:type="dxa"/>
            <w:vAlign w:val="bottom"/>
            <w:shd w:val="clear" w:color="auto" w:fill="D9D9D9"/>
          </w:tcPr>
          <w:p>
            <w:pPr>
              <w:jc w:val="right"/>
              <w:ind w:right="109"/>
              <w:spacing w:after="0"/>
              <w:rPr>
                <w:sz w:val="20"/>
                <w:szCs w:val="20"/>
                <w:color w:val="auto"/>
              </w:rPr>
            </w:pPr>
            <w:r>
              <w:rPr>
                <w:rFonts w:ascii="Arial" w:cs="Arial" w:eastAsia="Arial" w:hAnsi="Arial"/>
                <w:sz w:val="14"/>
                <w:szCs w:val="14"/>
                <w:color w:val="auto"/>
              </w:rPr>
              <w:t>2,263</w:t>
            </w: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208,784</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4"/>
                <w:szCs w:val="14"/>
                <w:color w:val="auto"/>
              </w:rPr>
              <w:t>Amy E. Dahl</w:t>
            </w: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5700" w:type="dxa"/>
            <w:vAlign w:val="bottom"/>
          </w:tcPr>
          <w:p>
            <w:pPr>
              <w:ind w:left="260"/>
              <w:spacing w:after="0"/>
              <w:rPr>
                <w:sz w:val="20"/>
                <w:szCs w:val="20"/>
                <w:color w:val="auto"/>
              </w:rPr>
            </w:pPr>
            <w:r>
              <w:rPr>
                <w:rFonts w:ascii="Arial" w:cs="Arial" w:eastAsia="Arial" w:hAnsi="Arial"/>
                <w:sz w:val="14"/>
                <w:szCs w:val="14"/>
                <w:color w:val="auto"/>
              </w:rPr>
              <w:t>Stock Option Exercises</w:t>
            </w:r>
          </w:p>
        </w:tc>
        <w:tc>
          <w:tcPr>
            <w:tcW w:w="1540" w:type="dxa"/>
            <w:vAlign w:val="bottom"/>
            <w:vMerge w:val="restart"/>
          </w:tcPr>
          <w:p>
            <w:pPr>
              <w:jc w:val="right"/>
              <w:ind w:right="109"/>
              <w:spacing w:after="0"/>
              <w:rPr>
                <w:sz w:val="20"/>
                <w:szCs w:val="20"/>
                <w:color w:val="auto"/>
              </w:rPr>
            </w:pPr>
            <w:r>
              <w:rPr>
                <w:rFonts w:ascii="Arial" w:cs="Arial" w:eastAsia="Arial" w:hAnsi="Arial"/>
                <w:sz w:val="14"/>
                <w:szCs w:val="14"/>
                <w:color w:val="auto"/>
              </w:rPr>
              <w:t>9,860</w:t>
            </w:r>
          </w:p>
        </w:tc>
        <w:tc>
          <w:tcPr>
            <w:tcW w:w="1400" w:type="dxa"/>
            <w:vAlign w:val="bottom"/>
            <w:vMerge w:val="restart"/>
          </w:tcPr>
          <w:p>
            <w:pPr>
              <w:jc w:val="right"/>
              <w:ind w:right="129"/>
              <w:spacing w:after="0"/>
              <w:rPr>
                <w:sz w:val="20"/>
                <w:szCs w:val="20"/>
                <w:color w:val="auto"/>
              </w:rPr>
            </w:pPr>
            <w:r>
              <w:rPr>
                <w:rFonts w:ascii="Arial" w:cs="Arial" w:eastAsia="Arial" w:hAnsi="Arial"/>
                <w:sz w:val="14"/>
                <w:szCs w:val="14"/>
                <w:color w:val="auto"/>
              </w:rPr>
              <w:t>613,756</w:t>
            </w: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570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5700" w:type="dxa"/>
            <w:vAlign w:val="bottom"/>
          </w:tcPr>
          <w:p>
            <w:pPr>
              <w:ind w:left="260"/>
              <w:spacing w:after="0"/>
              <w:rPr>
                <w:sz w:val="20"/>
                <w:szCs w:val="20"/>
                <w:color w:val="auto"/>
              </w:rPr>
            </w:pPr>
            <w:r>
              <w:rPr>
                <w:rFonts w:ascii="Arial" w:cs="Arial" w:eastAsia="Arial" w:hAnsi="Arial"/>
                <w:sz w:val="14"/>
                <w:szCs w:val="14"/>
                <w:color w:val="auto"/>
              </w:rPr>
              <w:t>F’18-F’20 Performance Share Award Payout</w:t>
            </w:r>
          </w:p>
        </w:tc>
        <w:tc>
          <w:tcPr>
            <w:tcW w:w="1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80" w:type="dxa"/>
            <w:vAlign w:val="bottom"/>
            <w:vMerge w:val="restart"/>
          </w:tcPr>
          <w:p>
            <w:pPr>
              <w:jc w:val="right"/>
              <w:ind w:right="109"/>
              <w:spacing w:after="0"/>
              <w:rPr>
                <w:sz w:val="20"/>
                <w:szCs w:val="20"/>
                <w:color w:val="auto"/>
              </w:rPr>
            </w:pPr>
            <w:r>
              <w:rPr>
                <w:rFonts w:ascii="Arial" w:cs="Arial" w:eastAsia="Arial" w:hAnsi="Arial"/>
                <w:sz w:val="14"/>
                <w:szCs w:val="14"/>
                <w:color w:val="auto"/>
              </w:rPr>
              <w:t>2,126</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196,145</w:t>
            </w:r>
          </w:p>
        </w:tc>
        <w:tc>
          <w:tcPr>
            <w:tcW w:w="0" w:type="dxa"/>
            <w:vAlign w:val="bottom"/>
          </w:tcPr>
          <w:p>
            <w:pPr>
              <w:spacing w:after="0"/>
              <w:rPr>
                <w:sz w:val="1"/>
                <w:szCs w:val="1"/>
                <w:color w:val="auto"/>
              </w:rPr>
            </w:pPr>
          </w:p>
        </w:tc>
      </w:tr>
      <w:tr>
        <w:trPr>
          <w:trHeight w:val="54"/>
        </w:trPr>
        <w:tc>
          <w:tcPr>
            <w:tcW w:w="57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-2298700</wp:posOffset>
            </wp:positionV>
            <wp:extent cx="3439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58420</wp:posOffset>
            </wp:positionV>
            <wp:extent cx="203454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38" w:lineRule="exact"/>
        <w:rPr>
          <w:sz w:val="20"/>
          <w:szCs w:val="20"/>
          <w:color w:val="auto"/>
        </w:rPr>
      </w:pPr>
    </w:p>
    <w:p>
      <w:pPr>
        <w:jc w:val="both"/>
        <w:ind w:left="400" w:right="40" w:hanging="393"/>
        <w:spacing w:after="0" w:line="236" w:lineRule="auto"/>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shares acquired upon exercise reflects the gross number of shares acquired absent any netting for shares surrendered to pay the option exercise price and/or satisfy tax withholding requirements. The value realized on exercise represents the gross number of shares acquired on exercise multiplied by the market price of our common stock on the exercise date, as reported on the NYSE, less the per share exercise price.</w:t>
      </w:r>
    </w:p>
    <w:p>
      <w:pPr>
        <w:spacing w:after="0" w:line="43" w:lineRule="exact"/>
        <w:rPr>
          <w:rFonts w:ascii="Arial" w:cs="Arial" w:eastAsia="Arial" w:hAnsi="Arial"/>
          <w:sz w:val="18"/>
          <w:szCs w:val="18"/>
          <w:color w:val="auto"/>
        </w:rPr>
      </w:pPr>
    </w:p>
    <w:p>
      <w:pPr>
        <w:ind w:left="400" w:right="40" w:hanging="393"/>
        <w:spacing w:after="0" w:line="235" w:lineRule="auto"/>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shares acquired upon vesting reflects the gross number of shares acquired absent any netting of shares surrendered to satisfy tax withholding requirements. The value realized on vesting for performance share awards represents the gross number of shares acquired multiplied by the closing price of our common stock, as reported on the NYSE, on December 16, 2020 (the payout date for the fiscal 2018 to fiscal 2020 performance share awards) of $92.26. Amounts are not reduced to reflect any elections by our named executive officers to defer receipt of performance share award payouts. Under the Deferred Plan for Officers, Messrs. Olson, Rodier and Hamilton and Ms. Dahl deferred receipt of 100% of their fiscal 2018 to fiscal 2020 performance share award payout. The material terms of the Deferred Plan for Officers are described under “Nonqualified Deferred Compensation for Fiscal 2020” set forth below.</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Nonqualified Deferred Compensation for Fiscal 2020</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maintain three nonqualified deferred compensation plans in which our named executive officers are eligible to participate.</w:t>
      </w:r>
    </w:p>
    <w:p>
      <w:pPr>
        <w:spacing w:after="0" w:line="79" w:lineRule="exact"/>
        <w:rPr>
          <w:sz w:val="20"/>
          <w:szCs w:val="20"/>
          <w:color w:val="auto"/>
        </w:rPr>
      </w:pPr>
    </w:p>
    <w:p>
      <w:pPr>
        <w:ind w:right="120" w:firstLine="401"/>
        <w:spacing w:after="0" w:line="238" w:lineRule="auto"/>
        <w:rPr>
          <w:sz w:val="20"/>
          <w:szCs w:val="20"/>
          <w:color w:val="auto"/>
        </w:rPr>
      </w:pPr>
      <w:r>
        <w:rPr>
          <w:rFonts w:ascii="Arial" w:cs="Arial" w:eastAsia="Arial" w:hAnsi="Arial"/>
          <w:sz w:val="18"/>
          <w:szCs w:val="18"/>
          <w:b w:val="1"/>
          <w:bCs w:val="1"/>
          <w:color w:val="auto"/>
        </w:rPr>
        <w:t xml:space="preserve">The Toro Company Deferred Compensation Plan. </w:t>
      </w:r>
      <w:r>
        <w:rPr>
          <w:rFonts w:ascii="Arial" w:cs="Arial" w:eastAsia="Arial" w:hAnsi="Arial"/>
          <w:sz w:val="18"/>
          <w:szCs w:val="18"/>
          <w:color w:val="auto"/>
        </w:rPr>
        <w:t>This plan allows a select group of management or highly compensated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including our executive officers, to defer on a pre-tax basis his or her calendar year base salary and/or fiscal year annual cash incentive payout to a date in the future. Participants can defer up to 50% of calendar year base salary and up to 100% of the fiscal year annual cash incentive award payout. Deferred amounts are placed into a participant’s account and the participant may invest such deferred amounts in an array of funds that are consistent with or comparable to funds provided in the Retirement Plan. Deferral elections are made on an annual basis, before the beginning of the new fiscal year. Participants must elect a distribution date that is at least two years later than the date the compensation otherwise would have been received. Participants elect the frequency of payments and the number of payments to receive at the time of distribution. Participants are always 100% vested in their accounts.</w:t>
      </w:r>
    </w:p>
    <w:p>
      <w:pPr>
        <w:spacing w:after="0" w:line="74" w:lineRule="exact"/>
        <w:rPr>
          <w:sz w:val="20"/>
          <w:szCs w:val="20"/>
          <w:color w:val="auto"/>
        </w:rPr>
      </w:pPr>
    </w:p>
    <w:p>
      <w:pPr>
        <w:ind w:right="160" w:firstLine="401"/>
        <w:spacing w:after="0" w:line="249" w:lineRule="auto"/>
        <w:rPr>
          <w:sz w:val="20"/>
          <w:szCs w:val="20"/>
          <w:color w:val="auto"/>
        </w:rPr>
      </w:pPr>
      <w:r>
        <w:rPr>
          <w:rFonts w:ascii="Arial" w:cs="Arial" w:eastAsia="Arial" w:hAnsi="Arial"/>
          <w:sz w:val="18"/>
          <w:szCs w:val="18"/>
          <w:b w:val="1"/>
          <w:bCs w:val="1"/>
          <w:color w:val="auto"/>
        </w:rPr>
        <w:t xml:space="preserve">The Toro Company Deferred Compensation Plan for Officers. </w:t>
      </w:r>
      <w:r>
        <w:rPr>
          <w:rFonts w:ascii="Arial" w:cs="Arial" w:eastAsia="Arial" w:hAnsi="Arial"/>
          <w:sz w:val="18"/>
          <w:szCs w:val="18"/>
          <w:color w:val="auto"/>
        </w:rPr>
        <w:t>This plan allows key employees that receive performance share</w:t>
      </w:r>
      <w:r>
        <w:rPr>
          <w:rFonts w:ascii="Arial" w:cs="Arial" w:eastAsia="Arial" w:hAnsi="Arial"/>
          <w:sz w:val="18"/>
          <w:szCs w:val="18"/>
          <w:b w:val="1"/>
          <w:bCs w:val="1"/>
          <w:color w:val="auto"/>
        </w:rPr>
        <w:t xml:space="preserve"> </w:t>
      </w:r>
      <w:r>
        <w:rPr>
          <w:rFonts w:ascii="Arial" w:cs="Arial" w:eastAsia="Arial" w:hAnsi="Arial"/>
          <w:sz w:val="18"/>
          <w:szCs w:val="18"/>
          <w:color w:val="auto"/>
        </w:rPr>
        <w:t>awards, including our executive officers, an opportunity to defer receipt of shares of our common stock paid out under such awards to a date in the future. Participants can defer up to 100% of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0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common stock payout. Each year, before the third fiscal year of the three-year performance period begins, participants are given the opportunity to defer the receipt of those shares to some point in the future. Participants must elect a distribution date that is at least two years later than the date the shares would have been received. Participants elect the frequency of payment and the number of payments to receive at the time of distribution. Participants are always 100% vested in their accounts.</w:t>
      </w:r>
    </w:p>
    <w:p>
      <w:pPr>
        <w:spacing w:after="0" w:line="75" w:lineRule="exact"/>
        <w:rPr>
          <w:sz w:val="20"/>
          <w:szCs w:val="20"/>
          <w:color w:val="auto"/>
        </w:rPr>
      </w:pPr>
    </w:p>
    <w:p>
      <w:pPr>
        <w:ind w:right="20" w:firstLine="401"/>
        <w:spacing w:after="0" w:line="236" w:lineRule="auto"/>
        <w:rPr>
          <w:sz w:val="20"/>
          <w:szCs w:val="20"/>
          <w:color w:val="auto"/>
        </w:rPr>
      </w:pPr>
      <w:r>
        <w:rPr>
          <w:rFonts w:ascii="Arial" w:cs="Arial" w:eastAsia="Arial" w:hAnsi="Arial"/>
          <w:sz w:val="18"/>
          <w:szCs w:val="18"/>
          <w:b w:val="1"/>
          <w:bCs w:val="1"/>
          <w:color w:val="auto"/>
        </w:rPr>
        <w:t xml:space="preserve">The Toro Company Supplemental Benefit Plan. </w:t>
      </w:r>
      <w:r>
        <w:rPr>
          <w:rFonts w:ascii="Arial" w:cs="Arial" w:eastAsia="Arial" w:hAnsi="Arial"/>
          <w:sz w:val="18"/>
          <w:szCs w:val="18"/>
          <w:color w:val="auto"/>
        </w:rPr>
        <w:t>This plan is maintained for the purpose of providing to a select group of</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or highly compensated employees, including our executive officers, benefits in excess of the limitations on benefits and contributions imposed by Code Sections 401(a)(17) and 415. Our credits under this plan are made on a calendar year basis, usually in the first calendar quarter following the end of the prior calendar year. In calendar year 2019, for participant earnings above the compensation limit, we credited the investment savings contribution under this plan. For calendar year 2020, based on changes we made to the Retirement Plan, we revised the Supplemental Benefit Plan such that contributions would be credited based on all forms of employer contributions, which may include Company matching, investment savings and ESOP contribution amounts. For calendar year 2019, employer matching contributions and an investment savings contribution were made to the Retirement Plan</w:t>
      </w:r>
      <w:r>
        <w:rPr>
          <w:rFonts w:ascii="Arial" w:cs="Arial" w:eastAsia="Arial" w:hAnsi="Arial"/>
          <w:sz w:val="18"/>
          <w:szCs w:val="18"/>
          <w:color w:val="4472C4"/>
        </w:rPr>
        <w:t>,</w:t>
      </w:r>
      <w:r>
        <w:rPr>
          <w:rFonts w:ascii="Arial" w:cs="Arial" w:eastAsia="Arial" w:hAnsi="Arial"/>
          <w:sz w:val="18"/>
          <w:szCs w:val="18"/>
          <w:color w:val="auto"/>
        </w:rPr>
        <w:t xml:space="preserve"> but not ESOP contributions, and for calendar year 2020, employer matching contributions were made for the Retirement Plan, but neither an investment savings contribution or ESOP contribution were made. Therefore, employer matching and an investment savings contribution for calendar 2019 and employer matching contributions for calendar 2020 were credited under the Supplemental Benefit Plan. Amounts credited are placed into a participant’s account and the participant may select the deemed investment of such deferred amounts in an array of funds that are consistent with or comparable to funds provided in the Retirement Plan. Participants elect the funds into which these contributions are allocated, as well as the frequency of payments and the number of payments to receive. Participants are always 100% vested in their accounts.</w:t>
      </w:r>
    </w:p>
    <w:p>
      <w:pPr>
        <w:spacing w:after="0" w:line="73" w:lineRule="exact"/>
        <w:rPr>
          <w:sz w:val="20"/>
          <w:szCs w:val="20"/>
          <w:color w:val="auto"/>
        </w:rPr>
      </w:pPr>
    </w:p>
    <w:p>
      <w:pPr>
        <w:ind w:right="180" w:firstLine="401"/>
        <w:spacing w:after="0" w:line="266" w:lineRule="auto"/>
        <w:rPr>
          <w:sz w:val="20"/>
          <w:szCs w:val="20"/>
          <w:color w:val="auto"/>
        </w:rPr>
      </w:pPr>
      <w:r>
        <w:rPr>
          <w:rFonts w:ascii="Arial" w:cs="Arial" w:eastAsia="Arial" w:hAnsi="Arial"/>
          <w:sz w:val="18"/>
          <w:szCs w:val="18"/>
          <w:b w:val="1"/>
          <w:bCs w:val="1"/>
          <w:color w:val="auto"/>
        </w:rPr>
        <w:t xml:space="preserve">Nonqualified Deferred Compensation for Fiscal 2020 Table. </w:t>
      </w:r>
      <w:r>
        <w:rPr>
          <w:rFonts w:ascii="Arial" w:cs="Arial" w:eastAsia="Arial" w:hAnsi="Arial"/>
          <w:sz w:val="18"/>
          <w:szCs w:val="18"/>
          <w:color w:val="auto"/>
        </w:rPr>
        <w:t>The following table reflects any named executive officer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Company contributions for fiscal 2020 to our nonqualified deferred compensation plans.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shd w:val="clear" w:color="auto" w:fill="C00000"/>
          </w:tcPr>
          <w:p>
            <w:pPr>
              <w:spacing w:after="0"/>
              <w:rPr>
                <w:sz w:val="14"/>
                <w:szCs w:val="14"/>
                <w:color w:val="auto"/>
              </w:rPr>
            </w:pPr>
          </w:p>
        </w:tc>
        <w:tc>
          <w:tcPr>
            <w:tcW w:w="500" w:type="dxa"/>
            <w:vAlign w:val="bottom"/>
            <w:shd w:val="clear" w:color="auto" w:fill="C00000"/>
          </w:tcPr>
          <w:p>
            <w:pPr>
              <w:spacing w:after="0"/>
              <w:rPr>
                <w:sz w:val="14"/>
                <w:szCs w:val="14"/>
                <w:color w:val="auto"/>
              </w:rPr>
            </w:pPr>
          </w:p>
        </w:tc>
        <w:tc>
          <w:tcPr>
            <w:tcW w:w="1260" w:type="dxa"/>
            <w:vAlign w:val="bottom"/>
            <w:shd w:val="clear" w:color="auto" w:fill="C00000"/>
          </w:tcPr>
          <w:p>
            <w:pPr>
              <w:jc w:val="center"/>
              <w:ind w:right="273"/>
              <w:spacing w:after="0"/>
              <w:rPr>
                <w:sz w:val="20"/>
                <w:szCs w:val="20"/>
                <w:color w:val="auto"/>
              </w:rPr>
            </w:pPr>
            <w:r>
              <w:rPr>
                <w:rFonts w:ascii="Arial" w:cs="Arial" w:eastAsia="Arial" w:hAnsi="Arial"/>
                <w:sz w:val="14"/>
                <w:szCs w:val="14"/>
                <w:b w:val="1"/>
                <w:bCs w:val="1"/>
                <w:color w:val="FFFFFF"/>
              </w:rPr>
              <w:t>Executive</w:t>
            </w:r>
          </w:p>
        </w:tc>
        <w:tc>
          <w:tcPr>
            <w:tcW w:w="21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Registrant</w:t>
            </w:r>
          </w:p>
        </w:tc>
        <w:tc>
          <w:tcPr>
            <w:tcW w:w="1460" w:type="dxa"/>
            <w:vAlign w:val="bottom"/>
            <w:shd w:val="clear" w:color="auto" w:fill="C00000"/>
          </w:tcPr>
          <w:p>
            <w:pPr>
              <w:jc w:val="center"/>
              <w:ind w:right="189"/>
              <w:spacing w:after="0"/>
              <w:rPr>
                <w:sz w:val="20"/>
                <w:szCs w:val="20"/>
                <w:color w:val="auto"/>
              </w:rPr>
            </w:pPr>
            <w:r>
              <w:rPr>
                <w:rFonts w:ascii="Arial" w:cs="Arial" w:eastAsia="Arial" w:hAnsi="Arial"/>
                <w:sz w:val="14"/>
                <w:szCs w:val="14"/>
                <w:b w:val="1"/>
                <w:bCs w:val="1"/>
                <w:color w:val="FFFFFF"/>
              </w:rPr>
              <w:t>Aggregate</w:t>
            </w:r>
          </w:p>
        </w:tc>
        <w:tc>
          <w:tcPr>
            <w:tcW w:w="1720" w:type="dxa"/>
            <w:vAlign w:val="bottom"/>
            <w:shd w:val="clear" w:color="auto" w:fill="C00000"/>
          </w:tcPr>
          <w:p>
            <w:pPr>
              <w:jc w:val="center"/>
              <w:ind w:right="269"/>
              <w:spacing w:after="0"/>
              <w:rPr>
                <w:sz w:val="20"/>
                <w:szCs w:val="20"/>
                <w:color w:val="auto"/>
              </w:rPr>
            </w:pPr>
            <w:r>
              <w:rPr>
                <w:rFonts w:ascii="Arial" w:cs="Arial" w:eastAsia="Arial" w:hAnsi="Arial"/>
                <w:sz w:val="14"/>
                <w:szCs w:val="14"/>
                <w:b w:val="1"/>
                <w:bCs w:val="1"/>
                <w:color w:val="FFFFFF"/>
              </w:rPr>
              <w:t>Aggregate</w:t>
            </w:r>
          </w:p>
        </w:tc>
        <w:tc>
          <w:tcPr>
            <w:tcW w:w="1440" w:type="dxa"/>
            <w:vAlign w:val="bottom"/>
            <w:shd w:val="clear" w:color="auto" w:fill="C00000"/>
          </w:tcPr>
          <w:p>
            <w:pPr>
              <w:jc w:val="center"/>
              <w:ind w:right="29"/>
              <w:spacing w:after="0"/>
              <w:rPr>
                <w:sz w:val="20"/>
                <w:szCs w:val="20"/>
                <w:color w:val="auto"/>
              </w:rPr>
            </w:pPr>
            <w:r>
              <w:rPr>
                <w:rFonts w:ascii="Arial" w:cs="Arial" w:eastAsia="Arial" w:hAnsi="Arial"/>
                <w:sz w:val="14"/>
                <w:szCs w:val="14"/>
                <w:b w:val="1"/>
                <w:bCs w:val="1"/>
                <w:color w:val="FFFFFF"/>
              </w:rPr>
              <w:t>Aggregate</w:t>
            </w:r>
          </w:p>
        </w:tc>
      </w:tr>
      <w:tr>
        <w:trPr>
          <w:trHeight w:val="157"/>
        </w:trPr>
        <w:tc>
          <w:tcPr>
            <w:tcW w:w="2720" w:type="dxa"/>
            <w:vAlign w:val="bottom"/>
            <w:shd w:val="clear" w:color="auto" w:fill="C00000"/>
          </w:tcPr>
          <w:p>
            <w:pPr>
              <w:spacing w:after="0"/>
              <w:rPr>
                <w:sz w:val="13"/>
                <w:szCs w:val="13"/>
                <w:color w:val="auto"/>
              </w:rPr>
            </w:pPr>
          </w:p>
        </w:tc>
        <w:tc>
          <w:tcPr>
            <w:tcW w:w="500" w:type="dxa"/>
            <w:vAlign w:val="bottom"/>
            <w:shd w:val="clear" w:color="auto" w:fill="C00000"/>
          </w:tcPr>
          <w:p>
            <w:pPr>
              <w:spacing w:after="0"/>
              <w:rPr>
                <w:sz w:val="13"/>
                <w:szCs w:val="13"/>
                <w:color w:val="auto"/>
              </w:rPr>
            </w:pPr>
          </w:p>
        </w:tc>
        <w:tc>
          <w:tcPr>
            <w:tcW w:w="1260" w:type="dxa"/>
            <w:vAlign w:val="bottom"/>
            <w:shd w:val="clear" w:color="auto" w:fill="C00000"/>
          </w:tcPr>
          <w:p>
            <w:pPr>
              <w:jc w:val="center"/>
              <w:ind w:right="273"/>
              <w:spacing w:after="0" w:line="157" w:lineRule="exact"/>
              <w:rPr>
                <w:sz w:val="20"/>
                <w:szCs w:val="20"/>
                <w:color w:val="auto"/>
              </w:rPr>
            </w:pPr>
            <w:r>
              <w:rPr>
                <w:rFonts w:ascii="Arial" w:cs="Arial" w:eastAsia="Arial" w:hAnsi="Arial"/>
                <w:sz w:val="14"/>
                <w:szCs w:val="14"/>
                <w:b w:val="1"/>
                <w:bCs w:val="1"/>
                <w:color w:val="FFFFFF"/>
              </w:rPr>
              <w:t>Contributions</w:t>
            </w:r>
          </w:p>
        </w:tc>
        <w:tc>
          <w:tcPr>
            <w:tcW w:w="2140" w:type="dxa"/>
            <w:vAlign w:val="bottom"/>
            <w:shd w:val="clear" w:color="auto" w:fill="C00000"/>
          </w:tcPr>
          <w:p>
            <w:pPr>
              <w:jc w:val="center"/>
              <w:spacing w:after="0" w:line="157" w:lineRule="exact"/>
              <w:rPr>
                <w:sz w:val="20"/>
                <w:szCs w:val="20"/>
                <w:color w:val="auto"/>
              </w:rPr>
            </w:pPr>
            <w:r>
              <w:rPr>
                <w:rFonts w:ascii="Arial" w:cs="Arial" w:eastAsia="Arial" w:hAnsi="Arial"/>
                <w:sz w:val="14"/>
                <w:szCs w:val="14"/>
                <w:b w:val="1"/>
                <w:bCs w:val="1"/>
                <w:color w:val="FFFFFF"/>
              </w:rPr>
              <w:t>Contributions</w:t>
            </w:r>
          </w:p>
        </w:tc>
        <w:tc>
          <w:tcPr>
            <w:tcW w:w="1460" w:type="dxa"/>
            <w:vAlign w:val="bottom"/>
            <w:shd w:val="clear" w:color="auto" w:fill="C00000"/>
          </w:tcPr>
          <w:p>
            <w:pPr>
              <w:jc w:val="center"/>
              <w:ind w:right="189"/>
              <w:spacing w:after="0" w:line="157" w:lineRule="exact"/>
              <w:rPr>
                <w:sz w:val="20"/>
                <w:szCs w:val="20"/>
                <w:color w:val="auto"/>
              </w:rPr>
            </w:pPr>
            <w:r>
              <w:rPr>
                <w:rFonts w:ascii="Arial" w:cs="Arial" w:eastAsia="Arial" w:hAnsi="Arial"/>
                <w:sz w:val="14"/>
                <w:szCs w:val="14"/>
                <w:b w:val="1"/>
                <w:bCs w:val="1"/>
                <w:color w:val="FFFFFF"/>
                <w:w w:val="99"/>
              </w:rPr>
              <w:t>Earnings in</w:t>
            </w:r>
          </w:p>
        </w:tc>
        <w:tc>
          <w:tcPr>
            <w:tcW w:w="1720" w:type="dxa"/>
            <w:vAlign w:val="bottom"/>
            <w:shd w:val="clear" w:color="auto" w:fill="C00000"/>
          </w:tcPr>
          <w:p>
            <w:pPr>
              <w:jc w:val="center"/>
              <w:ind w:right="289"/>
              <w:spacing w:after="0" w:line="157" w:lineRule="exact"/>
              <w:rPr>
                <w:sz w:val="20"/>
                <w:szCs w:val="20"/>
                <w:color w:val="auto"/>
              </w:rPr>
            </w:pPr>
            <w:r>
              <w:rPr>
                <w:rFonts w:ascii="Arial" w:cs="Arial" w:eastAsia="Arial" w:hAnsi="Arial"/>
                <w:sz w:val="14"/>
                <w:szCs w:val="14"/>
                <w:b w:val="1"/>
                <w:bCs w:val="1"/>
                <w:color w:val="FFFFFF"/>
              </w:rPr>
              <w:t>Withdrawals/</w:t>
            </w:r>
          </w:p>
        </w:tc>
        <w:tc>
          <w:tcPr>
            <w:tcW w:w="1440" w:type="dxa"/>
            <w:vAlign w:val="bottom"/>
            <w:shd w:val="clear" w:color="auto" w:fill="C00000"/>
          </w:tcPr>
          <w:p>
            <w:pPr>
              <w:jc w:val="center"/>
              <w:ind w:right="49"/>
              <w:spacing w:after="0" w:line="157" w:lineRule="exact"/>
              <w:rPr>
                <w:sz w:val="20"/>
                <w:szCs w:val="20"/>
                <w:color w:val="auto"/>
              </w:rPr>
            </w:pPr>
            <w:r>
              <w:rPr>
                <w:rFonts w:ascii="Arial" w:cs="Arial" w:eastAsia="Arial" w:hAnsi="Arial"/>
                <w:sz w:val="14"/>
                <w:szCs w:val="14"/>
                <w:b w:val="1"/>
                <w:bCs w:val="1"/>
                <w:color w:val="FFFFFF"/>
              </w:rPr>
              <w:t>Balance at</w:t>
            </w:r>
          </w:p>
        </w:tc>
      </w:tr>
      <w:tr>
        <w:trPr>
          <w:trHeight w:val="164"/>
        </w:trPr>
        <w:tc>
          <w:tcPr>
            <w:tcW w:w="2720" w:type="dxa"/>
            <w:vAlign w:val="bottom"/>
            <w:shd w:val="clear" w:color="auto" w:fill="C00000"/>
          </w:tcPr>
          <w:p>
            <w:pPr>
              <w:spacing w:after="0"/>
              <w:rPr>
                <w:sz w:val="14"/>
                <w:szCs w:val="14"/>
                <w:color w:val="auto"/>
              </w:rPr>
            </w:pPr>
          </w:p>
        </w:tc>
        <w:tc>
          <w:tcPr>
            <w:tcW w:w="500" w:type="dxa"/>
            <w:vAlign w:val="bottom"/>
            <w:shd w:val="clear" w:color="auto" w:fill="C00000"/>
          </w:tcPr>
          <w:p>
            <w:pPr>
              <w:spacing w:after="0"/>
              <w:rPr>
                <w:sz w:val="14"/>
                <w:szCs w:val="14"/>
                <w:color w:val="auto"/>
              </w:rPr>
            </w:pPr>
          </w:p>
        </w:tc>
        <w:tc>
          <w:tcPr>
            <w:tcW w:w="1260" w:type="dxa"/>
            <w:vAlign w:val="bottom"/>
            <w:shd w:val="clear" w:color="auto" w:fill="C00000"/>
          </w:tcPr>
          <w:p>
            <w:pPr>
              <w:jc w:val="center"/>
              <w:ind w:right="273"/>
              <w:spacing w:after="0" w:line="164" w:lineRule="exact"/>
              <w:rPr>
                <w:sz w:val="20"/>
                <w:szCs w:val="20"/>
                <w:color w:val="auto"/>
              </w:rPr>
            </w:pPr>
            <w:r>
              <w:rPr>
                <w:rFonts w:ascii="Arial" w:cs="Arial" w:eastAsia="Arial" w:hAnsi="Arial"/>
                <w:sz w:val="12"/>
                <w:szCs w:val="12"/>
                <w:b w:val="1"/>
                <w:bCs w:val="1"/>
                <w:color w:val="FFFFFF"/>
              </w:rPr>
              <w:t>in Last FY</w:t>
            </w:r>
            <w:r>
              <w:rPr>
                <w:rFonts w:ascii="Arial" w:cs="Arial" w:eastAsia="Arial" w:hAnsi="Arial"/>
                <w:sz w:val="19"/>
                <w:szCs w:val="19"/>
                <w:b w:val="1"/>
                <w:bCs w:val="1"/>
                <w:color w:val="FFFFFF"/>
                <w:vertAlign w:val="superscript"/>
              </w:rPr>
              <w:t>(1)</w:t>
            </w:r>
          </w:p>
        </w:tc>
        <w:tc>
          <w:tcPr>
            <w:tcW w:w="2140" w:type="dxa"/>
            <w:vAlign w:val="bottom"/>
            <w:shd w:val="clear" w:color="auto" w:fill="C00000"/>
          </w:tcPr>
          <w:p>
            <w:pPr>
              <w:jc w:val="center"/>
              <w:spacing w:after="0" w:line="164" w:lineRule="exact"/>
              <w:rPr>
                <w:sz w:val="20"/>
                <w:szCs w:val="20"/>
                <w:color w:val="auto"/>
              </w:rPr>
            </w:pPr>
            <w:r>
              <w:rPr>
                <w:rFonts w:ascii="Arial" w:cs="Arial" w:eastAsia="Arial" w:hAnsi="Arial"/>
                <w:sz w:val="12"/>
                <w:szCs w:val="12"/>
                <w:b w:val="1"/>
                <w:bCs w:val="1"/>
                <w:color w:val="FFFFFF"/>
              </w:rPr>
              <w:t>in Last FY</w:t>
            </w:r>
            <w:r>
              <w:rPr>
                <w:rFonts w:ascii="Arial" w:cs="Arial" w:eastAsia="Arial" w:hAnsi="Arial"/>
                <w:sz w:val="19"/>
                <w:szCs w:val="19"/>
                <w:b w:val="1"/>
                <w:bCs w:val="1"/>
                <w:color w:val="FFFFFF"/>
                <w:vertAlign w:val="superscript"/>
              </w:rPr>
              <w:t>(2)</w:t>
            </w:r>
          </w:p>
        </w:tc>
        <w:tc>
          <w:tcPr>
            <w:tcW w:w="1460" w:type="dxa"/>
            <w:vAlign w:val="bottom"/>
            <w:shd w:val="clear" w:color="auto" w:fill="C00000"/>
          </w:tcPr>
          <w:p>
            <w:pPr>
              <w:jc w:val="center"/>
              <w:ind w:right="189"/>
              <w:spacing w:after="0" w:line="164" w:lineRule="exact"/>
              <w:rPr>
                <w:sz w:val="20"/>
                <w:szCs w:val="20"/>
                <w:color w:val="auto"/>
              </w:rPr>
            </w:pPr>
            <w:r>
              <w:rPr>
                <w:rFonts w:ascii="Arial" w:cs="Arial" w:eastAsia="Arial" w:hAnsi="Arial"/>
                <w:sz w:val="12"/>
                <w:szCs w:val="12"/>
                <w:b w:val="1"/>
                <w:bCs w:val="1"/>
                <w:color w:val="FFFFFF"/>
              </w:rPr>
              <w:t>Last FY</w:t>
            </w:r>
            <w:r>
              <w:rPr>
                <w:rFonts w:ascii="Arial" w:cs="Arial" w:eastAsia="Arial" w:hAnsi="Arial"/>
                <w:sz w:val="19"/>
                <w:szCs w:val="19"/>
                <w:b w:val="1"/>
                <w:bCs w:val="1"/>
                <w:color w:val="FFFFFF"/>
                <w:vertAlign w:val="superscript"/>
              </w:rPr>
              <w:t>(3)</w:t>
            </w:r>
          </w:p>
        </w:tc>
        <w:tc>
          <w:tcPr>
            <w:tcW w:w="1720" w:type="dxa"/>
            <w:vAlign w:val="bottom"/>
            <w:shd w:val="clear" w:color="auto" w:fill="C00000"/>
          </w:tcPr>
          <w:p>
            <w:pPr>
              <w:jc w:val="center"/>
              <w:ind w:right="289"/>
              <w:spacing w:after="0"/>
              <w:rPr>
                <w:sz w:val="20"/>
                <w:szCs w:val="20"/>
                <w:color w:val="auto"/>
              </w:rPr>
            </w:pPr>
            <w:r>
              <w:rPr>
                <w:rFonts w:ascii="Arial" w:cs="Arial" w:eastAsia="Arial" w:hAnsi="Arial"/>
                <w:sz w:val="14"/>
                <w:szCs w:val="14"/>
                <w:b w:val="1"/>
                <w:bCs w:val="1"/>
                <w:color w:val="FFFFFF"/>
              </w:rPr>
              <w:t>Distributions</w:t>
            </w:r>
          </w:p>
        </w:tc>
        <w:tc>
          <w:tcPr>
            <w:tcW w:w="1440" w:type="dxa"/>
            <w:vAlign w:val="bottom"/>
            <w:shd w:val="clear" w:color="auto" w:fill="C00000"/>
          </w:tcPr>
          <w:p>
            <w:pPr>
              <w:jc w:val="center"/>
              <w:ind w:right="49"/>
              <w:spacing w:after="0" w:line="164" w:lineRule="exact"/>
              <w:rPr>
                <w:sz w:val="20"/>
                <w:szCs w:val="20"/>
                <w:color w:val="auto"/>
              </w:rPr>
            </w:pPr>
            <w:r>
              <w:rPr>
                <w:rFonts w:ascii="Arial" w:cs="Arial" w:eastAsia="Arial" w:hAnsi="Arial"/>
                <w:sz w:val="12"/>
                <w:szCs w:val="12"/>
                <w:b w:val="1"/>
                <w:bCs w:val="1"/>
                <w:color w:val="FFFFFF"/>
              </w:rPr>
              <w:t>Last FYE</w:t>
            </w:r>
            <w:r>
              <w:rPr>
                <w:rFonts w:ascii="Arial" w:cs="Arial" w:eastAsia="Arial" w:hAnsi="Arial"/>
                <w:sz w:val="19"/>
                <w:szCs w:val="19"/>
                <w:b w:val="1"/>
                <w:bCs w:val="1"/>
                <w:color w:val="FFFFFF"/>
                <w:vertAlign w:val="superscript"/>
              </w:rPr>
              <w:t>(4)</w:t>
            </w:r>
          </w:p>
        </w:tc>
      </w:tr>
      <w:tr>
        <w:trPr>
          <w:trHeight w:val="174"/>
        </w:trPr>
        <w:tc>
          <w:tcPr>
            <w:tcW w:w="27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1760" w:type="dxa"/>
            <w:vAlign w:val="bottom"/>
            <w:gridSpan w:val="2"/>
            <w:shd w:val="clear" w:color="auto" w:fill="C00000"/>
          </w:tcPr>
          <w:p>
            <w:pPr>
              <w:jc w:val="center"/>
              <w:ind w:left="89"/>
              <w:spacing w:after="0"/>
              <w:rPr>
                <w:sz w:val="20"/>
                <w:szCs w:val="20"/>
                <w:color w:val="auto"/>
              </w:rPr>
            </w:pPr>
            <w:r>
              <w:rPr>
                <w:rFonts w:ascii="Arial" w:cs="Arial" w:eastAsia="Arial" w:hAnsi="Arial"/>
                <w:sz w:val="14"/>
                <w:szCs w:val="14"/>
                <w:b w:val="1"/>
                <w:bCs w:val="1"/>
                <w:color w:val="FFFFFF"/>
                <w:w w:val="93"/>
              </w:rPr>
              <w:t>($)</w:t>
            </w:r>
          </w:p>
        </w:tc>
        <w:tc>
          <w:tcPr>
            <w:tcW w:w="21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1460" w:type="dxa"/>
            <w:vAlign w:val="bottom"/>
            <w:shd w:val="clear" w:color="auto" w:fill="C00000"/>
          </w:tcPr>
          <w:p>
            <w:pPr>
              <w:jc w:val="center"/>
              <w:ind w:right="189"/>
              <w:spacing w:after="0"/>
              <w:rPr>
                <w:sz w:val="20"/>
                <w:szCs w:val="20"/>
                <w:color w:val="auto"/>
              </w:rPr>
            </w:pPr>
            <w:r>
              <w:rPr>
                <w:rFonts w:ascii="Arial" w:cs="Arial" w:eastAsia="Arial" w:hAnsi="Arial"/>
                <w:sz w:val="14"/>
                <w:szCs w:val="14"/>
                <w:b w:val="1"/>
                <w:bCs w:val="1"/>
                <w:color w:val="FFFFFF"/>
                <w:w w:val="93"/>
              </w:rPr>
              <w:t>($)</w:t>
            </w:r>
          </w:p>
        </w:tc>
        <w:tc>
          <w:tcPr>
            <w:tcW w:w="1720" w:type="dxa"/>
            <w:vAlign w:val="bottom"/>
            <w:shd w:val="clear" w:color="auto" w:fill="C00000"/>
          </w:tcPr>
          <w:p>
            <w:pPr>
              <w:jc w:val="center"/>
              <w:ind w:right="269"/>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C00000"/>
          </w:tcPr>
          <w:p>
            <w:pPr>
              <w:jc w:val="center"/>
              <w:ind w:right="29"/>
              <w:spacing w:after="0"/>
              <w:rPr>
                <w:sz w:val="20"/>
                <w:szCs w:val="20"/>
                <w:color w:val="auto"/>
              </w:rPr>
            </w:pPr>
            <w:r>
              <w:rPr>
                <w:rFonts w:ascii="Arial" w:cs="Arial" w:eastAsia="Arial" w:hAnsi="Arial"/>
                <w:sz w:val="14"/>
                <w:szCs w:val="14"/>
                <w:b w:val="1"/>
                <w:bCs w:val="1"/>
                <w:color w:val="FFFFFF"/>
              </w:rPr>
              <w:t>($)</w:t>
            </w:r>
          </w:p>
        </w:tc>
      </w:tr>
      <w:tr>
        <w:trPr>
          <w:trHeight w:val="189"/>
        </w:trPr>
        <w:tc>
          <w:tcPr>
            <w:tcW w:w="2720" w:type="dxa"/>
            <w:vAlign w:val="bottom"/>
          </w:tcPr>
          <w:p>
            <w:pPr>
              <w:spacing w:after="0"/>
              <w:rPr>
                <w:sz w:val="20"/>
                <w:szCs w:val="20"/>
                <w:color w:val="auto"/>
              </w:rPr>
            </w:pPr>
            <w:r>
              <w:rPr>
                <w:rFonts w:ascii="Arial" w:cs="Arial" w:eastAsia="Arial" w:hAnsi="Arial"/>
                <w:sz w:val="14"/>
                <w:szCs w:val="14"/>
                <w:color w:val="auto"/>
              </w:rPr>
              <w:t>Richard M. Olson</w:t>
            </w: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74"/>
        </w:trPr>
        <w:tc>
          <w:tcPr>
            <w:tcW w:w="2720" w:type="dxa"/>
            <w:vAlign w:val="bottom"/>
          </w:tcPr>
          <w:p>
            <w:pPr>
              <w:ind w:left="260"/>
              <w:spacing w:after="0"/>
              <w:rPr>
                <w:sz w:val="20"/>
                <w:szCs w:val="20"/>
                <w:color w:val="auto"/>
              </w:rPr>
            </w:pPr>
            <w:r>
              <w:rPr>
                <w:rFonts w:ascii="Arial" w:cs="Arial" w:eastAsia="Arial" w:hAnsi="Arial"/>
                <w:sz w:val="14"/>
                <w:szCs w:val="14"/>
                <w:color w:val="auto"/>
              </w:rPr>
              <w:t>Deferred Plan</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107,483</w:t>
            </w:r>
          </w:p>
        </w:tc>
        <w:tc>
          <w:tcPr>
            <w:tcW w:w="2140" w:type="dxa"/>
            <w:vAlign w:val="bottom"/>
          </w:tcPr>
          <w:p>
            <w:pPr>
              <w:jc w:val="right"/>
              <w:ind w:right="129"/>
              <w:spacing w:after="0"/>
              <w:rPr>
                <w:sz w:val="20"/>
                <w:szCs w:val="20"/>
                <w:color w:val="auto"/>
              </w:rPr>
            </w:pPr>
            <w:r>
              <w:rPr>
                <w:rFonts w:ascii="Arial" w:cs="Arial" w:eastAsia="Arial" w:hAnsi="Arial"/>
                <w:sz w:val="14"/>
                <w:szCs w:val="14"/>
                <w:color w:val="auto"/>
              </w:rPr>
              <w:t>0</w:t>
            </w:r>
          </w:p>
        </w:tc>
        <w:tc>
          <w:tcPr>
            <w:tcW w:w="1460" w:type="dxa"/>
            <w:vAlign w:val="bottom"/>
          </w:tcPr>
          <w:p>
            <w:pPr>
              <w:jc w:val="right"/>
              <w:ind w:right="169"/>
              <w:spacing w:after="0"/>
              <w:rPr>
                <w:sz w:val="20"/>
                <w:szCs w:val="20"/>
                <w:color w:val="auto"/>
              </w:rPr>
            </w:pPr>
            <w:r>
              <w:rPr>
                <w:rFonts w:ascii="Arial" w:cs="Arial" w:eastAsia="Arial" w:hAnsi="Arial"/>
                <w:sz w:val="14"/>
                <w:szCs w:val="14"/>
                <w:color w:val="auto"/>
              </w:rPr>
              <w:t>94,845</w:t>
            </w:r>
          </w:p>
        </w:tc>
        <w:tc>
          <w:tcPr>
            <w:tcW w:w="172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960,411</w:t>
            </w:r>
          </w:p>
        </w:tc>
      </w:tr>
      <w:tr>
        <w:trPr>
          <w:trHeight w:val="174"/>
        </w:trPr>
        <w:tc>
          <w:tcPr>
            <w:tcW w:w="2720" w:type="dxa"/>
            <w:vAlign w:val="bottom"/>
          </w:tcPr>
          <w:p>
            <w:pPr>
              <w:ind w:left="260"/>
              <w:spacing w:after="0"/>
              <w:rPr>
                <w:sz w:val="20"/>
                <w:szCs w:val="20"/>
                <w:color w:val="auto"/>
              </w:rPr>
            </w:pPr>
            <w:r>
              <w:rPr>
                <w:rFonts w:ascii="Arial" w:cs="Arial" w:eastAsia="Arial" w:hAnsi="Arial"/>
                <w:sz w:val="14"/>
                <w:szCs w:val="14"/>
                <w:color w:val="auto"/>
              </w:rPr>
              <w:t>Deferred Plan for Officers</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1,524,966</w:t>
            </w:r>
          </w:p>
        </w:tc>
        <w:tc>
          <w:tcPr>
            <w:tcW w:w="2140" w:type="dxa"/>
            <w:vAlign w:val="bottom"/>
          </w:tcPr>
          <w:p>
            <w:pPr>
              <w:jc w:val="right"/>
              <w:ind w:right="129"/>
              <w:spacing w:after="0"/>
              <w:rPr>
                <w:sz w:val="20"/>
                <w:szCs w:val="20"/>
                <w:color w:val="auto"/>
              </w:rPr>
            </w:pPr>
            <w:r>
              <w:rPr>
                <w:rFonts w:ascii="Arial" w:cs="Arial" w:eastAsia="Arial" w:hAnsi="Arial"/>
                <w:sz w:val="14"/>
                <w:szCs w:val="14"/>
                <w:color w:val="auto"/>
              </w:rPr>
              <w:t>0</w:t>
            </w:r>
          </w:p>
        </w:tc>
        <w:tc>
          <w:tcPr>
            <w:tcW w:w="1460" w:type="dxa"/>
            <w:vAlign w:val="bottom"/>
          </w:tcPr>
          <w:p>
            <w:pPr>
              <w:jc w:val="right"/>
              <w:ind w:right="169"/>
              <w:spacing w:after="0"/>
              <w:rPr>
                <w:sz w:val="20"/>
                <w:szCs w:val="20"/>
                <w:color w:val="auto"/>
              </w:rPr>
            </w:pPr>
            <w:r>
              <w:rPr>
                <w:rFonts w:ascii="Arial" w:cs="Arial" w:eastAsia="Arial" w:hAnsi="Arial"/>
                <w:sz w:val="14"/>
                <w:szCs w:val="14"/>
                <w:color w:val="auto"/>
              </w:rPr>
              <w:t>546,232</w:t>
            </w:r>
          </w:p>
        </w:tc>
        <w:tc>
          <w:tcPr>
            <w:tcW w:w="172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8,328,861</w:t>
            </w:r>
          </w:p>
        </w:tc>
      </w:tr>
      <w:tr>
        <w:trPr>
          <w:trHeight w:val="159"/>
        </w:trPr>
        <w:tc>
          <w:tcPr>
            <w:tcW w:w="2720" w:type="dxa"/>
            <w:vAlign w:val="bottom"/>
          </w:tcPr>
          <w:p>
            <w:pPr>
              <w:ind w:left="260"/>
              <w:spacing w:after="0" w:line="159" w:lineRule="exact"/>
              <w:rPr>
                <w:sz w:val="20"/>
                <w:szCs w:val="20"/>
                <w:color w:val="auto"/>
              </w:rPr>
            </w:pPr>
            <w:r>
              <w:rPr>
                <w:rFonts w:ascii="Arial" w:cs="Arial" w:eastAsia="Arial" w:hAnsi="Arial"/>
                <w:sz w:val="14"/>
                <w:szCs w:val="14"/>
                <w:color w:val="auto"/>
              </w:rPr>
              <w:t>Supplemental Benefit Plan</w:t>
            </w:r>
          </w:p>
        </w:tc>
        <w:tc>
          <w:tcPr>
            <w:tcW w:w="1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21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53,036</w:t>
            </w:r>
          </w:p>
        </w:tc>
        <w:tc>
          <w:tcPr>
            <w:tcW w:w="1460" w:type="dxa"/>
            <w:vAlign w:val="bottom"/>
          </w:tcPr>
          <w:p>
            <w:pPr>
              <w:jc w:val="right"/>
              <w:ind w:right="169"/>
              <w:spacing w:after="0" w:line="159" w:lineRule="exact"/>
              <w:rPr>
                <w:sz w:val="20"/>
                <w:szCs w:val="20"/>
                <w:color w:val="auto"/>
              </w:rPr>
            </w:pPr>
            <w:r>
              <w:rPr>
                <w:rFonts w:ascii="Arial" w:cs="Arial" w:eastAsia="Arial" w:hAnsi="Arial"/>
                <w:sz w:val="14"/>
                <w:szCs w:val="14"/>
                <w:color w:val="auto"/>
              </w:rPr>
              <w:t>92,061</w:t>
            </w:r>
          </w:p>
        </w:tc>
        <w:tc>
          <w:tcPr>
            <w:tcW w:w="172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0</w:t>
            </w:r>
          </w:p>
        </w:tc>
        <w:tc>
          <w:tcPr>
            <w:tcW w:w="1440" w:type="dxa"/>
            <w:vAlign w:val="bottom"/>
          </w:tcPr>
          <w:p>
            <w:pPr>
              <w:jc w:val="right"/>
              <w:spacing w:after="0" w:line="159" w:lineRule="exact"/>
              <w:rPr>
                <w:sz w:val="20"/>
                <w:szCs w:val="20"/>
                <w:color w:val="auto"/>
              </w:rPr>
            </w:pPr>
            <w:r>
              <w:rPr>
                <w:rFonts w:ascii="Arial" w:cs="Arial" w:eastAsia="Arial" w:hAnsi="Arial"/>
                <w:sz w:val="14"/>
                <w:szCs w:val="14"/>
                <w:color w:val="auto"/>
              </w:rPr>
              <w:t>774,727</w:t>
            </w:r>
          </w:p>
        </w:tc>
      </w:tr>
      <w:tr>
        <w:trPr>
          <w:trHeight w:val="174"/>
        </w:trPr>
        <w:tc>
          <w:tcPr>
            <w:tcW w:w="2720" w:type="dxa"/>
            <w:vAlign w:val="bottom"/>
            <w:shd w:val="clear" w:color="auto" w:fill="D9D9D9"/>
          </w:tcPr>
          <w:p>
            <w:pPr>
              <w:spacing w:after="0"/>
              <w:rPr>
                <w:sz w:val="20"/>
                <w:szCs w:val="20"/>
                <w:color w:val="auto"/>
              </w:rPr>
            </w:pPr>
            <w:r>
              <w:rPr>
                <w:rFonts w:ascii="Arial" w:cs="Arial" w:eastAsia="Arial" w:hAnsi="Arial"/>
                <w:sz w:val="14"/>
                <w:szCs w:val="14"/>
                <w:color w:val="auto"/>
              </w:rPr>
              <w:t>Renee J. Peterson</w:t>
            </w:r>
          </w:p>
        </w:tc>
        <w:tc>
          <w:tcPr>
            <w:tcW w:w="500" w:type="dxa"/>
            <w:vAlign w:val="bottom"/>
            <w:shd w:val="clear" w:color="auto" w:fill="D9D9D9"/>
          </w:tcPr>
          <w:p>
            <w:pPr>
              <w:spacing w:after="0"/>
              <w:rPr>
                <w:sz w:val="15"/>
                <w:szCs w:val="15"/>
                <w:color w:val="auto"/>
              </w:rPr>
            </w:pPr>
          </w:p>
        </w:tc>
        <w:tc>
          <w:tcPr>
            <w:tcW w:w="1260" w:type="dxa"/>
            <w:vAlign w:val="bottom"/>
            <w:shd w:val="clear" w:color="auto" w:fill="D9D9D9"/>
          </w:tcPr>
          <w:p>
            <w:pPr>
              <w:spacing w:after="0"/>
              <w:rPr>
                <w:sz w:val="15"/>
                <w:szCs w:val="15"/>
                <w:color w:val="auto"/>
              </w:rPr>
            </w:pPr>
          </w:p>
        </w:tc>
        <w:tc>
          <w:tcPr>
            <w:tcW w:w="2140" w:type="dxa"/>
            <w:vAlign w:val="bottom"/>
            <w:shd w:val="clear" w:color="auto" w:fill="D9D9D9"/>
          </w:tcPr>
          <w:p>
            <w:pPr>
              <w:spacing w:after="0"/>
              <w:rPr>
                <w:sz w:val="15"/>
                <w:szCs w:val="15"/>
                <w:color w:val="auto"/>
              </w:rPr>
            </w:pPr>
          </w:p>
        </w:tc>
        <w:tc>
          <w:tcPr>
            <w:tcW w:w="1460" w:type="dxa"/>
            <w:vAlign w:val="bottom"/>
            <w:shd w:val="clear" w:color="auto" w:fill="D9D9D9"/>
          </w:tcPr>
          <w:p>
            <w:pPr>
              <w:spacing w:after="0"/>
              <w:rPr>
                <w:sz w:val="15"/>
                <w:szCs w:val="15"/>
                <w:color w:val="auto"/>
              </w:rPr>
            </w:pPr>
          </w:p>
        </w:tc>
        <w:tc>
          <w:tcPr>
            <w:tcW w:w="1720" w:type="dxa"/>
            <w:vAlign w:val="bottom"/>
            <w:shd w:val="clear" w:color="auto" w:fill="D9D9D9"/>
          </w:tcPr>
          <w:p>
            <w:pPr>
              <w:spacing w:after="0"/>
              <w:rPr>
                <w:sz w:val="15"/>
                <w:szCs w:val="15"/>
                <w:color w:val="auto"/>
              </w:rPr>
            </w:pPr>
          </w:p>
        </w:tc>
        <w:tc>
          <w:tcPr>
            <w:tcW w:w="1440" w:type="dxa"/>
            <w:vAlign w:val="bottom"/>
            <w:shd w:val="clear" w:color="auto" w:fill="D9D9D9"/>
          </w:tcPr>
          <w:p>
            <w:pPr>
              <w:spacing w:after="0"/>
              <w:rPr>
                <w:sz w:val="15"/>
                <w:szCs w:val="15"/>
                <w:color w:val="auto"/>
              </w:rPr>
            </w:pPr>
          </w:p>
        </w:tc>
      </w:tr>
      <w:tr>
        <w:trPr>
          <w:trHeight w:val="174"/>
        </w:trPr>
        <w:tc>
          <w:tcPr>
            <w:tcW w:w="2720" w:type="dxa"/>
            <w:vAlign w:val="bottom"/>
            <w:shd w:val="clear" w:color="auto" w:fill="D9D9D9"/>
          </w:tcPr>
          <w:p>
            <w:pPr>
              <w:ind w:left="260"/>
              <w:spacing w:after="0"/>
              <w:rPr>
                <w:sz w:val="20"/>
                <w:szCs w:val="20"/>
                <w:color w:val="auto"/>
              </w:rPr>
            </w:pPr>
            <w:r>
              <w:rPr>
                <w:rFonts w:ascii="Arial" w:cs="Arial" w:eastAsia="Arial" w:hAnsi="Arial"/>
                <w:sz w:val="14"/>
                <w:szCs w:val="14"/>
                <w:color w:val="auto"/>
              </w:rPr>
              <w:t>Deferred Plan</w:t>
            </w:r>
          </w:p>
        </w:tc>
        <w:tc>
          <w:tcPr>
            <w:tcW w:w="17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188,477</w:t>
            </w:r>
          </w:p>
        </w:tc>
        <w:tc>
          <w:tcPr>
            <w:tcW w:w="2140" w:type="dxa"/>
            <w:vAlign w:val="bottom"/>
            <w:shd w:val="clear" w:color="auto" w:fill="D9D9D9"/>
          </w:tcPr>
          <w:p>
            <w:pPr>
              <w:jc w:val="right"/>
              <w:ind w:right="129"/>
              <w:spacing w:after="0"/>
              <w:rPr>
                <w:sz w:val="20"/>
                <w:szCs w:val="20"/>
                <w:color w:val="auto"/>
              </w:rPr>
            </w:pPr>
            <w:r>
              <w:rPr>
                <w:rFonts w:ascii="Arial" w:cs="Arial" w:eastAsia="Arial" w:hAnsi="Arial"/>
                <w:sz w:val="14"/>
                <w:szCs w:val="14"/>
                <w:color w:val="auto"/>
              </w:rPr>
              <w:t>0</w:t>
            </w:r>
          </w:p>
        </w:tc>
        <w:tc>
          <w:tcPr>
            <w:tcW w:w="1460" w:type="dxa"/>
            <w:vAlign w:val="bottom"/>
            <w:shd w:val="clear" w:color="auto" w:fill="D9D9D9"/>
          </w:tcPr>
          <w:p>
            <w:pPr>
              <w:jc w:val="right"/>
              <w:ind w:right="169"/>
              <w:spacing w:after="0"/>
              <w:rPr>
                <w:sz w:val="20"/>
                <w:szCs w:val="20"/>
                <w:color w:val="auto"/>
              </w:rPr>
            </w:pPr>
            <w:r>
              <w:rPr>
                <w:rFonts w:ascii="Arial" w:cs="Arial" w:eastAsia="Arial" w:hAnsi="Arial"/>
                <w:sz w:val="14"/>
                <w:szCs w:val="14"/>
                <w:color w:val="auto"/>
              </w:rPr>
              <w:t>200,807</w:t>
            </w:r>
          </w:p>
        </w:tc>
        <w:tc>
          <w:tcPr>
            <w:tcW w:w="1720" w:type="dxa"/>
            <w:vAlign w:val="bottom"/>
            <w:shd w:val="clear" w:color="auto" w:fill="D9D9D9"/>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2,915,363</w:t>
            </w:r>
          </w:p>
        </w:tc>
      </w:tr>
      <w:tr>
        <w:trPr>
          <w:trHeight w:val="174"/>
        </w:trPr>
        <w:tc>
          <w:tcPr>
            <w:tcW w:w="2720" w:type="dxa"/>
            <w:vAlign w:val="bottom"/>
            <w:shd w:val="clear" w:color="auto" w:fill="D9D9D9"/>
          </w:tcPr>
          <w:p>
            <w:pPr>
              <w:ind w:left="260"/>
              <w:spacing w:after="0"/>
              <w:rPr>
                <w:sz w:val="20"/>
                <w:szCs w:val="20"/>
                <w:color w:val="auto"/>
              </w:rPr>
            </w:pPr>
            <w:r>
              <w:rPr>
                <w:rFonts w:ascii="Arial" w:cs="Arial" w:eastAsia="Arial" w:hAnsi="Arial"/>
                <w:sz w:val="14"/>
                <w:szCs w:val="14"/>
                <w:color w:val="auto"/>
              </w:rPr>
              <w:t>Deferred Plan for Officers</w:t>
            </w:r>
          </w:p>
        </w:tc>
        <w:tc>
          <w:tcPr>
            <w:tcW w:w="17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2140" w:type="dxa"/>
            <w:vAlign w:val="bottom"/>
            <w:shd w:val="clear" w:color="auto" w:fill="D9D9D9"/>
          </w:tcPr>
          <w:p>
            <w:pPr>
              <w:jc w:val="right"/>
              <w:ind w:right="129"/>
              <w:spacing w:after="0"/>
              <w:rPr>
                <w:sz w:val="20"/>
                <w:szCs w:val="20"/>
                <w:color w:val="auto"/>
              </w:rPr>
            </w:pPr>
            <w:r>
              <w:rPr>
                <w:rFonts w:ascii="Arial" w:cs="Arial" w:eastAsia="Arial" w:hAnsi="Arial"/>
                <w:sz w:val="14"/>
                <w:szCs w:val="14"/>
                <w:color w:val="auto"/>
              </w:rPr>
              <w:t>0</w:t>
            </w:r>
          </w:p>
        </w:tc>
        <w:tc>
          <w:tcPr>
            <w:tcW w:w="1460" w:type="dxa"/>
            <w:vAlign w:val="bottom"/>
            <w:shd w:val="clear" w:color="auto" w:fill="D9D9D9"/>
          </w:tcPr>
          <w:p>
            <w:pPr>
              <w:jc w:val="right"/>
              <w:ind w:right="169"/>
              <w:spacing w:after="0"/>
              <w:rPr>
                <w:sz w:val="20"/>
                <w:szCs w:val="20"/>
                <w:color w:val="auto"/>
              </w:rPr>
            </w:pPr>
            <w:r>
              <w:rPr>
                <w:rFonts w:ascii="Arial" w:cs="Arial" w:eastAsia="Arial" w:hAnsi="Arial"/>
                <w:sz w:val="14"/>
                <w:szCs w:val="14"/>
                <w:color w:val="auto"/>
              </w:rPr>
              <w:t>510,949</w:t>
            </w:r>
          </w:p>
        </w:tc>
        <w:tc>
          <w:tcPr>
            <w:tcW w:w="1720" w:type="dxa"/>
            <w:vAlign w:val="bottom"/>
            <w:shd w:val="clear" w:color="auto" w:fill="D9D9D9"/>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6,977,646</w:t>
            </w:r>
          </w:p>
        </w:tc>
      </w:tr>
      <w:tr>
        <w:trPr>
          <w:trHeight w:val="174"/>
        </w:trPr>
        <w:tc>
          <w:tcPr>
            <w:tcW w:w="2720" w:type="dxa"/>
            <w:vAlign w:val="bottom"/>
            <w:shd w:val="clear" w:color="auto" w:fill="D9D9D9"/>
          </w:tcPr>
          <w:p>
            <w:pPr>
              <w:ind w:left="260"/>
              <w:spacing w:after="0"/>
              <w:rPr>
                <w:sz w:val="20"/>
                <w:szCs w:val="20"/>
                <w:color w:val="auto"/>
              </w:rPr>
            </w:pPr>
            <w:r>
              <w:rPr>
                <w:rFonts w:ascii="Arial" w:cs="Arial" w:eastAsia="Arial" w:hAnsi="Arial"/>
                <w:sz w:val="14"/>
                <w:szCs w:val="14"/>
                <w:color w:val="auto"/>
              </w:rPr>
              <w:t>Supplemental Benefit Plan</w:t>
            </w:r>
          </w:p>
        </w:tc>
        <w:tc>
          <w:tcPr>
            <w:tcW w:w="17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2140" w:type="dxa"/>
            <w:vAlign w:val="bottom"/>
            <w:shd w:val="clear" w:color="auto" w:fill="D9D9D9"/>
          </w:tcPr>
          <w:p>
            <w:pPr>
              <w:jc w:val="right"/>
              <w:ind w:right="129"/>
              <w:spacing w:after="0"/>
              <w:rPr>
                <w:sz w:val="20"/>
                <w:szCs w:val="20"/>
                <w:color w:val="auto"/>
              </w:rPr>
            </w:pPr>
            <w:r>
              <w:rPr>
                <w:rFonts w:ascii="Arial" w:cs="Arial" w:eastAsia="Arial" w:hAnsi="Arial"/>
                <w:sz w:val="14"/>
                <w:szCs w:val="14"/>
                <w:color w:val="auto"/>
              </w:rPr>
              <w:t>19,993</w:t>
            </w:r>
          </w:p>
        </w:tc>
        <w:tc>
          <w:tcPr>
            <w:tcW w:w="1460" w:type="dxa"/>
            <w:vAlign w:val="bottom"/>
            <w:shd w:val="clear" w:color="auto" w:fill="D9D9D9"/>
          </w:tcPr>
          <w:p>
            <w:pPr>
              <w:jc w:val="right"/>
              <w:ind w:right="169"/>
              <w:spacing w:after="0"/>
              <w:rPr>
                <w:sz w:val="20"/>
                <w:szCs w:val="20"/>
                <w:color w:val="auto"/>
              </w:rPr>
            </w:pPr>
            <w:r>
              <w:rPr>
                <w:rFonts w:ascii="Arial" w:cs="Arial" w:eastAsia="Arial" w:hAnsi="Arial"/>
                <w:sz w:val="14"/>
                <w:szCs w:val="14"/>
                <w:color w:val="auto"/>
              </w:rPr>
              <w:t>44,158</w:t>
            </w:r>
          </w:p>
        </w:tc>
        <w:tc>
          <w:tcPr>
            <w:tcW w:w="1720" w:type="dxa"/>
            <w:vAlign w:val="bottom"/>
            <w:shd w:val="clear" w:color="auto" w:fill="D9D9D9"/>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549,828</w:t>
            </w:r>
          </w:p>
        </w:tc>
      </w:tr>
      <w:tr>
        <w:trPr>
          <w:trHeight w:val="189"/>
        </w:trPr>
        <w:tc>
          <w:tcPr>
            <w:tcW w:w="2720" w:type="dxa"/>
            <w:vAlign w:val="bottom"/>
          </w:tcPr>
          <w:p>
            <w:pPr>
              <w:spacing w:after="0"/>
              <w:rPr>
                <w:sz w:val="20"/>
                <w:szCs w:val="20"/>
                <w:color w:val="auto"/>
              </w:rPr>
            </w:pPr>
            <w:r>
              <w:rPr>
                <w:rFonts w:ascii="Arial" w:cs="Arial" w:eastAsia="Arial" w:hAnsi="Arial"/>
                <w:sz w:val="14"/>
                <w:szCs w:val="14"/>
                <w:color w:val="auto"/>
              </w:rPr>
              <w:t>Richard W. Rodier</w:t>
            </w: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74"/>
        </w:trPr>
        <w:tc>
          <w:tcPr>
            <w:tcW w:w="2720" w:type="dxa"/>
            <w:vAlign w:val="bottom"/>
          </w:tcPr>
          <w:p>
            <w:pPr>
              <w:ind w:left="260"/>
              <w:spacing w:after="0"/>
              <w:rPr>
                <w:sz w:val="20"/>
                <w:szCs w:val="20"/>
                <w:color w:val="auto"/>
              </w:rPr>
            </w:pPr>
            <w:r>
              <w:rPr>
                <w:rFonts w:ascii="Arial" w:cs="Arial" w:eastAsia="Arial" w:hAnsi="Arial"/>
                <w:sz w:val="14"/>
                <w:szCs w:val="14"/>
                <w:color w:val="auto"/>
              </w:rPr>
              <w:t>Deferred Plan</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208,698</w:t>
            </w:r>
          </w:p>
        </w:tc>
        <w:tc>
          <w:tcPr>
            <w:tcW w:w="2140" w:type="dxa"/>
            <w:vAlign w:val="bottom"/>
          </w:tcPr>
          <w:p>
            <w:pPr>
              <w:jc w:val="right"/>
              <w:ind w:right="129"/>
              <w:spacing w:after="0"/>
              <w:rPr>
                <w:sz w:val="20"/>
                <w:szCs w:val="20"/>
                <w:color w:val="auto"/>
              </w:rPr>
            </w:pPr>
            <w:r>
              <w:rPr>
                <w:rFonts w:ascii="Arial" w:cs="Arial" w:eastAsia="Arial" w:hAnsi="Arial"/>
                <w:sz w:val="14"/>
                <w:szCs w:val="14"/>
                <w:color w:val="auto"/>
              </w:rPr>
              <w:t>0</w:t>
            </w:r>
          </w:p>
        </w:tc>
        <w:tc>
          <w:tcPr>
            <w:tcW w:w="1460" w:type="dxa"/>
            <w:vAlign w:val="bottom"/>
          </w:tcPr>
          <w:p>
            <w:pPr>
              <w:jc w:val="right"/>
              <w:ind w:right="169"/>
              <w:spacing w:after="0"/>
              <w:rPr>
                <w:sz w:val="20"/>
                <w:szCs w:val="20"/>
                <w:color w:val="auto"/>
              </w:rPr>
            </w:pPr>
            <w:r>
              <w:rPr>
                <w:rFonts w:ascii="Arial" w:cs="Arial" w:eastAsia="Arial" w:hAnsi="Arial"/>
                <w:sz w:val="14"/>
                <w:szCs w:val="14"/>
                <w:color w:val="auto"/>
              </w:rPr>
              <w:t>111,044</w:t>
            </w:r>
          </w:p>
        </w:tc>
        <w:tc>
          <w:tcPr>
            <w:tcW w:w="1720" w:type="dxa"/>
            <w:vAlign w:val="bottom"/>
          </w:tcPr>
          <w:p>
            <w:pPr>
              <w:jc w:val="right"/>
              <w:ind w:right="209"/>
              <w:spacing w:after="0"/>
              <w:rPr>
                <w:sz w:val="20"/>
                <w:szCs w:val="20"/>
                <w:color w:val="auto"/>
              </w:rPr>
            </w:pPr>
            <w:r>
              <w:rPr>
                <w:rFonts w:ascii="Arial" w:cs="Arial" w:eastAsia="Arial" w:hAnsi="Arial"/>
                <w:sz w:val="14"/>
                <w:szCs w:val="14"/>
                <w:color w:val="auto"/>
              </w:rPr>
              <w:t>91,922</w:t>
            </w:r>
          </w:p>
        </w:tc>
        <w:tc>
          <w:tcPr>
            <w:tcW w:w="1440" w:type="dxa"/>
            <w:vAlign w:val="bottom"/>
          </w:tcPr>
          <w:p>
            <w:pPr>
              <w:jc w:val="right"/>
              <w:spacing w:after="0"/>
              <w:rPr>
                <w:sz w:val="20"/>
                <w:szCs w:val="20"/>
                <w:color w:val="auto"/>
              </w:rPr>
            </w:pPr>
            <w:r>
              <w:rPr>
                <w:rFonts w:ascii="Arial" w:cs="Arial" w:eastAsia="Arial" w:hAnsi="Arial"/>
                <w:sz w:val="14"/>
                <w:szCs w:val="14"/>
                <w:color w:val="auto"/>
              </w:rPr>
              <w:t>1,186,509</w:t>
            </w:r>
          </w:p>
        </w:tc>
      </w:tr>
      <w:tr>
        <w:trPr>
          <w:trHeight w:val="174"/>
        </w:trPr>
        <w:tc>
          <w:tcPr>
            <w:tcW w:w="2720" w:type="dxa"/>
            <w:vAlign w:val="bottom"/>
          </w:tcPr>
          <w:p>
            <w:pPr>
              <w:ind w:left="260"/>
              <w:spacing w:after="0"/>
              <w:rPr>
                <w:sz w:val="20"/>
                <w:szCs w:val="20"/>
                <w:color w:val="auto"/>
              </w:rPr>
            </w:pPr>
            <w:r>
              <w:rPr>
                <w:rFonts w:ascii="Arial" w:cs="Arial" w:eastAsia="Arial" w:hAnsi="Arial"/>
                <w:sz w:val="14"/>
                <w:szCs w:val="14"/>
                <w:color w:val="auto"/>
              </w:rPr>
              <w:t>Deferred Plan for Officers</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101,209</w:t>
            </w:r>
          </w:p>
        </w:tc>
        <w:tc>
          <w:tcPr>
            <w:tcW w:w="2140" w:type="dxa"/>
            <w:vAlign w:val="bottom"/>
          </w:tcPr>
          <w:p>
            <w:pPr>
              <w:jc w:val="right"/>
              <w:ind w:right="129"/>
              <w:spacing w:after="0"/>
              <w:rPr>
                <w:sz w:val="20"/>
                <w:szCs w:val="20"/>
                <w:color w:val="auto"/>
              </w:rPr>
            </w:pPr>
            <w:r>
              <w:rPr>
                <w:rFonts w:ascii="Arial" w:cs="Arial" w:eastAsia="Arial" w:hAnsi="Arial"/>
                <w:sz w:val="14"/>
                <w:szCs w:val="14"/>
                <w:color w:val="auto"/>
              </w:rPr>
              <w:t>0</w:t>
            </w:r>
          </w:p>
        </w:tc>
        <w:tc>
          <w:tcPr>
            <w:tcW w:w="1460" w:type="dxa"/>
            <w:vAlign w:val="bottom"/>
          </w:tcPr>
          <w:p>
            <w:pPr>
              <w:jc w:val="right"/>
              <w:ind w:right="169"/>
              <w:spacing w:after="0"/>
              <w:rPr>
                <w:sz w:val="20"/>
                <w:szCs w:val="20"/>
                <w:color w:val="auto"/>
              </w:rPr>
            </w:pPr>
            <w:r>
              <w:rPr>
                <w:rFonts w:ascii="Arial" w:cs="Arial" w:eastAsia="Arial" w:hAnsi="Arial"/>
                <w:sz w:val="14"/>
                <w:szCs w:val="14"/>
                <w:color w:val="auto"/>
              </w:rPr>
              <w:t>29,481</w:t>
            </w:r>
          </w:p>
        </w:tc>
        <w:tc>
          <w:tcPr>
            <w:tcW w:w="172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503,813</w:t>
            </w:r>
          </w:p>
        </w:tc>
      </w:tr>
      <w:tr>
        <w:trPr>
          <w:trHeight w:val="159"/>
        </w:trPr>
        <w:tc>
          <w:tcPr>
            <w:tcW w:w="2720" w:type="dxa"/>
            <w:vAlign w:val="bottom"/>
          </w:tcPr>
          <w:p>
            <w:pPr>
              <w:ind w:left="260"/>
              <w:spacing w:after="0" w:line="159" w:lineRule="exact"/>
              <w:rPr>
                <w:sz w:val="20"/>
                <w:szCs w:val="20"/>
                <w:color w:val="auto"/>
              </w:rPr>
            </w:pPr>
            <w:r>
              <w:rPr>
                <w:rFonts w:ascii="Arial" w:cs="Arial" w:eastAsia="Arial" w:hAnsi="Arial"/>
                <w:sz w:val="14"/>
                <w:szCs w:val="14"/>
                <w:color w:val="auto"/>
              </w:rPr>
              <w:t>Supplemental Benefit Plan</w:t>
            </w:r>
          </w:p>
        </w:tc>
        <w:tc>
          <w:tcPr>
            <w:tcW w:w="1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214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10,988</w:t>
            </w:r>
          </w:p>
        </w:tc>
        <w:tc>
          <w:tcPr>
            <w:tcW w:w="1460" w:type="dxa"/>
            <w:vAlign w:val="bottom"/>
          </w:tcPr>
          <w:p>
            <w:pPr>
              <w:jc w:val="right"/>
              <w:ind w:right="169"/>
              <w:spacing w:after="0" w:line="159" w:lineRule="exact"/>
              <w:rPr>
                <w:sz w:val="20"/>
                <w:szCs w:val="20"/>
                <w:color w:val="auto"/>
              </w:rPr>
            </w:pPr>
            <w:r>
              <w:rPr>
                <w:rFonts w:ascii="Arial" w:cs="Arial" w:eastAsia="Arial" w:hAnsi="Arial"/>
                <w:sz w:val="14"/>
                <w:szCs w:val="14"/>
                <w:color w:val="auto"/>
              </w:rPr>
              <w:t>1,624</w:t>
            </w:r>
          </w:p>
        </w:tc>
        <w:tc>
          <w:tcPr>
            <w:tcW w:w="1720" w:type="dxa"/>
            <w:vAlign w:val="bottom"/>
          </w:tcPr>
          <w:p>
            <w:pPr>
              <w:jc w:val="right"/>
              <w:ind w:right="209"/>
              <w:spacing w:after="0" w:line="159" w:lineRule="exact"/>
              <w:rPr>
                <w:sz w:val="20"/>
                <w:szCs w:val="20"/>
                <w:color w:val="auto"/>
              </w:rPr>
            </w:pPr>
            <w:r>
              <w:rPr>
                <w:rFonts w:ascii="Arial" w:cs="Arial" w:eastAsia="Arial" w:hAnsi="Arial"/>
                <w:sz w:val="14"/>
                <w:szCs w:val="14"/>
                <w:color w:val="auto"/>
              </w:rPr>
              <w:t>0</w:t>
            </w:r>
          </w:p>
        </w:tc>
        <w:tc>
          <w:tcPr>
            <w:tcW w:w="1440" w:type="dxa"/>
            <w:vAlign w:val="bottom"/>
          </w:tcPr>
          <w:p>
            <w:pPr>
              <w:jc w:val="right"/>
              <w:spacing w:after="0" w:line="159" w:lineRule="exact"/>
              <w:rPr>
                <w:sz w:val="20"/>
                <w:szCs w:val="20"/>
                <w:color w:val="auto"/>
              </w:rPr>
            </w:pPr>
            <w:r>
              <w:rPr>
                <w:rFonts w:ascii="Arial" w:cs="Arial" w:eastAsia="Arial" w:hAnsi="Arial"/>
                <w:sz w:val="14"/>
                <w:szCs w:val="14"/>
                <w:color w:val="auto"/>
              </w:rPr>
              <w:t>173,882</w:t>
            </w:r>
          </w:p>
        </w:tc>
      </w:tr>
      <w:tr>
        <w:trPr>
          <w:trHeight w:val="174"/>
        </w:trPr>
        <w:tc>
          <w:tcPr>
            <w:tcW w:w="2720" w:type="dxa"/>
            <w:vAlign w:val="bottom"/>
            <w:shd w:val="clear" w:color="auto" w:fill="D9D9D9"/>
          </w:tcPr>
          <w:p>
            <w:pPr>
              <w:spacing w:after="0"/>
              <w:rPr>
                <w:sz w:val="20"/>
                <w:szCs w:val="20"/>
                <w:color w:val="auto"/>
              </w:rPr>
            </w:pPr>
            <w:r>
              <w:rPr>
                <w:rFonts w:ascii="Arial" w:cs="Arial" w:eastAsia="Arial" w:hAnsi="Arial"/>
                <w:sz w:val="14"/>
                <w:szCs w:val="14"/>
                <w:color w:val="auto"/>
              </w:rPr>
              <w:t>Bradley A. Hamilton</w:t>
            </w:r>
          </w:p>
        </w:tc>
        <w:tc>
          <w:tcPr>
            <w:tcW w:w="500" w:type="dxa"/>
            <w:vAlign w:val="bottom"/>
            <w:shd w:val="clear" w:color="auto" w:fill="D9D9D9"/>
          </w:tcPr>
          <w:p>
            <w:pPr>
              <w:spacing w:after="0"/>
              <w:rPr>
                <w:sz w:val="15"/>
                <w:szCs w:val="15"/>
                <w:color w:val="auto"/>
              </w:rPr>
            </w:pPr>
          </w:p>
        </w:tc>
        <w:tc>
          <w:tcPr>
            <w:tcW w:w="1260" w:type="dxa"/>
            <w:vAlign w:val="bottom"/>
            <w:shd w:val="clear" w:color="auto" w:fill="D9D9D9"/>
          </w:tcPr>
          <w:p>
            <w:pPr>
              <w:spacing w:after="0"/>
              <w:rPr>
                <w:sz w:val="15"/>
                <w:szCs w:val="15"/>
                <w:color w:val="auto"/>
              </w:rPr>
            </w:pPr>
          </w:p>
        </w:tc>
        <w:tc>
          <w:tcPr>
            <w:tcW w:w="2140" w:type="dxa"/>
            <w:vAlign w:val="bottom"/>
            <w:shd w:val="clear" w:color="auto" w:fill="D9D9D9"/>
          </w:tcPr>
          <w:p>
            <w:pPr>
              <w:spacing w:after="0"/>
              <w:rPr>
                <w:sz w:val="15"/>
                <w:szCs w:val="15"/>
                <w:color w:val="auto"/>
              </w:rPr>
            </w:pPr>
          </w:p>
        </w:tc>
        <w:tc>
          <w:tcPr>
            <w:tcW w:w="1460" w:type="dxa"/>
            <w:vAlign w:val="bottom"/>
            <w:shd w:val="clear" w:color="auto" w:fill="D9D9D9"/>
          </w:tcPr>
          <w:p>
            <w:pPr>
              <w:spacing w:after="0"/>
              <w:rPr>
                <w:sz w:val="15"/>
                <w:szCs w:val="15"/>
                <w:color w:val="auto"/>
              </w:rPr>
            </w:pPr>
          </w:p>
        </w:tc>
        <w:tc>
          <w:tcPr>
            <w:tcW w:w="1720" w:type="dxa"/>
            <w:vAlign w:val="bottom"/>
            <w:shd w:val="clear" w:color="auto" w:fill="D9D9D9"/>
          </w:tcPr>
          <w:p>
            <w:pPr>
              <w:spacing w:after="0"/>
              <w:rPr>
                <w:sz w:val="15"/>
                <w:szCs w:val="15"/>
                <w:color w:val="auto"/>
              </w:rPr>
            </w:pPr>
          </w:p>
        </w:tc>
        <w:tc>
          <w:tcPr>
            <w:tcW w:w="1440" w:type="dxa"/>
            <w:vAlign w:val="bottom"/>
            <w:shd w:val="clear" w:color="auto" w:fill="D9D9D9"/>
          </w:tcPr>
          <w:p>
            <w:pPr>
              <w:spacing w:after="0"/>
              <w:rPr>
                <w:sz w:val="15"/>
                <w:szCs w:val="15"/>
                <w:color w:val="auto"/>
              </w:rPr>
            </w:pPr>
          </w:p>
        </w:tc>
      </w:tr>
      <w:tr>
        <w:trPr>
          <w:trHeight w:val="174"/>
        </w:trPr>
        <w:tc>
          <w:tcPr>
            <w:tcW w:w="2720" w:type="dxa"/>
            <w:vAlign w:val="bottom"/>
            <w:shd w:val="clear" w:color="auto" w:fill="D9D9D9"/>
          </w:tcPr>
          <w:p>
            <w:pPr>
              <w:ind w:left="260"/>
              <w:spacing w:after="0"/>
              <w:rPr>
                <w:sz w:val="20"/>
                <w:szCs w:val="20"/>
                <w:color w:val="auto"/>
              </w:rPr>
            </w:pPr>
            <w:r>
              <w:rPr>
                <w:rFonts w:ascii="Arial" w:cs="Arial" w:eastAsia="Arial" w:hAnsi="Arial"/>
                <w:sz w:val="14"/>
                <w:szCs w:val="14"/>
                <w:color w:val="auto"/>
              </w:rPr>
              <w:t>Deferred Plan</w:t>
            </w:r>
          </w:p>
        </w:tc>
        <w:tc>
          <w:tcPr>
            <w:tcW w:w="17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223,587</w:t>
            </w:r>
          </w:p>
        </w:tc>
        <w:tc>
          <w:tcPr>
            <w:tcW w:w="2140" w:type="dxa"/>
            <w:vAlign w:val="bottom"/>
            <w:shd w:val="clear" w:color="auto" w:fill="D9D9D9"/>
          </w:tcPr>
          <w:p>
            <w:pPr>
              <w:jc w:val="right"/>
              <w:ind w:right="129"/>
              <w:spacing w:after="0"/>
              <w:rPr>
                <w:sz w:val="20"/>
                <w:szCs w:val="20"/>
                <w:color w:val="auto"/>
              </w:rPr>
            </w:pPr>
            <w:r>
              <w:rPr>
                <w:rFonts w:ascii="Arial" w:cs="Arial" w:eastAsia="Arial" w:hAnsi="Arial"/>
                <w:sz w:val="14"/>
                <w:szCs w:val="14"/>
                <w:color w:val="auto"/>
              </w:rPr>
              <w:t>0</w:t>
            </w:r>
          </w:p>
        </w:tc>
        <w:tc>
          <w:tcPr>
            <w:tcW w:w="1460" w:type="dxa"/>
            <w:vAlign w:val="bottom"/>
            <w:shd w:val="clear" w:color="auto" w:fill="D9D9D9"/>
          </w:tcPr>
          <w:p>
            <w:pPr>
              <w:jc w:val="right"/>
              <w:ind w:right="169"/>
              <w:spacing w:after="0"/>
              <w:rPr>
                <w:sz w:val="20"/>
                <w:szCs w:val="20"/>
                <w:color w:val="auto"/>
              </w:rPr>
            </w:pPr>
            <w:r>
              <w:rPr>
                <w:rFonts w:ascii="Arial" w:cs="Arial" w:eastAsia="Arial" w:hAnsi="Arial"/>
                <w:sz w:val="14"/>
                <w:szCs w:val="14"/>
                <w:color w:val="auto"/>
              </w:rPr>
              <w:t>35,383</w:t>
            </w:r>
          </w:p>
        </w:tc>
        <w:tc>
          <w:tcPr>
            <w:tcW w:w="1720" w:type="dxa"/>
            <w:vAlign w:val="bottom"/>
            <w:shd w:val="clear" w:color="auto" w:fill="D9D9D9"/>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696,023</w:t>
            </w:r>
          </w:p>
        </w:tc>
      </w:tr>
      <w:tr>
        <w:trPr>
          <w:trHeight w:val="174"/>
        </w:trPr>
        <w:tc>
          <w:tcPr>
            <w:tcW w:w="2720" w:type="dxa"/>
            <w:vAlign w:val="bottom"/>
            <w:shd w:val="clear" w:color="auto" w:fill="D9D9D9"/>
          </w:tcPr>
          <w:p>
            <w:pPr>
              <w:ind w:left="260"/>
              <w:spacing w:after="0"/>
              <w:rPr>
                <w:sz w:val="20"/>
                <w:szCs w:val="20"/>
                <w:color w:val="auto"/>
              </w:rPr>
            </w:pPr>
            <w:r>
              <w:rPr>
                <w:rFonts w:ascii="Arial" w:cs="Arial" w:eastAsia="Arial" w:hAnsi="Arial"/>
                <w:sz w:val="14"/>
                <w:szCs w:val="14"/>
                <w:color w:val="auto"/>
              </w:rPr>
              <w:t>Deferred Plan for Officers</w:t>
            </w:r>
          </w:p>
        </w:tc>
        <w:tc>
          <w:tcPr>
            <w:tcW w:w="17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208,784</w:t>
            </w:r>
          </w:p>
        </w:tc>
        <w:tc>
          <w:tcPr>
            <w:tcW w:w="2140" w:type="dxa"/>
            <w:vAlign w:val="bottom"/>
            <w:shd w:val="clear" w:color="auto" w:fill="D9D9D9"/>
          </w:tcPr>
          <w:p>
            <w:pPr>
              <w:jc w:val="right"/>
              <w:ind w:right="129"/>
              <w:spacing w:after="0"/>
              <w:rPr>
                <w:sz w:val="20"/>
                <w:szCs w:val="20"/>
                <w:color w:val="auto"/>
              </w:rPr>
            </w:pPr>
            <w:r>
              <w:rPr>
                <w:rFonts w:ascii="Arial" w:cs="Arial" w:eastAsia="Arial" w:hAnsi="Arial"/>
                <w:sz w:val="14"/>
                <w:szCs w:val="14"/>
                <w:color w:val="auto"/>
              </w:rPr>
              <w:t>0</w:t>
            </w:r>
          </w:p>
        </w:tc>
        <w:tc>
          <w:tcPr>
            <w:tcW w:w="1460" w:type="dxa"/>
            <w:vAlign w:val="bottom"/>
            <w:shd w:val="clear" w:color="auto" w:fill="D9D9D9"/>
          </w:tcPr>
          <w:p>
            <w:pPr>
              <w:jc w:val="right"/>
              <w:ind w:right="169"/>
              <w:spacing w:after="0"/>
              <w:rPr>
                <w:sz w:val="20"/>
                <w:szCs w:val="20"/>
                <w:color w:val="auto"/>
              </w:rPr>
            </w:pPr>
            <w:r>
              <w:rPr>
                <w:rFonts w:ascii="Arial" w:cs="Arial" w:eastAsia="Arial" w:hAnsi="Arial"/>
                <w:sz w:val="14"/>
                <w:szCs w:val="14"/>
                <w:color w:val="auto"/>
              </w:rPr>
              <w:t>43,757</w:t>
            </w:r>
          </w:p>
        </w:tc>
        <w:tc>
          <w:tcPr>
            <w:tcW w:w="1720" w:type="dxa"/>
            <w:vAlign w:val="bottom"/>
            <w:shd w:val="clear" w:color="auto" w:fill="D9D9D9"/>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751,145</w:t>
            </w:r>
          </w:p>
        </w:tc>
      </w:tr>
      <w:tr>
        <w:trPr>
          <w:trHeight w:val="174"/>
        </w:trPr>
        <w:tc>
          <w:tcPr>
            <w:tcW w:w="2720" w:type="dxa"/>
            <w:vAlign w:val="bottom"/>
            <w:shd w:val="clear" w:color="auto" w:fill="D9D9D9"/>
          </w:tcPr>
          <w:p>
            <w:pPr>
              <w:ind w:left="260"/>
              <w:spacing w:after="0"/>
              <w:rPr>
                <w:sz w:val="20"/>
                <w:szCs w:val="20"/>
                <w:color w:val="auto"/>
              </w:rPr>
            </w:pPr>
            <w:r>
              <w:rPr>
                <w:rFonts w:ascii="Arial" w:cs="Arial" w:eastAsia="Arial" w:hAnsi="Arial"/>
                <w:sz w:val="14"/>
                <w:szCs w:val="14"/>
                <w:color w:val="auto"/>
              </w:rPr>
              <w:t>Supplemental Benefit Plan</w:t>
            </w:r>
          </w:p>
        </w:tc>
        <w:tc>
          <w:tcPr>
            <w:tcW w:w="17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2140" w:type="dxa"/>
            <w:vAlign w:val="bottom"/>
            <w:shd w:val="clear" w:color="auto" w:fill="D9D9D9"/>
          </w:tcPr>
          <w:p>
            <w:pPr>
              <w:jc w:val="right"/>
              <w:ind w:right="129"/>
              <w:spacing w:after="0"/>
              <w:rPr>
                <w:sz w:val="20"/>
                <w:szCs w:val="20"/>
                <w:color w:val="auto"/>
              </w:rPr>
            </w:pPr>
            <w:r>
              <w:rPr>
                <w:rFonts w:ascii="Arial" w:cs="Arial" w:eastAsia="Arial" w:hAnsi="Arial"/>
                <w:sz w:val="14"/>
                <w:szCs w:val="14"/>
                <w:color w:val="auto"/>
              </w:rPr>
              <w:t>10,303</w:t>
            </w:r>
          </w:p>
        </w:tc>
        <w:tc>
          <w:tcPr>
            <w:tcW w:w="1460" w:type="dxa"/>
            <w:vAlign w:val="bottom"/>
            <w:shd w:val="clear" w:color="auto" w:fill="D9D9D9"/>
          </w:tcPr>
          <w:p>
            <w:pPr>
              <w:jc w:val="right"/>
              <w:ind w:right="169"/>
              <w:spacing w:after="0"/>
              <w:rPr>
                <w:sz w:val="20"/>
                <w:szCs w:val="20"/>
                <w:color w:val="auto"/>
              </w:rPr>
            </w:pPr>
            <w:r>
              <w:rPr>
                <w:rFonts w:ascii="Arial" w:cs="Arial" w:eastAsia="Arial" w:hAnsi="Arial"/>
                <w:sz w:val="14"/>
                <w:szCs w:val="14"/>
                <w:color w:val="auto"/>
              </w:rPr>
              <w:t>13,244</w:t>
            </w:r>
          </w:p>
        </w:tc>
        <w:tc>
          <w:tcPr>
            <w:tcW w:w="1720" w:type="dxa"/>
            <w:vAlign w:val="bottom"/>
            <w:shd w:val="clear" w:color="auto" w:fill="D9D9D9"/>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135,718</w:t>
            </w:r>
          </w:p>
        </w:tc>
      </w:tr>
      <w:tr>
        <w:trPr>
          <w:trHeight w:val="189"/>
        </w:trPr>
        <w:tc>
          <w:tcPr>
            <w:tcW w:w="2720" w:type="dxa"/>
            <w:vAlign w:val="bottom"/>
          </w:tcPr>
          <w:p>
            <w:pPr>
              <w:spacing w:after="0"/>
              <w:rPr>
                <w:sz w:val="20"/>
                <w:szCs w:val="20"/>
                <w:color w:val="auto"/>
              </w:rPr>
            </w:pPr>
            <w:r>
              <w:rPr>
                <w:rFonts w:ascii="Arial" w:cs="Arial" w:eastAsia="Arial" w:hAnsi="Arial"/>
                <w:sz w:val="14"/>
                <w:szCs w:val="14"/>
                <w:color w:val="auto"/>
              </w:rPr>
              <w:t>Amy E. Dahl</w:t>
            </w: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74"/>
        </w:trPr>
        <w:tc>
          <w:tcPr>
            <w:tcW w:w="2720" w:type="dxa"/>
            <w:vAlign w:val="bottom"/>
          </w:tcPr>
          <w:p>
            <w:pPr>
              <w:ind w:left="260"/>
              <w:spacing w:after="0"/>
              <w:rPr>
                <w:sz w:val="20"/>
                <w:szCs w:val="20"/>
                <w:color w:val="auto"/>
              </w:rPr>
            </w:pPr>
            <w:r>
              <w:rPr>
                <w:rFonts w:ascii="Arial" w:cs="Arial" w:eastAsia="Arial" w:hAnsi="Arial"/>
                <w:sz w:val="14"/>
                <w:szCs w:val="14"/>
                <w:color w:val="auto"/>
              </w:rPr>
              <w:t>Deferred Plan</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76,962</w:t>
            </w:r>
          </w:p>
        </w:tc>
        <w:tc>
          <w:tcPr>
            <w:tcW w:w="2140" w:type="dxa"/>
            <w:vAlign w:val="bottom"/>
          </w:tcPr>
          <w:p>
            <w:pPr>
              <w:jc w:val="right"/>
              <w:ind w:right="129"/>
              <w:spacing w:after="0"/>
              <w:rPr>
                <w:sz w:val="20"/>
                <w:szCs w:val="20"/>
                <w:color w:val="auto"/>
              </w:rPr>
            </w:pPr>
            <w:r>
              <w:rPr>
                <w:rFonts w:ascii="Arial" w:cs="Arial" w:eastAsia="Arial" w:hAnsi="Arial"/>
                <w:sz w:val="14"/>
                <w:szCs w:val="14"/>
                <w:color w:val="auto"/>
              </w:rPr>
              <w:t>0</w:t>
            </w:r>
          </w:p>
        </w:tc>
        <w:tc>
          <w:tcPr>
            <w:tcW w:w="1460" w:type="dxa"/>
            <w:vAlign w:val="bottom"/>
          </w:tcPr>
          <w:p>
            <w:pPr>
              <w:jc w:val="right"/>
              <w:ind w:right="169"/>
              <w:spacing w:after="0"/>
              <w:rPr>
                <w:sz w:val="20"/>
                <w:szCs w:val="20"/>
                <w:color w:val="auto"/>
              </w:rPr>
            </w:pPr>
            <w:r>
              <w:rPr>
                <w:rFonts w:ascii="Arial" w:cs="Arial" w:eastAsia="Arial" w:hAnsi="Arial"/>
                <w:sz w:val="14"/>
                <w:szCs w:val="14"/>
                <w:color w:val="auto"/>
              </w:rPr>
              <w:t>352</w:t>
            </w:r>
          </w:p>
        </w:tc>
        <w:tc>
          <w:tcPr>
            <w:tcW w:w="172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142,929</w:t>
            </w:r>
          </w:p>
        </w:tc>
      </w:tr>
      <w:tr>
        <w:trPr>
          <w:trHeight w:val="174"/>
        </w:trPr>
        <w:tc>
          <w:tcPr>
            <w:tcW w:w="2720" w:type="dxa"/>
            <w:vAlign w:val="bottom"/>
          </w:tcPr>
          <w:p>
            <w:pPr>
              <w:ind w:left="260"/>
              <w:spacing w:after="0"/>
              <w:rPr>
                <w:sz w:val="20"/>
                <w:szCs w:val="20"/>
                <w:color w:val="auto"/>
              </w:rPr>
            </w:pPr>
            <w:r>
              <w:rPr>
                <w:rFonts w:ascii="Arial" w:cs="Arial" w:eastAsia="Arial" w:hAnsi="Arial"/>
                <w:sz w:val="14"/>
                <w:szCs w:val="14"/>
                <w:color w:val="auto"/>
              </w:rPr>
              <w:t>Deferred Plan for Officers</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196,145</w:t>
            </w:r>
          </w:p>
        </w:tc>
        <w:tc>
          <w:tcPr>
            <w:tcW w:w="2140" w:type="dxa"/>
            <w:vAlign w:val="bottom"/>
          </w:tcPr>
          <w:p>
            <w:pPr>
              <w:jc w:val="right"/>
              <w:ind w:right="129"/>
              <w:spacing w:after="0"/>
              <w:rPr>
                <w:sz w:val="20"/>
                <w:szCs w:val="20"/>
                <w:color w:val="auto"/>
              </w:rPr>
            </w:pPr>
            <w:r>
              <w:rPr>
                <w:rFonts w:ascii="Arial" w:cs="Arial" w:eastAsia="Arial" w:hAnsi="Arial"/>
                <w:sz w:val="14"/>
                <w:szCs w:val="14"/>
                <w:color w:val="auto"/>
              </w:rPr>
              <w:t>0</w:t>
            </w:r>
          </w:p>
        </w:tc>
        <w:tc>
          <w:tcPr>
            <w:tcW w:w="1460" w:type="dxa"/>
            <w:vAlign w:val="bottom"/>
          </w:tcPr>
          <w:p>
            <w:pPr>
              <w:jc w:val="right"/>
              <w:ind w:right="169"/>
              <w:spacing w:after="0"/>
              <w:rPr>
                <w:sz w:val="20"/>
                <w:szCs w:val="20"/>
                <w:color w:val="auto"/>
              </w:rPr>
            </w:pPr>
            <w:r>
              <w:rPr>
                <w:rFonts w:ascii="Arial" w:cs="Arial" w:eastAsia="Arial" w:hAnsi="Arial"/>
                <w:sz w:val="14"/>
                <w:szCs w:val="14"/>
                <w:color w:val="auto"/>
              </w:rPr>
              <w:t>36,489</w:t>
            </w:r>
          </w:p>
        </w:tc>
        <w:tc>
          <w:tcPr>
            <w:tcW w:w="172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602,446</w:t>
            </w:r>
          </w:p>
        </w:tc>
      </w:tr>
      <w:tr>
        <w:trPr>
          <w:trHeight w:val="174"/>
        </w:trPr>
        <w:tc>
          <w:tcPr>
            <w:tcW w:w="2720" w:type="dxa"/>
            <w:vAlign w:val="bottom"/>
          </w:tcPr>
          <w:p>
            <w:pPr>
              <w:ind w:left="260"/>
              <w:spacing w:after="0"/>
              <w:rPr>
                <w:sz w:val="20"/>
                <w:szCs w:val="20"/>
                <w:color w:val="auto"/>
              </w:rPr>
            </w:pPr>
            <w:r>
              <w:rPr>
                <w:rFonts w:ascii="Arial" w:cs="Arial" w:eastAsia="Arial" w:hAnsi="Arial"/>
                <w:sz w:val="14"/>
                <w:szCs w:val="14"/>
                <w:color w:val="auto"/>
              </w:rPr>
              <w:t>Supplemental Benefit Plan</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140" w:type="dxa"/>
            <w:vAlign w:val="bottom"/>
          </w:tcPr>
          <w:p>
            <w:pPr>
              <w:jc w:val="right"/>
              <w:ind w:right="129"/>
              <w:spacing w:after="0"/>
              <w:rPr>
                <w:sz w:val="20"/>
                <w:szCs w:val="20"/>
                <w:color w:val="auto"/>
              </w:rPr>
            </w:pPr>
            <w:r>
              <w:rPr>
                <w:rFonts w:ascii="Arial" w:cs="Arial" w:eastAsia="Arial" w:hAnsi="Arial"/>
                <w:sz w:val="14"/>
                <w:szCs w:val="14"/>
                <w:color w:val="auto"/>
              </w:rPr>
              <w:t>11,820</w:t>
            </w:r>
          </w:p>
        </w:tc>
        <w:tc>
          <w:tcPr>
            <w:tcW w:w="1460" w:type="dxa"/>
            <w:vAlign w:val="bottom"/>
          </w:tcPr>
          <w:p>
            <w:pPr>
              <w:jc w:val="right"/>
              <w:ind w:right="169"/>
              <w:spacing w:after="0"/>
              <w:rPr>
                <w:sz w:val="20"/>
                <w:szCs w:val="20"/>
                <w:color w:val="auto"/>
              </w:rPr>
            </w:pPr>
            <w:r>
              <w:rPr>
                <w:rFonts w:ascii="Arial" w:cs="Arial" w:eastAsia="Arial" w:hAnsi="Arial"/>
                <w:sz w:val="14"/>
                <w:szCs w:val="14"/>
                <w:color w:val="auto"/>
              </w:rPr>
              <w:t>12,428</w:t>
            </w:r>
          </w:p>
        </w:tc>
        <w:tc>
          <w:tcPr>
            <w:tcW w:w="172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146,443</w:t>
            </w:r>
          </w:p>
        </w:tc>
      </w:tr>
      <w:tr>
        <w:trPr>
          <w:trHeight w:val="92"/>
        </w:trPr>
        <w:tc>
          <w:tcPr>
            <w:tcW w:w="2720" w:type="dxa"/>
            <w:vAlign w:val="bottom"/>
            <w:tcBorders>
              <w:bottom w:val="single" w:sz="8" w:color="C00000"/>
            </w:tcBorders>
          </w:tcPr>
          <w:p>
            <w:pPr>
              <w:spacing w:after="0"/>
              <w:rPr>
                <w:sz w:val="8"/>
                <w:szCs w:val="8"/>
                <w:color w:val="auto"/>
              </w:rPr>
            </w:pPr>
          </w:p>
        </w:tc>
        <w:tc>
          <w:tcPr>
            <w:tcW w:w="500" w:type="dxa"/>
            <w:vAlign w:val="bottom"/>
            <w:tcBorders>
              <w:bottom w:val="single" w:sz="8" w:color="C00000"/>
            </w:tcBorders>
          </w:tcPr>
          <w:p>
            <w:pPr>
              <w:spacing w:after="0"/>
              <w:rPr>
                <w:sz w:val="8"/>
                <w:szCs w:val="8"/>
                <w:color w:val="auto"/>
              </w:rPr>
            </w:pPr>
          </w:p>
        </w:tc>
        <w:tc>
          <w:tcPr>
            <w:tcW w:w="1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40" w:type="dxa"/>
            <w:vAlign w:val="bottom"/>
          </w:tcPr>
          <w:p>
            <w:pPr>
              <w:spacing w:after="0"/>
              <w:rPr>
                <w:sz w:val="8"/>
                <w:szCs w:val="8"/>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47" w:lineRule="exact"/>
        <w:rPr>
          <w:sz w:val="20"/>
          <w:szCs w:val="20"/>
          <w:color w:val="auto"/>
        </w:rPr>
      </w:pPr>
    </w:p>
    <w:p>
      <w:pPr>
        <w:ind w:left="400" w:right="60" w:hanging="393"/>
        <w:spacing w:after="0" w:line="235" w:lineRule="auto"/>
        <w:tabs>
          <w:tab w:leader="none" w:pos="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Executive contributions of base salary and annual cash incentive award payouts are included in the “Salary” column and the “Non-Equity Incentive Plan Compensation” column, respectively, of the “Summary Compensation Table” beginning on page 44</w:t>
      </w:r>
      <w:r>
        <w:rPr>
          <w:rFonts w:ascii="Arial" w:cs="Arial" w:eastAsia="Arial" w:hAnsi="Arial"/>
          <w:sz w:val="18"/>
          <w:szCs w:val="18"/>
          <w:color w:val="4472C4"/>
        </w:rPr>
        <w:t>.</w:t>
      </w:r>
      <w:r>
        <w:rPr>
          <w:rFonts w:ascii="Arial" w:cs="Arial" w:eastAsia="Arial" w:hAnsi="Arial"/>
          <w:sz w:val="18"/>
          <w:szCs w:val="18"/>
          <w:color w:val="auto"/>
        </w:rPr>
        <w:t xml:space="preserve"> Executive contributions of the fiscal 2018 to fiscal 2020 performance share award payouts are included in the “Value Realized on Vesting” column of the “Option Exercises and Stock Vested for Fiscal 2020” table beginning on page 51, but are not included in the “Summary Compensation Table” as that table reflects the grant of the fiscal 2020 to fiscal 2022 performance share awards at target value. Our named executive officers deferred the following components of compensation during fiscal 2020:</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920" w:type="dxa"/>
            <w:vAlign w:val="bottom"/>
            <w:shd w:val="clear" w:color="auto" w:fill="C00000"/>
          </w:tcPr>
          <w:p>
            <w:pPr>
              <w:spacing w:after="0"/>
              <w:rPr>
                <w:sz w:val="20"/>
                <w:szCs w:val="20"/>
                <w:color w:val="auto"/>
              </w:rPr>
            </w:pPr>
            <w:r>
              <w:rPr>
                <w:rFonts w:ascii="Arial" w:cs="Arial" w:eastAsia="Arial" w:hAnsi="Arial"/>
                <w:sz w:val="16"/>
                <w:szCs w:val="16"/>
                <w:b w:val="1"/>
                <w:bCs w:val="1"/>
                <w:color w:val="FFFFFF"/>
              </w:rPr>
              <w:t>Name</w:t>
            </w:r>
          </w:p>
        </w:tc>
        <w:tc>
          <w:tcPr>
            <w:tcW w:w="7560" w:type="dxa"/>
            <w:vAlign w:val="bottom"/>
            <w:shd w:val="clear" w:color="auto" w:fill="C00000"/>
          </w:tcPr>
          <w:p>
            <w:pPr>
              <w:ind w:left="220"/>
              <w:spacing w:after="0"/>
              <w:rPr>
                <w:sz w:val="20"/>
                <w:szCs w:val="20"/>
                <w:color w:val="auto"/>
              </w:rPr>
            </w:pPr>
            <w:r>
              <w:rPr>
                <w:rFonts w:ascii="Arial" w:cs="Arial" w:eastAsia="Arial" w:hAnsi="Arial"/>
                <w:sz w:val="16"/>
                <w:szCs w:val="16"/>
                <w:b w:val="1"/>
                <w:bCs w:val="1"/>
                <w:color w:val="FFFFFF"/>
              </w:rPr>
              <w:t>Deferrals</w:t>
            </w:r>
          </w:p>
        </w:tc>
        <w:tc>
          <w:tcPr>
            <w:tcW w:w="1760" w:type="dxa"/>
            <w:vAlign w:val="bottom"/>
            <w:shd w:val="clear" w:color="auto" w:fill="C00000"/>
          </w:tcPr>
          <w:p>
            <w:pPr>
              <w:jc w:val="right"/>
              <w:ind w:right="280"/>
              <w:spacing w:after="0"/>
              <w:rPr>
                <w:sz w:val="20"/>
                <w:szCs w:val="20"/>
                <w:color w:val="auto"/>
              </w:rPr>
            </w:pPr>
            <w:r>
              <w:rPr>
                <w:rFonts w:ascii="Arial" w:cs="Arial" w:eastAsia="Arial" w:hAnsi="Arial"/>
                <w:sz w:val="16"/>
                <w:szCs w:val="16"/>
                <w:b w:val="1"/>
                <w:bCs w:val="1"/>
                <w:color w:val="FFFFFF"/>
              </w:rPr>
              <w:t>Amount ($)</w:t>
            </w:r>
          </w:p>
        </w:tc>
      </w:tr>
      <w:tr>
        <w:trPr>
          <w:trHeight w:val="209"/>
        </w:trPr>
        <w:tc>
          <w:tcPr>
            <w:tcW w:w="1920" w:type="dxa"/>
            <w:vAlign w:val="bottom"/>
          </w:tcPr>
          <w:p>
            <w:pPr>
              <w:spacing w:after="0"/>
              <w:rPr>
                <w:sz w:val="20"/>
                <w:szCs w:val="20"/>
                <w:color w:val="auto"/>
              </w:rPr>
            </w:pPr>
            <w:r>
              <w:rPr>
                <w:rFonts w:ascii="Arial" w:cs="Arial" w:eastAsia="Arial" w:hAnsi="Arial"/>
                <w:sz w:val="16"/>
                <w:szCs w:val="16"/>
                <w:color w:val="auto"/>
              </w:rPr>
              <w:t>Mr. Olson</w:t>
            </w:r>
          </w:p>
        </w:tc>
        <w:tc>
          <w:tcPr>
            <w:tcW w:w="7560" w:type="dxa"/>
            <w:vAlign w:val="bottom"/>
          </w:tcPr>
          <w:p>
            <w:pPr>
              <w:ind w:left="220"/>
              <w:spacing w:after="0"/>
              <w:rPr>
                <w:sz w:val="20"/>
                <w:szCs w:val="20"/>
                <w:color w:val="auto"/>
              </w:rPr>
            </w:pPr>
            <w:r>
              <w:rPr>
                <w:rFonts w:ascii="Arial" w:cs="Arial" w:eastAsia="Arial" w:hAnsi="Arial"/>
                <w:sz w:val="16"/>
                <w:szCs w:val="16"/>
                <w:color w:val="auto"/>
              </w:rPr>
              <w:t>35% of the fiscal 2020 annual cash incentive award</w:t>
            </w:r>
          </w:p>
        </w:tc>
        <w:tc>
          <w:tcPr>
            <w:tcW w:w="1760" w:type="dxa"/>
            <w:vAlign w:val="bottom"/>
          </w:tcPr>
          <w:p>
            <w:pPr>
              <w:jc w:val="right"/>
              <w:spacing w:after="0"/>
              <w:rPr>
                <w:sz w:val="20"/>
                <w:szCs w:val="20"/>
                <w:color w:val="auto"/>
              </w:rPr>
            </w:pPr>
            <w:r>
              <w:rPr>
                <w:rFonts w:ascii="Arial" w:cs="Arial" w:eastAsia="Arial" w:hAnsi="Arial"/>
                <w:sz w:val="16"/>
                <w:szCs w:val="16"/>
                <w:color w:val="auto"/>
              </w:rPr>
              <w:t>107,483</w:t>
            </w:r>
          </w:p>
        </w:tc>
      </w:tr>
      <w:tr>
        <w:trPr>
          <w:trHeight w:val="193"/>
        </w:trPr>
        <w:tc>
          <w:tcPr>
            <w:tcW w:w="1920" w:type="dxa"/>
            <w:vAlign w:val="bottom"/>
          </w:tcPr>
          <w:p>
            <w:pPr>
              <w:spacing w:after="0"/>
              <w:rPr>
                <w:sz w:val="16"/>
                <w:szCs w:val="16"/>
                <w:color w:val="auto"/>
              </w:rPr>
            </w:pPr>
          </w:p>
        </w:tc>
        <w:tc>
          <w:tcPr>
            <w:tcW w:w="7560" w:type="dxa"/>
            <w:vAlign w:val="bottom"/>
          </w:tcPr>
          <w:p>
            <w:pPr>
              <w:ind w:left="220"/>
              <w:spacing w:after="0"/>
              <w:rPr>
                <w:sz w:val="20"/>
                <w:szCs w:val="20"/>
                <w:color w:val="auto"/>
              </w:rPr>
            </w:pPr>
            <w:r>
              <w:rPr>
                <w:rFonts w:ascii="Arial" w:cs="Arial" w:eastAsia="Arial" w:hAnsi="Arial"/>
                <w:sz w:val="16"/>
                <w:szCs w:val="16"/>
                <w:color w:val="auto"/>
              </w:rPr>
              <w:t>100% of the fiscal 2018 to 2020 performance share award</w:t>
            </w:r>
          </w:p>
        </w:tc>
        <w:tc>
          <w:tcPr>
            <w:tcW w:w="1760" w:type="dxa"/>
            <w:vAlign w:val="bottom"/>
          </w:tcPr>
          <w:p>
            <w:pPr>
              <w:jc w:val="right"/>
              <w:spacing w:after="0"/>
              <w:rPr>
                <w:sz w:val="20"/>
                <w:szCs w:val="20"/>
                <w:color w:val="auto"/>
              </w:rPr>
            </w:pPr>
            <w:r>
              <w:rPr>
                <w:rFonts w:ascii="Arial" w:cs="Arial" w:eastAsia="Arial" w:hAnsi="Arial"/>
                <w:sz w:val="16"/>
                <w:szCs w:val="16"/>
                <w:color w:val="auto"/>
              </w:rPr>
              <w:t>1,524,966</w:t>
            </w:r>
          </w:p>
        </w:tc>
      </w:tr>
      <w:tr>
        <w:trPr>
          <w:trHeight w:val="201"/>
        </w:trPr>
        <w:tc>
          <w:tcPr>
            <w:tcW w:w="192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75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24% of base salary from November through December 2019</w:t>
            </w:r>
          </w:p>
        </w:tc>
        <w:tc>
          <w:tcPr>
            <w:tcW w:w="17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22,080</w:t>
            </w:r>
          </w:p>
        </w:tc>
      </w:tr>
      <w:tr>
        <w:trPr>
          <w:trHeight w:val="201"/>
        </w:trPr>
        <w:tc>
          <w:tcPr>
            <w:tcW w:w="1920" w:type="dxa"/>
            <w:vAlign w:val="bottom"/>
            <w:shd w:val="clear" w:color="auto" w:fill="D9D9D9"/>
          </w:tcPr>
          <w:p>
            <w:pPr>
              <w:spacing w:after="0"/>
              <w:rPr>
                <w:sz w:val="17"/>
                <w:szCs w:val="17"/>
                <w:color w:val="auto"/>
              </w:rPr>
            </w:pPr>
          </w:p>
        </w:tc>
        <w:tc>
          <w:tcPr>
            <w:tcW w:w="75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27% of base salary for January through October 2020</w:t>
            </w:r>
          </w:p>
        </w:tc>
        <w:tc>
          <w:tcPr>
            <w:tcW w:w="17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109,296</w:t>
            </w:r>
          </w:p>
        </w:tc>
      </w:tr>
      <w:tr>
        <w:trPr>
          <w:trHeight w:val="201"/>
        </w:trPr>
        <w:tc>
          <w:tcPr>
            <w:tcW w:w="1920" w:type="dxa"/>
            <w:vAlign w:val="bottom"/>
            <w:shd w:val="clear" w:color="auto" w:fill="D9D9D9"/>
          </w:tcPr>
          <w:p>
            <w:pPr>
              <w:spacing w:after="0"/>
              <w:rPr>
                <w:sz w:val="17"/>
                <w:szCs w:val="17"/>
                <w:color w:val="auto"/>
              </w:rPr>
            </w:pPr>
          </w:p>
        </w:tc>
        <w:tc>
          <w:tcPr>
            <w:tcW w:w="75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50% of the fiscal 2020 annual cash incentive award</w:t>
            </w:r>
          </w:p>
        </w:tc>
        <w:tc>
          <w:tcPr>
            <w:tcW w:w="17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57,101</w:t>
            </w:r>
          </w:p>
        </w:tc>
      </w:tr>
      <w:tr>
        <w:trPr>
          <w:trHeight w:val="209"/>
        </w:trPr>
        <w:tc>
          <w:tcPr>
            <w:tcW w:w="1920" w:type="dxa"/>
            <w:vAlign w:val="bottom"/>
          </w:tcPr>
          <w:p>
            <w:pPr>
              <w:spacing w:after="0"/>
              <w:rPr>
                <w:sz w:val="20"/>
                <w:szCs w:val="20"/>
                <w:color w:val="auto"/>
              </w:rPr>
            </w:pPr>
            <w:r>
              <w:rPr>
                <w:rFonts w:ascii="Arial" w:cs="Arial" w:eastAsia="Arial" w:hAnsi="Arial"/>
                <w:sz w:val="16"/>
                <w:szCs w:val="16"/>
                <w:color w:val="auto"/>
              </w:rPr>
              <w:t>Mr. Rodier</w:t>
            </w:r>
          </w:p>
        </w:tc>
        <w:tc>
          <w:tcPr>
            <w:tcW w:w="7560" w:type="dxa"/>
            <w:vAlign w:val="bottom"/>
          </w:tcPr>
          <w:p>
            <w:pPr>
              <w:ind w:left="220"/>
              <w:spacing w:after="0"/>
              <w:rPr>
                <w:sz w:val="20"/>
                <w:szCs w:val="20"/>
                <w:color w:val="auto"/>
              </w:rPr>
            </w:pPr>
            <w:r>
              <w:rPr>
                <w:rFonts w:ascii="Arial" w:cs="Arial" w:eastAsia="Arial" w:hAnsi="Arial"/>
                <w:sz w:val="16"/>
                <w:szCs w:val="16"/>
                <w:color w:val="auto"/>
              </w:rPr>
              <w:t>20% of base salary from November 2019 through December 2019</w:t>
            </w:r>
          </w:p>
        </w:tc>
        <w:tc>
          <w:tcPr>
            <w:tcW w:w="1760" w:type="dxa"/>
            <w:vAlign w:val="bottom"/>
          </w:tcPr>
          <w:p>
            <w:pPr>
              <w:jc w:val="right"/>
              <w:spacing w:after="0"/>
              <w:rPr>
                <w:sz w:val="20"/>
                <w:szCs w:val="20"/>
                <w:color w:val="auto"/>
              </w:rPr>
            </w:pPr>
            <w:r>
              <w:rPr>
                <w:rFonts w:ascii="Arial" w:cs="Arial" w:eastAsia="Arial" w:hAnsi="Arial"/>
                <w:sz w:val="16"/>
                <w:szCs w:val="16"/>
                <w:color w:val="auto"/>
              </w:rPr>
              <w:t>13,500</w:t>
            </w:r>
          </w:p>
        </w:tc>
      </w:tr>
      <w:tr>
        <w:trPr>
          <w:trHeight w:val="201"/>
        </w:trPr>
        <w:tc>
          <w:tcPr>
            <w:tcW w:w="1920" w:type="dxa"/>
            <w:vAlign w:val="bottom"/>
          </w:tcPr>
          <w:p>
            <w:pPr>
              <w:spacing w:after="0"/>
              <w:rPr>
                <w:sz w:val="17"/>
                <w:szCs w:val="17"/>
                <w:color w:val="auto"/>
              </w:rPr>
            </w:pPr>
          </w:p>
        </w:tc>
        <w:tc>
          <w:tcPr>
            <w:tcW w:w="7560" w:type="dxa"/>
            <w:vAlign w:val="bottom"/>
          </w:tcPr>
          <w:p>
            <w:pPr>
              <w:ind w:left="220"/>
              <w:spacing w:after="0"/>
              <w:rPr>
                <w:sz w:val="20"/>
                <w:szCs w:val="20"/>
                <w:color w:val="auto"/>
              </w:rPr>
            </w:pPr>
            <w:r>
              <w:rPr>
                <w:rFonts w:ascii="Arial" w:cs="Arial" w:eastAsia="Arial" w:hAnsi="Arial"/>
                <w:sz w:val="16"/>
                <w:szCs w:val="16"/>
                <w:color w:val="auto"/>
              </w:rPr>
              <w:t>35% of base salary from January 2020 through October 2020</w:t>
            </w:r>
          </w:p>
        </w:tc>
        <w:tc>
          <w:tcPr>
            <w:tcW w:w="1760" w:type="dxa"/>
            <w:vAlign w:val="bottom"/>
          </w:tcPr>
          <w:p>
            <w:pPr>
              <w:jc w:val="right"/>
              <w:spacing w:after="0"/>
              <w:rPr>
                <w:sz w:val="20"/>
                <w:szCs w:val="20"/>
                <w:color w:val="auto"/>
              </w:rPr>
            </w:pPr>
            <w:r>
              <w:rPr>
                <w:rFonts w:ascii="Arial" w:cs="Arial" w:eastAsia="Arial" w:hAnsi="Arial"/>
                <w:sz w:val="16"/>
                <w:szCs w:val="16"/>
                <w:color w:val="auto"/>
              </w:rPr>
              <w:t>116,141</w:t>
            </w:r>
          </w:p>
        </w:tc>
      </w:tr>
      <w:tr>
        <w:trPr>
          <w:trHeight w:val="201"/>
        </w:trPr>
        <w:tc>
          <w:tcPr>
            <w:tcW w:w="1920" w:type="dxa"/>
            <w:vAlign w:val="bottom"/>
          </w:tcPr>
          <w:p>
            <w:pPr>
              <w:spacing w:after="0"/>
              <w:rPr>
                <w:sz w:val="17"/>
                <w:szCs w:val="17"/>
                <w:color w:val="auto"/>
              </w:rPr>
            </w:pPr>
          </w:p>
        </w:tc>
        <w:tc>
          <w:tcPr>
            <w:tcW w:w="7560" w:type="dxa"/>
            <w:vAlign w:val="bottom"/>
          </w:tcPr>
          <w:p>
            <w:pPr>
              <w:ind w:left="220"/>
              <w:spacing w:after="0"/>
              <w:rPr>
                <w:sz w:val="20"/>
                <w:szCs w:val="20"/>
                <w:color w:val="auto"/>
              </w:rPr>
            </w:pPr>
            <w:r>
              <w:rPr>
                <w:rFonts w:ascii="Arial" w:cs="Arial" w:eastAsia="Arial" w:hAnsi="Arial"/>
                <w:sz w:val="16"/>
                <w:szCs w:val="16"/>
                <w:color w:val="auto"/>
              </w:rPr>
              <w:t>100% of the fiscal 2020 annual cash incentive award</w:t>
            </w:r>
          </w:p>
        </w:tc>
        <w:tc>
          <w:tcPr>
            <w:tcW w:w="1760" w:type="dxa"/>
            <w:vAlign w:val="bottom"/>
          </w:tcPr>
          <w:p>
            <w:pPr>
              <w:jc w:val="right"/>
              <w:spacing w:after="0"/>
              <w:rPr>
                <w:sz w:val="20"/>
                <w:szCs w:val="20"/>
                <w:color w:val="auto"/>
              </w:rPr>
            </w:pPr>
            <w:r>
              <w:rPr>
                <w:rFonts w:ascii="Arial" w:cs="Arial" w:eastAsia="Arial" w:hAnsi="Arial"/>
                <w:sz w:val="16"/>
                <w:szCs w:val="16"/>
                <w:color w:val="auto"/>
              </w:rPr>
              <w:t>79,057</w:t>
            </w:r>
          </w:p>
        </w:tc>
      </w:tr>
      <w:tr>
        <w:trPr>
          <w:trHeight w:val="193"/>
        </w:trPr>
        <w:tc>
          <w:tcPr>
            <w:tcW w:w="1920" w:type="dxa"/>
            <w:vAlign w:val="bottom"/>
          </w:tcPr>
          <w:p>
            <w:pPr>
              <w:spacing w:after="0"/>
              <w:rPr>
                <w:sz w:val="16"/>
                <w:szCs w:val="16"/>
                <w:color w:val="auto"/>
              </w:rPr>
            </w:pPr>
          </w:p>
        </w:tc>
        <w:tc>
          <w:tcPr>
            <w:tcW w:w="7560" w:type="dxa"/>
            <w:vAlign w:val="bottom"/>
          </w:tcPr>
          <w:p>
            <w:pPr>
              <w:ind w:left="220"/>
              <w:spacing w:after="0"/>
              <w:rPr>
                <w:sz w:val="20"/>
                <w:szCs w:val="20"/>
                <w:color w:val="auto"/>
              </w:rPr>
            </w:pPr>
            <w:r>
              <w:rPr>
                <w:rFonts w:ascii="Arial" w:cs="Arial" w:eastAsia="Arial" w:hAnsi="Arial"/>
                <w:sz w:val="16"/>
                <w:szCs w:val="16"/>
                <w:color w:val="auto"/>
              </w:rPr>
              <w:t>100% of the fiscal 2018 to 2020 performance share award</w:t>
            </w:r>
          </w:p>
        </w:tc>
        <w:tc>
          <w:tcPr>
            <w:tcW w:w="1760" w:type="dxa"/>
            <w:vAlign w:val="bottom"/>
          </w:tcPr>
          <w:p>
            <w:pPr>
              <w:jc w:val="right"/>
              <w:spacing w:after="0"/>
              <w:rPr>
                <w:sz w:val="20"/>
                <w:szCs w:val="20"/>
                <w:color w:val="auto"/>
              </w:rPr>
            </w:pPr>
            <w:r>
              <w:rPr>
                <w:rFonts w:ascii="Arial" w:cs="Arial" w:eastAsia="Arial" w:hAnsi="Arial"/>
                <w:sz w:val="16"/>
                <w:szCs w:val="16"/>
                <w:color w:val="auto"/>
              </w:rPr>
              <w:t>101,209</w:t>
            </w:r>
          </w:p>
        </w:tc>
      </w:tr>
      <w:tr>
        <w:trPr>
          <w:trHeight w:val="201"/>
        </w:trPr>
        <w:tc>
          <w:tcPr>
            <w:tcW w:w="1920" w:type="dxa"/>
            <w:vAlign w:val="bottom"/>
            <w:shd w:val="clear" w:color="auto" w:fill="D9D9D9"/>
          </w:tcPr>
          <w:p>
            <w:pPr>
              <w:spacing w:after="0"/>
              <w:rPr>
                <w:sz w:val="20"/>
                <w:szCs w:val="20"/>
                <w:color w:val="auto"/>
              </w:rPr>
            </w:pPr>
            <w:r>
              <w:rPr>
                <w:rFonts w:ascii="Arial" w:cs="Arial" w:eastAsia="Arial" w:hAnsi="Arial"/>
                <w:sz w:val="16"/>
                <w:szCs w:val="16"/>
                <w:color w:val="auto"/>
              </w:rPr>
              <w:t>Mr. Hamilton</w:t>
            </w:r>
          </w:p>
        </w:tc>
        <w:tc>
          <w:tcPr>
            <w:tcW w:w="75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15% of base salary from November through December 2019</w:t>
            </w:r>
          </w:p>
        </w:tc>
        <w:tc>
          <w:tcPr>
            <w:tcW w:w="17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10,500</w:t>
            </w:r>
          </w:p>
        </w:tc>
      </w:tr>
      <w:tr>
        <w:trPr>
          <w:trHeight w:val="201"/>
        </w:trPr>
        <w:tc>
          <w:tcPr>
            <w:tcW w:w="1920" w:type="dxa"/>
            <w:vAlign w:val="bottom"/>
            <w:shd w:val="clear" w:color="auto" w:fill="D9D9D9"/>
          </w:tcPr>
          <w:p>
            <w:pPr>
              <w:spacing w:after="0"/>
              <w:rPr>
                <w:sz w:val="17"/>
                <w:szCs w:val="17"/>
                <w:color w:val="auto"/>
              </w:rPr>
            </w:pPr>
          </w:p>
        </w:tc>
        <w:tc>
          <w:tcPr>
            <w:tcW w:w="75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50% of base salary from January through October 2020</w:t>
            </w:r>
          </w:p>
        </w:tc>
        <w:tc>
          <w:tcPr>
            <w:tcW w:w="17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154,000</w:t>
            </w:r>
          </w:p>
        </w:tc>
      </w:tr>
      <w:tr>
        <w:trPr>
          <w:trHeight w:val="201"/>
        </w:trPr>
        <w:tc>
          <w:tcPr>
            <w:tcW w:w="1920" w:type="dxa"/>
            <w:vAlign w:val="bottom"/>
            <w:shd w:val="clear" w:color="auto" w:fill="D9D9D9"/>
          </w:tcPr>
          <w:p>
            <w:pPr>
              <w:spacing w:after="0"/>
              <w:rPr>
                <w:sz w:val="17"/>
                <w:szCs w:val="17"/>
                <w:color w:val="auto"/>
              </w:rPr>
            </w:pPr>
          </w:p>
        </w:tc>
        <w:tc>
          <w:tcPr>
            <w:tcW w:w="75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85% of the fiscal 2020 annual cash incentive award</w:t>
            </w:r>
          </w:p>
        </w:tc>
        <w:tc>
          <w:tcPr>
            <w:tcW w:w="17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59,087</w:t>
            </w:r>
          </w:p>
        </w:tc>
      </w:tr>
      <w:tr>
        <w:trPr>
          <w:trHeight w:val="201"/>
        </w:trPr>
        <w:tc>
          <w:tcPr>
            <w:tcW w:w="1920" w:type="dxa"/>
            <w:vAlign w:val="bottom"/>
            <w:shd w:val="clear" w:color="auto" w:fill="D9D9D9"/>
          </w:tcPr>
          <w:p>
            <w:pPr>
              <w:spacing w:after="0"/>
              <w:rPr>
                <w:sz w:val="17"/>
                <w:szCs w:val="17"/>
                <w:color w:val="auto"/>
              </w:rPr>
            </w:pPr>
          </w:p>
        </w:tc>
        <w:tc>
          <w:tcPr>
            <w:tcW w:w="75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100% of the fiscal 2018 to 2020 performance share award</w:t>
            </w:r>
          </w:p>
        </w:tc>
        <w:tc>
          <w:tcPr>
            <w:tcW w:w="17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208,784</w:t>
            </w:r>
          </w:p>
        </w:tc>
      </w:tr>
      <w:tr>
        <w:trPr>
          <w:trHeight w:val="236"/>
        </w:trPr>
        <w:tc>
          <w:tcPr>
            <w:tcW w:w="1920" w:type="dxa"/>
            <w:vAlign w:val="bottom"/>
          </w:tcPr>
          <w:p>
            <w:pPr>
              <w:spacing w:after="0"/>
              <w:rPr>
                <w:sz w:val="20"/>
                <w:szCs w:val="20"/>
                <w:color w:val="auto"/>
              </w:rPr>
            </w:pPr>
            <w:r>
              <w:rPr>
                <w:rFonts w:ascii="Arial" w:cs="Arial" w:eastAsia="Arial" w:hAnsi="Arial"/>
                <w:sz w:val="16"/>
                <w:szCs w:val="16"/>
                <w:color w:val="auto"/>
              </w:rPr>
              <w:t>Ms. Dahl</w:t>
            </w:r>
          </w:p>
        </w:tc>
        <w:tc>
          <w:tcPr>
            <w:tcW w:w="7560" w:type="dxa"/>
            <w:vAlign w:val="bottom"/>
          </w:tcPr>
          <w:p>
            <w:pPr>
              <w:ind w:left="220"/>
              <w:spacing w:after="0"/>
              <w:rPr>
                <w:sz w:val="20"/>
                <w:szCs w:val="20"/>
                <w:color w:val="auto"/>
              </w:rPr>
            </w:pPr>
            <w:r>
              <w:rPr>
                <w:rFonts w:ascii="Arial" w:cs="Arial" w:eastAsia="Arial" w:hAnsi="Arial"/>
                <w:sz w:val="16"/>
                <w:szCs w:val="16"/>
                <w:color w:val="auto"/>
              </w:rPr>
              <w:t>100% of the fiscal 2020 annual cash incentive award</w:t>
            </w:r>
          </w:p>
        </w:tc>
        <w:tc>
          <w:tcPr>
            <w:tcW w:w="1760" w:type="dxa"/>
            <w:vAlign w:val="bottom"/>
          </w:tcPr>
          <w:p>
            <w:pPr>
              <w:jc w:val="right"/>
              <w:spacing w:after="0"/>
              <w:rPr>
                <w:sz w:val="20"/>
                <w:szCs w:val="20"/>
                <w:color w:val="auto"/>
              </w:rPr>
            </w:pPr>
            <w:r>
              <w:rPr>
                <w:rFonts w:ascii="Arial" w:cs="Arial" w:eastAsia="Arial" w:hAnsi="Arial"/>
                <w:sz w:val="16"/>
                <w:szCs w:val="16"/>
                <w:color w:val="auto"/>
              </w:rPr>
              <w:t>76,962</w:t>
            </w:r>
          </w:p>
        </w:tc>
      </w:tr>
      <w:tr>
        <w:trPr>
          <w:trHeight w:val="228"/>
        </w:trPr>
        <w:tc>
          <w:tcPr>
            <w:tcW w:w="1920" w:type="dxa"/>
            <w:vAlign w:val="bottom"/>
          </w:tcPr>
          <w:p>
            <w:pPr>
              <w:spacing w:after="0"/>
              <w:rPr>
                <w:sz w:val="19"/>
                <w:szCs w:val="19"/>
                <w:color w:val="auto"/>
              </w:rPr>
            </w:pPr>
          </w:p>
        </w:tc>
        <w:tc>
          <w:tcPr>
            <w:tcW w:w="7560" w:type="dxa"/>
            <w:vAlign w:val="bottom"/>
          </w:tcPr>
          <w:p>
            <w:pPr>
              <w:ind w:left="220"/>
              <w:spacing w:after="0"/>
              <w:rPr>
                <w:sz w:val="20"/>
                <w:szCs w:val="20"/>
                <w:color w:val="auto"/>
              </w:rPr>
            </w:pPr>
            <w:r>
              <w:rPr>
                <w:rFonts w:ascii="Arial" w:cs="Arial" w:eastAsia="Arial" w:hAnsi="Arial"/>
                <w:sz w:val="16"/>
                <w:szCs w:val="16"/>
                <w:color w:val="auto"/>
              </w:rPr>
              <w:t>100% of the fiscal 2018 to 2020 performance share award</w:t>
            </w:r>
          </w:p>
        </w:tc>
        <w:tc>
          <w:tcPr>
            <w:tcW w:w="1760" w:type="dxa"/>
            <w:vAlign w:val="bottom"/>
          </w:tcPr>
          <w:p>
            <w:pPr>
              <w:jc w:val="right"/>
              <w:spacing w:after="0"/>
              <w:rPr>
                <w:sz w:val="20"/>
                <w:szCs w:val="20"/>
                <w:color w:val="auto"/>
              </w:rPr>
            </w:pPr>
            <w:r>
              <w:rPr>
                <w:rFonts w:ascii="Arial" w:cs="Arial" w:eastAsia="Arial" w:hAnsi="Arial"/>
                <w:sz w:val="16"/>
                <w:szCs w:val="16"/>
                <w:color w:val="auto"/>
              </w:rPr>
              <w:t>196,145</w:t>
            </w:r>
          </w:p>
        </w:tc>
      </w:tr>
    </w:tbl>
    <w:p>
      <w:pPr>
        <w:spacing w:after="0" w:line="45" w:lineRule="exact"/>
        <w:rPr>
          <w:sz w:val="20"/>
          <w:szCs w:val="20"/>
          <w:color w:val="auto"/>
        </w:rPr>
      </w:pPr>
    </w:p>
    <w:p>
      <w:pPr>
        <w:ind w:left="400" w:right="340" w:hanging="393"/>
        <w:spacing w:after="0"/>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reported represent Company credits to the Supplemental Benefit Plan in fiscal 2020. These amounts are included in the “All Other Compensation” column of the “Summary Compensation Table” beginning on page 44 and the related footnote.</w:t>
      </w:r>
    </w:p>
    <w:p>
      <w:pPr>
        <w:spacing w:after="0" w:line="41" w:lineRule="exact"/>
        <w:rPr>
          <w:rFonts w:ascii="Arial" w:cs="Arial" w:eastAsia="Arial" w:hAnsi="Arial"/>
          <w:sz w:val="18"/>
          <w:szCs w:val="18"/>
          <w:color w:val="auto"/>
        </w:rPr>
      </w:pPr>
    </w:p>
    <w:p>
      <w:pPr>
        <w:ind w:left="400" w:hanging="393"/>
        <w:spacing w:after="0" w:line="236" w:lineRule="auto"/>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Aggregate earnings comprise interest, dividends, capital gains and appreciation/depreciation of investment results during the fiscal year based on each named executive officer’s selected fund allocation. None of these amounts are included in the “Summary Compensation Table” because earnings were not preferential or above-market. The funds listed below are consistent with or comparable to those funds provided in our Retirement Plan and do not include any preferential or above-market interest. The rates for fiscal 2020 are provided in the following table: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6"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4760" w:type="dxa"/>
            <w:vAlign w:val="bottom"/>
            <w:shd w:val="clear" w:color="auto" w:fill="C00000"/>
          </w:tcPr>
          <w:p>
            <w:pPr>
              <w:ind w:left="20"/>
              <w:spacing w:after="0"/>
              <w:rPr>
                <w:sz w:val="20"/>
                <w:szCs w:val="20"/>
                <w:color w:val="auto"/>
              </w:rPr>
            </w:pPr>
            <w:r>
              <w:rPr>
                <w:rFonts w:ascii="Arial" w:cs="Arial" w:eastAsia="Arial" w:hAnsi="Arial"/>
                <w:sz w:val="16"/>
                <w:szCs w:val="16"/>
                <w:b w:val="1"/>
                <w:bCs w:val="1"/>
                <w:color w:val="FFFFFF"/>
              </w:rPr>
              <w:t>Fund Name</w:t>
            </w:r>
          </w:p>
        </w:tc>
        <w:tc>
          <w:tcPr>
            <w:tcW w:w="3180" w:type="dxa"/>
            <w:vAlign w:val="bottom"/>
            <w:shd w:val="clear" w:color="auto" w:fill="C00000"/>
          </w:tcPr>
          <w:p>
            <w:pPr>
              <w:jc w:val="right"/>
              <w:ind w:right="260"/>
              <w:spacing w:after="0"/>
              <w:rPr>
                <w:sz w:val="20"/>
                <w:szCs w:val="20"/>
                <w:color w:val="auto"/>
              </w:rPr>
            </w:pPr>
            <w:r>
              <w:rPr>
                <w:rFonts w:ascii="Arial" w:cs="Arial" w:eastAsia="Arial" w:hAnsi="Arial"/>
                <w:sz w:val="16"/>
                <w:szCs w:val="16"/>
                <w:b w:val="1"/>
                <w:bCs w:val="1"/>
                <w:color w:val="FFFFFF"/>
              </w:rPr>
              <w:t>Change from Fiscal 2019</w:t>
            </w:r>
          </w:p>
        </w:tc>
      </w:tr>
      <w:tr>
        <w:trPr>
          <w:trHeight w:val="228"/>
        </w:trPr>
        <w:tc>
          <w:tcPr>
            <w:tcW w:w="4760" w:type="dxa"/>
            <w:vAlign w:val="bottom"/>
            <w:shd w:val="clear" w:color="auto" w:fill="D9D9D9"/>
          </w:tcPr>
          <w:p>
            <w:pPr>
              <w:ind w:left="20"/>
              <w:spacing w:after="0"/>
              <w:rPr>
                <w:sz w:val="20"/>
                <w:szCs w:val="20"/>
                <w:color w:val="auto"/>
              </w:rPr>
            </w:pPr>
            <w:r>
              <w:rPr>
                <w:rFonts w:ascii="Arial" w:cs="Arial" w:eastAsia="Arial" w:hAnsi="Arial"/>
                <w:sz w:val="16"/>
                <w:szCs w:val="16"/>
                <w:color w:val="auto"/>
              </w:rPr>
              <w:t>American Funds Europacific Growth Fund R6</w:t>
            </w:r>
          </w:p>
        </w:tc>
        <w:tc>
          <w:tcPr>
            <w:tcW w:w="31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10.09%</w:t>
            </w:r>
          </w:p>
        </w:tc>
      </w:tr>
      <w:tr>
        <w:trPr>
          <w:trHeight w:val="218"/>
        </w:trPr>
        <w:tc>
          <w:tcPr>
            <w:tcW w:w="4760" w:type="dxa"/>
            <w:vAlign w:val="bottom"/>
          </w:tcPr>
          <w:p>
            <w:pPr>
              <w:ind w:left="20"/>
              <w:spacing w:after="0"/>
              <w:rPr>
                <w:sz w:val="20"/>
                <w:szCs w:val="20"/>
                <w:color w:val="auto"/>
              </w:rPr>
            </w:pPr>
            <w:r>
              <w:rPr>
                <w:rFonts w:ascii="Arial" w:cs="Arial" w:eastAsia="Arial" w:hAnsi="Arial"/>
                <w:sz w:val="16"/>
                <w:szCs w:val="16"/>
                <w:color w:val="auto"/>
              </w:rPr>
              <w:t>Artisan Mid Cap Investor Fund</w:t>
            </w:r>
          </w:p>
        </w:tc>
        <w:tc>
          <w:tcPr>
            <w:tcW w:w="3180" w:type="dxa"/>
            <w:vAlign w:val="bottom"/>
          </w:tcPr>
          <w:p>
            <w:pPr>
              <w:jc w:val="right"/>
              <w:spacing w:after="0"/>
              <w:rPr>
                <w:sz w:val="20"/>
                <w:szCs w:val="20"/>
                <w:color w:val="auto"/>
              </w:rPr>
            </w:pPr>
            <w:r>
              <w:rPr>
                <w:rFonts w:ascii="Arial" w:cs="Arial" w:eastAsia="Arial" w:hAnsi="Arial"/>
                <w:sz w:val="16"/>
                <w:szCs w:val="16"/>
                <w:color w:val="auto"/>
              </w:rPr>
              <w:t>42.02%</w:t>
            </w:r>
          </w:p>
        </w:tc>
      </w:tr>
      <w:tr>
        <w:trPr>
          <w:trHeight w:val="237"/>
        </w:trPr>
        <w:tc>
          <w:tcPr>
            <w:tcW w:w="4760" w:type="dxa"/>
            <w:vAlign w:val="bottom"/>
            <w:shd w:val="clear" w:color="auto" w:fill="D9D9D9"/>
          </w:tcPr>
          <w:p>
            <w:pPr>
              <w:ind w:left="20"/>
              <w:spacing w:after="0"/>
              <w:rPr>
                <w:sz w:val="20"/>
                <w:szCs w:val="20"/>
                <w:color w:val="auto"/>
              </w:rPr>
            </w:pPr>
            <w:r>
              <w:rPr>
                <w:rFonts w:ascii="Arial" w:cs="Arial" w:eastAsia="Arial" w:hAnsi="Arial"/>
                <w:sz w:val="16"/>
                <w:szCs w:val="16"/>
                <w:color w:val="auto"/>
              </w:rPr>
              <w:t>Fidelity Treasury Only Money Market Fund</w:t>
            </w:r>
          </w:p>
        </w:tc>
        <w:tc>
          <w:tcPr>
            <w:tcW w:w="31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0.48%</w:t>
            </w:r>
          </w:p>
        </w:tc>
      </w:tr>
      <w:tr>
        <w:trPr>
          <w:trHeight w:val="218"/>
        </w:trPr>
        <w:tc>
          <w:tcPr>
            <w:tcW w:w="4760" w:type="dxa"/>
            <w:vAlign w:val="bottom"/>
          </w:tcPr>
          <w:p>
            <w:pPr>
              <w:ind w:left="20"/>
              <w:spacing w:after="0"/>
              <w:rPr>
                <w:sz w:val="20"/>
                <w:szCs w:val="20"/>
                <w:color w:val="auto"/>
              </w:rPr>
            </w:pPr>
            <w:r>
              <w:rPr>
                <w:rFonts w:ascii="Arial" w:cs="Arial" w:eastAsia="Arial" w:hAnsi="Arial"/>
                <w:sz w:val="16"/>
                <w:szCs w:val="16"/>
                <w:color w:val="auto"/>
              </w:rPr>
              <w:t>Fidelity US Bond Index</w:t>
            </w:r>
          </w:p>
        </w:tc>
        <w:tc>
          <w:tcPr>
            <w:tcW w:w="3180" w:type="dxa"/>
            <w:vAlign w:val="bottom"/>
          </w:tcPr>
          <w:p>
            <w:pPr>
              <w:jc w:val="right"/>
              <w:spacing w:after="0"/>
              <w:rPr>
                <w:sz w:val="20"/>
                <w:szCs w:val="20"/>
                <w:color w:val="auto"/>
              </w:rPr>
            </w:pPr>
            <w:r>
              <w:rPr>
                <w:rFonts w:ascii="Arial" w:cs="Arial" w:eastAsia="Arial" w:hAnsi="Arial"/>
                <w:sz w:val="16"/>
                <w:szCs w:val="16"/>
                <w:color w:val="auto"/>
              </w:rPr>
              <w:t>6.19%</w:t>
            </w:r>
          </w:p>
        </w:tc>
      </w:tr>
      <w:tr>
        <w:trPr>
          <w:trHeight w:val="237"/>
        </w:trPr>
        <w:tc>
          <w:tcPr>
            <w:tcW w:w="4760" w:type="dxa"/>
            <w:vAlign w:val="bottom"/>
            <w:shd w:val="clear" w:color="auto" w:fill="D9D9D9"/>
          </w:tcPr>
          <w:p>
            <w:pPr>
              <w:ind w:left="20"/>
              <w:spacing w:after="0"/>
              <w:rPr>
                <w:sz w:val="20"/>
                <w:szCs w:val="20"/>
                <w:color w:val="auto"/>
              </w:rPr>
            </w:pPr>
            <w:r>
              <w:rPr>
                <w:rFonts w:ascii="Arial" w:cs="Arial" w:eastAsia="Arial" w:hAnsi="Arial"/>
                <w:sz w:val="16"/>
                <w:szCs w:val="16"/>
                <w:color w:val="auto"/>
              </w:rPr>
              <w:t>Goldman Sachs Small Cap Value Institutional Fund</w:t>
            </w:r>
          </w:p>
        </w:tc>
        <w:tc>
          <w:tcPr>
            <w:tcW w:w="31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-14.43%</w:t>
            </w:r>
          </w:p>
        </w:tc>
      </w:tr>
      <w:tr>
        <w:trPr>
          <w:trHeight w:val="218"/>
        </w:trPr>
        <w:tc>
          <w:tcPr>
            <w:tcW w:w="4760" w:type="dxa"/>
            <w:vAlign w:val="bottom"/>
          </w:tcPr>
          <w:p>
            <w:pPr>
              <w:ind w:left="20"/>
              <w:spacing w:after="0"/>
              <w:rPr>
                <w:sz w:val="20"/>
                <w:szCs w:val="20"/>
                <w:color w:val="auto"/>
              </w:rPr>
            </w:pPr>
            <w:r>
              <w:rPr>
                <w:rFonts w:ascii="Arial" w:cs="Arial" w:eastAsia="Arial" w:hAnsi="Arial"/>
                <w:sz w:val="16"/>
                <w:szCs w:val="16"/>
                <w:color w:val="auto"/>
              </w:rPr>
              <w:t>JPMorgan Mid Cap Value I Fund</w:t>
            </w:r>
          </w:p>
        </w:tc>
        <w:tc>
          <w:tcPr>
            <w:tcW w:w="3180" w:type="dxa"/>
            <w:vAlign w:val="bottom"/>
          </w:tcPr>
          <w:p>
            <w:pPr>
              <w:jc w:val="right"/>
              <w:spacing w:after="0"/>
              <w:rPr>
                <w:sz w:val="20"/>
                <w:szCs w:val="20"/>
                <w:color w:val="auto"/>
              </w:rPr>
            </w:pPr>
            <w:r>
              <w:rPr>
                <w:rFonts w:ascii="Arial" w:cs="Arial" w:eastAsia="Arial" w:hAnsi="Arial"/>
                <w:sz w:val="16"/>
                <w:szCs w:val="16"/>
                <w:color w:val="auto"/>
              </w:rPr>
              <w:t>-10.77%</w:t>
            </w:r>
          </w:p>
        </w:tc>
      </w:tr>
      <w:tr>
        <w:trPr>
          <w:trHeight w:val="237"/>
        </w:trPr>
        <w:tc>
          <w:tcPr>
            <w:tcW w:w="4760" w:type="dxa"/>
            <w:vAlign w:val="bottom"/>
            <w:shd w:val="clear" w:color="auto" w:fill="D9D9D9"/>
          </w:tcPr>
          <w:p>
            <w:pPr>
              <w:ind w:left="20"/>
              <w:spacing w:after="0"/>
              <w:rPr>
                <w:sz w:val="20"/>
                <w:szCs w:val="20"/>
                <w:color w:val="auto"/>
              </w:rPr>
            </w:pPr>
            <w:r>
              <w:rPr>
                <w:rFonts w:ascii="Arial" w:cs="Arial" w:eastAsia="Arial" w:hAnsi="Arial"/>
                <w:sz w:val="16"/>
                <w:szCs w:val="16"/>
                <w:color w:val="auto"/>
              </w:rPr>
              <w:t>PGIM Total Return Bond R6</w:t>
            </w:r>
          </w:p>
        </w:tc>
        <w:tc>
          <w:tcPr>
            <w:tcW w:w="31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5.02%</w:t>
            </w:r>
          </w:p>
        </w:tc>
      </w:tr>
      <w:tr>
        <w:trPr>
          <w:trHeight w:val="218"/>
        </w:trPr>
        <w:tc>
          <w:tcPr>
            <w:tcW w:w="4760" w:type="dxa"/>
            <w:vAlign w:val="bottom"/>
          </w:tcPr>
          <w:p>
            <w:pPr>
              <w:ind w:left="20"/>
              <w:spacing w:after="0"/>
              <w:rPr>
                <w:sz w:val="20"/>
                <w:szCs w:val="20"/>
                <w:color w:val="auto"/>
              </w:rPr>
            </w:pPr>
            <w:r>
              <w:rPr>
                <w:rFonts w:ascii="Arial" w:cs="Arial" w:eastAsia="Arial" w:hAnsi="Arial"/>
                <w:sz w:val="16"/>
                <w:szCs w:val="16"/>
                <w:color w:val="auto"/>
              </w:rPr>
              <w:t>PIMCO International Bond Fund (Unhedged)</w:t>
            </w:r>
          </w:p>
        </w:tc>
        <w:tc>
          <w:tcPr>
            <w:tcW w:w="3180" w:type="dxa"/>
            <w:vAlign w:val="bottom"/>
          </w:tcPr>
          <w:p>
            <w:pPr>
              <w:jc w:val="right"/>
              <w:spacing w:after="0"/>
              <w:rPr>
                <w:sz w:val="20"/>
                <w:szCs w:val="20"/>
                <w:color w:val="auto"/>
              </w:rPr>
            </w:pPr>
            <w:r>
              <w:rPr>
                <w:rFonts w:ascii="Arial" w:cs="Arial" w:eastAsia="Arial" w:hAnsi="Arial"/>
                <w:sz w:val="16"/>
                <w:szCs w:val="16"/>
                <w:color w:val="auto"/>
              </w:rPr>
              <w:t>6.33%</w:t>
            </w:r>
          </w:p>
        </w:tc>
      </w:tr>
      <w:tr>
        <w:trPr>
          <w:trHeight w:val="237"/>
        </w:trPr>
        <w:tc>
          <w:tcPr>
            <w:tcW w:w="4760" w:type="dxa"/>
            <w:vAlign w:val="bottom"/>
            <w:shd w:val="clear" w:color="auto" w:fill="D9D9D9"/>
          </w:tcPr>
          <w:p>
            <w:pPr>
              <w:ind w:left="20"/>
              <w:spacing w:after="0"/>
              <w:rPr>
                <w:sz w:val="20"/>
                <w:szCs w:val="20"/>
                <w:color w:val="auto"/>
              </w:rPr>
            </w:pPr>
            <w:r>
              <w:rPr>
                <w:rFonts w:ascii="Arial" w:cs="Arial" w:eastAsia="Arial" w:hAnsi="Arial"/>
                <w:sz w:val="16"/>
                <w:szCs w:val="16"/>
                <w:color w:val="auto"/>
              </w:rPr>
              <w:t>T. Rowe Price International Discovery Fund</w:t>
            </w:r>
          </w:p>
        </w:tc>
        <w:tc>
          <w:tcPr>
            <w:tcW w:w="31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23.95%</w:t>
            </w:r>
          </w:p>
        </w:tc>
      </w:tr>
      <w:tr>
        <w:trPr>
          <w:trHeight w:val="218"/>
        </w:trPr>
        <w:tc>
          <w:tcPr>
            <w:tcW w:w="4760" w:type="dxa"/>
            <w:vAlign w:val="bottom"/>
          </w:tcPr>
          <w:p>
            <w:pPr>
              <w:ind w:left="20"/>
              <w:spacing w:after="0"/>
              <w:rPr>
                <w:sz w:val="20"/>
                <w:szCs w:val="20"/>
                <w:color w:val="auto"/>
              </w:rPr>
            </w:pPr>
            <w:r>
              <w:rPr>
                <w:rFonts w:ascii="Arial" w:cs="Arial" w:eastAsia="Arial" w:hAnsi="Arial"/>
                <w:sz w:val="16"/>
                <w:szCs w:val="16"/>
                <w:color w:val="auto"/>
              </w:rPr>
              <w:t>The Toro Company</w:t>
            </w:r>
          </w:p>
        </w:tc>
        <w:tc>
          <w:tcPr>
            <w:tcW w:w="3180" w:type="dxa"/>
            <w:vAlign w:val="bottom"/>
          </w:tcPr>
          <w:p>
            <w:pPr>
              <w:jc w:val="right"/>
              <w:spacing w:after="0"/>
              <w:rPr>
                <w:sz w:val="20"/>
                <w:szCs w:val="20"/>
                <w:color w:val="auto"/>
              </w:rPr>
            </w:pPr>
            <w:r>
              <w:rPr>
                <w:rFonts w:ascii="Arial" w:cs="Arial" w:eastAsia="Arial" w:hAnsi="Arial"/>
                <w:sz w:val="16"/>
                <w:szCs w:val="16"/>
                <w:color w:val="auto"/>
              </w:rPr>
              <w:t>7.91%</w:t>
            </w:r>
          </w:p>
        </w:tc>
      </w:tr>
      <w:tr>
        <w:trPr>
          <w:trHeight w:val="237"/>
        </w:trPr>
        <w:tc>
          <w:tcPr>
            <w:tcW w:w="4760" w:type="dxa"/>
            <w:vAlign w:val="bottom"/>
            <w:shd w:val="clear" w:color="auto" w:fill="D9D9D9"/>
          </w:tcPr>
          <w:p>
            <w:pPr>
              <w:ind w:left="20"/>
              <w:spacing w:after="0"/>
              <w:rPr>
                <w:sz w:val="20"/>
                <w:szCs w:val="20"/>
                <w:color w:val="auto"/>
              </w:rPr>
            </w:pPr>
            <w:r>
              <w:rPr>
                <w:rFonts w:ascii="Arial" w:cs="Arial" w:eastAsia="Arial" w:hAnsi="Arial"/>
                <w:sz w:val="16"/>
                <w:szCs w:val="16"/>
                <w:color w:val="auto"/>
              </w:rPr>
              <w:t>Vanguard Explorer Fund Admiral Shares</w:t>
            </w:r>
          </w:p>
        </w:tc>
        <w:tc>
          <w:tcPr>
            <w:tcW w:w="31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14.21%</w:t>
            </w:r>
          </w:p>
        </w:tc>
      </w:tr>
      <w:tr>
        <w:trPr>
          <w:trHeight w:val="218"/>
        </w:trPr>
        <w:tc>
          <w:tcPr>
            <w:tcW w:w="4760" w:type="dxa"/>
            <w:vAlign w:val="bottom"/>
          </w:tcPr>
          <w:p>
            <w:pPr>
              <w:ind w:left="20"/>
              <w:spacing w:after="0"/>
              <w:rPr>
                <w:sz w:val="20"/>
                <w:szCs w:val="20"/>
                <w:color w:val="auto"/>
              </w:rPr>
            </w:pPr>
            <w:r>
              <w:rPr>
                <w:rFonts w:ascii="Arial" w:cs="Arial" w:eastAsia="Arial" w:hAnsi="Arial"/>
                <w:sz w:val="16"/>
                <w:szCs w:val="16"/>
                <w:color w:val="auto"/>
              </w:rPr>
              <w:t>Vanguard Institutional Index Fund Institutional Shares</w:t>
            </w:r>
          </w:p>
        </w:tc>
        <w:tc>
          <w:tcPr>
            <w:tcW w:w="3180" w:type="dxa"/>
            <w:vAlign w:val="bottom"/>
          </w:tcPr>
          <w:p>
            <w:pPr>
              <w:jc w:val="right"/>
              <w:spacing w:after="0"/>
              <w:rPr>
                <w:sz w:val="20"/>
                <w:szCs w:val="20"/>
                <w:color w:val="auto"/>
              </w:rPr>
            </w:pPr>
            <w:r>
              <w:rPr>
                <w:rFonts w:ascii="Arial" w:cs="Arial" w:eastAsia="Arial" w:hAnsi="Arial"/>
                <w:sz w:val="16"/>
                <w:szCs w:val="16"/>
                <w:color w:val="auto"/>
              </w:rPr>
              <w:t>9.70%</w:t>
            </w:r>
          </w:p>
        </w:tc>
      </w:tr>
      <w:tr>
        <w:trPr>
          <w:trHeight w:val="237"/>
        </w:trPr>
        <w:tc>
          <w:tcPr>
            <w:tcW w:w="4760" w:type="dxa"/>
            <w:vAlign w:val="bottom"/>
            <w:shd w:val="clear" w:color="auto" w:fill="D9D9D9"/>
          </w:tcPr>
          <w:p>
            <w:pPr>
              <w:ind w:left="20"/>
              <w:spacing w:after="0"/>
              <w:rPr>
                <w:sz w:val="20"/>
                <w:szCs w:val="20"/>
                <w:color w:val="auto"/>
              </w:rPr>
            </w:pPr>
            <w:r>
              <w:rPr>
                <w:rFonts w:ascii="Arial" w:cs="Arial" w:eastAsia="Arial" w:hAnsi="Arial"/>
                <w:sz w:val="16"/>
                <w:szCs w:val="16"/>
                <w:color w:val="auto"/>
              </w:rPr>
              <w:t>Vanguard Mid Cap Index Fund Admiral Shares</w:t>
            </w:r>
          </w:p>
        </w:tc>
        <w:tc>
          <w:tcPr>
            <w:tcW w:w="31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5.82%</w:t>
            </w:r>
          </w:p>
        </w:tc>
      </w:tr>
      <w:tr>
        <w:trPr>
          <w:trHeight w:val="218"/>
        </w:trPr>
        <w:tc>
          <w:tcPr>
            <w:tcW w:w="4760" w:type="dxa"/>
            <w:vAlign w:val="bottom"/>
          </w:tcPr>
          <w:p>
            <w:pPr>
              <w:ind w:left="20"/>
              <w:spacing w:after="0"/>
              <w:rPr>
                <w:sz w:val="20"/>
                <w:szCs w:val="20"/>
                <w:color w:val="auto"/>
              </w:rPr>
            </w:pPr>
            <w:r>
              <w:rPr>
                <w:rFonts w:ascii="Arial" w:cs="Arial" w:eastAsia="Arial" w:hAnsi="Arial"/>
                <w:sz w:val="16"/>
                <w:szCs w:val="16"/>
                <w:color w:val="auto"/>
              </w:rPr>
              <w:t>Vanguard Small Cap Index Fund Admiral Shares</w:t>
            </w:r>
          </w:p>
        </w:tc>
        <w:tc>
          <w:tcPr>
            <w:tcW w:w="318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37"/>
        </w:trPr>
        <w:tc>
          <w:tcPr>
            <w:tcW w:w="4760" w:type="dxa"/>
            <w:vAlign w:val="bottom"/>
            <w:shd w:val="clear" w:color="auto" w:fill="D9D9D9"/>
          </w:tcPr>
          <w:p>
            <w:pPr>
              <w:ind w:left="20"/>
              <w:spacing w:after="0"/>
              <w:rPr>
                <w:sz w:val="20"/>
                <w:szCs w:val="20"/>
                <w:color w:val="auto"/>
              </w:rPr>
            </w:pPr>
            <w:r>
              <w:rPr>
                <w:rFonts w:ascii="Arial" w:cs="Arial" w:eastAsia="Arial" w:hAnsi="Arial"/>
                <w:sz w:val="16"/>
                <w:szCs w:val="16"/>
                <w:color w:val="auto"/>
              </w:rPr>
              <w:t>Vanguard Target Retirement 2015 Fund</w:t>
            </w:r>
          </w:p>
        </w:tc>
        <w:tc>
          <w:tcPr>
            <w:tcW w:w="31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5.64%</w:t>
            </w:r>
          </w:p>
        </w:tc>
      </w:tr>
      <w:tr>
        <w:trPr>
          <w:trHeight w:val="218"/>
        </w:trPr>
        <w:tc>
          <w:tcPr>
            <w:tcW w:w="4760" w:type="dxa"/>
            <w:vAlign w:val="bottom"/>
          </w:tcPr>
          <w:p>
            <w:pPr>
              <w:ind w:left="20"/>
              <w:spacing w:after="0"/>
              <w:rPr>
                <w:sz w:val="20"/>
                <w:szCs w:val="20"/>
                <w:color w:val="auto"/>
              </w:rPr>
            </w:pPr>
            <w:r>
              <w:rPr>
                <w:rFonts w:ascii="Arial" w:cs="Arial" w:eastAsia="Arial" w:hAnsi="Arial"/>
                <w:sz w:val="16"/>
                <w:szCs w:val="16"/>
                <w:color w:val="auto"/>
              </w:rPr>
              <w:t>Vanguard Target Retirement 2020 Fund</w:t>
            </w:r>
          </w:p>
        </w:tc>
        <w:tc>
          <w:tcPr>
            <w:tcW w:w="3180" w:type="dxa"/>
            <w:vAlign w:val="bottom"/>
          </w:tcPr>
          <w:p>
            <w:pPr>
              <w:jc w:val="right"/>
              <w:spacing w:after="0"/>
              <w:rPr>
                <w:sz w:val="20"/>
                <w:szCs w:val="20"/>
                <w:color w:val="auto"/>
              </w:rPr>
            </w:pPr>
            <w:r>
              <w:rPr>
                <w:rFonts w:ascii="Arial" w:cs="Arial" w:eastAsia="Arial" w:hAnsi="Arial"/>
                <w:sz w:val="16"/>
                <w:szCs w:val="16"/>
                <w:color w:val="auto"/>
              </w:rPr>
              <w:t>5.78%</w:t>
            </w:r>
          </w:p>
        </w:tc>
      </w:tr>
      <w:tr>
        <w:trPr>
          <w:trHeight w:val="237"/>
        </w:trPr>
        <w:tc>
          <w:tcPr>
            <w:tcW w:w="4760" w:type="dxa"/>
            <w:vAlign w:val="bottom"/>
            <w:shd w:val="clear" w:color="auto" w:fill="D9D9D9"/>
          </w:tcPr>
          <w:p>
            <w:pPr>
              <w:ind w:left="20"/>
              <w:spacing w:after="0"/>
              <w:rPr>
                <w:sz w:val="20"/>
                <w:szCs w:val="20"/>
                <w:color w:val="auto"/>
              </w:rPr>
            </w:pPr>
            <w:r>
              <w:rPr>
                <w:rFonts w:ascii="Arial" w:cs="Arial" w:eastAsia="Arial" w:hAnsi="Arial"/>
                <w:sz w:val="16"/>
                <w:szCs w:val="16"/>
                <w:color w:val="auto"/>
              </w:rPr>
              <w:t>Vanguard Target Retirement 2025 Fund</w:t>
            </w:r>
          </w:p>
        </w:tc>
        <w:tc>
          <w:tcPr>
            <w:tcW w:w="31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5.86%</w:t>
            </w:r>
          </w:p>
        </w:tc>
      </w:tr>
      <w:tr>
        <w:trPr>
          <w:trHeight w:val="218"/>
        </w:trPr>
        <w:tc>
          <w:tcPr>
            <w:tcW w:w="4760" w:type="dxa"/>
            <w:vAlign w:val="bottom"/>
          </w:tcPr>
          <w:p>
            <w:pPr>
              <w:ind w:left="20"/>
              <w:spacing w:after="0"/>
              <w:rPr>
                <w:sz w:val="20"/>
                <w:szCs w:val="20"/>
                <w:color w:val="auto"/>
              </w:rPr>
            </w:pPr>
            <w:r>
              <w:rPr>
                <w:rFonts w:ascii="Arial" w:cs="Arial" w:eastAsia="Arial" w:hAnsi="Arial"/>
                <w:sz w:val="16"/>
                <w:szCs w:val="16"/>
                <w:color w:val="auto"/>
              </w:rPr>
              <w:t>Vanguard Target Retirement 2030 Fund</w:t>
            </w:r>
          </w:p>
        </w:tc>
        <w:tc>
          <w:tcPr>
            <w:tcW w:w="318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237"/>
        </w:trPr>
        <w:tc>
          <w:tcPr>
            <w:tcW w:w="4760" w:type="dxa"/>
            <w:vAlign w:val="bottom"/>
            <w:shd w:val="clear" w:color="auto" w:fill="D9D9D9"/>
          </w:tcPr>
          <w:p>
            <w:pPr>
              <w:ind w:left="20"/>
              <w:spacing w:after="0"/>
              <w:rPr>
                <w:sz w:val="20"/>
                <w:szCs w:val="20"/>
                <w:color w:val="auto"/>
              </w:rPr>
            </w:pPr>
            <w:r>
              <w:rPr>
                <w:rFonts w:ascii="Arial" w:cs="Arial" w:eastAsia="Arial" w:hAnsi="Arial"/>
                <w:sz w:val="16"/>
                <w:szCs w:val="16"/>
                <w:color w:val="auto"/>
              </w:rPr>
              <w:t>Vanguard Target Retirement 2035 Fund</w:t>
            </w:r>
          </w:p>
        </w:tc>
        <w:tc>
          <w:tcPr>
            <w:tcW w:w="31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5.76%</w:t>
            </w:r>
          </w:p>
        </w:tc>
      </w:tr>
      <w:tr>
        <w:trPr>
          <w:trHeight w:val="218"/>
        </w:trPr>
        <w:tc>
          <w:tcPr>
            <w:tcW w:w="4760" w:type="dxa"/>
            <w:vAlign w:val="bottom"/>
          </w:tcPr>
          <w:p>
            <w:pPr>
              <w:ind w:left="20"/>
              <w:spacing w:after="0"/>
              <w:rPr>
                <w:sz w:val="20"/>
                <w:szCs w:val="20"/>
                <w:color w:val="auto"/>
              </w:rPr>
            </w:pPr>
            <w:r>
              <w:rPr>
                <w:rFonts w:ascii="Arial" w:cs="Arial" w:eastAsia="Arial" w:hAnsi="Arial"/>
                <w:sz w:val="16"/>
                <w:szCs w:val="16"/>
                <w:color w:val="auto"/>
              </w:rPr>
              <w:t>Vanguard Target Retirement 2040 Fund</w:t>
            </w:r>
          </w:p>
        </w:tc>
        <w:tc>
          <w:tcPr>
            <w:tcW w:w="3180" w:type="dxa"/>
            <w:vAlign w:val="bottom"/>
          </w:tcPr>
          <w:p>
            <w:pPr>
              <w:jc w:val="right"/>
              <w:spacing w:after="0"/>
              <w:rPr>
                <w:sz w:val="20"/>
                <w:szCs w:val="20"/>
                <w:color w:val="auto"/>
              </w:rPr>
            </w:pPr>
            <w:r>
              <w:rPr>
                <w:rFonts w:ascii="Arial" w:cs="Arial" w:eastAsia="Arial" w:hAnsi="Arial"/>
                <w:sz w:val="16"/>
                <w:szCs w:val="16"/>
                <w:color w:val="auto"/>
              </w:rPr>
              <w:t>5.66%</w:t>
            </w:r>
          </w:p>
        </w:tc>
      </w:tr>
      <w:tr>
        <w:trPr>
          <w:trHeight w:val="237"/>
        </w:trPr>
        <w:tc>
          <w:tcPr>
            <w:tcW w:w="4760" w:type="dxa"/>
            <w:vAlign w:val="bottom"/>
            <w:shd w:val="clear" w:color="auto" w:fill="D9D9D9"/>
          </w:tcPr>
          <w:p>
            <w:pPr>
              <w:ind w:left="20"/>
              <w:spacing w:after="0"/>
              <w:rPr>
                <w:sz w:val="20"/>
                <w:szCs w:val="20"/>
                <w:color w:val="auto"/>
              </w:rPr>
            </w:pPr>
            <w:r>
              <w:rPr>
                <w:rFonts w:ascii="Arial" w:cs="Arial" w:eastAsia="Arial" w:hAnsi="Arial"/>
                <w:sz w:val="16"/>
                <w:szCs w:val="16"/>
                <w:color w:val="auto"/>
              </w:rPr>
              <w:t>Vanguard Target Retirement 2045 Fund</w:t>
            </w:r>
          </w:p>
        </w:tc>
        <w:tc>
          <w:tcPr>
            <w:tcW w:w="31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5.60%</w:t>
            </w:r>
          </w:p>
        </w:tc>
      </w:tr>
      <w:tr>
        <w:trPr>
          <w:trHeight w:val="218"/>
        </w:trPr>
        <w:tc>
          <w:tcPr>
            <w:tcW w:w="4760" w:type="dxa"/>
            <w:vAlign w:val="bottom"/>
          </w:tcPr>
          <w:p>
            <w:pPr>
              <w:ind w:left="20"/>
              <w:spacing w:after="0"/>
              <w:rPr>
                <w:sz w:val="20"/>
                <w:szCs w:val="20"/>
                <w:color w:val="auto"/>
              </w:rPr>
            </w:pPr>
            <w:r>
              <w:rPr>
                <w:rFonts w:ascii="Arial" w:cs="Arial" w:eastAsia="Arial" w:hAnsi="Arial"/>
                <w:sz w:val="16"/>
                <w:szCs w:val="16"/>
                <w:color w:val="auto"/>
              </w:rPr>
              <w:t>Vanguard Target Retirement 2050 Fund</w:t>
            </w:r>
          </w:p>
        </w:tc>
        <w:tc>
          <w:tcPr>
            <w:tcW w:w="3180" w:type="dxa"/>
            <w:vAlign w:val="bottom"/>
          </w:tcPr>
          <w:p>
            <w:pPr>
              <w:jc w:val="right"/>
              <w:spacing w:after="0"/>
              <w:rPr>
                <w:sz w:val="20"/>
                <w:szCs w:val="20"/>
                <w:color w:val="auto"/>
              </w:rPr>
            </w:pPr>
            <w:r>
              <w:rPr>
                <w:rFonts w:ascii="Arial" w:cs="Arial" w:eastAsia="Arial" w:hAnsi="Arial"/>
                <w:sz w:val="16"/>
                <w:szCs w:val="16"/>
                <w:color w:val="auto"/>
              </w:rPr>
              <w:t>5.62%</w:t>
            </w:r>
          </w:p>
        </w:tc>
      </w:tr>
      <w:tr>
        <w:trPr>
          <w:trHeight w:val="237"/>
        </w:trPr>
        <w:tc>
          <w:tcPr>
            <w:tcW w:w="4760" w:type="dxa"/>
            <w:vAlign w:val="bottom"/>
            <w:shd w:val="clear" w:color="auto" w:fill="D9D9D9"/>
          </w:tcPr>
          <w:p>
            <w:pPr>
              <w:ind w:left="20"/>
              <w:spacing w:after="0"/>
              <w:rPr>
                <w:sz w:val="20"/>
                <w:szCs w:val="20"/>
                <w:color w:val="auto"/>
              </w:rPr>
            </w:pPr>
            <w:r>
              <w:rPr>
                <w:rFonts w:ascii="Arial" w:cs="Arial" w:eastAsia="Arial" w:hAnsi="Arial"/>
                <w:sz w:val="16"/>
                <w:szCs w:val="16"/>
                <w:color w:val="auto"/>
              </w:rPr>
              <w:t>Vanguard Target Retirement 2055 Fund</w:t>
            </w:r>
          </w:p>
        </w:tc>
        <w:tc>
          <w:tcPr>
            <w:tcW w:w="31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5.57%</w:t>
            </w:r>
          </w:p>
        </w:tc>
      </w:tr>
      <w:tr>
        <w:trPr>
          <w:trHeight w:val="218"/>
        </w:trPr>
        <w:tc>
          <w:tcPr>
            <w:tcW w:w="4760" w:type="dxa"/>
            <w:vAlign w:val="bottom"/>
          </w:tcPr>
          <w:p>
            <w:pPr>
              <w:ind w:left="20"/>
              <w:spacing w:after="0"/>
              <w:rPr>
                <w:sz w:val="20"/>
                <w:szCs w:val="20"/>
                <w:color w:val="auto"/>
              </w:rPr>
            </w:pPr>
            <w:r>
              <w:rPr>
                <w:rFonts w:ascii="Arial" w:cs="Arial" w:eastAsia="Arial" w:hAnsi="Arial"/>
                <w:sz w:val="16"/>
                <w:szCs w:val="16"/>
                <w:color w:val="auto"/>
              </w:rPr>
              <w:t>Vanguard Target Retirement 2060 Fund</w:t>
            </w:r>
          </w:p>
        </w:tc>
        <w:tc>
          <w:tcPr>
            <w:tcW w:w="3180" w:type="dxa"/>
            <w:vAlign w:val="bottom"/>
          </w:tcPr>
          <w:p>
            <w:pPr>
              <w:jc w:val="right"/>
              <w:spacing w:after="0"/>
              <w:rPr>
                <w:sz w:val="20"/>
                <w:szCs w:val="20"/>
                <w:color w:val="auto"/>
              </w:rPr>
            </w:pPr>
            <w:r>
              <w:rPr>
                <w:rFonts w:ascii="Arial" w:cs="Arial" w:eastAsia="Arial" w:hAnsi="Arial"/>
                <w:sz w:val="16"/>
                <w:szCs w:val="16"/>
                <w:color w:val="auto"/>
              </w:rPr>
              <w:t>5.59%</w:t>
            </w:r>
          </w:p>
        </w:tc>
      </w:tr>
      <w:tr>
        <w:trPr>
          <w:trHeight w:val="237"/>
        </w:trPr>
        <w:tc>
          <w:tcPr>
            <w:tcW w:w="4760" w:type="dxa"/>
            <w:vAlign w:val="bottom"/>
            <w:shd w:val="clear" w:color="auto" w:fill="D9D9D9"/>
          </w:tcPr>
          <w:p>
            <w:pPr>
              <w:ind w:left="20"/>
              <w:spacing w:after="0"/>
              <w:rPr>
                <w:sz w:val="20"/>
                <w:szCs w:val="20"/>
                <w:color w:val="auto"/>
              </w:rPr>
            </w:pPr>
            <w:r>
              <w:rPr>
                <w:rFonts w:ascii="Arial" w:cs="Arial" w:eastAsia="Arial" w:hAnsi="Arial"/>
                <w:sz w:val="16"/>
                <w:szCs w:val="16"/>
                <w:color w:val="auto"/>
              </w:rPr>
              <w:t>Vanguard Target Retirement 2065 Fund</w:t>
            </w:r>
          </w:p>
        </w:tc>
        <w:tc>
          <w:tcPr>
            <w:tcW w:w="31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5.40%</w:t>
            </w:r>
          </w:p>
        </w:tc>
      </w:tr>
      <w:tr>
        <w:trPr>
          <w:trHeight w:val="209"/>
        </w:trPr>
        <w:tc>
          <w:tcPr>
            <w:tcW w:w="4760" w:type="dxa"/>
            <w:vAlign w:val="bottom"/>
          </w:tcPr>
          <w:p>
            <w:pPr>
              <w:ind w:left="20"/>
              <w:spacing w:after="0"/>
              <w:rPr>
                <w:sz w:val="20"/>
                <w:szCs w:val="20"/>
                <w:color w:val="auto"/>
              </w:rPr>
            </w:pPr>
            <w:r>
              <w:rPr>
                <w:rFonts w:ascii="Arial" w:cs="Arial" w:eastAsia="Arial" w:hAnsi="Arial"/>
                <w:sz w:val="16"/>
                <w:szCs w:val="16"/>
                <w:color w:val="auto"/>
              </w:rPr>
              <w:t>Vanguard Target Retirement Income Fund</w:t>
            </w:r>
          </w:p>
        </w:tc>
        <w:tc>
          <w:tcPr>
            <w:tcW w:w="3180" w:type="dxa"/>
            <w:vAlign w:val="bottom"/>
          </w:tcPr>
          <w:p>
            <w:pPr>
              <w:jc w:val="right"/>
              <w:spacing w:after="0"/>
              <w:rPr>
                <w:sz w:val="20"/>
                <w:szCs w:val="20"/>
                <w:color w:val="auto"/>
              </w:rPr>
            </w:pPr>
            <w:r>
              <w:rPr>
                <w:rFonts w:ascii="Arial" w:cs="Arial" w:eastAsia="Arial" w:hAnsi="Arial"/>
                <w:sz w:val="16"/>
                <w:szCs w:val="16"/>
                <w:color w:val="auto"/>
              </w:rPr>
              <w:t>5.63%</w:t>
            </w:r>
          </w:p>
        </w:tc>
      </w:tr>
    </w:tbl>
    <w:p>
      <w:pPr>
        <w:spacing w:after="0" w:line="72" w:lineRule="exact"/>
        <w:rPr>
          <w:sz w:val="20"/>
          <w:szCs w:val="20"/>
          <w:color w:val="auto"/>
        </w:rPr>
      </w:pPr>
    </w:p>
    <w:p>
      <w:pPr>
        <w:ind w:left="400" w:hanging="393"/>
        <w:spacing w:after="0" w:line="246" w:lineRule="auto"/>
        <w:tabs>
          <w:tab w:leader="none" w:pos="4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Amounts reported represent the total balance at October 31, 2020, the last day of fiscal 2020, plus any named executive officer’s or Company contributions for fiscal 2020 that were paid, or expected to be paid, after October 31, 2020. Includes the following amounts reported in the “Summary Compensation Table” in the “Base Salary” or “Non-Equity Incentive Plan Compensation” column for fiscal years</w:t>
      </w:r>
    </w:p>
    <w:p>
      <w:pPr>
        <w:spacing w:after="0" w:line="2" w:lineRule="exact"/>
        <w:rPr>
          <w:rFonts w:ascii="Arial" w:cs="Arial" w:eastAsia="Arial" w:hAnsi="Arial"/>
          <w:sz w:val="17"/>
          <w:szCs w:val="17"/>
          <w:color w:val="auto"/>
        </w:rPr>
      </w:pPr>
    </w:p>
    <w:p>
      <w:pPr>
        <w:ind w:left="400"/>
        <w:spacing w:after="0"/>
        <w:rPr>
          <w:rFonts w:ascii="Arial" w:cs="Arial" w:eastAsia="Arial" w:hAnsi="Arial"/>
          <w:sz w:val="17"/>
          <w:szCs w:val="17"/>
          <w:color w:val="auto"/>
        </w:rPr>
      </w:pPr>
      <w:r>
        <w:rPr>
          <w:rFonts w:ascii="Arial" w:cs="Arial" w:eastAsia="Arial" w:hAnsi="Arial"/>
          <w:sz w:val="18"/>
          <w:szCs w:val="18"/>
          <w:color w:val="auto"/>
        </w:rPr>
        <w:t>2018 and 2019:</w:t>
      </w:r>
    </w:p>
    <w:p>
      <w:pPr>
        <w:spacing w:after="0" w:line="49" w:lineRule="exact"/>
        <w:rPr>
          <w:sz w:val="20"/>
          <w:szCs w:val="20"/>
          <w:color w:val="auto"/>
        </w:rPr>
      </w:pPr>
    </w:p>
    <w:tbl>
      <w:tblPr>
        <w:tblLayout w:type="fixed"/>
        <w:tblInd w:w="480" w:type="dxa"/>
        <w:tblCellMar>
          <w:top w:w="0" w:type="dxa"/>
          <w:left w:w="0" w:type="dxa"/>
          <w:bottom w:w="0" w:type="dxa"/>
          <w:right w:w="0" w:type="dxa"/>
        </w:tblCellMar>
      </w:tblPr>
      <w:tr>
        <w:trPr>
          <w:trHeight w:val="221"/>
        </w:trPr>
        <w:tc>
          <w:tcPr>
            <w:tcW w:w="396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6"/>
                <w:szCs w:val="16"/>
                <w:color w:val="auto"/>
              </w:rPr>
              <w:t>Mr. Olson</w:t>
            </w:r>
          </w:p>
        </w:tc>
        <w:tc>
          <w:tcPr>
            <w:tcW w:w="3260" w:type="dxa"/>
            <w:vAlign w:val="bottom"/>
            <w:tcBorders>
              <w:bottom w:val="single" w:sz="8" w:color="D9D9D9"/>
            </w:tcBorders>
            <w:shd w:val="clear" w:color="auto" w:fill="D9D9D9"/>
          </w:tcPr>
          <w:p>
            <w:pPr>
              <w:jc w:val="right"/>
              <w:ind w:right="8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D9D9D9"/>
            </w:tcBorders>
            <w:shd w:val="clear" w:color="auto" w:fill="D9D9D9"/>
          </w:tcPr>
          <w:p>
            <w:pPr>
              <w:jc w:val="right"/>
              <w:ind w:right="860"/>
              <w:spacing w:after="0"/>
              <w:rPr>
                <w:sz w:val="20"/>
                <w:szCs w:val="20"/>
                <w:color w:val="auto"/>
              </w:rPr>
            </w:pPr>
            <w:r>
              <w:rPr>
                <w:rFonts w:ascii="Arial" w:cs="Arial" w:eastAsia="Arial" w:hAnsi="Arial"/>
                <w:sz w:val="16"/>
                <w:szCs w:val="16"/>
                <w:color w:val="auto"/>
              </w:rPr>
              <w:t>305,149</w:t>
            </w:r>
          </w:p>
        </w:tc>
      </w:tr>
      <w:tr>
        <w:trPr>
          <w:trHeight w:val="209"/>
        </w:trPr>
        <w:tc>
          <w:tcPr>
            <w:tcW w:w="3960" w:type="dxa"/>
            <w:vAlign w:val="bottom"/>
          </w:tcPr>
          <w:p>
            <w:pPr>
              <w:spacing w:after="0"/>
              <w:rPr>
                <w:sz w:val="20"/>
                <w:szCs w:val="20"/>
                <w:color w:val="auto"/>
              </w:rPr>
            </w:pPr>
            <w:r>
              <w:rPr>
                <w:rFonts w:ascii="Arial" w:cs="Arial" w:eastAsia="Arial" w:hAnsi="Arial"/>
                <w:sz w:val="16"/>
                <w:szCs w:val="16"/>
                <w:color w:val="auto"/>
              </w:rPr>
              <w:t>Ms. Peterson</w:t>
            </w:r>
          </w:p>
        </w:tc>
        <w:tc>
          <w:tcPr>
            <w:tcW w:w="32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860"/>
              <w:spacing w:after="0"/>
              <w:rPr>
                <w:sz w:val="20"/>
                <w:szCs w:val="20"/>
                <w:color w:val="auto"/>
              </w:rPr>
            </w:pPr>
            <w:r>
              <w:rPr>
                <w:rFonts w:ascii="Arial" w:cs="Arial" w:eastAsia="Arial" w:hAnsi="Arial"/>
                <w:sz w:val="16"/>
                <w:szCs w:val="16"/>
                <w:color w:val="auto"/>
              </w:rPr>
              <w:t>552,294</w:t>
            </w:r>
          </w:p>
        </w:tc>
      </w:tr>
      <w:tr>
        <w:trPr>
          <w:trHeight w:val="32"/>
        </w:trPr>
        <w:tc>
          <w:tcPr>
            <w:tcW w:w="39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1"/>
        </w:trPr>
        <w:tc>
          <w:tcPr>
            <w:tcW w:w="396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6"/>
                <w:szCs w:val="16"/>
                <w:color w:val="auto"/>
              </w:rPr>
              <w:t>Mr. Rodier</w:t>
            </w:r>
          </w:p>
        </w:tc>
        <w:tc>
          <w:tcPr>
            <w:tcW w:w="3260" w:type="dxa"/>
            <w:vAlign w:val="bottom"/>
            <w:tcBorders>
              <w:bottom w:val="single" w:sz="8" w:color="D9D9D9"/>
            </w:tcBorders>
            <w:shd w:val="clear" w:color="auto" w:fill="D9D9D9"/>
          </w:tcPr>
          <w:p>
            <w:pPr>
              <w:jc w:val="right"/>
              <w:ind w:right="8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D9D9D9"/>
            </w:tcBorders>
            <w:shd w:val="clear" w:color="auto" w:fill="D9D9D9"/>
          </w:tcPr>
          <w:p>
            <w:pPr>
              <w:jc w:val="right"/>
              <w:ind w:right="860"/>
              <w:spacing w:after="0"/>
              <w:rPr>
                <w:sz w:val="20"/>
                <w:szCs w:val="20"/>
                <w:color w:val="auto"/>
              </w:rPr>
            </w:pPr>
            <w:r>
              <w:rPr>
                <w:rFonts w:ascii="Arial" w:cs="Arial" w:eastAsia="Arial" w:hAnsi="Arial"/>
                <w:sz w:val="16"/>
                <w:szCs w:val="16"/>
                <w:color w:val="auto"/>
              </w:rPr>
              <w:t>60,167</w:t>
            </w:r>
          </w:p>
        </w:tc>
      </w:tr>
      <w:tr>
        <w:trPr>
          <w:trHeight w:val="209"/>
        </w:trPr>
        <w:tc>
          <w:tcPr>
            <w:tcW w:w="3960" w:type="dxa"/>
            <w:vAlign w:val="bottom"/>
          </w:tcPr>
          <w:p>
            <w:pPr>
              <w:spacing w:after="0"/>
              <w:rPr>
                <w:sz w:val="20"/>
                <w:szCs w:val="20"/>
                <w:color w:val="auto"/>
              </w:rPr>
            </w:pPr>
            <w:r>
              <w:rPr>
                <w:rFonts w:ascii="Arial" w:cs="Arial" w:eastAsia="Arial" w:hAnsi="Arial"/>
                <w:sz w:val="16"/>
                <w:szCs w:val="16"/>
                <w:color w:val="auto"/>
              </w:rPr>
              <w:t>Mr. Hamilton</w:t>
            </w:r>
          </w:p>
        </w:tc>
        <w:tc>
          <w:tcPr>
            <w:tcW w:w="32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860"/>
              <w:spacing w:after="0"/>
              <w:rPr>
                <w:sz w:val="20"/>
                <w:szCs w:val="20"/>
                <w:color w:val="auto"/>
              </w:rPr>
            </w:pPr>
            <w:r>
              <w:rPr>
                <w:rFonts w:ascii="Arial" w:cs="Arial" w:eastAsia="Arial" w:hAnsi="Arial"/>
                <w:sz w:val="16"/>
                <w:szCs w:val="16"/>
                <w:color w:val="auto"/>
              </w:rPr>
              <w:t>251,273</w:t>
            </w:r>
          </w:p>
        </w:tc>
      </w:tr>
      <w:tr>
        <w:trPr>
          <w:trHeight w:val="32"/>
        </w:trPr>
        <w:tc>
          <w:tcPr>
            <w:tcW w:w="39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9"/>
        </w:trPr>
        <w:tc>
          <w:tcPr>
            <w:tcW w:w="3960" w:type="dxa"/>
            <w:vAlign w:val="bottom"/>
            <w:shd w:val="clear" w:color="auto" w:fill="D9D9D9"/>
          </w:tcPr>
          <w:p>
            <w:pPr>
              <w:spacing w:after="0"/>
              <w:rPr>
                <w:sz w:val="20"/>
                <w:szCs w:val="20"/>
                <w:color w:val="auto"/>
              </w:rPr>
            </w:pPr>
            <w:r>
              <w:rPr>
                <w:rFonts w:ascii="Arial" w:cs="Arial" w:eastAsia="Arial" w:hAnsi="Arial"/>
                <w:sz w:val="16"/>
                <w:szCs w:val="16"/>
                <w:color w:val="auto"/>
              </w:rPr>
              <w:t>Ms. Dahl</w:t>
            </w:r>
          </w:p>
        </w:tc>
        <w:tc>
          <w:tcPr>
            <w:tcW w:w="3260" w:type="dxa"/>
            <w:vAlign w:val="bottom"/>
            <w:shd w:val="clear" w:color="auto" w:fill="D9D9D9"/>
          </w:tcPr>
          <w:p>
            <w:pPr>
              <w:jc w:val="right"/>
              <w:ind w:right="80"/>
              <w:spacing w:after="0"/>
              <w:rPr>
                <w:sz w:val="20"/>
                <w:szCs w:val="20"/>
                <w:color w:val="auto"/>
              </w:rPr>
            </w:pPr>
            <w:r>
              <w:rPr>
                <w:rFonts w:ascii="Arial" w:cs="Arial" w:eastAsia="Arial" w:hAnsi="Arial"/>
                <w:sz w:val="16"/>
                <w:szCs w:val="16"/>
                <w:color w:val="auto"/>
              </w:rPr>
              <w:t>$</w:t>
            </w:r>
          </w:p>
        </w:tc>
        <w:tc>
          <w:tcPr>
            <w:tcW w:w="1700" w:type="dxa"/>
            <w:vAlign w:val="bottom"/>
            <w:shd w:val="clear" w:color="auto" w:fill="D9D9D9"/>
          </w:tcPr>
          <w:p>
            <w:pPr>
              <w:jc w:val="right"/>
              <w:ind w:right="860"/>
              <w:spacing w:after="0"/>
              <w:rPr>
                <w:sz w:val="20"/>
                <w:szCs w:val="20"/>
                <w:color w:val="auto"/>
              </w:rPr>
            </w:pPr>
            <w:r>
              <w:rPr>
                <w:rFonts w:ascii="Arial" w:cs="Arial" w:eastAsia="Arial" w:hAnsi="Arial"/>
                <w:sz w:val="16"/>
                <w:szCs w:val="16"/>
                <w:color w:val="auto"/>
              </w:rPr>
              <w:t>0</w:t>
            </w:r>
          </w:p>
        </w:tc>
      </w:tr>
      <w:tr>
        <w:trPr>
          <w:trHeight w:val="32"/>
        </w:trPr>
        <w:tc>
          <w:tcPr>
            <w:tcW w:w="3960" w:type="dxa"/>
            <w:vAlign w:val="bottom"/>
            <w:shd w:val="clear" w:color="auto" w:fill="D9D9D9"/>
          </w:tcPr>
          <w:p>
            <w:pPr>
              <w:spacing w:after="0"/>
              <w:rPr>
                <w:sz w:val="2"/>
                <w:szCs w:val="2"/>
                <w:color w:val="auto"/>
              </w:rPr>
            </w:pPr>
          </w:p>
        </w:tc>
        <w:tc>
          <w:tcPr>
            <w:tcW w:w="3260" w:type="dxa"/>
            <w:vAlign w:val="bottom"/>
            <w:shd w:val="clear" w:color="auto" w:fill="D9D9D9"/>
          </w:tcPr>
          <w:p>
            <w:pPr>
              <w:spacing w:after="0"/>
              <w:rPr>
                <w:sz w:val="2"/>
                <w:szCs w:val="2"/>
                <w:color w:val="auto"/>
              </w:rPr>
            </w:pPr>
          </w:p>
        </w:tc>
        <w:tc>
          <w:tcPr>
            <w:tcW w:w="1700" w:type="dxa"/>
            <w:vAlign w:val="bottom"/>
            <w:shd w:val="clear" w:color="auto" w:fill="D9D9D9"/>
          </w:tcPr>
          <w:p>
            <w:pPr>
              <w:spacing w:after="0"/>
              <w:rPr>
                <w:sz w:val="2"/>
                <w:szCs w:val="2"/>
                <w:color w:val="auto"/>
              </w:rPr>
            </w:pPr>
          </w:p>
        </w:tc>
      </w:tr>
    </w:tbl>
    <w:p>
      <w:pPr>
        <w:spacing w:after="0" w:line="53" w:lineRule="exact"/>
        <w:rPr>
          <w:sz w:val="20"/>
          <w:szCs w:val="20"/>
          <w:color w:val="auto"/>
        </w:rPr>
      </w:pPr>
    </w:p>
    <w:p>
      <w:pPr>
        <w:ind w:left="400" w:right="200"/>
        <w:spacing w:after="0"/>
        <w:rPr>
          <w:sz w:val="20"/>
          <w:szCs w:val="20"/>
          <w:color w:val="auto"/>
        </w:rPr>
      </w:pPr>
      <w:r>
        <w:rPr>
          <w:rFonts w:ascii="Arial" w:cs="Arial" w:eastAsia="Arial" w:hAnsi="Arial"/>
          <w:sz w:val="18"/>
          <w:szCs w:val="18"/>
          <w:color w:val="auto"/>
        </w:rPr>
        <w:t>Includes the following amounts reported in the “Summary Compensation Table” in the “All Other Compensation” column for fiscal years 2018 and 2019.</w:t>
      </w:r>
    </w:p>
    <w:p>
      <w:pPr>
        <w:spacing w:after="0" w:line="43"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3960" w:type="dxa"/>
            <w:vAlign w:val="bottom"/>
            <w:shd w:val="clear" w:color="auto" w:fill="D9D9D9"/>
          </w:tcPr>
          <w:p>
            <w:pPr>
              <w:spacing w:after="0"/>
              <w:rPr>
                <w:sz w:val="20"/>
                <w:szCs w:val="20"/>
                <w:color w:val="auto"/>
              </w:rPr>
            </w:pPr>
            <w:r>
              <w:rPr>
                <w:rFonts w:ascii="Arial" w:cs="Arial" w:eastAsia="Arial" w:hAnsi="Arial"/>
                <w:sz w:val="16"/>
                <w:szCs w:val="16"/>
                <w:color w:val="auto"/>
              </w:rPr>
              <w:t>Mr. Olson</w:t>
            </w:r>
          </w:p>
        </w:tc>
        <w:tc>
          <w:tcPr>
            <w:tcW w:w="3280" w:type="dxa"/>
            <w:vAlign w:val="bottom"/>
            <w:shd w:val="clear" w:color="auto" w:fill="D9D9D9"/>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267,532</w:t>
            </w:r>
          </w:p>
        </w:tc>
      </w:tr>
      <w:tr>
        <w:trPr>
          <w:trHeight w:val="218"/>
        </w:trPr>
        <w:tc>
          <w:tcPr>
            <w:tcW w:w="3960" w:type="dxa"/>
            <w:vAlign w:val="bottom"/>
          </w:tcPr>
          <w:p>
            <w:pPr>
              <w:spacing w:after="0"/>
              <w:rPr>
                <w:sz w:val="20"/>
                <w:szCs w:val="20"/>
                <w:color w:val="auto"/>
              </w:rPr>
            </w:pPr>
            <w:r>
              <w:rPr>
                <w:rFonts w:ascii="Arial" w:cs="Arial" w:eastAsia="Arial" w:hAnsi="Arial"/>
                <w:sz w:val="16"/>
                <w:szCs w:val="16"/>
                <w:color w:val="auto"/>
              </w:rPr>
              <w:t>Ms. Peterson</w:t>
            </w:r>
          </w:p>
        </w:tc>
        <w:tc>
          <w:tcPr>
            <w:tcW w:w="32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108,552</w:t>
            </w:r>
          </w:p>
        </w:tc>
      </w:tr>
      <w:tr>
        <w:trPr>
          <w:trHeight w:val="237"/>
        </w:trPr>
        <w:tc>
          <w:tcPr>
            <w:tcW w:w="3960" w:type="dxa"/>
            <w:vAlign w:val="bottom"/>
            <w:shd w:val="clear" w:color="auto" w:fill="E7E6E6"/>
          </w:tcPr>
          <w:p>
            <w:pPr>
              <w:spacing w:after="0"/>
              <w:rPr>
                <w:sz w:val="20"/>
                <w:szCs w:val="20"/>
                <w:color w:val="auto"/>
              </w:rPr>
            </w:pPr>
            <w:r>
              <w:rPr>
                <w:rFonts w:ascii="Arial" w:cs="Arial" w:eastAsia="Arial" w:hAnsi="Arial"/>
                <w:sz w:val="16"/>
                <w:szCs w:val="16"/>
                <w:color w:val="auto"/>
              </w:rPr>
              <w:t>Mr. Rodier</w:t>
            </w:r>
          </w:p>
        </w:tc>
        <w:tc>
          <w:tcPr>
            <w:tcW w:w="3280" w:type="dxa"/>
            <w:vAlign w:val="bottom"/>
            <w:shd w:val="clear" w:color="auto" w:fill="E7E6E6"/>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22,409</w:t>
            </w:r>
          </w:p>
        </w:tc>
      </w:tr>
      <w:tr>
        <w:trPr>
          <w:trHeight w:val="218"/>
        </w:trPr>
        <w:tc>
          <w:tcPr>
            <w:tcW w:w="3960" w:type="dxa"/>
            <w:vAlign w:val="bottom"/>
          </w:tcPr>
          <w:p>
            <w:pPr>
              <w:spacing w:after="0"/>
              <w:rPr>
                <w:sz w:val="20"/>
                <w:szCs w:val="20"/>
                <w:color w:val="auto"/>
              </w:rPr>
            </w:pPr>
            <w:r>
              <w:rPr>
                <w:rFonts w:ascii="Arial" w:cs="Arial" w:eastAsia="Arial" w:hAnsi="Arial"/>
                <w:sz w:val="16"/>
                <w:szCs w:val="16"/>
                <w:color w:val="auto"/>
              </w:rPr>
              <w:t>Mr. Hamilton</w:t>
            </w:r>
          </w:p>
        </w:tc>
        <w:tc>
          <w:tcPr>
            <w:tcW w:w="32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50,894</w:t>
            </w:r>
          </w:p>
        </w:tc>
      </w:tr>
      <w:tr>
        <w:trPr>
          <w:trHeight w:val="237"/>
        </w:trPr>
        <w:tc>
          <w:tcPr>
            <w:tcW w:w="3960" w:type="dxa"/>
            <w:vAlign w:val="bottom"/>
            <w:shd w:val="clear" w:color="auto" w:fill="D9D9D9"/>
          </w:tcPr>
          <w:p>
            <w:pPr>
              <w:spacing w:after="0"/>
              <w:rPr>
                <w:sz w:val="20"/>
                <w:szCs w:val="20"/>
                <w:color w:val="auto"/>
              </w:rPr>
            </w:pPr>
            <w:r>
              <w:rPr>
                <w:rFonts w:ascii="Arial" w:cs="Arial" w:eastAsia="Arial" w:hAnsi="Arial"/>
                <w:sz w:val="16"/>
                <w:szCs w:val="16"/>
                <w:color w:val="auto"/>
              </w:rPr>
              <w:t>Ms. Dahl</w:t>
            </w:r>
          </w:p>
        </w:tc>
        <w:tc>
          <w:tcPr>
            <w:tcW w:w="3280" w:type="dxa"/>
            <w:vAlign w:val="bottom"/>
            <w:shd w:val="clear" w:color="auto" w:fill="D9D9D9"/>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0</w:t>
            </w: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Potential Payments Upon Termination or Change In Control</w:t>
      </w:r>
    </w:p>
    <w:p>
      <w:pPr>
        <w:spacing w:after="0" w:line="96" w:lineRule="exact"/>
        <w:rPr>
          <w:sz w:val="20"/>
          <w:szCs w:val="20"/>
          <w:color w:val="auto"/>
        </w:rPr>
      </w:pPr>
    </w:p>
    <w:p>
      <w:pPr>
        <w:ind w:right="60" w:firstLine="401"/>
        <w:spacing w:after="0" w:line="241"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The following discussion describes the payments and benefits to which our named executive officers are entitled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and change in control situations. The intent of this discussion is to describe those payments and benefits for which the amount, vesting or time of payment is altered by the termination of employment or change in control situation. Therefore, this discussion does not describe all payments and benefits a named executive officer may receive following a termination or change in control, such as the following accrued, vested or non-forfeitable compensation and benefits:</w:t>
      </w:r>
    </w:p>
    <w:p>
      <w:pPr>
        <w:spacing w:after="0" w:line="95" w:lineRule="exact"/>
        <w:rPr>
          <w:sz w:val="20"/>
          <w:szCs w:val="20"/>
          <w:color w:val="auto"/>
        </w:rPr>
      </w:pPr>
    </w:p>
    <w:p>
      <w:pPr>
        <w:ind w:left="780" w:right="760" w:hanging="384"/>
        <w:spacing w:after="0"/>
        <w:tabs>
          <w:tab w:leader="none" w:pos="780" w:val="left"/>
        </w:tabs>
        <w:numPr>
          <w:ilvl w:val="0"/>
          <w:numId w:val="64"/>
        </w:numPr>
        <w:rPr>
          <w:rFonts w:ascii="Arial" w:cs="Arial" w:eastAsia="Arial" w:hAnsi="Arial"/>
          <w:sz w:val="16"/>
          <w:szCs w:val="16"/>
          <w:color w:val="auto"/>
        </w:rPr>
      </w:pPr>
      <w:r>
        <w:rPr>
          <w:rFonts w:ascii="Arial" w:cs="Arial" w:eastAsia="Arial" w:hAnsi="Arial"/>
          <w:sz w:val="18"/>
          <w:szCs w:val="18"/>
          <w:color w:val="auto"/>
        </w:rPr>
        <w:t>Payment of individual contributions to our Deferred Plan and Deferred Plan for Officers in accordance with prior distribution elections, as described under “Nonqualified Deferred Compensation for Fiscal 2020” on page 51;</w:t>
      </w:r>
    </w:p>
    <w:p>
      <w:pPr>
        <w:spacing w:after="0" w:line="95" w:lineRule="exact"/>
        <w:rPr>
          <w:rFonts w:ascii="Arial" w:cs="Arial" w:eastAsia="Arial" w:hAnsi="Arial"/>
          <w:sz w:val="16"/>
          <w:szCs w:val="16"/>
          <w:color w:val="auto"/>
        </w:rPr>
      </w:pPr>
    </w:p>
    <w:p>
      <w:pPr>
        <w:ind w:left="780" w:right="380" w:hanging="384"/>
        <w:spacing w:after="0"/>
        <w:tabs>
          <w:tab w:leader="none" w:pos="780" w:val="left"/>
        </w:tabs>
        <w:numPr>
          <w:ilvl w:val="0"/>
          <w:numId w:val="64"/>
        </w:numPr>
        <w:rPr>
          <w:rFonts w:ascii="Arial" w:cs="Arial" w:eastAsia="Arial" w:hAnsi="Arial"/>
          <w:sz w:val="16"/>
          <w:szCs w:val="16"/>
          <w:color w:val="auto"/>
        </w:rPr>
      </w:pPr>
      <w:r>
        <w:rPr>
          <w:rFonts w:ascii="Arial" w:cs="Arial" w:eastAsia="Arial" w:hAnsi="Arial"/>
          <w:sz w:val="18"/>
          <w:szCs w:val="18"/>
          <w:color w:val="auto"/>
        </w:rPr>
        <w:t>Payment of Company contributions on behalf of the named executive officer under our Supplemental Benefit Plan, as described under “Nonqualified Deferred Compensation for Fiscal 2020” on page 51;</w:t>
      </w:r>
    </w:p>
    <w:p>
      <w:pPr>
        <w:spacing w:after="0" w:line="95" w:lineRule="exact"/>
        <w:rPr>
          <w:rFonts w:ascii="Arial" w:cs="Arial" w:eastAsia="Arial" w:hAnsi="Arial"/>
          <w:sz w:val="16"/>
          <w:szCs w:val="16"/>
          <w:color w:val="auto"/>
        </w:rPr>
      </w:pPr>
    </w:p>
    <w:p>
      <w:pPr>
        <w:ind w:left="780" w:hanging="384"/>
        <w:spacing w:after="0" w:line="238" w:lineRule="auto"/>
        <w:tabs>
          <w:tab w:leader="none" w:pos="780" w:val="left"/>
        </w:tabs>
        <w:numPr>
          <w:ilvl w:val="0"/>
          <w:numId w:val="64"/>
        </w:numPr>
        <w:rPr>
          <w:rFonts w:ascii="Arial" w:cs="Arial" w:eastAsia="Arial" w:hAnsi="Arial"/>
          <w:sz w:val="16"/>
          <w:szCs w:val="16"/>
          <w:color w:val="auto"/>
        </w:rPr>
      </w:pPr>
      <w:r>
        <w:rPr>
          <w:rFonts w:ascii="Arial" w:cs="Arial" w:eastAsia="Arial" w:hAnsi="Arial"/>
          <w:sz w:val="18"/>
          <w:szCs w:val="18"/>
          <w:color w:val="auto"/>
        </w:rPr>
        <w:t>Payment of individual contributions and vested Company investment fund and ESOP contributions on behalf of the named executive officer under our Retirement Plan, as described under “Health, Welfare and Retirement Benefits and All Other Compensation— Retirement Benefits” on page 42;</w:t>
      </w:r>
    </w:p>
    <w:p>
      <w:pPr>
        <w:spacing w:after="0" w:line="94" w:lineRule="exact"/>
        <w:rPr>
          <w:rFonts w:ascii="Arial" w:cs="Arial" w:eastAsia="Arial" w:hAnsi="Arial"/>
          <w:sz w:val="16"/>
          <w:szCs w:val="16"/>
          <w:color w:val="auto"/>
        </w:rPr>
      </w:pPr>
    </w:p>
    <w:p>
      <w:pPr>
        <w:ind w:left="780" w:right="360" w:hanging="384"/>
        <w:spacing w:after="0"/>
        <w:tabs>
          <w:tab w:leader="none" w:pos="780" w:val="left"/>
        </w:tabs>
        <w:numPr>
          <w:ilvl w:val="0"/>
          <w:numId w:val="64"/>
        </w:numPr>
        <w:rPr>
          <w:rFonts w:ascii="Arial" w:cs="Arial" w:eastAsia="Arial" w:hAnsi="Arial"/>
          <w:sz w:val="16"/>
          <w:szCs w:val="16"/>
          <w:color w:val="auto"/>
        </w:rPr>
      </w:pPr>
      <w:r>
        <w:rPr>
          <w:rFonts w:ascii="Arial" w:cs="Arial" w:eastAsia="Arial" w:hAnsi="Arial"/>
          <w:sz w:val="18"/>
          <w:szCs w:val="18"/>
          <w:color w:val="auto"/>
        </w:rPr>
        <w:t>Payment of annual cash incentive awards if employed on the last day of the fiscal year and if threshold levels are met and at the percentage of the target achieved, as described under “Annual Cash Incentives” beginning on page 35;</w:t>
      </w:r>
    </w:p>
    <w:p>
      <w:pPr>
        <w:spacing w:after="0" w:line="95" w:lineRule="exact"/>
        <w:rPr>
          <w:rFonts w:ascii="Arial" w:cs="Arial" w:eastAsia="Arial" w:hAnsi="Arial"/>
          <w:sz w:val="16"/>
          <w:szCs w:val="16"/>
          <w:color w:val="auto"/>
        </w:rPr>
      </w:pPr>
    </w:p>
    <w:p>
      <w:pPr>
        <w:ind w:left="780" w:right="100" w:hanging="384"/>
        <w:spacing w:after="0" w:line="238" w:lineRule="auto"/>
        <w:tabs>
          <w:tab w:leader="none" w:pos="780" w:val="left"/>
        </w:tabs>
        <w:numPr>
          <w:ilvl w:val="0"/>
          <w:numId w:val="64"/>
        </w:numPr>
        <w:rPr>
          <w:rFonts w:ascii="Arial" w:cs="Arial" w:eastAsia="Arial" w:hAnsi="Arial"/>
          <w:sz w:val="16"/>
          <w:szCs w:val="16"/>
          <w:color w:val="auto"/>
        </w:rPr>
      </w:pPr>
      <w:r>
        <w:rPr>
          <w:rFonts w:ascii="Arial" w:cs="Arial" w:eastAsia="Arial" w:hAnsi="Arial"/>
          <w:sz w:val="18"/>
          <w:szCs w:val="18"/>
          <w:color w:val="auto"/>
        </w:rPr>
        <w:t>Payout for performance share awards if employed on the last day of the performance period and if threshold levels are met and at the percentage of the target achieved, as described under “Long-Term Incentives—Performance Share Awards” beginning on page 39;</w:t>
      </w:r>
    </w:p>
    <w:p>
      <w:pPr>
        <w:spacing w:after="0" w:line="94" w:lineRule="exact"/>
        <w:rPr>
          <w:rFonts w:ascii="Arial" w:cs="Arial" w:eastAsia="Arial" w:hAnsi="Arial"/>
          <w:sz w:val="16"/>
          <w:szCs w:val="16"/>
          <w:color w:val="auto"/>
        </w:rPr>
      </w:pPr>
    </w:p>
    <w:p>
      <w:pPr>
        <w:ind w:left="780" w:hanging="384"/>
        <w:spacing w:after="0"/>
        <w:tabs>
          <w:tab w:leader="none" w:pos="780" w:val="left"/>
        </w:tabs>
        <w:numPr>
          <w:ilvl w:val="0"/>
          <w:numId w:val="64"/>
        </w:numPr>
        <w:rPr>
          <w:rFonts w:ascii="Arial" w:cs="Arial" w:eastAsia="Arial" w:hAnsi="Arial"/>
          <w:sz w:val="16"/>
          <w:szCs w:val="16"/>
          <w:color w:val="auto"/>
        </w:rPr>
      </w:pPr>
      <w:r>
        <w:rPr>
          <w:rFonts w:ascii="Arial" w:cs="Arial" w:eastAsia="Arial" w:hAnsi="Arial"/>
          <w:sz w:val="18"/>
          <w:szCs w:val="18"/>
          <w:color w:val="auto"/>
        </w:rPr>
        <w:t>Exercise of stock options that had vested prior to the date of termination; and</w:t>
      </w:r>
    </w:p>
    <w:p>
      <w:pPr>
        <w:spacing w:after="0" w:line="101" w:lineRule="exact"/>
        <w:rPr>
          <w:rFonts w:ascii="Arial" w:cs="Arial" w:eastAsia="Arial" w:hAnsi="Arial"/>
          <w:sz w:val="16"/>
          <w:szCs w:val="16"/>
          <w:color w:val="auto"/>
        </w:rPr>
      </w:pPr>
    </w:p>
    <w:p>
      <w:pPr>
        <w:ind w:left="780" w:right="260" w:hanging="384"/>
        <w:spacing w:after="0"/>
        <w:tabs>
          <w:tab w:leader="none" w:pos="780" w:val="left"/>
        </w:tabs>
        <w:numPr>
          <w:ilvl w:val="0"/>
          <w:numId w:val="64"/>
        </w:numPr>
        <w:rPr>
          <w:rFonts w:ascii="Arial" w:cs="Arial" w:eastAsia="Arial" w:hAnsi="Arial"/>
          <w:sz w:val="16"/>
          <w:szCs w:val="16"/>
          <w:color w:val="auto"/>
        </w:rPr>
      </w:pPr>
      <w:r>
        <w:rPr>
          <w:rFonts w:ascii="Arial" w:cs="Arial" w:eastAsia="Arial" w:hAnsi="Arial"/>
          <w:sz w:val="18"/>
          <w:szCs w:val="18"/>
          <w:color w:val="auto"/>
        </w:rPr>
        <w:t>Payouts under, and continuation of, health and welfare benefits under plans generally applicable to our U.S.-based office salaried employees.</w:t>
      </w:r>
    </w:p>
    <w:p>
      <w:pPr>
        <w:spacing w:after="0" w:line="95" w:lineRule="exact"/>
        <w:rPr>
          <w:sz w:val="20"/>
          <w:szCs w:val="20"/>
          <w:color w:val="auto"/>
        </w:rPr>
      </w:pPr>
    </w:p>
    <w:p>
      <w:pPr>
        <w:ind w:right="120" w:firstLine="401"/>
        <w:spacing w:after="0" w:line="236" w:lineRule="auto"/>
        <w:rPr>
          <w:sz w:val="20"/>
          <w:szCs w:val="20"/>
          <w:color w:val="auto"/>
        </w:rPr>
      </w:pPr>
      <w:r>
        <w:rPr>
          <w:rFonts w:ascii="Arial" w:cs="Arial" w:eastAsia="Arial" w:hAnsi="Arial"/>
          <w:sz w:val="18"/>
          <w:szCs w:val="18"/>
          <w:color w:val="auto"/>
        </w:rPr>
        <w:t>None of our executive officers have any employment or severance agreements or arrangements other than as provided for in our CIC policy and other than certain change in control provisions in our equity plans. Accordingly, our named executive officers do not have the right to cash severance or additional benefits in connection with a termination of employment except in connection with a change in control of our Company, as described under “Potential Payments Upon Termination or Change in Control—Change in Control” beginning on page 57. Each of our executive officers is a party to our standard confidentiality, invention and non-compete agreement.</w:t>
      </w:r>
    </w:p>
    <w:p>
      <w:pPr>
        <w:spacing w:after="0" w:line="73" w:lineRule="exact"/>
        <w:rPr>
          <w:sz w:val="20"/>
          <w:szCs w:val="20"/>
          <w:color w:val="auto"/>
        </w:rPr>
      </w:pPr>
    </w:p>
    <w:p>
      <w:pPr>
        <w:ind w:firstLine="401"/>
        <w:spacing w:after="0" w:line="241" w:lineRule="auto"/>
        <w:rPr>
          <w:sz w:val="20"/>
          <w:szCs w:val="20"/>
          <w:color w:val="auto"/>
        </w:rPr>
      </w:pPr>
      <w:r>
        <w:rPr>
          <w:rFonts w:ascii="Arial" w:cs="Arial" w:eastAsia="Arial" w:hAnsi="Arial"/>
          <w:sz w:val="18"/>
          <w:szCs w:val="18"/>
          <w:b w:val="1"/>
          <w:bCs w:val="1"/>
          <w:color w:val="auto"/>
        </w:rPr>
        <w:t xml:space="preserve">Voluntary Resignation and Retirement. </w:t>
      </w:r>
      <w:r>
        <w:rPr>
          <w:rFonts w:ascii="Arial" w:cs="Arial" w:eastAsia="Arial" w:hAnsi="Arial"/>
          <w:sz w:val="18"/>
          <w:szCs w:val="18"/>
          <w:color w:val="auto"/>
        </w:rPr>
        <w:t>In the event of a named executive officer’s voluntary resignation or retirement, we would not</w:t>
      </w:r>
      <w:r>
        <w:rPr>
          <w:rFonts w:ascii="Arial" w:cs="Arial" w:eastAsia="Arial" w:hAnsi="Arial"/>
          <w:sz w:val="18"/>
          <w:szCs w:val="18"/>
          <w:b w:val="1"/>
          <w:bCs w:val="1"/>
          <w:color w:val="auto"/>
        </w:rPr>
        <w:t xml:space="preserve"> </w:t>
      </w:r>
      <w:r>
        <w:rPr>
          <w:rFonts w:ascii="Arial" w:cs="Arial" w:eastAsia="Arial" w:hAnsi="Arial"/>
          <w:sz w:val="18"/>
          <w:szCs w:val="18"/>
          <w:color w:val="auto"/>
        </w:rPr>
        <w:t>be obligated to pay or provide any additional payments or benefits, unless the named executive officer meets the criteria for “retirement” in connection with his or her voluntary resignation. For purposes of our compensation arrangements, “retirement” generally means the voluntary termination of employment at or after the age of 55 and with a number of years of service that, when added together with the named executive officer’s age, equals at least 65.</w:t>
      </w:r>
    </w:p>
    <w:p>
      <w:pPr>
        <w:spacing w:after="0" w:line="95" w:lineRule="exact"/>
        <w:rPr>
          <w:sz w:val="20"/>
          <w:szCs w:val="20"/>
          <w:color w:val="auto"/>
        </w:rPr>
      </w:pPr>
    </w:p>
    <w:p>
      <w:pPr>
        <w:ind w:right="280" w:firstLine="401"/>
        <w:spacing w:after="0" w:line="238" w:lineRule="auto"/>
        <w:rPr>
          <w:sz w:val="20"/>
          <w:szCs w:val="20"/>
          <w:color w:val="auto"/>
        </w:rPr>
      </w:pPr>
      <w:r>
        <w:rPr>
          <w:rFonts w:ascii="Arial" w:cs="Arial" w:eastAsia="Arial" w:hAnsi="Arial"/>
          <w:sz w:val="18"/>
          <w:szCs w:val="18"/>
          <w:color w:val="auto"/>
        </w:rPr>
        <w:t>If a named executive officer meets the criteria for “retirement” in connection with his or her voluntary resignation, the named executive officer generally would be entitled to or, in the case of annual cash incentive awards and performance share awards, may receive upon approval by the Compensation &amp; Human Resources Committee, the following additional payments and benefits:</w:t>
      </w:r>
    </w:p>
    <w:p>
      <w:pPr>
        <w:spacing w:after="0" w:line="95" w:lineRule="exact"/>
        <w:rPr>
          <w:sz w:val="20"/>
          <w:szCs w:val="20"/>
          <w:color w:val="auto"/>
        </w:rPr>
      </w:pPr>
    </w:p>
    <w:p>
      <w:pPr>
        <w:ind w:left="780" w:right="320" w:hanging="384"/>
        <w:spacing w:after="0"/>
        <w:tabs>
          <w:tab w:leader="none" w:pos="780" w:val="left"/>
        </w:tabs>
        <w:numPr>
          <w:ilvl w:val="0"/>
          <w:numId w:val="65"/>
        </w:numPr>
        <w:rPr>
          <w:rFonts w:ascii="Arial" w:cs="Arial" w:eastAsia="Arial" w:hAnsi="Arial"/>
          <w:sz w:val="16"/>
          <w:szCs w:val="16"/>
          <w:color w:val="auto"/>
        </w:rPr>
      </w:pPr>
      <w:r>
        <w:rPr>
          <w:rFonts w:ascii="Arial" w:cs="Arial" w:eastAsia="Arial" w:hAnsi="Arial"/>
          <w:sz w:val="18"/>
          <w:szCs w:val="18"/>
          <w:color w:val="auto"/>
        </w:rPr>
        <w:t>Extended vesting and exercise period of four additional years (or the remaining term of the option, whichever is shorter) after the retirement date for all outstanding stock options held on the retirement date;</w:t>
      </w:r>
    </w:p>
    <w:p>
      <w:pPr>
        <w:spacing w:after="0" w:line="95" w:lineRule="exact"/>
        <w:rPr>
          <w:rFonts w:ascii="Arial" w:cs="Arial" w:eastAsia="Arial" w:hAnsi="Arial"/>
          <w:sz w:val="16"/>
          <w:szCs w:val="16"/>
          <w:color w:val="auto"/>
        </w:rPr>
      </w:pPr>
    </w:p>
    <w:p>
      <w:pPr>
        <w:ind w:left="780" w:right="40" w:hanging="384"/>
        <w:spacing w:after="0" w:line="236" w:lineRule="auto"/>
        <w:tabs>
          <w:tab w:leader="none" w:pos="780" w:val="left"/>
        </w:tabs>
        <w:numPr>
          <w:ilvl w:val="0"/>
          <w:numId w:val="65"/>
        </w:numPr>
        <w:rPr>
          <w:rFonts w:ascii="Arial" w:cs="Arial" w:eastAsia="Arial" w:hAnsi="Arial"/>
          <w:sz w:val="16"/>
          <w:szCs w:val="16"/>
          <w:color w:val="auto"/>
        </w:rPr>
      </w:pPr>
      <w:r>
        <w:rPr>
          <w:rFonts w:ascii="Arial" w:cs="Arial" w:eastAsia="Arial" w:hAnsi="Arial"/>
          <w:sz w:val="18"/>
          <w:szCs w:val="18"/>
          <w:color w:val="auto"/>
        </w:rPr>
        <w:t>Extended perquisites consisting of reimbursement for amounts incurred for: (i) one additional year of financial planning expenses; (ii) one additional executive physical; (iii) twelve additional months, or through the end of the lease term, whichever is shorter, of lease payments for a Company-leased automobile; and (iv) certain Company products for personal use at no cost for five years following the named executive officer’s retirement; provided, however, that the named executive officer is responsible for payment of applicable taxes attributed to the value of such products;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00" w:lineRule="exact"/>
        <w:rPr>
          <w:sz w:val="20"/>
          <w:szCs w:val="20"/>
          <w:color w:val="auto"/>
        </w:rPr>
      </w:pPr>
    </w:p>
    <w:p>
      <w:pPr>
        <w:ind w:left="780" w:right="80" w:hanging="384"/>
        <w:spacing w:after="0" w:line="236" w:lineRule="auto"/>
        <w:tabs>
          <w:tab w:leader="none" w:pos="780" w:val="left"/>
        </w:tabs>
        <w:numPr>
          <w:ilvl w:val="0"/>
          <w:numId w:val="66"/>
        </w:numPr>
        <w:rPr>
          <w:rFonts w:ascii="Arial" w:cs="Arial" w:eastAsia="Arial" w:hAnsi="Arial"/>
          <w:sz w:val="16"/>
          <w:szCs w:val="16"/>
          <w:color w:val="auto"/>
        </w:rPr>
      </w:pPr>
      <w:r>
        <w:rPr>
          <w:rFonts w:ascii="Arial" w:cs="Arial" w:eastAsia="Arial" w:hAnsi="Arial"/>
          <w:sz w:val="18"/>
          <w:szCs w:val="18"/>
          <w:color w:val="auto"/>
        </w:rPr>
        <w:t>Prorated payment of an outstanding annual cash incentive award if the named executive officer retires prior to the date payment is made in settlement of the annual cash incentive award, which is typically in early December, but only (i) if threshold levels are met and at the percentage of the target achieved; and (ii) in an amount that is proportionate to the portion of the fiscal year performance period that was completed as of the retirement date; and</w:t>
      </w:r>
    </w:p>
    <w:p>
      <w:pPr>
        <w:spacing w:after="0" w:line="97" w:lineRule="exact"/>
        <w:rPr>
          <w:rFonts w:ascii="Arial" w:cs="Arial" w:eastAsia="Arial" w:hAnsi="Arial"/>
          <w:sz w:val="16"/>
          <w:szCs w:val="16"/>
          <w:color w:val="auto"/>
        </w:rPr>
      </w:pPr>
    </w:p>
    <w:p>
      <w:pPr>
        <w:ind w:left="780" w:right="140" w:hanging="384"/>
        <w:spacing w:after="0" w:line="236" w:lineRule="auto"/>
        <w:tabs>
          <w:tab w:leader="none" w:pos="780" w:val="left"/>
        </w:tabs>
        <w:numPr>
          <w:ilvl w:val="0"/>
          <w:numId w:val="66"/>
        </w:numPr>
        <w:rPr>
          <w:rFonts w:ascii="Arial" w:cs="Arial" w:eastAsia="Arial" w:hAnsi="Arial"/>
          <w:sz w:val="16"/>
          <w:szCs w:val="16"/>
          <w:color w:val="auto"/>
        </w:rPr>
      </w:pPr>
      <w:r>
        <w:rPr>
          <w:rFonts w:ascii="Arial" w:cs="Arial" w:eastAsia="Arial" w:hAnsi="Arial"/>
          <w:sz w:val="18"/>
          <w:szCs w:val="18"/>
          <w:color w:val="auto"/>
        </w:rPr>
        <w:t>Prorated payment of outstanding performance share awards if the named executive officer retires after completion of at least one fiscal year of our current three-fiscal year performance period, but only (i) if threshold levels are met and at the percentage of the target achieved and (ii) in an amount that is proportionate to the portion of the performance period based on the number of months or years that the named executive officer was employed or performed services during the performance period as of the named executive officer’s retirement date.</w:t>
      </w:r>
    </w:p>
    <w:p>
      <w:pPr>
        <w:spacing w:after="0" w:line="95" w:lineRule="exact"/>
        <w:rPr>
          <w:sz w:val="20"/>
          <w:szCs w:val="20"/>
          <w:color w:val="auto"/>
        </w:rPr>
      </w:pPr>
    </w:p>
    <w:p>
      <w:pPr>
        <w:jc w:val="both"/>
        <w:ind w:right="120" w:firstLine="401"/>
        <w:spacing w:after="0" w:line="238" w:lineRule="auto"/>
        <w:rPr>
          <w:sz w:val="20"/>
          <w:szCs w:val="20"/>
          <w:color w:val="auto"/>
        </w:rPr>
      </w:pPr>
      <w:r>
        <w:rPr>
          <w:rFonts w:ascii="Arial" w:cs="Arial" w:eastAsia="Arial" w:hAnsi="Arial"/>
          <w:sz w:val="18"/>
          <w:szCs w:val="18"/>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 the meeting following the completion of the applicable performance period.</w:t>
      </w:r>
    </w:p>
    <w:p>
      <w:pPr>
        <w:spacing w:after="0" w:line="73" w:lineRule="exact"/>
        <w:rPr>
          <w:sz w:val="20"/>
          <w:szCs w:val="20"/>
          <w:color w:val="auto"/>
        </w:rPr>
      </w:pPr>
    </w:p>
    <w:p>
      <w:pPr>
        <w:ind w:right="20" w:firstLine="401"/>
        <w:spacing w:after="0" w:line="249" w:lineRule="auto"/>
        <w:rPr>
          <w:sz w:val="20"/>
          <w:szCs w:val="20"/>
          <w:color w:val="auto"/>
        </w:rPr>
      </w:pPr>
      <w:r>
        <w:rPr>
          <w:rFonts w:ascii="Arial" w:cs="Arial" w:eastAsia="Arial" w:hAnsi="Arial"/>
          <w:sz w:val="18"/>
          <w:szCs w:val="18"/>
          <w:b w:val="1"/>
          <w:bCs w:val="1"/>
          <w:color w:val="auto"/>
        </w:rPr>
        <w:t xml:space="preserve">Disability or Death. </w:t>
      </w:r>
      <w:r>
        <w:rPr>
          <w:rFonts w:ascii="Arial" w:cs="Arial" w:eastAsia="Arial" w:hAnsi="Arial"/>
          <w:sz w:val="18"/>
          <w:szCs w:val="18"/>
          <w:color w:val="auto"/>
        </w:rPr>
        <w:t>In the event of a termination as the result of the disability or death of a named executive officer, the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or his or her beneficiary, would be entitled to or, in the case of annual cash incentive awards and performance share awards, may receive upon approval by the Compensation &amp; Human Resources Committee, the following additional payments and benefits:</w:t>
      </w:r>
    </w:p>
    <w:p>
      <w:pPr>
        <w:spacing w:after="0" w:line="88" w:lineRule="exact"/>
        <w:rPr>
          <w:sz w:val="20"/>
          <w:szCs w:val="20"/>
          <w:color w:val="auto"/>
        </w:rPr>
      </w:pPr>
    </w:p>
    <w:p>
      <w:pPr>
        <w:ind w:left="780" w:hanging="384"/>
        <w:spacing w:after="0"/>
        <w:tabs>
          <w:tab w:leader="none" w:pos="780" w:val="left"/>
        </w:tabs>
        <w:numPr>
          <w:ilvl w:val="0"/>
          <w:numId w:val="67"/>
        </w:numPr>
        <w:rPr>
          <w:rFonts w:ascii="Arial" w:cs="Arial" w:eastAsia="Arial" w:hAnsi="Arial"/>
          <w:sz w:val="16"/>
          <w:szCs w:val="16"/>
          <w:color w:val="auto"/>
        </w:rPr>
      </w:pPr>
      <w:r>
        <w:rPr>
          <w:rFonts w:ascii="Arial" w:cs="Arial" w:eastAsia="Arial" w:hAnsi="Arial"/>
          <w:sz w:val="18"/>
          <w:szCs w:val="18"/>
          <w:color w:val="auto"/>
        </w:rPr>
        <w:t>Immediate vesting of all outstanding stock options held as of the termination date and stock options may be exercised for a period of up to one year (or the remaining term of the option, whichever is shorter) after the termination date;</w:t>
      </w:r>
    </w:p>
    <w:p>
      <w:pPr>
        <w:spacing w:after="0" w:line="95" w:lineRule="exact"/>
        <w:rPr>
          <w:rFonts w:ascii="Arial" w:cs="Arial" w:eastAsia="Arial" w:hAnsi="Arial"/>
          <w:sz w:val="16"/>
          <w:szCs w:val="16"/>
          <w:color w:val="auto"/>
        </w:rPr>
      </w:pPr>
    </w:p>
    <w:p>
      <w:pPr>
        <w:ind w:left="780" w:right="20" w:hanging="384"/>
        <w:spacing w:after="0" w:line="236"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8"/>
          <w:szCs w:val="18"/>
          <w:color w:val="auto"/>
        </w:rPr>
        <w:t>Prorated payment of an outstanding annual cash incentive award if the termination of the named executive officer is prior to the date payment is made in settlement of the annual cash incentive award, but only (i) if threshold levels are met and at the percentage of the target achieved; and (ii) in an amount that is proportionate to the portion of the fiscal year performance period that was completed as of the termination date; and</w:t>
      </w:r>
    </w:p>
    <w:p>
      <w:pPr>
        <w:spacing w:after="0" w:line="97" w:lineRule="exact"/>
        <w:rPr>
          <w:rFonts w:ascii="Arial" w:cs="Arial" w:eastAsia="Arial" w:hAnsi="Arial"/>
          <w:sz w:val="16"/>
          <w:szCs w:val="16"/>
          <w:color w:val="auto"/>
        </w:rPr>
      </w:pPr>
    </w:p>
    <w:p>
      <w:pPr>
        <w:ind w:left="780" w:right="20" w:hanging="384"/>
        <w:spacing w:after="0" w:line="236"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8"/>
          <w:szCs w:val="18"/>
          <w:color w:val="auto"/>
        </w:rPr>
        <w:t>Prorated payment of outstanding performance share awards if the named executive officer was employed for at least one fiscal year of our current three-fiscal year performance period, but only (i) if threshold levels are met and at the percentage of the target achieved and (ii) in an amount that is proportionate to the portion of the performance period based on the number of months or years that the named executive officer was employed or performed services during the performance period as of the named executive officer’s termination date.</w:t>
      </w:r>
    </w:p>
    <w:p>
      <w:pPr>
        <w:spacing w:after="0" w:line="95" w:lineRule="exact"/>
        <w:rPr>
          <w:sz w:val="20"/>
          <w:szCs w:val="20"/>
          <w:color w:val="auto"/>
        </w:rPr>
      </w:pPr>
    </w:p>
    <w:p>
      <w:pPr>
        <w:jc w:val="both"/>
        <w:ind w:right="120" w:firstLine="401"/>
        <w:spacing w:after="0" w:line="238" w:lineRule="auto"/>
        <w:rPr>
          <w:sz w:val="20"/>
          <w:szCs w:val="20"/>
          <w:color w:val="auto"/>
        </w:rPr>
      </w:pPr>
      <w:r>
        <w:rPr>
          <w:rFonts w:ascii="Arial" w:cs="Arial" w:eastAsia="Arial" w:hAnsi="Arial"/>
          <w:sz w:val="18"/>
          <w:szCs w:val="18"/>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 the meeting following the completion of the applicable performance period.</w:t>
      </w:r>
    </w:p>
    <w:p>
      <w:pPr>
        <w:spacing w:after="0" w:line="73" w:lineRule="exact"/>
        <w:rPr>
          <w:sz w:val="20"/>
          <w:szCs w:val="20"/>
          <w:color w:val="auto"/>
        </w:rPr>
      </w:pPr>
    </w:p>
    <w:p>
      <w:pPr>
        <w:ind w:right="300" w:firstLine="401"/>
        <w:spacing w:after="0" w:line="263" w:lineRule="auto"/>
        <w:rPr>
          <w:sz w:val="20"/>
          <w:szCs w:val="20"/>
          <w:color w:val="auto"/>
        </w:rPr>
      </w:pPr>
      <w:r>
        <w:rPr>
          <w:rFonts w:ascii="Arial" w:cs="Arial" w:eastAsia="Arial" w:hAnsi="Arial"/>
          <w:sz w:val="17"/>
          <w:szCs w:val="17"/>
          <w:b w:val="1"/>
          <w:bCs w:val="1"/>
          <w:color w:val="auto"/>
        </w:rPr>
        <w:t xml:space="preserve">Involuntary Termination by TTC. </w:t>
      </w:r>
      <w:r>
        <w:rPr>
          <w:rFonts w:ascii="Arial" w:cs="Arial" w:eastAsia="Arial" w:hAnsi="Arial"/>
          <w:sz w:val="17"/>
          <w:szCs w:val="17"/>
          <w:color w:val="auto"/>
        </w:rPr>
        <w:t>Since our named executive officers do not have employment or severance agreements or</w:t>
      </w:r>
      <w:r>
        <w:rPr>
          <w:rFonts w:ascii="Arial" w:cs="Arial" w:eastAsia="Arial" w:hAnsi="Arial"/>
          <w:sz w:val="17"/>
          <w:szCs w:val="17"/>
          <w:b w:val="1"/>
          <w:bCs w:val="1"/>
          <w:color w:val="auto"/>
        </w:rPr>
        <w:t xml:space="preserve"> </w:t>
      </w:r>
      <w:r>
        <w:rPr>
          <w:rFonts w:ascii="Arial" w:cs="Arial" w:eastAsia="Arial" w:hAnsi="Arial"/>
          <w:sz w:val="17"/>
          <w:szCs w:val="17"/>
          <w:color w:val="auto"/>
        </w:rPr>
        <w:t>arrangements other than as provided for in our CIC policy, we would not be obligated to provide any additional payments or benefits to our named executive officers in the event of an involuntary termination of employment by us. Any negotiated separation arrangement typically requires that the named executive officer sign a release and waiver of claims and comply with confidentiality and non-compete restrictions.</w:t>
      </w:r>
    </w:p>
    <w:p>
      <w:pPr>
        <w:spacing w:after="0" w:line="55" w:lineRule="exact"/>
        <w:rPr>
          <w:sz w:val="20"/>
          <w:szCs w:val="20"/>
          <w:color w:val="auto"/>
        </w:rPr>
      </w:pPr>
    </w:p>
    <w:p>
      <w:pPr>
        <w:ind w:right="260" w:firstLine="401"/>
        <w:spacing w:after="0" w:line="249" w:lineRule="auto"/>
        <w:rPr>
          <w:sz w:val="20"/>
          <w:szCs w:val="20"/>
          <w:color w:val="auto"/>
        </w:rPr>
      </w:pPr>
      <w:r>
        <w:rPr>
          <w:rFonts w:ascii="Arial" w:cs="Arial" w:eastAsia="Arial" w:hAnsi="Arial"/>
          <w:sz w:val="18"/>
          <w:szCs w:val="18"/>
          <w:b w:val="1"/>
          <w:bCs w:val="1"/>
          <w:color w:val="auto"/>
        </w:rPr>
        <w:t xml:space="preserve">Termination by TTC for Cause. </w:t>
      </w:r>
      <w:r>
        <w:rPr>
          <w:rFonts w:ascii="Arial" w:cs="Arial" w:eastAsia="Arial" w:hAnsi="Arial"/>
          <w:sz w:val="18"/>
          <w:szCs w:val="18"/>
          <w:color w:val="auto"/>
        </w:rPr>
        <w:t>In the event of a termination of a named executive officer’s employment by us for cause, we would</w:t>
      </w:r>
      <w:r>
        <w:rPr>
          <w:rFonts w:ascii="Arial" w:cs="Arial" w:eastAsia="Arial" w:hAnsi="Arial"/>
          <w:sz w:val="18"/>
          <w:szCs w:val="18"/>
          <w:b w:val="1"/>
          <w:bCs w:val="1"/>
          <w:color w:val="auto"/>
        </w:rPr>
        <w:t xml:space="preserve"> </w:t>
      </w:r>
      <w:r>
        <w:rPr>
          <w:rFonts w:ascii="Arial" w:cs="Arial" w:eastAsia="Arial" w:hAnsi="Arial"/>
          <w:sz w:val="18"/>
          <w:szCs w:val="18"/>
          <w:color w:val="auto"/>
        </w:rPr>
        <w:t>not be obligated to provide any additional payments or benefits to the executive. In addition, we may have certain clawback rights, as described below under “Clawback Provisions.”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78" w:lineRule="exact"/>
        <w:rPr>
          <w:sz w:val="20"/>
          <w:szCs w:val="20"/>
          <w:color w:val="auto"/>
        </w:rPr>
      </w:pPr>
    </w:p>
    <w:p>
      <w:pPr>
        <w:ind w:right="40" w:firstLine="401"/>
        <w:spacing w:after="0" w:line="241"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We have a CIC policy generally applicable to our executive officers. Our CIC policy incorporates a “double trigger”</w:t>
      </w:r>
      <w:r>
        <w:rPr>
          <w:rFonts w:ascii="Arial" w:cs="Arial" w:eastAsia="Arial" w:hAnsi="Arial"/>
          <w:sz w:val="18"/>
          <w:szCs w:val="18"/>
          <w:b w:val="1"/>
          <w:bCs w:val="1"/>
          <w:color w:val="auto"/>
        </w:rPr>
        <w:t xml:space="preserve"> </w:t>
      </w:r>
      <w:r>
        <w:rPr>
          <w:rFonts w:ascii="Arial" w:cs="Arial" w:eastAsia="Arial" w:hAnsi="Arial"/>
          <w:sz w:val="18"/>
          <w:szCs w:val="18"/>
          <w:color w:val="auto"/>
        </w:rPr>
        <w:t>mechanism and provides for a cash severance payment and certain other benefits if within three years after a change in control the named executive officer’s employment is terminated by us without just cause or the named executive officer terminates his or her employment for good reason, or if such termination occurs at the request of a third party who had taken steps reasonably calculated to effect the change in control. The payments and benefits the named executive officer would be entitled to receive include:</w:t>
      </w:r>
    </w:p>
    <w:p>
      <w:pPr>
        <w:spacing w:after="0" w:line="82" w:lineRule="exact"/>
        <w:rPr>
          <w:sz w:val="20"/>
          <w:szCs w:val="20"/>
          <w:color w:val="auto"/>
        </w:rPr>
      </w:pPr>
    </w:p>
    <w:p>
      <w:pPr>
        <w:ind w:left="780" w:right="80" w:hanging="384"/>
        <w:spacing w:after="0"/>
        <w:tabs>
          <w:tab w:leader="none" w:pos="780" w:val="left"/>
        </w:tabs>
        <w:numPr>
          <w:ilvl w:val="0"/>
          <w:numId w:val="68"/>
        </w:numPr>
        <w:rPr>
          <w:rFonts w:ascii="Arial" w:cs="Arial" w:eastAsia="Arial" w:hAnsi="Arial"/>
          <w:sz w:val="16"/>
          <w:szCs w:val="16"/>
          <w:color w:val="auto"/>
        </w:rPr>
      </w:pPr>
      <w:r>
        <w:rPr>
          <w:rFonts w:ascii="Arial" w:cs="Arial" w:eastAsia="Arial" w:hAnsi="Arial"/>
          <w:sz w:val="18"/>
          <w:szCs w:val="18"/>
          <w:color w:val="auto"/>
        </w:rPr>
        <w:t>a lump sum cash severance payment equal to two times (or three times for the CEO) the sum of the named executive officer’s then current annual base salary and target annual cash incentive award;</w:t>
      </w:r>
    </w:p>
    <w:p>
      <w:pPr>
        <w:spacing w:after="0" w:line="82" w:lineRule="exact"/>
        <w:rPr>
          <w:rFonts w:ascii="Arial" w:cs="Arial" w:eastAsia="Arial" w:hAnsi="Arial"/>
          <w:sz w:val="16"/>
          <w:szCs w:val="16"/>
          <w:color w:val="auto"/>
        </w:rPr>
      </w:pPr>
    </w:p>
    <w:p>
      <w:pPr>
        <w:ind w:left="780" w:right="80" w:hanging="384"/>
        <w:spacing w:after="0" w:line="238"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8"/>
          <w:szCs w:val="18"/>
          <w:color w:val="auto"/>
        </w:rPr>
        <w:t>a lump sum cash payment in an amount equal to the named executive officer’s pro-rated target annual cash incentive award for the fiscal year in which the termination date occurs, reduced by any amounts paid under the terms of the applicable equity compensation policy for the same period of time;</w:t>
      </w:r>
    </w:p>
    <w:p>
      <w:pPr>
        <w:spacing w:after="0" w:line="81" w:lineRule="exact"/>
        <w:rPr>
          <w:rFonts w:ascii="Arial" w:cs="Arial" w:eastAsia="Arial" w:hAnsi="Arial"/>
          <w:sz w:val="16"/>
          <w:szCs w:val="16"/>
          <w:color w:val="auto"/>
        </w:rPr>
      </w:pPr>
    </w:p>
    <w:p>
      <w:pPr>
        <w:jc w:val="both"/>
        <w:ind w:left="780" w:right="180" w:hanging="384"/>
        <w:spacing w:after="0" w:line="236"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8"/>
          <w:szCs w:val="18"/>
          <w:color w:val="auto"/>
        </w:rPr>
        <w:t>eligibility for continuation coverage under our medical, dental and other group health plans for a period of three years following the termination date and reimbursement for any costs incurred in securing such continuation coverage that are in excess of costs that would have been incurred by the named executive officer immediately prior to his or her termination date to obtain such coverage; and</w:t>
      </w:r>
    </w:p>
    <w:p>
      <w:pPr>
        <w:spacing w:after="0" w:line="84" w:lineRule="exact"/>
        <w:rPr>
          <w:rFonts w:ascii="Arial" w:cs="Arial" w:eastAsia="Arial" w:hAnsi="Arial"/>
          <w:sz w:val="16"/>
          <w:szCs w:val="16"/>
          <w:color w:val="auto"/>
        </w:rPr>
      </w:pPr>
    </w:p>
    <w:p>
      <w:pPr>
        <w:ind w:left="780" w:hanging="384"/>
        <w:spacing w:after="0"/>
        <w:tabs>
          <w:tab w:leader="none" w:pos="780" w:val="left"/>
        </w:tabs>
        <w:numPr>
          <w:ilvl w:val="0"/>
          <w:numId w:val="68"/>
        </w:numPr>
        <w:rPr>
          <w:rFonts w:ascii="Arial" w:cs="Arial" w:eastAsia="Arial" w:hAnsi="Arial"/>
          <w:sz w:val="16"/>
          <w:szCs w:val="16"/>
          <w:color w:val="auto"/>
        </w:rPr>
      </w:pPr>
      <w:r>
        <w:rPr>
          <w:rFonts w:ascii="Arial" w:cs="Arial" w:eastAsia="Arial" w:hAnsi="Arial"/>
          <w:sz w:val="18"/>
          <w:szCs w:val="18"/>
          <w:color w:val="auto"/>
        </w:rPr>
        <w:t>two years of outplacement services.</w:t>
      </w:r>
    </w:p>
    <w:p>
      <w:pPr>
        <w:spacing w:after="0" w:line="88" w:lineRule="exact"/>
        <w:rPr>
          <w:sz w:val="20"/>
          <w:szCs w:val="20"/>
          <w:color w:val="auto"/>
        </w:rPr>
      </w:pPr>
    </w:p>
    <w:p>
      <w:pPr>
        <w:ind w:right="60" w:firstLine="401"/>
        <w:spacing w:after="0" w:line="238" w:lineRule="auto"/>
        <w:rPr>
          <w:sz w:val="20"/>
          <w:szCs w:val="20"/>
          <w:color w:val="auto"/>
        </w:rPr>
      </w:pPr>
      <w:r>
        <w:rPr>
          <w:rFonts w:ascii="Arial" w:cs="Arial" w:eastAsia="Arial" w:hAnsi="Arial"/>
          <w:sz w:val="18"/>
          <w:szCs w:val="18"/>
          <w:color w:val="auto"/>
        </w:rPr>
        <w:t>Our CIC policy does not provide a “gross-up” for 280G excise tax and, as a condition to the payment of any severance payment, the named executive officer must execute a release of claims against us. If a change in control, as generally defined below, has not occurred, our Board may terminate our CIC policy after two years’ advance notice of such termination.</w:t>
      </w:r>
    </w:p>
    <w:p>
      <w:pPr>
        <w:spacing w:after="0" w:line="95" w:lineRule="exact"/>
        <w:rPr>
          <w:sz w:val="20"/>
          <w:szCs w:val="20"/>
          <w:color w:val="auto"/>
        </w:rPr>
      </w:pPr>
    </w:p>
    <w:p>
      <w:pPr>
        <w:ind w:firstLine="401"/>
        <w:spacing w:after="0"/>
        <w:rPr>
          <w:sz w:val="20"/>
          <w:szCs w:val="20"/>
          <w:color w:val="auto"/>
        </w:rPr>
      </w:pPr>
      <w:r>
        <w:rPr>
          <w:rFonts w:ascii="Arial" w:cs="Arial" w:eastAsia="Arial" w:hAnsi="Arial"/>
          <w:sz w:val="18"/>
          <w:szCs w:val="18"/>
          <w:color w:val="auto"/>
        </w:rPr>
        <w:t>In addition to our CIC policy, our 2010 Plan provides that if we experience a change in control, as generally defined below, whether or not there is a qualifying termination of employment:</w:t>
      </w:r>
    </w:p>
    <w:p>
      <w:pPr>
        <w:spacing w:after="0" w:line="69" w:lineRule="exact"/>
        <w:rPr>
          <w:sz w:val="20"/>
          <w:szCs w:val="20"/>
          <w:color w:val="auto"/>
        </w:rPr>
      </w:pPr>
    </w:p>
    <w:p>
      <w:pPr>
        <w:ind w:left="780" w:right="160" w:hanging="384"/>
        <w:spacing w:after="0"/>
        <w:tabs>
          <w:tab w:leader="none" w:pos="780" w:val="left"/>
        </w:tabs>
        <w:numPr>
          <w:ilvl w:val="0"/>
          <w:numId w:val="69"/>
        </w:numPr>
        <w:rPr>
          <w:rFonts w:ascii="Arial" w:cs="Arial" w:eastAsia="Arial" w:hAnsi="Arial"/>
          <w:sz w:val="16"/>
          <w:szCs w:val="16"/>
          <w:color w:val="auto"/>
        </w:rPr>
      </w:pPr>
      <w:r>
        <w:rPr>
          <w:rFonts w:ascii="Arial" w:cs="Arial" w:eastAsia="Arial" w:hAnsi="Arial"/>
          <w:sz w:val="18"/>
          <w:szCs w:val="18"/>
          <w:color w:val="auto"/>
        </w:rPr>
        <w:t>all stock options immediately vest, become exercisable in full and remain exercisable for their remaining term following the change in control;</w:t>
      </w:r>
    </w:p>
    <w:p>
      <w:pPr>
        <w:spacing w:after="0" w:line="82" w:lineRule="exact"/>
        <w:rPr>
          <w:rFonts w:ascii="Arial" w:cs="Arial" w:eastAsia="Arial" w:hAnsi="Arial"/>
          <w:sz w:val="16"/>
          <w:szCs w:val="16"/>
          <w:color w:val="auto"/>
        </w:rPr>
      </w:pPr>
    </w:p>
    <w:p>
      <w:pPr>
        <w:ind w:left="780" w:right="220" w:hanging="384"/>
        <w:spacing w:after="0"/>
        <w:tabs>
          <w:tab w:leader="none" w:pos="780" w:val="left"/>
        </w:tabs>
        <w:numPr>
          <w:ilvl w:val="0"/>
          <w:numId w:val="69"/>
        </w:numPr>
        <w:rPr>
          <w:rFonts w:ascii="Arial" w:cs="Arial" w:eastAsia="Arial" w:hAnsi="Arial"/>
          <w:sz w:val="16"/>
          <w:szCs w:val="16"/>
          <w:color w:val="auto"/>
        </w:rPr>
      </w:pPr>
      <w:r>
        <w:rPr>
          <w:rFonts w:ascii="Arial" w:cs="Arial" w:eastAsia="Arial" w:hAnsi="Arial"/>
          <w:sz w:val="18"/>
          <w:szCs w:val="18"/>
          <w:color w:val="auto"/>
        </w:rPr>
        <w:t>all outstanding annual cash incentive awards for performance periods in progress at the time of the change in control immediately vest and become immediately payable at target in cash;</w:t>
      </w:r>
    </w:p>
    <w:p>
      <w:pPr>
        <w:spacing w:after="0" w:line="82" w:lineRule="exact"/>
        <w:rPr>
          <w:rFonts w:ascii="Arial" w:cs="Arial" w:eastAsia="Arial" w:hAnsi="Arial"/>
          <w:sz w:val="16"/>
          <w:szCs w:val="16"/>
          <w:color w:val="auto"/>
        </w:rPr>
      </w:pPr>
    </w:p>
    <w:p>
      <w:pPr>
        <w:ind w:left="780" w:right="60" w:hanging="384"/>
        <w:spacing w:after="0" w:line="236" w:lineRule="auto"/>
        <w:tabs>
          <w:tab w:leader="none" w:pos="780" w:val="left"/>
        </w:tabs>
        <w:numPr>
          <w:ilvl w:val="0"/>
          <w:numId w:val="69"/>
        </w:numPr>
        <w:rPr>
          <w:rFonts w:ascii="Arial" w:cs="Arial" w:eastAsia="Arial" w:hAnsi="Arial"/>
          <w:sz w:val="16"/>
          <w:szCs w:val="16"/>
          <w:color w:val="auto"/>
        </w:rPr>
      </w:pPr>
      <w:r>
        <w:rPr>
          <w:rFonts w:ascii="Arial" w:cs="Arial" w:eastAsia="Arial" w:hAnsi="Arial"/>
          <w:sz w:val="18"/>
          <w:szCs w:val="18"/>
          <w:color w:val="auto"/>
        </w:rPr>
        <w:t>all outstanding performance share awards for performance periods in progress at the time of the change in control immediately vest and become payable at maximum levels of performance in shares of our common stock, provided, however, that the CIC policy provides that for executive officers covered by the CIC policy, any such performance share awards are payable at target (not in full or at maximum); and</w:t>
      </w:r>
    </w:p>
    <w:p>
      <w:pPr>
        <w:spacing w:after="0" w:line="84" w:lineRule="exact"/>
        <w:rPr>
          <w:rFonts w:ascii="Arial" w:cs="Arial" w:eastAsia="Arial" w:hAnsi="Arial"/>
          <w:sz w:val="16"/>
          <w:szCs w:val="16"/>
          <w:color w:val="auto"/>
        </w:rPr>
      </w:pPr>
    </w:p>
    <w:p>
      <w:pPr>
        <w:ind w:left="780" w:right="120" w:hanging="384"/>
        <w:spacing w:after="0"/>
        <w:tabs>
          <w:tab w:leader="none" w:pos="780" w:val="left"/>
        </w:tabs>
        <w:numPr>
          <w:ilvl w:val="0"/>
          <w:numId w:val="69"/>
        </w:numPr>
        <w:rPr>
          <w:rFonts w:ascii="Arial" w:cs="Arial" w:eastAsia="Arial" w:hAnsi="Arial"/>
          <w:sz w:val="16"/>
          <w:szCs w:val="16"/>
          <w:color w:val="auto"/>
        </w:rPr>
      </w:pPr>
      <w:r>
        <w:rPr>
          <w:rFonts w:ascii="Arial" w:cs="Arial" w:eastAsia="Arial" w:hAnsi="Arial"/>
          <w:sz w:val="18"/>
          <w:szCs w:val="18"/>
          <w:color w:val="auto"/>
        </w:rPr>
        <w:t>all outstanding shares of restricted stock and restricted stock unit awards immediately vest and become non-forfeitable or issuable, as the case may be.</w:t>
      </w:r>
    </w:p>
    <w:p>
      <w:pPr>
        <w:spacing w:after="0" w:line="162" w:lineRule="exact"/>
        <w:rPr>
          <w:sz w:val="20"/>
          <w:szCs w:val="20"/>
          <w:color w:val="auto"/>
        </w:rPr>
      </w:pPr>
    </w:p>
    <w:p>
      <w:pPr>
        <w:ind w:right="80" w:firstLine="401"/>
        <w:spacing w:after="0" w:line="235" w:lineRule="auto"/>
        <w:rPr>
          <w:sz w:val="20"/>
          <w:szCs w:val="20"/>
          <w:color w:val="auto"/>
        </w:rPr>
      </w:pPr>
      <w:r>
        <w:rPr>
          <w:rFonts w:ascii="Arial" w:cs="Arial" w:eastAsia="Arial" w:hAnsi="Arial"/>
          <w:sz w:val="18"/>
          <w:szCs w:val="18"/>
          <w:color w:val="auto"/>
        </w:rPr>
        <w:t>Alternatively, the Compensation &amp; Human Resources Committee may elect to terminate such options, restricted stock awards, restricted stock unit awards or performance share awards in exchange for a cash payment for each option, restricted stock, restricted stock unit or performance share award in an amount equal to the excess, if any, between the consideration received by shareholders of our Company for shares of our Company in connection with the change in control and the exercise or purchase price, if any, of the option, restricted stock, restricted stock unit award or performance share award, multiplied by the number of shares subject to such option or award. Our 2010 Plan does not provide a “gross-up” for 280G excise tax, but does provide for a reduction of payments if such payments would result in lower after-tax income taking into consideration the 280G excise tax.</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purposes of our CIC policy and 2010 Plan, and subject to limited exceptions, a “change in control” occurs if:</w:t>
      </w:r>
    </w:p>
    <w:p>
      <w:pPr>
        <w:spacing w:after="0" w:line="88" w:lineRule="exact"/>
        <w:rPr>
          <w:sz w:val="20"/>
          <w:szCs w:val="20"/>
          <w:color w:val="auto"/>
        </w:rPr>
      </w:pPr>
    </w:p>
    <w:p>
      <w:pPr>
        <w:ind w:left="780" w:right="220" w:hanging="384"/>
        <w:spacing w:after="0"/>
        <w:tabs>
          <w:tab w:leader="none" w:pos="780" w:val="left"/>
        </w:tabs>
        <w:numPr>
          <w:ilvl w:val="0"/>
          <w:numId w:val="70"/>
        </w:numPr>
        <w:rPr>
          <w:rFonts w:ascii="Arial" w:cs="Arial" w:eastAsia="Arial" w:hAnsi="Arial"/>
          <w:sz w:val="16"/>
          <w:szCs w:val="16"/>
          <w:color w:val="auto"/>
        </w:rPr>
      </w:pPr>
      <w:r>
        <w:rPr>
          <w:rFonts w:ascii="Arial" w:cs="Arial" w:eastAsia="Arial" w:hAnsi="Arial"/>
          <w:sz w:val="18"/>
          <w:szCs w:val="18"/>
          <w:color w:val="auto"/>
        </w:rPr>
        <w:t>another person becomes the beneficial owner of 20% of our then-outstanding common stock or the combined voting power of our then-outstanding voting stock;</w:t>
      </w:r>
    </w:p>
    <w:p>
      <w:pPr>
        <w:spacing w:after="0" w:line="82" w:lineRule="exact"/>
        <w:rPr>
          <w:rFonts w:ascii="Arial" w:cs="Arial" w:eastAsia="Arial" w:hAnsi="Arial"/>
          <w:sz w:val="16"/>
          <w:szCs w:val="16"/>
          <w:color w:val="auto"/>
        </w:rPr>
      </w:pPr>
    </w:p>
    <w:p>
      <w:pPr>
        <w:ind w:left="780" w:right="560" w:hanging="384"/>
        <w:spacing w:after="0"/>
        <w:tabs>
          <w:tab w:leader="none" w:pos="780" w:val="left"/>
        </w:tabs>
        <w:numPr>
          <w:ilvl w:val="0"/>
          <w:numId w:val="70"/>
        </w:numPr>
        <w:rPr>
          <w:rFonts w:ascii="Arial" w:cs="Arial" w:eastAsia="Arial" w:hAnsi="Arial"/>
          <w:sz w:val="16"/>
          <w:szCs w:val="16"/>
          <w:color w:val="auto"/>
        </w:rPr>
      </w:pPr>
      <w:r>
        <w:rPr>
          <w:rFonts w:ascii="Arial" w:cs="Arial" w:eastAsia="Arial" w:hAnsi="Arial"/>
          <w:sz w:val="18"/>
          <w:szCs w:val="18"/>
          <w:color w:val="auto"/>
        </w:rPr>
        <w:t>a majority of our Board becomes comprised of persons other than those for whom election proxies have been solicited by our Board;</w:t>
      </w:r>
    </w:p>
    <w:p>
      <w:pPr>
        <w:spacing w:after="0" w:line="82" w:lineRule="exact"/>
        <w:rPr>
          <w:rFonts w:ascii="Arial" w:cs="Arial" w:eastAsia="Arial" w:hAnsi="Arial"/>
          <w:sz w:val="16"/>
          <w:szCs w:val="16"/>
          <w:color w:val="auto"/>
        </w:rPr>
      </w:pPr>
    </w:p>
    <w:p>
      <w:pPr>
        <w:ind w:left="780" w:right="80" w:hanging="384"/>
        <w:spacing w:after="0" w:line="236" w:lineRule="auto"/>
        <w:tabs>
          <w:tab w:leader="none" w:pos="780" w:val="left"/>
        </w:tabs>
        <w:numPr>
          <w:ilvl w:val="0"/>
          <w:numId w:val="70"/>
        </w:numPr>
        <w:rPr>
          <w:rFonts w:ascii="Arial" w:cs="Arial" w:eastAsia="Arial" w:hAnsi="Arial"/>
          <w:sz w:val="16"/>
          <w:szCs w:val="16"/>
          <w:color w:val="auto"/>
        </w:rPr>
      </w:pPr>
      <w:r>
        <w:rPr>
          <w:rFonts w:ascii="Arial" w:cs="Arial" w:eastAsia="Arial" w:hAnsi="Arial"/>
          <w:sz w:val="18"/>
          <w:szCs w:val="18"/>
          <w:color w:val="auto"/>
        </w:rPr>
        <w:t>the completion of certain business combinations, including a reorganization, merger, consolidation,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47" w:lineRule="exact"/>
        <w:rPr>
          <w:sz w:val="20"/>
          <w:szCs w:val="20"/>
          <w:color w:val="auto"/>
        </w:rPr>
      </w:pPr>
    </w:p>
    <w:p>
      <w:pPr>
        <w:ind w:left="780" w:hanging="384"/>
        <w:spacing w:after="0"/>
        <w:tabs>
          <w:tab w:leader="none" w:pos="780" w:val="left"/>
        </w:tabs>
        <w:numPr>
          <w:ilvl w:val="0"/>
          <w:numId w:val="71"/>
        </w:numPr>
        <w:rPr>
          <w:rFonts w:ascii="Arial" w:cs="Arial" w:eastAsia="Arial" w:hAnsi="Arial"/>
          <w:sz w:val="16"/>
          <w:szCs w:val="16"/>
          <w:color w:val="auto"/>
        </w:rPr>
      </w:pPr>
      <w:r>
        <w:rPr>
          <w:rFonts w:ascii="Arial" w:cs="Arial" w:eastAsia="Arial" w:hAnsi="Arial"/>
          <w:sz w:val="18"/>
          <w:szCs w:val="18"/>
          <w:color w:val="auto"/>
        </w:rPr>
        <w:t>our shareholders approve a complete liquidation or dissolution of our Company.</w:t>
      </w:r>
    </w:p>
    <w:p>
      <w:pPr>
        <w:spacing w:after="0" w:line="48" w:lineRule="exact"/>
        <w:rPr>
          <w:sz w:val="20"/>
          <w:szCs w:val="20"/>
          <w:color w:val="auto"/>
        </w:rPr>
      </w:pPr>
    </w:p>
    <w:p>
      <w:pPr>
        <w:jc w:val="both"/>
        <w:ind w:right="220" w:firstLine="401"/>
        <w:spacing w:after="0" w:line="238" w:lineRule="auto"/>
        <w:rPr>
          <w:sz w:val="20"/>
          <w:szCs w:val="20"/>
          <w:color w:val="auto"/>
        </w:rPr>
      </w:pPr>
      <w:r>
        <w:rPr>
          <w:rFonts w:ascii="Arial" w:cs="Arial" w:eastAsia="Arial" w:hAnsi="Arial"/>
          <w:sz w:val="18"/>
          <w:szCs w:val="18"/>
          <w:color w:val="auto"/>
        </w:rPr>
        <w:t>Additionally, under our nonqualified deferred compensation and retirement plans, upon the occurrence of a change in control, we must transfer cash or property to a “rabbi” trust for the benefit of plan participants in an amount sufficient to cause the trust to be funded at a level equal to the present value of all accumulated or accrued benefits then payable to or on behalf of plan participants.</w:t>
      </w:r>
    </w:p>
    <w:p>
      <w:pPr>
        <w:spacing w:after="0" w:line="19" w:lineRule="exact"/>
        <w:rPr>
          <w:sz w:val="20"/>
          <w:szCs w:val="20"/>
          <w:color w:val="auto"/>
        </w:rPr>
      </w:pPr>
    </w:p>
    <w:p>
      <w:pPr>
        <w:ind w:right="40" w:firstLine="401"/>
        <w:spacing w:after="0" w:line="239" w:lineRule="auto"/>
        <w:rPr>
          <w:sz w:val="20"/>
          <w:szCs w:val="20"/>
          <w:color w:val="auto"/>
        </w:rPr>
      </w:pPr>
      <w:r>
        <w:rPr>
          <w:rFonts w:ascii="Arial" w:cs="Arial" w:eastAsia="Arial" w:hAnsi="Arial"/>
          <w:sz w:val="18"/>
          <w:szCs w:val="18"/>
          <w:b w:val="1"/>
          <w:bCs w:val="1"/>
          <w:color w:val="auto"/>
        </w:rPr>
        <w:t xml:space="preserve">Potential Payments Upon Termination or Change In Control. </w:t>
      </w:r>
      <w:r>
        <w:rPr>
          <w:rFonts w:ascii="Arial" w:cs="Arial" w:eastAsia="Arial" w:hAnsi="Arial"/>
          <w:sz w:val="18"/>
          <w:szCs w:val="18"/>
          <w:color w:val="auto"/>
        </w:rPr>
        <w:t>The following table quantifies the payments and benefits for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vesting or time of payment is altered by each of the foregoing termination of employment or change in control situations. For purposes of quantifying payments and benefits, amounts are calculated (i) for each named executive officer as if the termination or change in control occurred on October 30, 2020, the last business day of our 2020 fiscal year; and (ii) using a per share value of $82.10, which represents the closing price of our common stock, as reported on the NYSE, on October 30, 2020. Material assumptions used in calculating the estimated payments and benefits are described in footnotes to the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40" w:type="dxa"/>
            <w:vAlign w:val="bottom"/>
            <w:shd w:val="clear" w:color="auto" w:fill="C00000"/>
          </w:tcPr>
          <w:p>
            <w:pPr>
              <w:spacing w:after="0"/>
              <w:rPr>
                <w:sz w:val="18"/>
                <w:szCs w:val="18"/>
                <w:color w:val="auto"/>
              </w:rPr>
            </w:pPr>
          </w:p>
        </w:tc>
        <w:tc>
          <w:tcPr>
            <w:tcW w:w="120" w:type="dxa"/>
            <w:vAlign w:val="bottom"/>
            <w:shd w:val="clear" w:color="auto" w:fill="C00000"/>
          </w:tcPr>
          <w:p>
            <w:pPr>
              <w:spacing w:after="0"/>
              <w:rPr>
                <w:sz w:val="18"/>
                <w:szCs w:val="18"/>
                <w:color w:val="auto"/>
              </w:rPr>
            </w:pPr>
          </w:p>
        </w:tc>
        <w:tc>
          <w:tcPr>
            <w:tcW w:w="1000" w:type="dxa"/>
            <w:vAlign w:val="bottom"/>
            <w:shd w:val="clear" w:color="auto" w:fill="C00000"/>
          </w:tcPr>
          <w:p>
            <w:pPr>
              <w:spacing w:after="0"/>
              <w:rPr>
                <w:sz w:val="18"/>
                <w:szCs w:val="18"/>
                <w:color w:val="auto"/>
              </w:rPr>
            </w:pPr>
          </w:p>
        </w:tc>
        <w:tc>
          <w:tcPr>
            <w:tcW w:w="180" w:type="dxa"/>
            <w:vAlign w:val="bottom"/>
            <w:shd w:val="clear" w:color="auto" w:fill="C00000"/>
          </w:tcPr>
          <w:p>
            <w:pPr>
              <w:spacing w:after="0"/>
              <w:rPr>
                <w:sz w:val="18"/>
                <w:szCs w:val="18"/>
                <w:color w:val="auto"/>
              </w:rPr>
            </w:pPr>
          </w:p>
        </w:tc>
        <w:tc>
          <w:tcPr>
            <w:tcW w:w="1020" w:type="dxa"/>
            <w:vAlign w:val="bottom"/>
            <w:shd w:val="clear" w:color="auto" w:fill="C00000"/>
          </w:tcPr>
          <w:p>
            <w:pPr>
              <w:spacing w:after="0"/>
              <w:rPr>
                <w:sz w:val="18"/>
                <w:szCs w:val="18"/>
                <w:color w:val="auto"/>
              </w:rPr>
            </w:pPr>
          </w:p>
        </w:tc>
        <w:tc>
          <w:tcPr>
            <w:tcW w:w="180" w:type="dxa"/>
            <w:vAlign w:val="bottom"/>
            <w:shd w:val="clear" w:color="auto" w:fill="C00000"/>
          </w:tcPr>
          <w:p>
            <w:pPr>
              <w:spacing w:after="0"/>
              <w:rPr>
                <w:sz w:val="18"/>
                <w:szCs w:val="18"/>
                <w:color w:val="auto"/>
              </w:rPr>
            </w:pPr>
          </w:p>
        </w:tc>
        <w:tc>
          <w:tcPr>
            <w:tcW w:w="1080" w:type="dxa"/>
            <w:vAlign w:val="bottom"/>
            <w:shd w:val="clear" w:color="auto" w:fill="C00000"/>
          </w:tcPr>
          <w:p>
            <w:pPr>
              <w:spacing w:after="0"/>
              <w:rPr>
                <w:sz w:val="18"/>
                <w:szCs w:val="18"/>
                <w:color w:val="auto"/>
              </w:rPr>
            </w:pPr>
          </w:p>
        </w:tc>
        <w:tc>
          <w:tcPr>
            <w:tcW w:w="120" w:type="dxa"/>
            <w:vAlign w:val="bottom"/>
            <w:shd w:val="clear" w:color="auto" w:fill="C00000"/>
          </w:tcPr>
          <w:p>
            <w:pPr>
              <w:spacing w:after="0"/>
              <w:rPr>
                <w:sz w:val="18"/>
                <w:szCs w:val="18"/>
                <w:color w:val="auto"/>
              </w:rPr>
            </w:pPr>
          </w:p>
        </w:tc>
        <w:tc>
          <w:tcPr>
            <w:tcW w:w="1060" w:type="dxa"/>
            <w:vAlign w:val="bottom"/>
            <w:shd w:val="clear" w:color="auto" w:fill="C00000"/>
          </w:tcPr>
          <w:p>
            <w:pPr>
              <w:spacing w:after="0"/>
              <w:rPr>
                <w:sz w:val="18"/>
                <w:szCs w:val="18"/>
                <w:color w:val="auto"/>
              </w:rPr>
            </w:pPr>
          </w:p>
        </w:tc>
        <w:tc>
          <w:tcPr>
            <w:tcW w:w="120" w:type="dxa"/>
            <w:vAlign w:val="bottom"/>
            <w:shd w:val="clear" w:color="auto" w:fill="C00000"/>
          </w:tcPr>
          <w:p>
            <w:pPr>
              <w:spacing w:after="0"/>
              <w:rPr>
                <w:sz w:val="18"/>
                <w:szCs w:val="18"/>
                <w:color w:val="auto"/>
              </w:rPr>
            </w:pPr>
          </w:p>
        </w:tc>
        <w:tc>
          <w:tcPr>
            <w:tcW w:w="2540" w:type="dxa"/>
            <w:vAlign w:val="bottom"/>
            <w:gridSpan w:val="3"/>
            <w:shd w:val="clear" w:color="auto" w:fill="C00000"/>
          </w:tcPr>
          <w:p>
            <w:pPr>
              <w:jc w:val="right"/>
              <w:ind w:right="570"/>
              <w:spacing w:after="0"/>
              <w:rPr>
                <w:sz w:val="20"/>
                <w:szCs w:val="20"/>
                <w:color w:val="auto"/>
              </w:rPr>
            </w:pPr>
            <w:r>
              <w:rPr>
                <w:rFonts w:ascii="Arial" w:cs="Arial" w:eastAsia="Arial" w:hAnsi="Arial"/>
                <w:sz w:val="13"/>
                <w:szCs w:val="13"/>
                <w:b w:val="1"/>
                <w:bCs w:val="1"/>
                <w:color w:val="FFFFFF"/>
              </w:rPr>
              <w:t>Change in Control</w:t>
            </w:r>
          </w:p>
        </w:tc>
        <w:tc>
          <w:tcPr>
            <w:tcW w:w="180" w:type="dxa"/>
            <w:vAlign w:val="bottom"/>
            <w:shd w:val="clear" w:color="auto" w:fill="C00000"/>
          </w:tcPr>
          <w:p>
            <w:pPr>
              <w:spacing w:after="0"/>
              <w:rPr>
                <w:sz w:val="18"/>
                <w:szCs w:val="18"/>
                <w:color w:val="auto"/>
              </w:rPr>
            </w:pPr>
          </w:p>
        </w:tc>
      </w:tr>
      <w:tr>
        <w:trPr>
          <w:trHeight w:val="139"/>
        </w:trPr>
        <w:tc>
          <w:tcPr>
            <w:tcW w:w="3640" w:type="dxa"/>
            <w:vAlign w:val="bottom"/>
            <w:shd w:val="clear" w:color="auto" w:fill="C00000"/>
          </w:tcPr>
          <w:p>
            <w:pPr>
              <w:spacing w:after="0"/>
              <w:rPr>
                <w:sz w:val="12"/>
                <w:szCs w:val="12"/>
                <w:color w:val="auto"/>
              </w:rPr>
            </w:pPr>
          </w:p>
        </w:tc>
        <w:tc>
          <w:tcPr>
            <w:tcW w:w="120" w:type="dxa"/>
            <w:vAlign w:val="bottom"/>
            <w:shd w:val="clear" w:color="auto" w:fill="C00000"/>
          </w:tcPr>
          <w:p>
            <w:pPr>
              <w:spacing w:after="0"/>
              <w:rPr>
                <w:sz w:val="12"/>
                <w:szCs w:val="12"/>
                <w:color w:val="auto"/>
              </w:rPr>
            </w:pPr>
          </w:p>
        </w:tc>
        <w:tc>
          <w:tcPr>
            <w:tcW w:w="1000" w:type="dxa"/>
            <w:vAlign w:val="bottom"/>
            <w:shd w:val="clear" w:color="auto" w:fill="C00000"/>
          </w:tcPr>
          <w:p>
            <w:pPr>
              <w:spacing w:after="0"/>
              <w:rPr>
                <w:sz w:val="12"/>
                <w:szCs w:val="12"/>
                <w:color w:val="auto"/>
              </w:rPr>
            </w:pPr>
          </w:p>
        </w:tc>
        <w:tc>
          <w:tcPr>
            <w:tcW w:w="180" w:type="dxa"/>
            <w:vAlign w:val="bottom"/>
            <w:shd w:val="clear" w:color="auto" w:fill="C00000"/>
          </w:tcPr>
          <w:p>
            <w:pPr>
              <w:spacing w:after="0"/>
              <w:rPr>
                <w:sz w:val="12"/>
                <w:szCs w:val="12"/>
                <w:color w:val="auto"/>
              </w:rPr>
            </w:pPr>
          </w:p>
        </w:tc>
        <w:tc>
          <w:tcPr>
            <w:tcW w:w="1020" w:type="dxa"/>
            <w:vAlign w:val="bottom"/>
            <w:shd w:val="clear" w:color="auto" w:fill="C00000"/>
          </w:tcPr>
          <w:p>
            <w:pPr>
              <w:spacing w:after="0"/>
              <w:rPr>
                <w:sz w:val="12"/>
                <w:szCs w:val="12"/>
                <w:color w:val="auto"/>
              </w:rPr>
            </w:pPr>
          </w:p>
        </w:tc>
        <w:tc>
          <w:tcPr>
            <w:tcW w:w="180" w:type="dxa"/>
            <w:vAlign w:val="bottom"/>
            <w:shd w:val="clear" w:color="auto" w:fill="C00000"/>
          </w:tcPr>
          <w:p>
            <w:pPr>
              <w:spacing w:after="0"/>
              <w:rPr>
                <w:sz w:val="12"/>
                <w:szCs w:val="12"/>
                <w:color w:val="auto"/>
              </w:rPr>
            </w:pPr>
          </w:p>
        </w:tc>
        <w:tc>
          <w:tcPr>
            <w:tcW w:w="1080" w:type="dxa"/>
            <w:vAlign w:val="bottom"/>
            <w:shd w:val="clear" w:color="auto" w:fill="C00000"/>
          </w:tcPr>
          <w:p>
            <w:pPr>
              <w:spacing w:after="0"/>
              <w:rPr>
                <w:sz w:val="12"/>
                <w:szCs w:val="12"/>
                <w:color w:val="auto"/>
              </w:rPr>
            </w:pPr>
          </w:p>
        </w:tc>
        <w:tc>
          <w:tcPr>
            <w:tcW w:w="120" w:type="dxa"/>
            <w:vAlign w:val="bottom"/>
            <w:shd w:val="clear" w:color="auto" w:fill="C00000"/>
          </w:tcPr>
          <w:p>
            <w:pPr>
              <w:spacing w:after="0"/>
              <w:rPr>
                <w:sz w:val="12"/>
                <w:szCs w:val="12"/>
                <w:color w:val="auto"/>
              </w:rPr>
            </w:pPr>
          </w:p>
        </w:tc>
        <w:tc>
          <w:tcPr>
            <w:tcW w:w="1060" w:type="dxa"/>
            <w:vAlign w:val="bottom"/>
            <w:shd w:val="clear" w:color="auto" w:fill="C00000"/>
          </w:tcPr>
          <w:p>
            <w:pPr>
              <w:spacing w:after="0"/>
              <w:rPr>
                <w:sz w:val="12"/>
                <w:szCs w:val="12"/>
                <w:color w:val="auto"/>
              </w:rPr>
            </w:pPr>
          </w:p>
        </w:tc>
        <w:tc>
          <w:tcPr>
            <w:tcW w:w="120" w:type="dxa"/>
            <w:vAlign w:val="bottom"/>
            <w:shd w:val="clear" w:color="auto" w:fill="C00000"/>
          </w:tcPr>
          <w:p>
            <w:pPr>
              <w:spacing w:after="0"/>
              <w:rPr>
                <w:sz w:val="12"/>
                <w:szCs w:val="12"/>
                <w:color w:val="auto"/>
              </w:rPr>
            </w:pPr>
          </w:p>
        </w:tc>
        <w:tc>
          <w:tcPr>
            <w:tcW w:w="1020" w:type="dxa"/>
            <w:vAlign w:val="bottom"/>
            <w:shd w:val="clear" w:color="auto" w:fill="C00000"/>
          </w:tcPr>
          <w:p>
            <w:pPr>
              <w:spacing w:after="0"/>
              <w:rPr>
                <w:sz w:val="12"/>
                <w:szCs w:val="12"/>
                <w:color w:val="auto"/>
              </w:rPr>
            </w:pPr>
          </w:p>
        </w:tc>
        <w:tc>
          <w:tcPr>
            <w:tcW w:w="180" w:type="dxa"/>
            <w:vAlign w:val="bottom"/>
            <w:shd w:val="clear" w:color="auto" w:fill="C00000"/>
          </w:tcPr>
          <w:p>
            <w:pPr>
              <w:spacing w:after="0"/>
              <w:rPr>
                <w:sz w:val="12"/>
                <w:szCs w:val="12"/>
                <w:color w:val="auto"/>
              </w:rPr>
            </w:pPr>
          </w:p>
        </w:tc>
        <w:tc>
          <w:tcPr>
            <w:tcW w:w="1520" w:type="dxa"/>
            <w:vAlign w:val="bottom"/>
            <w:gridSpan w:val="2"/>
            <w:shd w:val="clear" w:color="auto" w:fill="C00000"/>
          </w:tcPr>
          <w:p>
            <w:pPr>
              <w:jc w:val="center"/>
              <w:spacing w:after="0" w:line="139" w:lineRule="exact"/>
              <w:rPr>
                <w:sz w:val="20"/>
                <w:szCs w:val="20"/>
                <w:color w:val="auto"/>
              </w:rPr>
            </w:pPr>
            <w:r>
              <w:rPr>
                <w:rFonts w:ascii="Arial" w:cs="Arial" w:eastAsia="Arial" w:hAnsi="Arial"/>
                <w:sz w:val="13"/>
                <w:szCs w:val="13"/>
                <w:b w:val="1"/>
                <w:bCs w:val="1"/>
                <w:color w:val="FFFFFF"/>
                <w:w w:val="96"/>
              </w:rPr>
              <w:t>Termination Without</w:t>
            </w:r>
          </w:p>
        </w:tc>
      </w:tr>
      <w:tr>
        <w:trPr>
          <w:trHeight w:val="134"/>
        </w:trPr>
        <w:tc>
          <w:tcPr>
            <w:tcW w:w="3640" w:type="dxa"/>
            <w:vAlign w:val="bottom"/>
            <w:shd w:val="clear" w:color="auto" w:fill="C00000"/>
          </w:tcPr>
          <w:p>
            <w:pPr>
              <w:spacing w:after="0"/>
              <w:rPr>
                <w:sz w:val="11"/>
                <w:szCs w:val="11"/>
                <w:color w:val="auto"/>
              </w:rPr>
            </w:pPr>
          </w:p>
        </w:tc>
        <w:tc>
          <w:tcPr>
            <w:tcW w:w="120" w:type="dxa"/>
            <w:vAlign w:val="bottom"/>
            <w:shd w:val="clear" w:color="auto" w:fill="C00000"/>
          </w:tcPr>
          <w:p>
            <w:pPr>
              <w:spacing w:after="0"/>
              <w:rPr>
                <w:sz w:val="11"/>
                <w:szCs w:val="11"/>
                <w:color w:val="auto"/>
              </w:rPr>
            </w:pPr>
          </w:p>
        </w:tc>
        <w:tc>
          <w:tcPr>
            <w:tcW w:w="1000" w:type="dxa"/>
            <w:vAlign w:val="bottom"/>
            <w:shd w:val="clear" w:color="auto" w:fill="C00000"/>
          </w:tcPr>
          <w:p>
            <w:pPr>
              <w:jc w:val="center"/>
              <w:ind w:left="90"/>
              <w:spacing w:after="0" w:line="134" w:lineRule="exact"/>
              <w:rPr>
                <w:sz w:val="20"/>
                <w:szCs w:val="20"/>
                <w:color w:val="auto"/>
              </w:rPr>
            </w:pPr>
            <w:r>
              <w:rPr>
                <w:rFonts w:ascii="Arial" w:cs="Arial" w:eastAsia="Arial" w:hAnsi="Arial"/>
                <w:sz w:val="13"/>
                <w:szCs w:val="13"/>
                <w:b w:val="1"/>
                <w:bCs w:val="1"/>
                <w:color w:val="FFFFFF"/>
                <w:w w:val="93"/>
              </w:rPr>
              <w:t>Voluntary</w:t>
            </w:r>
          </w:p>
        </w:tc>
        <w:tc>
          <w:tcPr>
            <w:tcW w:w="180" w:type="dxa"/>
            <w:vAlign w:val="bottom"/>
            <w:shd w:val="clear" w:color="auto" w:fill="C00000"/>
          </w:tcPr>
          <w:p>
            <w:pPr>
              <w:spacing w:after="0"/>
              <w:rPr>
                <w:sz w:val="11"/>
                <w:szCs w:val="11"/>
                <w:color w:val="auto"/>
              </w:rPr>
            </w:pPr>
          </w:p>
        </w:tc>
        <w:tc>
          <w:tcPr>
            <w:tcW w:w="1020" w:type="dxa"/>
            <w:vAlign w:val="bottom"/>
            <w:shd w:val="clear" w:color="auto" w:fill="C00000"/>
          </w:tcPr>
          <w:p>
            <w:pPr>
              <w:spacing w:after="0"/>
              <w:rPr>
                <w:sz w:val="11"/>
                <w:szCs w:val="11"/>
                <w:color w:val="auto"/>
              </w:rPr>
            </w:pPr>
          </w:p>
        </w:tc>
        <w:tc>
          <w:tcPr>
            <w:tcW w:w="180" w:type="dxa"/>
            <w:vAlign w:val="bottom"/>
            <w:shd w:val="clear" w:color="auto" w:fill="C00000"/>
          </w:tcPr>
          <w:p>
            <w:pPr>
              <w:spacing w:after="0"/>
              <w:rPr>
                <w:sz w:val="11"/>
                <w:szCs w:val="11"/>
                <w:color w:val="auto"/>
              </w:rPr>
            </w:pPr>
          </w:p>
        </w:tc>
        <w:tc>
          <w:tcPr>
            <w:tcW w:w="1080" w:type="dxa"/>
            <w:vAlign w:val="bottom"/>
            <w:shd w:val="clear" w:color="auto" w:fill="C00000"/>
          </w:tcPr>
          <w:p>
            <w:pPr>
              <w:jc w:val="center"/>
              <w:ind w:left="29"/>
              <w:spacing w:after="0" w:line="134" w:lineRule="exact"/>
              <w:rPr>
                <w:sz w:val="20"/>
                <w:szCs w:val="20"/>
                <w:color w:val="auto"/>
              </w:rPr>
            </w:pPr>
            <w:r>
              <w:rPr>
                <w:rFonts w:ascii="Arial" w:cs="Arial" w:eastAsia="Arial" w:hAnsi="Arial"/>
                <w:sz w:val="13"/>
                <w:szCs w:val="13"/>
                <w:b w:val="1"/>
                <w:bCs w:val="1"/>
                <w:color w:val="FFFFFF"/>
                <w:w w:val="94"/>
              </w:rPr>
              <w:t>Involuntary</w:t>
            </w:r>
          </w:p>
        </w:tc>
        <w:tc>
          <w:tcPr>
            <w:tcW w:w="120" w:type="dxa"/>
            <w:vAlign w:val="bottom"/>
            <w:shd w:val="clear" w:color="auto" w:fill="C00000"/>
          </w:tcPr>
          <w:p>
            <w:pPr>
              <w:spacing w:after="0"/>
              <w:rPr>
                <w:sz w:val="11"/>
                <w:szCs w:val="11"/>
                <w:color w:val="auto"/>
              </w:rPr>
            </w:pPr>
          </w:p>
        </w:tc>
        <w:tc>
          <w:tcPr>
            <w:tcW w:w="1180" w:type="dxa"/>
            <w:vAlign w:val="bottom"/>
            <w:gridSpan w:val="2"/>
            <w:shd w:val="clear" w:color="auto" w:fill="C00000"/>
          </w:tcPr>
          <w:p>
            <w:pPr>
              <w:jc w:val="center"/>
              <w:ind w:right="20"/>
              <w:spacing w:after="0" w:line="134" w:lineRule="exact"/>
              <w:rPr>
                <w:sz w:val="20"/>
                <w:szCs w:val="20"/>
                <w:color w:val="auto"/>
              </w:rPr>
            </w:pPr>
            <w:r>
              <w:rPr>
                <w:rFonts w:ascii="Arial" w:cs="Arial" w:eastAsia="Arial" w:hAnsi="Arial"/>
                <w:sz w:val="13"/>
                <w:szCs w:val="13"/>
                <w:b w:val="1"/>
                <w:bCs w:val="1"/>
                <w:color w:val="FFFFFF"/>
                <w:w w:val="96"/>
              </w:rPr>
              <w:t>Termination</w:t>
            </w:r>
          </w:p>
        </w:tc>
        <w:tc>
          <w:tcPr>
            <w:tcW w:w="1020" w:type="dxa"/>
            <w:vAlign w:val="bottom"/>
            <w:shd w:val="clear" w:color="auto" w:fill="C00000"/>
          </w:tcPr>
          <w:p>
            <w:pPr>
              <w:spacing w:after="0"/>
              <w:rPr>
                <w:sz w:val="11"/>
                <w:szCs w:val="11"/>
                <w:color w:val="auto"/>
              </w:rPr>
            </w:pPr>
          </w:p>
        </w:tc>
        <w:tc>
          <w:tcPr>
            <w:tcW w:w="180" w:type="dxa"/>
            <w:vAlign w:val="bottom"/>
            <w:shd w:val="clear" w:color="auto" w:fill="C00000"/>
          </w:tcPr>
          <w:p>
            <w:pPr>
              <w:spacing w:after="0"/>
              <w:rPr>
                <w:sz w:val="11"/>
                <w:szCs w:val="11"/>
                <w:color w:val="auto"/>
              </w:rPr>
            </w:pPr>
          </w:p>
        </w:tc>
        <w:tc>
          <w:tcPr>
            <w:tcW w:w="1340" w:type="dxa"/>
            <w:vAlign w:val="bottom"/>
            <w:shd w:val="clear" w:color="auto" w:fill="C00000"/>
          </w:tcPr>
          <w:p>
            <w:pPr>
              <w:jc w:val="center"/>
              <w:ind w:left="90"/>
              <w:spacing w:after="0" w:line="134" w:lineRule="exact"/>
              <w:rPr>
                <w:sz w:val="20"/>
                <w:szCs w:val="20"/>
                <w:color w:val="auto"/>
              </w:rPr>
            </w:pPr>
            <w:r>
              <w:rPr>
                <w:rFonts w:ascii="Arial" w:cs="Arial" w:eastAsia="Arial" w:hAnsi="Arial"/>
                <w:sz w:val="13"/>
                <w:szCs w:val="13"/>
                <w:b w:val="1"/>
                <w:bCs w:val="1"/>
                <w:color w:val="FFFFFF"/>
                <w:w w:val="96"/>
              </w:rPr>
              <w:t>Cause by TTC or by</w:t>
            </w:r>
          </w:p>
        </w:tc>
        <w:tc>
          <w:tcPr>
            <w:tcW w:w="180" w:type="dxa"/>
            <w:vAlign w:val="bottom"/>
            <w:shd w:val="clear" w:color="auto" w:fill="C00000"/>
          </w:tcPr>
          <w:p>
            <w:pPr>
              <w:spacing w:after="0"/>
              <w:rPr>
                <w:sz w:val="11"/>
                <w:szCs w:val="11"/>
                <w:color w:val="auto"/>
              </w:rPr>
            </w:pPr>
          </w:p>
        </w:tc>
      </w:tr>
      <w:tr>
        <w:trPr>
          <w:trHeight w:val="134"/>
        </w:trPr>
        <w:tc>
          <w:tcPr>
            <w:tcW w:w="3640" w:type="dxa"/>
            <w:vAlign w:val="bottom"/>
            <w:shd w:val="clear" w:color="auto" w:fill="C00000"/>
          </w:tcPr>
          <w:p>
            <w:pPr>
              <w:spacing w:after="0"/>
              <w:rPr>
                <w:sz w:val="11"/>
                <w:szCs w:val="11"/>
                <w:color w:val="auto"/>
              </w:rPr>
            </w:pPr>
          </w:p>
        </w:tc>
        <w:tc>
          <w:tcPr>
            <w:tcW w:w="120" w:type="dxa"/>
            <w:vAlign w:val="bottom"/>
            <w:shd w:val="clear" w:color="auto" w:fill="C00000"/>
          </w:tcPr>
          <w:p>
            <w:pPr>
              <w:spacing w:after="0"/>
              <w:rPr>
                <w:sz w:val="11"/>
                <w:szCs w:val="11"/>
                <w:color w:val="auto"/>
              </w:rPr>
            </w:pPr>
          </w:p>
        </w:tc>
        <w:tc>
          <w:tcPr>
            <w:tcW w:w="1000" w:type="dxa"/>
            <w:vAlign w:val="bottom"/>
            <w:shd w:val="clear" w:color="auto" w:fill="C00000"/>
          </w:tcPr>
          <w:p>
            <w:pPr>
              <w:jc w:val="center"/>
              <w:ind w:left="110"/>
              <w:spacing w:after="0" w:line="134" w:lineRule="exact"/>
              <w:rPr>
                <w:sz w:val="20"/>
                <w:szCs w:val="20"/>
                <w:color w:val="auto"/>
              </w:rPr>
            </w:pPr>
            <w:r>
              <w:rPr>
                <w:rFonts w:ascii="Arial" w:cs="Arial" w:eastAsia="Arial" w:hAnsi="Arial"/>
                <w:sz w:val="13"/>
                <w:szCs w:val="13"/>
                <w:b w:val="1"/>
                <w:bCs w:val="1"/>
                <w:color w:val="FFFFFF"/>
                <w:w w:val="95"/>
              </w:rPr>
              <w:t>Resignation /</w:t>
            </w:r>
          </w:p>
        </w:tc>
        <w:tc>
          <w:tcPr>
            <w:tcW w:w="180" w:type="dxa"/>
            <w:vAlign w:val="bottom"/>
            <w:shd w:val="clear" w:color="auto" w:fill="C00000"/>
          </w:tcPr>
          <w:p>
            <w:pPr>
              <w:spacing w:after="0"/>
              <w:rPr>
                <w:sz w:val="11"/>
                <w:szCs w:val="11"/>
                <w:color w:val="auto"/>
              </w:rPr>
            </w:pPr>
          </w:p>
        </w:tc>
        <w:tc>
          <w:tcPr>
            <w:tcW w:w="1020" w:type="dxa"/>
            <w:vAlign w:val="bottom"/>
            <w:shd w:val="clear" w:color="auto" w:fill="C00000"/>
          </w:tcPr>
          <w:p>
            <w:pPr>
              <w:jc w:val="center"/>
              <w:ind w:left="89"/>
              <w:spacing w:after="0" w:line="134" w:lineRule="exact"/>
              <w:rPr>
                <w:sz w:val="20"/>
                <w:szCs w:val="20"/>
                <w:color w:val="auto"/>
              </w:rPr>
            </w:pPr>
            <w:r>
              <w:rPr>
                <w:rFonts w:ascii="Arial" w:cs="Arial" w:eastAsia="Arial" w:hAnsi="Arial"/>
                <w:sz w:val="13"/>
                <w:szCs w:val="13"/>
                <w:b w:val="1"/>
                <w:bCs w:val="1"/>
                <w:color w:val="FFFFFF"/>
                <w:w w:val="94"/>
              </w:rPr>
              <w:t>Disability or</w:t>
            </w:r>
          </w:p>
        </w:tc>
        <w:tc>
          <w:tcPr>
            <w:tcW w:w="180" w:type="dxa"/>
            <w:vAlign w:val="bottom"/>
            <w:shd w:val="clear" w:color="auto" w:fill="C00000"/>
          </w:tcPr>
          <w:p>
            <w:pPr>
              <w:spacing w:after="0"/>
              <w:rPr>
                <w:sz w:val="11"/>
                <w:szCs w:val="11"/>
                <w:color w:val="auto"/>
              </w:rPr>
            </w:pPr>
          </w:p>
        </w:tc>
        <w:tc>
          <w:tcPr>
            <w:tcW w:w="1080" w:type="dxa"/>
            <w:vAlign w:val="bottom"/>
            <w:shd w:val="clear" w:color="auto" w:fill="C00000"/>
          </w:tcPr>
          <w:p>
            <w:pPr>
              <w:jc w:val="center"/>
              <w:ind w:left="29"/>
              <w:spacing w:after="0" w:line="134" w:lineRule="exact"/>
              <w:rPr>
                <w:sz w:val="20"/>
                <w:szCs w:val="20"/>
                <w:color w:val="auto"/>
              </w:rPr>
            </w:pPr>
            <w:r>
              <w:rPr>
                <w:rFonts w:ascii="Arial" w:cs="Arial" w:eastAsia="Arial" w:hAnsi="Arial"/>
                <w:sz w:val="13"/>
                <w:szCs w:val="13"/>
                <w:b w:val="1"/>
                <w:bCs w:val="1"/>
                <w:color w:val="FFFFFF"/>
                <w:w w:val="96"/>
              </w:rPr>
              <w:t>Termination by</w:t>
            </w:r>
          </w:p>
        </w:tc>
        <w:tc>
          <w:tcPr>
            <w:tcW w:w="120" w:type="dxa"/>
            <w:vAlign w:val="bottom"/>
            <w:shd w:val="clear" w:color="auto" w:fill="C00000"/>
          </w:tcPr>
          <w:p>
            <w:pPr>
              <w:spacing w:after="0"/>
              <w:rPr>
                <w:sz w:val="11"/>
                <w:szCs w:val="11"/>
                <w:color w:val="auto"/>
              </w:rPr>
            </w:pPr>
          </w:p>
        </w:tc>
        <w:tc>
          <w:tcPr>
            <w:tcW w:w="1180" w:type="dxa"/>
            <w:vAlign w:val="bottom"/>
            <w:gridSpan w:val="2"/>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5"/>
              </w:rPr>
              <w:t>by TTC for</w:t>
            </w:r>
          </w:p>
        </w:tc>
        <w:tc>
          <w:tcPr>
            <w:tcW w:w="1200" w:type="dxa"/>
            <w:vAlign w:val="bottom"/>
            <w:gridSpan w:val="2"/>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4"/>
              </w:rPr>
              <w:t>No Termination</w:t>
            </w:r>
          </w:p>
        </w:tc>
        <w:tc>
          <w:tcPr>
            <w:tcW w:w="1340" w:type="dxa"/>
            <w:vAlign w:val="bottom"/>
            <w:shd w:val="clear" w:color="auto" w:fill="C00000"/>
          </w:tcPr>
          <w:p>
            <w:pPr>
              <w:jc w:val="center"/>
              <w:ind w:left="90"/>
              <w:spacing w:after="0" w:line="134" w:lineRule="exact"/>
              <w:rPr>
                <w:sz w:val="20"/>
                <w:szCs w:val="20"/>
                <w:color w:val="auto"/>
              </w:rPr>
            </w:pPr>
            <w:r>
              <w:rPr>
                <w:rFonts w:ascii="Arial" w:cs="Arial" w:eastAsia="Arial" w:hAnsi="Arial"/>
                <w:sz w:val="13"/>
                <w:szCs w:val="13"/>
                <w:b w:val="1"/>
                <w:bCs w:val="1"/>
                <w:color w:val="FFFFFF"/>
                <w:w w:val="95"/>
              </w:rPr>
              <w:t>Executive for Good</w:t>
            </w:r>
          </w:p>
        </w:tc>
        <w:tc>
          <w:tcPr>
            <w:tcW w:w="180" w:type="dxa"/>
            <w:vAlign w:val="bottom"/>
            <w:shd w:val="clear" w:color="auto" w:fill="C00000"/>
          </w:tcPr>
          <w:p>
            <w:pPr>
              <w:spacing w:after="0"/>
              <w:rPr>
                <w:sz w:val="11"/>
                <w:szCs w:val="11"/>
                <w:color w:val="auto"/>
              </w:rPr>
            </w:pPr>
          </w:p>
        </w:tc>
      </w:tr>
      <w:tr>
        <w:trPr>
          <w:trHeight w:val="134"/>
        </w:trPr>
        <w:tc>
          <w:tcPr>
            <w:tcW w:w="3640" w:type="dxa"/>
            <w:vAlign w:val="bottom"/>
            <w:shd w:val="clear" w:color="auto" w:fill="C00000"/>
          </w:tcPr>
          <w:p>
            <w:pPr>
              <w:spacing w:after="0"/>
              <w:rPr>
                <w:sz w:val="11"/>
                <w:szCs w:val="11"/>
                <w:color w:val="auto"/>
              </w:rPr>
            </w:pPr>
          </w:p>
        </w:tc>
        <w:tc>
          <w:tcPr>
            <w:tcW w:w="120" w:type="dxa"/>
            <w:vAlign w:val="bottom"/>
            <w:shd w:val="clear" w:color="auto" w:fill="C00000"/>
          </w:tcPr>
          <w:p>
            <w:pPr>
              <w:spacing w:after="0"/>
              <w:rPr>
                <w:sz w:val="11"/>
                <w:szCs w:val="11"/>
                <w:color w:val="auto"/>
              </w:rPr>
            </w:pPr>
          </w:p>
        </w:tc>
        <w:tc>
          <w:tcPr>
            <w:tcW w:w="1000" w:type="dxa"/>
            <w:vAlign w:val="bottom"/>
            <w:shd w:val="clear" w:color="auto" w:fill="C00000"/>
          </w:tcPr>
          <w:p>
            <w:pPr>
              <w:jc w:val="center"/>
              <w:ind w:left="110"/>
              <w:spacing w:after="0" w:line="134" w:lineRule="exact"/>
              <w:rPr>
                <w:sz w:val="20"/>
                <w:szCs w:val="20"/>
                <w:color w:val="auto"/>
              </w:rPr>
            </w:pPr>
            <w:r>
              <w:rPr>
                <w:rFonts w:ascii="Arial" w:cs="Arial" w:eastAsia="Arial" w:hAnsi="Arial"/>
                <w:sz w:val="13"/>
                <w:szCs w:val="13"/>
                <w:b w:val="1"/>
                <w:bCs w:val="1"/>
                <w:color w:val="FFFFFF"/>
                <w:w w:val="97"/>
              </w:rPr>
              <w:t>Retirement</w:t>
            </w:r>
            <w:r>
              <w:rPr>
                <w:rFonts w:ascii="Arial" w:cs="Arial" w:eastAsia="Arial" w:hAnsi="Arial"/>
                <w:sz w:val="10"/>
                <w:szCs w:val="10"/>
                <w:b w:val="1"/>
                <w:bCs w:val="1"/>
                <w:color w:val="FFFFFF"/>
                <w:w w:val="97"/>
              </w:rPr>
              <w:t>(1)</w:t>
            </w:r>
          </w:p>
        </w:tc>
        <w:tc>
          <w:tcPr>
            <w:tcW w:w="180" w:type="dxa"/>
            <w:vAlign w:val="bottom"/>
            <w:shd w:val="clear" w:color="auto" w:fill="C00000"/>
          </w:tcPr>
          <w:p>
            <w:pPr>
              <w:spacing w:after="0"/>
              <w:rPr>
                <w:sz w:val="11"/>
                <w:szCs w:val="11"/>
                <w:color w:val="auto"/>
              </w:rPr>
            </w:pPr>
          </w:p>
        </w:tc>
        <w:tc>
          <w:tcPr>
            <w:tcW w:w="1020" w:type="dxa"/>
            <w:vAlign w:val="bottom"/>
            <w:shd w:val="clear" w:color="auto" w:fill="C00000"/>
          </w:tcPr>
          <w:p>
            <w:pPr>
              <w:jc w:val="center"/>
              <w:ind w:left="89"/>
              <w:spacing w:after="0" w:line="134" w:lineRule="exact"/>
              <w:rPr>
                <w:sz w:val="20"/>
                <w:szCs w:val="20"/>
                <w:color w:val="auto"/>
              </w:rPr>
            </w:pPr>
            <w:r>
              <w:rPr>
                <w:rFonts w:ascii="Arial" w:cs="Arial" w:eastAsia="Arial" w:hAnsi="Arial"/>
                <w:sz w:val="13"/>
                <w:szCs w:val="13"/>
                <w:b w:val="1"/>
                <w:bCs w:val="1"/>
                <w:color w:val="FFFFFF"/>
                <w:w w:val="94"/>
              </w:rPr>
              <w:t>Death</w:t>
            </w:r>
          </w:p>
        </w:tc>
        <w:tc>
          <w:tcPr>
            <w:tcW w:w="180" w:type="dxa"/>
            <w:vAlign w:val="bottom"/>
            <w:shd w:val="clear" w:color="auto" w:fill="C00000"/>
          </w:tcPr>
          <w:p>
            <w:pPr>
              <w:spacing w:after="0"/>
              <w:rPr>
                <w:sz w:val="11"/>
                <w:szCs w:val="11"/>
                <w:color w:val="auto"/>
              </w:rPr>
            </w:pPr>
          </w:p>
        </w:tc>
        <w:tc>
          <w:tcPr>
            <w:tcW w:w="1080" w:type="dxa"/>
            <w:vAlign w:val="bottom"/>
            <w:shd w:val="clear" w:color="auto" w:fill="C00000"/>
          </w:tcPr>
          <w:p>
            <w:pPr>
              <w:jc w:val="center"/>
              <w:ind w:left="29"/>
              <w:spacing w:after="0" w:line="134" w:lineRule="exact"/>
              <w:rPr>
                <w:sz w:val="20"/>
                <w:szCs w:val="20"/>
                <w:color w:val="auto"/>
              </w:rPr>
            </w:pPr>
            <w:r>
              <w:rPr>
                <w:rFonts w:ascii="Arial" w:cs="Arial" w:eastAsia="Arial" w:hAnsi="Arial"/>
                <w:sz w:val="13"/>
                <w:szCs w:val="13"/>
                <w:b w:val="1"/>
                <w:bCs w:val="1"/>
                <w:color w:val="FFFFFF"/>
              </w:rPr>
              <w:t>TTC</w:t>
            </w:r>
          </w:p>
        </w:tc>
        <w:tc>
          <w:tcPr>
            <w:tcW w:w="120" w:type="dxa"/>
            <w:vAlign w:val="bottom"/>
            <w:shd w:val="clear" w:color="auto" w:fill="C00000"/>
          </w:tcPr>
          <w:p>
            <w:pPr>
              <w:spacing w:after="0"/>
              <w:rPr>
                <w:sz w:val="11"/>
                <w:szCs w:val="11"/>
                <w:color w:val="auto"/>
              </w:rPr>
            </w:pPr>
          </w:p>
        </w:tc>
        <w:tc>
          <w:tcPr>
            <w:tcW w:w="1180" w:type="dxa"/>
            <w:vAlign w:val="bottom"/>
            <w:gridSpan w:val="2"/>
            <w:shd w:val="clear" w:color="auto" w:fill="C00000"/>
          </w:tcPr>
          <w:p>
            <w:pPr>
              <w:jc w:val="center"/>
              <w:spacing w:after="0" w:line="134" w:lineRule="exact"/>
              <w:rPr>
                <w:sz w:val="20"/>
                <w:szCs w:val="20"/>
                <w:color w:val="auto"/>
              </w:rPr>
            </w:pPr>
            <w:r>
              <w:rPr>
                <w:rFonts w:ascii="Arial" w:cs="Arial" w:eastAsia="Arial" w:hAnsi="Arial"/>
                <w:sz w:val="13"/>
                <w:szCs w:val="13"/>
                <w:b w:val="1"/>
                <w:bCs w:val="1"/>
                <w:color w:val="FFFFFF"/>
                <w:w w:val="97"/>
              </w:rPr>
              <w:t>Cause</w:t>
            </w:r>
          </w:p>
        </w:tc>
        <w:tc>
          <w:tcPr>
            <w:tcW w:w="1020" w:type="dxa"/>
            <w:vAlign w:val="bottom"/>
            <w:shd w:val="clear" w:color="auto" w:fill="C00000"/>
          </w:tcPr>
          <w:p>
            <w:pPr>
              <w:jc w:val="center"/>
              <w:ind w:left="89"/>
              <w:spacing w:after="0" w:line="134" w:lineRule="exact"/>
              <w:rPr>
                <w:sz w:val="20"/>
                <w:szCs w:val="20"/>
                <w:color w:val="auto"/>
              </w:rPr>
            </w:pPr>
            <w:r>
              <w:rPr>
                <w:rFonts w:ascii="Arial" w:cs="Arial" w:eastAsia="Arial" w:hAnsi="Arial"/>
                <w:sz w:val="13"/>
                <w:szCs w:val="13"/>
                <w:b w:val="1"/>
                <w:bCs w:val="1"/>
                <w:color w:val="FFFFFF"/>
                <w:w w:val="95"/>
              </w:rPr>
              <w:t>Event</w:t>
            </w:r>
          </w:p>
        </w:tc>
        <w:tc>
          <w:tcPr>
            <w:tcW w:w="180" w:type="dxa"/>
            <w:vAlign w:val="bottom"/>
            <w:shd w:val="clear" w:color="auto" w:fill="C00000"/>
          </w:tcPr>
          <w:p>
            <w:pPr>
              <w:spacing w:after="0"/>
              <w:rPr>
                <w:sz w:val="11"/>
                <w:szCs w:val="11"/>
                <w:color w:val="auto"/>
              </w:rPr>
            </w:pPr>
          </w:p>
        </w:tc>
        <w:tc>
          <w:tcPr>
            <w:tcW w:w="1340" w:type="dxa"/>
            <w:vAlign w:val="bottom"/>
            <w:shd w:val="clear" w:color="auto" w:fill="C00000"/>
          </w:tcPr>
          <w:p>
            <w:pPr>
              <w:jc w:val="center"/>
              <w:ind w:left="90"/>
              <w:spacing w:after="0" w:line="134" w:lineRule="exact"/>
              <w:rPr>
                <w:sz w:val="20"/>
                <w:szCs w:val="20"/>
                <w:color w:val="auto"/>
              </w:rPr>
            </w:pPr>
            <w:r>
              <w:rPr>
                <w:rFonts w:ascii="Arial" w:cs="Arial" w:eastAsia="Arial" w:hAnsi="Arial"/>
                <w:sz w:val="13"/>
                <w:szCs w:val="13"/>
                <w:b w:val="1"/>
                <w:bCs w:val="1"/>
                <w:color w:val="FFFFFF"/>
                <w:w w:val="97"/>
              </w:rPr>
              <w:t>Reason</w:t>
            </w:r>
          </w:p>
        </w:tc>
        <w:tc>
          <w:tcPr>
            <w:tcW w:w="180" w:type="dxa"/>
            <w:vAlign w:val="bottom"/>
            <w:shd w:val="clear" w:color="auto" w:fill="C00000"/>
          </w:tcPr>
          <w:p>
            <w:pPr>
              <w:spacing w:after="0"/>
              <w:rPr>
                <w:sz w:val="11"/>
                <w:szCs w:val="11"/>
                <w:color w:val="auto"/>
              </w:rPr>
            </w:pPr>
          </w:p>
        </w:tc>
      </w:tr>
      <w:tr>
        <w:trPr>
          <w:trHeight w:val="156"/>
        </w:trPr>
        <w:tc>
          <w:tcPr>
            <w:tcW w:w="3640" w:type="dxa"/>
            <w:vAlign w:val="bottom"/>
            <w:shd w:val="clear" w:color="auto" w:fill="C00000"/>
          </w:tcPr>
          <w:p>
            <w:pPr>
              <w:ind w:left="1220"/>
              <w:spacing w:after="0"/>
              <w:rPr>
                <w:sz w:val="20"/>
                <w:szCs w:val="20"/>
                <w:color w:val="auto"/>
              </w:rPr>
            </w:pPr>
            <w:r>
              <w:rPr>
                <w:rFonts w:ascii="Arial" w:cs="Arial" w:eastAsia="Arial" w:hAnsi="Arial"/>
                <w:sz w:val="13"/>
                <w:szCs w:val="13"/>
                <w:b w:val="1"/>
                <w:bCs w:val="1"/>
                <w:color w:val="FFFFFF"/>
              </w:rPr>
              <w:t>Name/Payment Type</w:t>
            </w:r>
          </w:p>
        </w:tc>
        <w:tc>
          <w:tcPr>
            <w:tcW w:w="1120" w:type="dxa"/>
            <w:vAlign w:val="bottom"/>
            <w:gridSpan w:val="2"/>
            <w:shd w:val="clear" w:color="auto" w:fill="C00000"/>
          </w:tcPr>
          <w:p>
            <w:pPr>
              <w:jc w:val="center"/>
              <w:ind w:left="209"/>
              <w:spacing w:after="0"/>
              <w:rPr>
                <w:sz w:val="20"/>
                <w:szCs w:val="20"/>
                <w:color w:val="auto"/>
              </w:rPr>
            </w:pPr>
            <w:r>
              <w:rPr>
                <w:rFonts w:ascii="Arial" w:cs="Arial" w:eastAsia="Arial" w:hAnsi="Arial"/>
                <w:sz w:val="13"/>
                <w:szCs w:val="13"/>
                <w:b w:val="1"/>
                <w:bCs w:val="1"/>
                <w:color w:val="FFFFFF"/>
              </w:rPr>
              <w:t>($)</w:t>
            </w:r>
          </w:p>
        </w:tc>
        <w:tc>
          <w:tcPr>
            <w:tcW w:w="180" w:type="dxa"/>
            <w:vAlign w:val="bottom"/>
            <w:shd w:val="clear" w:color="auto" w:fill="C00000"/>
          </w:tcPr>
          <w:p>
            <w:pPr>
              <w:spacing w:after="0"/>
              <w:rPr>
                <w:sz w:val="13"/>
                <w:szCs w:val="13"/>
                <w:color w:val="auto"/>
              </w:rPr>
            </w:pPr>
          </w:p>
        </w:tc>
        <w:tc>
          <w:tcPr>
            <w:tcW w:w="1020" w:type="dxa"/>
            <w:vAlign w:val="bottom"/>
            <w:shd w:val="clear" w:color="auto" w:fill="C00000"/>
          </w:tcPr>
          <w:p>
            <w:pPr>
              <w:jc w:val="center"/>
              <w:ind w:left="89"/>
              <w:spacing w:after="0"/>
              <w:rPr>
                <w:sz w:val="20"/>
                <w:szCs w:val="20"/>
                <w:color w:val="auto"/>
              </w:rPr>
            </w:pPr>
            <w:r>
              <w:rPr>
                <w:rFonts w:ascii="Arial" w:cs="Arial" w:eastAsia="Arial" w:hAnsi="Arial"/>
                <w:sz w:val="13"/>
                <w:szCs w:val="13"/>
                <w:b w:val="1"/>
                <w:bCs w:val="1"/>
                <w:color w:val="FFFFFF"/>
                <w:w w:val="87"/>
              </w:rPr>
              <w:t>($)</w:t>
            </w:r>
          </w:p>
        </w:tc>
        <w:tc>
          <w:tcPr>
            <w:tcW w:w="180" w:type="dxa"/>
            <w:vAlign w:val="bottom"/>
            <w:shd w:val="clear" w:color="auto" w:fill="C00000"/>
          </w:tcPr>
          <w:p>
            <w:pPr>
              <w:spacing w:after="0"/>
              <w:rPr>
                <w:sz w:val="13"/>
                <w:szCs w:val="13"/>
                <w:color w:val="auto"/>
              </w:rPr>
            </w:pPr>
          </w:p>
        </w:tc>
        <w:tc>
          <w:tcPr>
            <w:tcW w:w="1080" w:type="dxa"/>
            <w:vAlign w:val="bottom"/>
            <w:shd w:val="clear" w:color="auto" w:fill="C00000"/>
          </w:tcPr>
          <w:p>
            <w:pPr>
              <w:jc w:val="center"/>
              <w:ind w:left="29"/>
              <w:spacing w:after="0"/>
              <w:rPr>
                <w:sz w:val="20"/>
                <w:szCs w:val="20"/>
                <w:color w:val="auto"/>
              </w:rPr>
            </w:pPr>
            <w:r>
              <w:rPr>
                <w:rFonts w:ascii="Arial" w:cs="Arial" w:eastAsia="Arial" w:hAnsi="Arial"/>
                <w:sz w:val="13"/>
                <w:szCs w:val="13"/>
                <w:b w:val="1"/>
                <w:bCs w:val="1"/>
                <w:color w:val="FFFFFF"/>
                <w:w w:val="87"/>
              </w:rPr>
              <w:t>($)</w:t>
            </w:r>
          </w:p>
        </w:tc>
        <w:tc>
          <w:tcPr>
            <w:tcW w:w="1180" w:type="dxa"/>
            <w:vAlign w:val="bottom"/>
            <w:gridSpan w:val="2"/>
            <w:shd w:val="clear" w:color="auto" w:fill="C00000"/>
          </w:tcPr>
          <w:p>
            <w:pPr>
              <w:jc w:val="center"/>
              <w:ind w:left="149"/>
              <w:spacing w:after="0"/>
              <w:rPr>
                <w:sz w:val="20"/>
                <w:szCs w:val="20"/>
                <w:color w:val="auto"/>
              </w:rPr>
            </w:pPr>
            <w:r>
              <w:rPr>
                <w:rFonts w:ascii="Arial" w:cs="Arial" w:eastAsia="Arial" w:hAnsi="Arial"/>
                <w:sz w:val="13"/>
                <w:szCs w:val="13"/>
                <w:b w:val="1"/>
                <w:bCs w:val="1"/>
                <w:color w:val="FFFFFF"/>
              </w:rPr>
              <w:t>($)</w:t>
            </w:r>
          </w:p>
        </w:tc>
        <w:tc>
          <w:tcPr>
            <w:tcW w:w="120" w:type="dxa"/>
            <w:vAlign w:val="bottom"/>
            <w:shd w:val="clear" w:color="auto" w:fill="C00000"/>
          </w:tcPr>
          <w:p>
            <w:pPr>
              <w:spacing w:after="0"/>
              <w:rPr>
                <w:sz w:val="13"/>
                <w:szCs w:val="13"/>
                <w:color w:val="auto"/>
              </w:rPr>
            </w:pPr>
          </w:p>
        </w:tc>
        <w:tc>
          <w:tcPr>
            <w:tcW w:w="1020" w:type="dxa"/>
            <w:vAlign w:val="bottom"/>
            <w:shd w:val="clear" w:color="auto" w:fill="C00000"/>
          </w:tcPr>
          <w:p>
            <w:pPr>
              <w:jc w:val="center"/>
              <w:ind w:left="89"/>
              <w:spacing w:after="0"/>
              <w:rPr>
                <w:sz w:val="20"/>
                <w:szCs w:val="20"/>
                <w:color w:val="auto"/>
              </w:rPr>
            </w:pPr>
            <w:r>
              <w:rPr>
                <w:rFonts w:ascii="Arial" w:cs="Arial" w:eastAsia="Arial" w:hAnsi="Arial"/>
                <w:sz w:val="13"/>
                <w:szCs w:val="13"/>
                <w:b w:val="1"/>
                <w:bCs w:val="1"/>
                <w:color w:val="FFFFFF"/>
                <w:w w:val="87"/>
              </w:rPr>
              <w:t>($)</w:t>
            </w:r>
          </w:p>
        </w:tc>
        <w:tc>
          <w:tcPr>
            <w:tcW w:w="180" w:type="dxa"/>
            <w:vAlign w:val="bottom"/>
            <w:shd w:val="clear" w:color="auto" w:fill="C00000"/>
          </w:tcPr>
          <w:p>
            <w:pPr>
              <w:spacing w:after="0"/>
              <w:rPr>
                <w:sz w:val="13"/>
                <w:szCs w:val="13"/>
                <w:color w:val="auto"/>
              </w:rPr>
            </w:pPr>
          </w:p>
        </w:tc>
        <w:tc>
          <w:tcPr>
            <w:tcW w:w="1340" w:type="dxa"/>
            <w:vAlign w:val="bottom"/>
            <w:shd w:val="clear" w:color="auto" w:fill="C00000"/>
          </w:tcPr>
          <w:p>
            <w:pPr>
              <w:jc w:val="center"/>
              <w:ind w:left="90"/>
              <w:spacing w:after="0"/>
              <w:rPr>
                <w:sz w:val="20"/>
                <w:szCs w:val="20"/>
                <w:color w:val="auto"/>
              </w:rPr>
            </w:pPr>
            <w:r>
              <w:rPr>
                <w:rFonts w:ascii="Arial" w:cs="Arial" w:eastAsia="Arial" w:hAnsi="Arial"/>
                <w:sz w:val="13"/>
                <w:szCs w:val="13"/>
                <w:b w:val="1"/>
                <w:bCs w:val="1"/>
                <w:color w:val="FFFFFF"/>
                <w:w w:val="87"/>
              </w:rPr>
              <w:t>($)</w:t>
            </w:r>
          </w:p>
        </w:tc>
        <w:tc>
          <w:tcPr>
            <w:tcW w:w="180" w:type="dxa"/>
            <w:vAlign w:val="bottom"/>
            <w:shd w:val="clear" w:color="auto" w:fill="C00000"/>
          </w:tcPr>
          <w:p>
            <w:pPr>
              <w:spacing w:after="0"/>
              <w:rPr>
                <w:sz w:val="13"/>
                <w:szCs w:val="13"/>
                <w:color w:val="auto"/>
              </w:rPr>
            </w:pPr>
          </w:p>
        </w:tc>
      </w:tr>
      <w:tr>
        <w:trPr>
          <w:trHeight w:val="185"/>
        </w:trPr>
        <w:tc>
          <w:tcPr>
            <w:tcW w:w="3640" w:type="dxa"/>
            <w:vAlign w:val="bottom"/>
          </w:tcPr>
          <w:p>
            <w:pPr>
              <w:spacing w:after="0"/>
              <w:rPr>
                <w:sz w:val="20"/>
                <w:szCs w:val="20"/>
                <w:color w:val="auto"/>
              </w:rPr>
            </w:pPr>
            <w:r>
              <w:rPr>
                <w:rFonts w:ascii="Arial" w:cs="Arial" w:eastAsia="Arial" w:hAnsi="Arial"/>
                <w:sz w:val="14"/>
                <w:szCs w:val="14"/>
                <w:color w:val="auto"/>
              </w:rPr>
              <w:t>Richard M. Olson</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4"/>
        </w:trPr>
        <w:tc>
          <w:tcPr>
            <w:tcW w:w="3640" w:type="dxa"/>
            <w:vAlign w:val="bottom"/>
          </w:tcPr>
          <w:p>
            <w:pPr>
              <w:ind w:left="260"/>
              <w:spacing w:after="0" w:line="174" w:lineRule="exact"/>
              <w:rPr>
                <w:sz w:val="20"/>
                <w:szCs w:val="20"/>
                <w:color w:val="auto"/>
              </w:rPr>
            </w:pPr>
            <w:r>
              <w:rPr>
                <w:rFonts w:ascii="Arial" w:cs="Arial" w:eastAsia="Arial" w:hAnsi="Arial"/>
                <w:sz w:val="12"/>
                <w:szCs w:val="12"/>
                <w:color w:val="auto"/>
              </w:rPr>
              <w:t>Cash Severance Payment</w:t>
            </w:r>
            <w:r>
              <w:rPr>
                <w:rFonts w:ascii="Arial" w:cs="Arial" w:eastAsia="Arial" w:hAnsi="Arial"/>
                <w:sz w:val="20"/>
                <w:szCs w:val="20"/>
                <w:color w:val="auto"/>
                <w:vertAlign w:val="superscript"/>
              </w:rPr>
              <w:t>(2)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5,158,314</w:t>
            </w:r>
          </w:p>
        </w:tc>
        <w:tc>
          <w:tcPr>
            <w:tcW w:w="180" w:type="dxa"/>
            <w:vAlign w:val="bottom"/>
          </w:tcPr>
          <w:p>
            <w:pPr>
              <w:spacing w:after="0"/>
              <w:rPr>
                <w:sz w:val="15"/>
                <w:szCs w:val="15"/>
                <w:color w:val="auto"/>
              </w:rPr>
            </w:pPr>
          </w:p>
        </w:tc>
      </w:tr>
      <w:tr>
        <w:trPr>
          <w:trHeight w:val="182"/>
        </w:trPr>
        <w:tc>
          <w:tcPr>
            <w:tcW w:w="3640" w:type="dxa"/>
            <w:vAlign w:val="bottom"/>
          </w:tcPr>
          <w:p>
            <w:pPr>
              <w:ind w:left="260"/>
              <w:spacing w:after="0" w:line="182" w:lineRule="exact"/>
              <w:rPr>
                <w:sz w:val="20"/>
                <w:szCs w:val="20"/>
                <w:color w:val="auto"/>
              </w:rPr>
            </w:pPr>
            <w:r>
              <w:rPr>
                <w:rFonts w:ascii="Arial" w:cs="Arial" w:eastAsia="Arial" w:hAnsi="Arial"/>
                <w:sz w:val="13"/>
                <w:szCs w:val="13"/>
                <w:color w:val="auto"/>
              </w:rPr>
              <w:t>Unvested &amp; Accelerated Stock Options</w:t>
            </w:r>
            <w:r>
              <w:rPr>
                <w:rFonts w:ascii="Arial" w:cs="Arial" w:eastAsia="Arial" w:hAnsi="Arial"/>
                <w:sz w:val="21"/>
                <w:szCs w:val="21"/>
                <w:color w:val="auto"/>
                <w:vertAlign w:val="superscript"/>
              </w:rPr>
              <w:t>(3)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3,557,898</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3,557,898</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3,557,898</w:t>
            </w:r>
          </w:p>
        </w:tc>
        <w:tc>
          <w:tcPr>
            <w:tcW w:w="180" w:type="dxa"/>
            <w:vAlign w:val="bottom"/>
          </w:tcPr>
          <w:p>
            <w:pPr>
              <w:spacing w:after="0"/>
              <w:rPr>
                <w:sz w:val="15"/>
                <w:szCs w:val="15"/>
                <w:color w:val="auto"/>
              </w:rPr>
            </w:pPr>
          </w:p>
        </w:tc>
      </w:tr>
      <w:tr>
        <w:trPr>
          <w:trHeight w:val="167"/>
        </w:trPr>
        <w:tc>
          <w:tcPr>
            <w:tcW w:w="3640" w:type="dxa"/>
            <w:vAlign w:val="bottom"/>
          </w:tcPr>
          <w:p>
            <w:pPr>
              <w:ind w:left="260"/>
              <w:spacing w:after="0"/>
              <w:rPr>
                <w:sz w:val="20"/>
                <w:szCs w:val="20"/>
                <w:color w:val="auto"/>
              </w:rPr>
            </w:pPr>
            <w:r>
              <w:rPr>
                <w:rFonts w:ascii="Arial" w:cs="Arial" w:eastAsia="Arial" w:hAnsi="Arial"/>
                <w:sz w:val="14"/>
                <w:szCs w:val="14"/>
                <w:color w:val="auto"/>
              </w:rPr>
              <w:t>Performance Share Award Payouts</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1,647,501</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1020" w:type="dxa"/>
            <w:vAlign w:val="bottom"/>
          </w:tcPr>
          <w:p>
            <w:pPr>
              <w:jc w:val="right"/>
              <w:spacing w:after="0"/>
              <w:rPr>
                <w:sz w:val="20"/>
                <w:szCs w:val="20"/>
                <w:color w:val="auto"/>
              </w:rPr>
            </w:pPr>
            <w:r>
              <w:rPr>
                <w:rFonts w:ascii="Arial" w:cs="Arial" w:eastAsia="Arial" w:hAnsi="Arial"/>
                <w:sz w:val="14"/>
                <w:szCs w:val="14"/>
                <w:color w:val="auto"/>
              </w:rPr>
              <w:t>1,647,501</w:t>
            </w:r>
          </w:p>
        </w:tc>
        <w:tc>
          <w:tcPr>
            <w:tcW w:w="180" w:type="dxa"/>
            <w:vAlign w:val="bottom"/>
          </w:tcPr>
          <w:p>
            <w:pPr>
              <w:jc w:val="right"/>
              <w:spacing w:after="0"/>
              <w:rPr>
                <w:sz w:val="20"/>
                <w:szCs w:val="20"/>
                <w:color w:val="auto"/>
              </w:rPr>
            </w:pPr>
            <w:r>
              <w:rPr>
                <w:rFonts w:ascii="Arial" w:cs="Arial" w:eastAsia="Arial" w:hAnsi="Arial"/>
                <w:sz w:val="12"/>
                <w:szCs w:val="12"/>
                <w:color w:val="auto"/>
                <w:w w:val="81"/>
              </w:rPr>
              <w:t>(4)</w:t>
            </w: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2,577,858</w:t>
            </w:r>
          </w:p>
        </w:tc>
        <w:tc>
          <w:tcPr>
            <w:tcW w:w="180" w:type="dxa"/>
            <w:vAlign w:val="bottom"/>
          </w:tcPr>
          <w:p>
            <w:pPr>
              <w:jc w:val="right"/>
              <w:spacing w:after="0"/>
              <w:rPr>
                <w:sz w:val="20"/>
                <w:szCs w:val="20"/>
                <w:color w:val="auto"/>
              </w:rPr>
            </w:pPr>
            <w:r>
              <w:rPr>
                <w:rFonts w:ascii="Arial" w:cs="Arial" w:eastAsia="Arial" w:hAnsi="Arial"/>
                <w:sz w:val="12"/>
                <w:szCs w:val="12"/>
                <w:color w:val="auto"/>
                <w:w w:val="81"/>
              </w:rPr>
              <w:t>(5)</w:t>
            </w:r>
          </w:p>
        </w:tc>
        <w:tc>
          <w:tcPr>
            <w:tcW w:w="1340" w:type="dxa"/>
            <w:vAlign w:val="bottom"/>
          </w:tcPr>
          <w:p>
            <w:pPr>
              <w:jc w:val="right"/>
              <w:spacing w:after="0"/>
              <w:rPr>
                <w:sz w:val="20"/>
                <w:szCs w:val="20"/>
                <w:color w:val="auto"/>
              </w:rPr>
            </w:pPr>
            <w:r>
              <w:rPr>
                <w:rFonts w:ascii="Arial" w:cs="Arial" w:eastAsia="Arial" w:hAnsi="Arial"/>
                <w:sz w:val="14"/>
                <w:szCs w:val="14"/>
                <w:color w:val="auto"/>
              </w:rPr>
              <w:t>2,577,858</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(5)</w:t>
            </w:r>
          </w:p>
        </w:tc>
      </w:tr>
      <w:tr>
        <w:trPr>
          <w:trHeight w:val="174"/>
        </w:trPr>
        <w:tc>
          <w:tcPr>
            <w:tcW w:w="3640" w:type="dxa"/>
            <w:vAlign w:val="bottom"/>
          </w:tcPr>
          <w:p>
            <w:pPr>
              <w:ind w:left="260"/>
              <w:spacing w:after="0" w:line="174" w:lineRule="exact"/>
              <w:rPr>
                <w:sz w:val="20"/>
                <w:szCs w:val="20"/>
                <w:color w:val="auto"/>
              </w:rPr>
            </w:pPr>
            <w:r>
              <w:rPr>
                <w:rFonts w:ascii="Arial" w:cs="Arial" w:eastAsia="Arial" w:hAnsi="Arial"/>
                <w:sz w:val="12"/>
                <w:szCs w:val="12"/>
                <w:color w:val="auto"/>
              </w:rPr>
              <w:t>Welfare Plan Benefits</w:t>
            </w:r>
            <w:r>
              <w:rPr>
                <w:rFonts w:ascii="Arial" w:cs="Arial" w:eastAsia="Arial" w:hAnsi="Arial"/>
                <w:sz w:val="20"/>
                <w:szCs w:val="20"/>
                <w:color w:val="auto"/>
                <w:vertAlign w:val="superscript"/>
              </w:rPr>
              <w:t>(6)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59,526</w:t>
            </w:r>
          </w:p>
        </w:tc>
        <w:tc>
          <w:tcPr>
            <w:tcW w:w="180" w:type="dxa"/>
            <w:vAlign w:val="bottom"/>
          </w:tcPr>
          <w:p>
            <w:pPr>
              <w:spacing w:after="0"/>
              <w:rPr>
                <w:sz w:val="15"/>
                <w:szCs w:val="15"/>
                <w:color w:val="auto"/>
              </w:rPr>
            </w:pPr>
          </w:p>
        </w:tc>
      </w:tr>
      <w:tr>
        <w:trPr>
          <w:trHeight w:val="174"/>
        </w:trPr>
        <w:tc>
          <w:tcPr>
            <w:tcW w:w="3640" w:type="dxa"/>
            <w:vAlign w:val="bottom"/>
          </w:tcPr>
          <w:p>
            <w:pPr>
              <w:ind w:left="260"/>
              <w:spacing w:after="0" w:line="174" w:lineRule="exact"/>
              <w:rPr>
                <w:sz w:val="20"/>
                <w:szCs w:val="20"/>
                <w:color w:val="auto"/>
              </w:rPr>
            </w:pPr>
            <w:r>
              <w:rPr>
                <w:rFonts w:ascii="Arial" w:cs="Arial" w:eastAsia="Arial" w:hAnsi="Arial"/>
                <w:sz w:val="12"/>
                <w:szCs w:val="12"/>
                <w:color w:val="auto"/>
              </w:rPr>
              <w:t>Outplacement Services</w:t>
            </w:r>
            <w:r>
              <w:rPr>
                <w:rFonts w:ascii="Arial" w:cs="Arial" w:eastAsia="Arial" w:hAnsi="Arial"/>
                <w:sz w:val="20"/>
                <w:szCs w:val="20"/>
                <w:color w:val="auto"/>
                <w:vertAlign w:val="superscript"/>
              </w:rPr>
              <w:t>(7)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tcPr>
          <w:p>
            <w:pPr>
              <w:spacing w:after="0"/>
              <w:rPr>
                <w:sz w:val="15"/>
                <w:szCs w:val="15"/>
                <w:color w:val="auto"/>
              </w:rPr>
            </w:pPr>
          </w:p>
        </w:tc>
      </w:tr>
      <w:tr>
        <w:trPr>
          <w:trHeight w:val="164"/>
        </w:trPr>
        <w:tc>
          <w:tcPr>
            <w:tcW w:w="3640" w:type="dxa"/>
            <w:vAlign w:val="bottom"/>
          </w:tcPr>
          <w:p>
            <w:pPr>
              <w:ind w:left="260"/>
              <w:spacing w:after="0" w:line="164" w:lineRule="exact"/>
              <w:rPr>
                <w:sz w:val="20"/>
                <w:szCs w:val="20"/>
                <w:color w:val="auto"/>
              </w:rPr>
            </w:pPr>
            <w:r>
              <w:rPr>
                <w:rFonts w:ascii="Arial" w:cs="Arial" w:eastAsia="Arial" w:hAnsi="Arial"/>
                <w:sz w:val="11"/>
                <w:szCs w:val="11"/>
                <w:color w:val="auto"/>
              </w:rPr>
              <w:t>Perquisites</w:t>
            </w:r>
            <w:r>
              <w:rPr>
                <w:rFonts w:ascii="Arial" w:cs="Arial" w:eastAsia="Arial" w:hAnsi="Arial"/>
                <w:sz w:val="18"/>
                <w:szCs w:val="18"/>
                <w:color w:val="auto"/>
                <w:vertAlign w:val="superscript"/>
              </w:rPr>
              <w:t>(8)</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35,270</w:t>
            </w: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r>
      <w:tr>
        <w:trPr>
          <w:trHeight w:val="168"/>
        </w:trPr>
        <w:tc>
          <w:tcPr>
            <w:tcW w:w="364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1,682,771</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5,205,399</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6,135,756</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11,383,596</w:t>
            </w:r>
          </w:p>
        </w:tc>
        <w:tc>
          <w:tcPr>
            <w:tcW w:w="180" w:type="dxa"/>
            <w:vAlign w:val="bottom"/>
          </w:tcPr>
          <w:p>
            <w:pPr>
              <w:spacing w:after="0"/>
              <w:rPr>
                <w:sz w:val="14"/>
                <w:szCs w:val="14"/>
                <w:color w:val="auto"/>
              </w:rPr>
            </w:pPr>
          </w:p>
        </w:tc>
      </w:tr>
      <w:tr>
        <w:trPr>
          <w:trHeight w:val="174"/>
        </w:trPr>
        <w:tc>
          <w:tcPr>
            <w:tcW w:w="3640" w:type="dxa"/>
            <w:vAlign w:val="bottom"/>
            <w:shd w:val="clear" w:color="auto" w:fill="D9D9D9"/>
          </w:tcPr>
          <w:p>
            <w:pPr>
              <w:spacing w:after="0"/>
              <w:rPr>
                <w:sz w:val="20"/>
                <w:szCs w:val="20"/>
                <w:color w:val="auto"/>
              </w:rPr>
            </w:pPr>
            <w:r>
              <w:rPr>
                <w:rFonts w:ascii="Arial" w:cs="Arial" w:eastAsia="Arial" w:hAnsi="Arial"/>
                <w:sz w:val="14"/>
                <w:szCs w:val="14"/>
                <w:color w:val="auto"/>
              </w:rPr>
              <w:t>Renee J. Peterson</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06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r>
      <w:tr>
        <w:trPr>
          <w:trHeight w:val="174"/>
        </w:trPr>
        <w:tc>
          <w:tcPr>
            <w:tcW w:w="3640" w:type="dxa"/>
            <w:vAlign w:val="bottom"/>
            <w:shd w:val="clear" w:color="auto" w:fill="D9D9D9"/>
          </w:tcPr>
          <w:p>
            <w:pPr>
              <w:ind w:left="260"/>
              <w:spacing w:after="0" w:line="174" w:lineRule="exact"/>
              <w:rPr>
                <w:sz w:val="20"/>
                <w:szCs w:val="20"/>
                <w:color w:val="auto"/>
              </w:rPr>
            </w:pPr>
            <w:r>
              <w:rPr>
                <w:rFonts w:ascii="Arial" w:cs="Arial" w:eastAsia="Arial" w:hAnsi="Arial"/>
                <w:sz w:val="12"/>
                <w:szCs w:val="12"/>
                <w:color w:val="auto"/>
              </w:rPr>
              <w:t>Cash Severance Payment</w:t>
            </w:r>
            <w:r>
              <w:rPr>
                <w:rFonts w:ascii="Arial" w:cs="Arial" w:eastAsia="Arial" w:hAnsi="Arial"/>
                <w:sz w:val="20"/>
                <w:szCs w:val="20"/>
                <w:color w:val="auto"/>
                <w:vertAlign w:val="superscript"/>
              </w:rPr>
              <w:t>(2)</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1,628,400</w:t>
            </w:r>
          </w:p>
        </w:tc>
        <w:tc>
          <w:tcPr>
            <w:tcW w:w="180" w:type="dxa"/>
            <w:vAlign w:val="bottom"/>
            <w:shd w:val="clear" w:color="auto" w:fill="D9D9D9"/>
          </w:tcPr>
          <w:p>
            <w:pPr>
              <w:spacing w:after="0"/>
              <w:rPr>
                <w:sz w:val="15"/>
                <w:szCs w:val="15"/>
                <w:color w:val="auto"/>
              </w:rPr>
            </w:pPr>
          </w:p>
        </w:tc>
      </w:tr>
      <w:tr>
        <w:trPr>
          <w:trHeight w:val="174"/>
        </w:trPr>
        <w:tc>
          <w:tcPr>
            <w:tcW w:w="3640" w:type="dxa"/>
            <w:vAlign w:val="bottom"/>
            <w:shd w:val="clear" w:color="auto" w:fill="D9D9D9"/>
          </w:tcPr>
          <w:p>
            <w:pPr>
              <w:ind w:left="260"/>
              <w:spacing w:after="0" w:line="174"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20"/>
                <w:szCs w:val="20"/>
                <w:color w:val="auto"/>
                <w:vertAlign w:val="superscript"/>
              </w:rPr>
              <w:t>(3)</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866,738</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866,738</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866,738</w:t>
            </w:r>
          </w:p>
        </w:tc>
        <w:tc>
          <w:tcPr>
            <w:tcW w:w="180" w:type="dxa"/>
            <w:vAlign w:val="bottom"/>
            <w:shd w:val="clear" w:color="auto" w:fill="D9D9D9"/>
          </w:tcPr>
          <w:p>
            <w:pPr>
              <w:spacing w:after="0"/>
              <w:rPr>
                <w:sz w:val="15"/>
                <w:szCs w:val="15"/>
                <w:color w:val="auto"/>
              </w:rPr>
            </w:pPr>
          </w:p>
        </w:tc>
      </w:tr>
      <w:tr>
        <w:trPr>
          <w:trHeight w:val="174"/>
        </w:trPr>
        <w:tc>
          <w:tcPr>
            <w:tcW w:w="3640" w:type="dxa"/>
            <w:vAlign w:val="bottom"/>
            <w:shd w:val="clear" w:color="auto" w:fill="D9D9D9"/>
          </w:tcPr>
          <w:p>
            <w:pPr>
              <w:ind w:left="260"/>
              <w:spacing w:after="0"/>
              <w:rPr>
                <w:sz w:val="20"/>
                <w:szCs w:val="20"/>
                <w:color w:val="auto"/>
              </w:rPr>
            </w:pPr>
            <w:r>
              <w:rPr>
                <w:rFonts w:ascii="Arial" w:cs="Arial" w:eastAsia="Arial" w:hAnsi="Arial"/>
                <w:sz w:val="14"/>
                <w:szCs w:val="14"/>
                <w:color w:val="auto"/>
              </w:rPr>
              <w:t>Performance Share Award Payouts</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388,744</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(4)</w:t>
            </w: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388,744</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81"/>
              </w:rPr>
              <w:t>(4)</w:t>
            </w: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610,249</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81"/>
              </w:rPr>
              <w:t>(5)</w:t>
            </w: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610,249</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(5)</w:t>
            </w:r>
          </w:p>
        </w:tc>
      </w:tr>
      <w:tr>
        <w:trPr>
          <w:trHeight w:val="174"/>
        </w:trPr>
        <w:tc>
          <w:tcPr>
            <w:tcW w:w="3640" w:type="dxa"/>
            <w:vAlign w:val="bottom"/>
            <w:shd w:val="clear" w:color="auto" w:fill="D9D9D9"/>
          </w:tcPr>
          <w:p>
            <w:pPr>
              <w:ind w:left="260"/>
              <w:spacing w:after="0" w:line="174" w:lineRule="exact"/>
              <w:rPr>
                <w:sz w:val="20"/>
                <w:szCs w:val="20"/>
                <w:color w:val="auto"/>
              </w:rPr>
            </w:pPr>
            <w:r>
              <w:rPr>
                <w:rFonts w:ascii="Arial" w:cs="Arial" w:eastAsia="Arial" w:hAnsi="Arial"/>
                <w:sz w:val="12"/>
                <w:szCs w:val="12"/>
                <w:color w:val="auto"/>
              </w:rPr>
              <w:t>Welfare Plan Benefits</w:t>
            </w:r>
            <w:r>
              <w:rPr>
                <w:rFonts w:ascii="Arial" w:cs="Arial" w:eastAsia="Arial" w:hAnsi="Arial"/>
                <w:sz w:val="20"/>
                <w:szCs w:val="20"/>
                <w:color w:val="auto"/>
                <w:vertAlign w:val="superscript"/>
              </w:rPr>
              <w:t>(6)</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39,012</w:t>
            </w:r>
          </w:p>
        </w:tc>
        <w:tc>
          <w:tcPr>
            <w:tcW w:w="180" w:type="dxa"/>
            <w:vAlign w:val="bottom"/>
            <w:shd w:val="clear" w:color="auto" w:fill="D9D9D9"/>
          </w:tcPr>
          <w:p>
            <w:pPr>
              <w:spacing w:after="0"/>
              <w:rPr>
                <w:sz w:val="15"/>
                <w:szCs w:val="15"/>
                <w:color w:val="auto"/>
              </w:rPr>
            </w:pPr>
          </w:p>
        </w:tc>
      </w:tr>
      <w:tr>
        <w:trPr>
          <w:trHeight w:val="174"/>
        </w:trPr>
        <w:tc>
          <w:tcPr>
            <w:tcW w:w="3640" w:type="dxa"/>
            <w:vAlign w:val="bottom"/>
            <w:shd w:val="clear" w:color="auto" w:fill="D9D9D9"/>
          </w:tcPr>
          <w:p>
            <w:pPr>
              <w:ind w:left="260"/>
              <w:spacing w:after="0" w:line="174" w:lineRule="exact"/>
              <w:rPr>
                <w:sz w:val="20"/>
                <w:szCs w:val="20"/>
                <w:color w:val="auto"/>
              </w:rPr>
            </w:pPr>
            <w:r>
              <w:rPr>
                <w:rFonts w:ascii="Arial" w:cs="Arial" w:eastAsia="Arial" w:hAnsi="Arial"/>
                <w:sz w:val="12"/>
                <w:szCs w:val="12"/>
                <w:color w:val="auto"/>
              </w:rPr>
              <w:t>Outplacement Services</w:t>
            </w:r>
            <w:r>
              <w:rPr>
                <w:rFonts w:ascii="Arial" w:cs="Arial" w:eastAsia="Arial" w:hAnsi="Arial"/>
                <w:sz w:val="20"/>
                <w:szCs w:val="20"/>
                <w:color w:val="auto"/>
                <w:vertAlign w:val="superscript"/>
              </w:rPr>
              <w:t>(7)</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shd w:val="clear" w:color="auto" w:fill="D9D9D9"/>
          </w:tcPr>
          <w:p>
            <w:pPr>
              <w:spacing w:after="0"/>
              <w:rPr>
                <w:sz w:val="15"/>
                <w:szCs w:val="15"/>
                <w:color w:val="auto"/>
              </w:rPr>
            </w:pPr>
          </w:p>
        </w:tc>
      </w:tr>
      <w:tr>
        <w:trPr>
          <w:trHeight w:val="174"/>
        </w:trPr>
        <w:tc>
          <w:tcPr>
            <w:tcW w:w="3640" w:type="dxa"/>
            <w:vAlign w:val="bottom"/>
            <w:tcBorders>
              <w:bottom w:val="single" w:sz="8" w:color="D9D9D9"/>
            </w:tcBorders>
            <w:shd w:val="clear" w:color="auto" w:fill="D9D9D9"/>
          </w:tcPr>
          <w:p>
            <w:pPr>
              <w:ind w:left="260"/>
              <w:spacing w:after="0" w:line="174" w:lineRule="exact"/>
              <w:rPr>
                <w:sz w:val="20"/>
                <w:szCs w:val="20"/>
                <w:color w:val="auto"/>
              </w:rPr>
            </w:pPr>
            <w:r>
              <w:rPr>
                <w:rFonts w:ascii="Arial" w:cs="Arial" w:eastAsia="Arial" w:hAnsi="Arial"/>
                <w:sz w:val="12"/>
                <w:szCs w:val="12"/>
                <w:color w:val="auto"/>
              </w:rPr>
              <w:t>Perquisites</w:t>
            </w:r>
            <w:r>
              <w:rPr>
                <w:rFonts w:ascii="Arial" w:cs="Arial" w:eastAsia="Arial" w:hAnsi="Arial"/>
                <w:sz w:val="20"/>
                <w:szCs w:val="20"/>
                <w:color w:val="auto"/>
                <w:vertAlign w:val="superscript"/>
              </w:rPr>
              <w:t>(8)</w:t>
            </w:r>
          </w:p>
        </w:tc>
        <w:tc>
          <w:tcPr>
            <w:tcW w:w="120" w:type="dxa"/>
            <w:vAlign w:val="bottom"/>
            <w:tcBorders>
              <w:bottom w:val="single" w:sz="8" w:color="D9D9D9"/>
            </w:tcBorders>
            <w:shd w:val="clear" w:color="auto" w:fill="D9D9D9"/>
          </w:tcPr>
          <w:p>
            <w:pPr>
              <w:spacing w:after="0"/>
              <w:rPr>
                <w:sz w:val="15"/>
                <w:szCs w:val="15"/>
                <w:color w:val="auto"/>
              </w:rPr>
            </w:pPr>
          </w:p>
        </w:tc>
        <w:tc>
          <w:tcPr>
            <w:tcW w:w="10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34,228</w:t>
            </w:r>
          </w:p>
        </w:tc>
        <w:tc>
          <w:tcPr>
            <w:tcW w:w="180" w:type="dxa"/>
            <w:vAlign w:val="bottom"/>
            <w:tcBorders>
              <w:bottom w:val="single" w:sz="8" w:color="D9D9D9"/>
            </w:tcBorders>
            <w:shd w:val="clear" w:color="auto" w:fill="D9D9D9"/>
          </w:tcPr>
          <w:p>
            <w:pPr>
              <w:spacing w:after="0"/>
              <w:rPr>
                <w:sz w:val="15"/>
                <w:szCs w:val="15"/>
                <w:color w:val="auto"/>
              </w:rPr>
            </w:pPr>
          </w:p>
        </w:tc>
        <w:tc>
          <w:tcPr>
            <w:tcW w:w="10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tcBorders>
              <w:bottom w:val="single" w:sz="8" w:color="D9D9D9"/>
            </w:tcBorders>
            <w:shd w:val="clear" w:color="auto" w:fill="D9D9D9"/>
          </w:tcPr>
          <w:p>
            <w:pPr>
              <w:spacing w:after="0"/>
              <w:rPr>
                <w:sz w:val="15"/>
                <w:szCs w:val="15"/>
                <w:color w:val="auto"/>
              </w:rPr>
            </w:pPr>
          </w:p>
        </w:tc>
        <w:tc>
          <w:tcPr>
            <w:tcW w:w="10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D9D9D9"/>
            </w:tcBorders>
            <w:shd w:val="clear" w:color="auto" w:fill="D9D9D9"/>
          </w:tcPr>
          <w:p>
            <w:pPr>
              <w:spacing w:after="0"/>
              <w:rPr>
                <w:sz w:val="15"/>
                <w:szCs w:val="15"/>
                <w:color w:val="auto"/>
              </w:rPr>
            </w:pP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D9D9D9"/>
            </w:tcBorders>
            <w:shd w:val="clear" w:color="auto" w:fill="D9D9D9"/>
          </w:tcPr>
          <w:p>
            <w:pPr>
              <w:spacing w:after="0"/>
              <w:rPr>
                <w:sz w:val="15"/>
                <w:szCs w:val="15"/>
                <w:color w:val="auto"/>
              </w:rPr>
            </w:pPr>
          </w:p>
        </w:tc>
        <w:tc>
          <w:tcPr>
            <w:tcW w:w="10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tcBorders>
              <w:bottom w:val="single" w:sz="8" w:color="D9D9D9"/>
            </w:tcBorders>
            <w:shd w:val="clear" w:color="auto" w:fill="D9D9D9"/>
          </w:tcPr>
          <w:p>
            <w:pPr>
              <w:spacing w:after="0"/>
              <w:rPr>
                <w:sz w:val="15"/>
                <w:szCs w:val="15"/>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tcBorders>
              <w:bottom w:val="single" w:sz="8" w:color="D9D9D9"/>
            </w:tcBorders>
            <w:shd w:val="clear" w:color="auto" w:fill="D9D9D9"/>
          </w:tcPr>
          <w:p>
            <w:pPr>
              <w:spacing w:after="0"/>
              <w:rPr>
                <w:sz w:val="15"/>
                <w:szCs w:val="15"/>
                <w:color w:val="auto"/>
              </w:rPr>
            </w:pPr>
          </w:p>
        </w:tc>
      </w:tr>
      <w:tr>
        <w:trPr>
          <w:trHeight w:val="168"/>
        </w:trPr>
        <w:tc>
          <w:tcPr>
            <w:tcW w:w="364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Total</w:t>
            </w:r>
          </w:p>
        </w:tc>
        <w:tc>
          <w:tcPr>
            <w:tcW w:w="120" w:type="dxa"/>
            <w:vAlign w:val="bottom"/>
            <w:shd w:val="clear" w:color="auto" w:fill="D9D9D9"/>
          </w:tcPr>
          <w:p>
            <w:pPr>
              <w:spacing w:after="0"/>
              <w:rPr>
                <w:sz w:val="14"/>
                <w:szCs w:val="14"/>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422,972</w:t>
            </w:r>
          </w:p>
        </w:tc>
        <w:tc>
          <w:tcPr>
            <w:tcW w:w="180" w:type="dxa"/>
            <w:vAlign w:val="bottom"/>
            <w:shd w:val="clear" w:color="auto" w:fill="D9D9D9"/>
          </w:tcPr>
          <w:p>
            <w:pPr>
              <w:spacing w:after="0"/>
              <w:rPr>
                <w:sz w:val="14"/>
                <w:szCs w:val="14"/>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1,255,482</w:t>
            </w:r>
          </w:p>
        </w:tc>
        <w:tc>
          <w:tcPr>
            <w:tcW w:w="180" w:type="dxa"/>
            <w:vAlign w:val="bottom"/>
            <w:shd w:val="clear" w:color="auto" w:fill="D9D9D9"/>
          </w:tcPr>
          <w:p>
            <w:pPr>
              <w:spacing w:after="0"/>
              <w:rPr>
                <w:sz w:val="14"/>
                <w:szCs w:val="14"/>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shd w:val="clear" w:color="auto" w:fill="D9D9D9"/>
          </w:tcPr>
          <w:p>
            <w:pPr>
              <w:spacing w:after="0"/>
              <w:rPr>
                <w:sz w:val="14"/>
                <w:szCs w:val="14"/>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1,476,987</w:t>
            </w:r>
          </w:p>
        </w:tc>
        <w:tc>
          <w:tcPr>
            <w:tcW w:w="180" w:type="dxa"/>
            <w:vAlign w:val="bottom"/>
            <w:shd w:val="clear" w:color="auto" w:fill="D9D9D9"/>
          </w:tcPr>
          <w:p>
            <w:pPr>
              <w:spacing w:after="0"/>
              <w:rPr>
                <w:sz w:val="14"/>
                <w:szCs w:val="14"/>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3,174,399</w:t>
            </w:r>
          </w:p>
        </w:tc>
        <w:tc>
          <w:tcPr>
            <w:tcW w:w="180" w:type="dxa"/>
            <w:vAlign w:val="bottom"/>
            <w:shd w:val="clear" w:color="auto" w:fill="D9D9D9"/>
          </w:tcPr>
          <w:p>
            <w:pPr>
              <w:spacing w:after="0"/>
              <w:rPr>
                <w:sz w:val="14"/>
                <w:szCs w:val="14"/>
                <w:color w:val="auto"/>
              </w:rPr>
            </w:pPr>
          </w:p>
        </w:tc>
      </w:tr>
      <w:tr>
        <w:trPr>
          <w:trHeight w:val="185"/>
        </w:trPr>
        <w:tc>
          <w:tcPr>
            <w:tcW w:w="3640" w:type="dxa"/>
            <w:vAlign w:val="bottom"/>
          </w:tcPr>
          <w:p>
            <w:pPr>
              <w:spacing w:after="0"/>
              <w:rPr>
                <w:sz w:val="20"/>
                <w:szCs w:val="20"/>
                <w:color w:val="auto"/>
              </w:rPr>
            </w:pPr>
            <w:r>
              <w:rPr>
                <w:rFonts w:ascii="Arial" w:cs="Arial" w:eastAsia="Arial" w:hAnsi="Arial"/>
                <w:sz w:val="14"/>
                <w:szCs w:val="14"/>
                <w:color w:val="auto"/>
              </w:rPr>
              <w:t>Richard W. Rodier</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4"/>
        </w:trPr>
        <w:tc>
          <w:tcPr>
            <w:tcW w:w="3640" w:type="dxa"/>
            <w:vAlign w:val="bottom"/>
          </w:tcPr>
          <w:p>
            <w:pPr>
              <w:ind w:left="260"/>
              <w:spacing w:after="0" w:line="174" w:lineRule="exact"/>
              <w:rPr>
                <w:sz w:val="20"/>
                <w:szCs w:val="20"/>
                <w:color w:val="auto"/>
              </w:rPr>
            </w:pPr>
            <w:r>
              <w:rPr>
                <w:rFonts w:ascii="Arial" w:cs="Arial" w:eastAsia="Arial" w:hAnsi="Arial"/>
                <w:sz w:val="12"/>
                <w:szCs w:val="12"/>
                <w:color w:val="auto"/>
              </w:rPr>
              <w:t>Cash Severance Payment</w:t>
            </w:r>
            <w:r>
              <w:rPr>
                <w:rFonts w:ascii="Arial" w:cs="Arial" w:eastAsia="Arial" w:hAnsi="Arial"/>
                <w:sz w:val="20"/>
                <w:szCs w:val="20"/>
                <w:color w:val="auto"/>
                <w:vertAlign w:val="superscript"/>
              </w:rPr>
              <w:t>(2)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1,315,866</w:t>
            </w:r>
          </w:p>
        </w:tc>
        <w:tc>
          <w:tcPr>
            <w:tcW w:w="180" w:type="dxa"/>
            <w:vAlign w:val="bottom"/>
          </w:tcPr>
          <w:p>
            <w:pPr>
              <w:spacing w:after="0"/>
              <w:rPr>
                <w:sz w:val="15"/>
                <w:szCs w:val="15"/>
                <w:color w:val="auto"/>
              </w:rPr>
            </w:pPr>
          </w:p>
        </w:tc>
      </w:tr>
      <w:tr>
        <w:trPr>
          <w:trHeight w:val="174"/>
        </w:trPr>
        <w:tc>
          <w:tcPr>
            <w:tcW w:w="3640" w:type="dxa"/>
            <w:vAlign w:val="bottom"/>
          </w:tcPr>
          <w:p>
            <w:pPr>
              <w:ind w:left="260"/>
              <w:spacing w:after="0" w:line="174"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20"/>
                <w:szCs w:val="20"/>
                <w:color w:val="auto"/>
                <w:vertAlign w:val="superscript"/>
              </w:rPr>
              <w:t>(3)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691,517</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691,517</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691,517</w:t>
            </w:r>
          </w:p>
        </w:tc>
        <w:tc>
          <w:tcPr>
            <w:tcW w:w="180" w:type="dxa"/>
            <w:vAlign w:val="bottom"/>
          </w:tcPr>
          <w:p>
            <w:pPr>
              <w:spacing w:after="0"/>
              <w:rPr>
                <w:sz w:val="15"/>
                <w:szCs w:val="15"/>
                <w:color w:val="auto"/>
              </w:rPr>
            </w:pPr>
          </w:p>
        </w:tc>
      </w:tr>
      <w:tr>
        <w:trPr>
          <w:trHeight w:val="182"/>
        </w:trPr>
        <w:tc>
          <w:tcPr>
            <w:tcW w:w="3640" w:type="dxa"/>
            <w:vAlign w:val="bottom"/>
          </w:tcPr>
          <w:p>
            <w:pPr>
              <w:ind w:left="260"/>
              <w:spacing w:after="0" w:line="182" w:lineRule="exact"/>
              <w:rPr>
                <w:sz w:val="20"/>
                <w:szCs w:val="20"/>
                <w:color w:val="auto"/>
              </w:rPr>
            </w:pPr>
            <w:r>
              <w:rPr>
                <w:rFonts w:ascii="Arial" w:cs="Arial" w:eastAsia="Arial" w:hAnsi="Arial"/>
                <w:sz w:val="13"/>
                <w:szCs w:val="13"/>
                <w:color w:val="auto"/>
              </w:rPr>
              <w:t>Unvested &amp; Accelerated Restricted Stock Units</w:t>
            </w:r>
            <w:r>
              <w:rPr>
                <w:rFonts w:ascii="Arial" w:cs="Arial" w:eastAsia="Arial" w:hAnsi="Arial"/>
                <w:sz w:val="21"/>
                <w:szCs w:val="21"/>
                <w:color w:val="auto"/>
                <w:vertAlign w:val="superscript"/>
              </w:rPr>
              <w:t>(9)</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454,752</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454,752</w:t>
            </w:r>
          </w:p>
        </w:tc>
        <w:tc>
          <w:tcPr>
            <w:tcW w:w="180" w:type="dxa"/>
            <w:vAlign w:val="bottom"/>
          </w:tcPr>
          <w:p>
            <w:pPr>
              <w:spacing w:after="0"/>
              <w:rPr>
                <w:sz w:val="15"/>
                <w:szCs w:val="15"/>
                <w:color w:val="auto"/>
              </w:rPr>
            </w:pPr>
          </w:p>
        </w:tc>
      </w:tr>
      <w:tr>
        <w:trPr>
          <w:trHeight w:val="167"/>
        </w:trPr>
        <w:tc>
          <w:tcPr>
            <w:tcW w:w="3640" w:type="dxa"/>
            <w:vAlign w:val="bottom"/>
          </w:tcPr>
          <w:p>
            <w:pPr>
              <w:ind w:left="260"/>
              <w:spacing w:after="0"/>
              <w:rPr>
                <w:sz w:val="20"/>
                <w:szCs w:val="20"/>
                <w:color w:val="auto"/>
              </w:rPr>
            </w:pPr>
            <w:r>
              <w:rPr>
                <w:rFonts w:ascii="Arial" w:cs="Arial" w:eastAsia="Arial" w:hAnsi="Arial"/>
                <w:sz w:val="14"/>
                <w:szCs w:val="14"/>
                <w:color w:val="auto"/>
              </w:rPr>
              <w:t>Performance Share Award Payouts</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139,324</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1020" w:type="dxa"/>
            <w:vAlign w:val="bottom"/>
          </w:tcPr>
          <w:p>
            <w:pPr>
              <w:jc w:val="right"/>
              <w:spacing w:after="0"/>
              <w:rPr>
                <w:sz w:val="20"/>
                <w:szCs w:val="20"/>
                <w:color w:val="auto"/>
              </w:rPr>
            </w:pPr>
            <w:r>
              <w:rPr>
                <w:rFonts w:ascii="Arial" w:cs="Arial" w:eastAsia="Arial" w:hAnsi="Arial"/>
                <w:sz w:val="14"/>
                <w:szCs w:val="14"/>
                <w:color w:val="auto"/>
              </w:rPr>
              <w:t>139,324</w:t>
            </w:r>
          </w:p>
        </w:tc>
        <w:tc>
          <w:tcPr>
            <w:tcW w:w="180" w:type="dxa"/>
            <w:vAlign w:val="bottom"/>
          </w:tcPr>
          <w:p>
            <w:pPr>
              <w:jc w:val="right"/>
              <w:spacing w:after="0"/>
              <w:rPr>
                <w:sz w:val="20"/>
                <w:szCs w:val="20"/>
                <w:color w:val="auto"/>
              </w:rPr>
            </w:pPr>
            <w:r>
              <w:rPr>
                <w:rFonts w:ascii="Arial" w:cs="Arial" w:eastAsia="Arial" w:hAnsi="Arial"/>
                <w:sz w:val="12"/>
                <w:szCs w:val="12"/>
                <w:color w:val="auto"/>
                <w:w w:val="81"/>
              </w:rPr>
              <w:t>(4)</w:t>
            </w: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213,460</w:t>
            </w:r>
          </w:p>
        </w:tc>
        <w:tc>
          <w:tcPr>
            <w:tcW w:w="180" w:type="dxa"/>
            <w:vAlign w:val="bottom"/>
          </w:tcPr>
          <w:p>
            <w:pPr>
              <w:jc w:val="right"/>
              <w:spacing w:after="0"/>
              <w:rPr>
                <w:sz w:val="20"/>
                <w:szCs w:val="20"/>
                <w:color w:val="auto"/>
              </w:rPr>
            </w:pPr>
            <w:r>
              <w:rPr>
                <w:rFonts w:ascii="Arial" w:cs="Arial" w:eastAsia="Arial" w:hAnsi="Arial"/>
                <w:sz w:val="12"/>
                <w:szCs w:val="12"/>
                <w:color w:val="auto"/>
                <w:w w:val="81"/>
              </w:rPr>
              <w:t>(5)</w:t>
            </w:r>
          </w:p>
        </w:tc>
        <w:tc>
          <w:tcPr>
            <w:tcW w:w="1340" w:type="dxa"/>
            <w:vAlign w:val="bottom"/>
          </w:tcPr>
          <w:p>
            <w:pPr>
              <w:jc w:val="right"/>
              <w:spacing w:after="0"/>
              <w:rPr>
                <w:sz w:val="20"/>
                <w:szCs w:val="20"/>
                <w:color w:val="auto"/>
              </w:rPr>
            </w:pPr>
            <w:r>
              <w:rPr>
                <w:rFonts w:ascii="Arial" w:cs="Arial" w:eastAsia="Arial" w:hAnsi="Arial"/>
                <w:sz w:val="14"/>
                <w:szCs w:val="14"/>
                <w:color w:val="auto"/>
              </w:rPr>
              <w:t>213,460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(5)</w:t>
            </w:r>
          </w:p>
        </w:tc>
      </w:tr>
      <w:tr>
        <w:trPr>
          <w:trHeight w:val="174"/>
        </w:trPr>
        <w:tc>
          <w:tcPr>
            <w:tcW w:w="3640" w:type="dxa"/>
            <w:vAlign w:val="bottom"/>
          </w:tcPr>
          <w:p>
            <w:pPr>
              <w:ind w:left="260"/>
              <w:spacing w:after="0" w:line="174" w:lineRule="exact"/>
              <w:rPr>
                <w:sz w:val="20"/>
                <w:szCs w:val="20"/>
                <w:color w:val="auto"/>
              </w:rPr>
            </w:pPr>
            <w:r>
              <w:rPr>
                <w:rFonts w:ascii="Arial" w:cs="Arial" w:eastAsia="Arial" w:hAnsi="Arial"/>
                <w:sz w:val="12"/>
                <w:szCs w:val="12"/>
                <w:color w:val="auto"/>
              </w:rPr>
              <w:t>Welfare Plan Benefits</w:t>
            </w:r>
            <w:r>
              <w:rPr>
                <w:rFonts w:ascii="Arial" w:cs="Arial" w:eastAsia="Arial" w:hAnsi="Arial"/>
                <w:sz w:val="20"/>
                <w:szCs w:val="20"/>
                <w:color w:val="auto"/>
                <w:vertAlign w:val="superscript"/>
              </w:rPr>
              <w:t>(6)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38,847</w:t>
            </w:r>
          </w:p>
        </w:tc>
        <w:tc>
          <w:tcPr>
            <w:tcW w:w="180" w:type="dxa"/>
            <w:vAlign w:val="bottom"/>
          </w:tcPr>
          <w:p>
            <w:pPr>
              <w:spacing w:after="0"/>
              <w:rPr>
                <w:sz w:val="15"/>
                <w:szCs w:val="15"/>
                <w:color w:val="auto"/>
              </w:rPr>
            </w:pPr>
          </w:p>
        </w:tc>
      </w:tr>
      <w:tr>
        <w:trPr>
          <w:trHeight w:val="174"/>
        </w:trPr>
        <w:tc>
          <w:tcPr>
            <w:tcW w:w="3640" w:type="dxa"/>
            <w:vAlign w:val="bottom"/>
          </w:tcPr>
          <w:p>
            <w:pPr>
              <w:ind w:left="260"/>
              <w:spacing w:after="0" w:line="174" w:lineRule="exact"/>
              <w:rPr>
                <w:sz w:val="20"/>
                <w:szCs w:val="20"/>
                <w:color w:val="auto"/>
              </w:rPr>
            </w:pPr>
            <w:r>
              <w:rPr>
                <w:rFonts w:ascii="Arial" w:cs="Arial" w:eastAsia="Arial" w:hAnsi="Arial"/>
                <w:sz w:val="12"/>
                <w:szCs w:val="12"/>
                <w:color w:val="auto"/>
              </w:rPr>
              <w:t>Outplacement Services</w:t>
            </w:r>
            <w:r>
              <w:rPr>
                <w:rFonts w:ascii="Arial" w:cs="Arial" w:eastAsia="Arial" w:hAnsi="Arial"/>
                <w:sz w:val="20"/>
                <w:szCs w:val="20"/>
                <w:color w:val="auto"/>
                <w:vertAlign w:val="superscript"/>
              </w:rPr>
              <w:t>(7)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tcPr>
          <w:p>
            <w:pPr>
              <w:spacing w:after="0"/>
              <w:rPr>
                <w:sz w:val="15"/>
                <w:szCs w:val="15"/>
                <w:color w:val="auto"/>
              </w:rPr>
            </w:pPr>
          </w:p>
        </w:tc>
      </w:tr>
      <w:tr>
        <w:trPr>
          <w:trHeight w:val="164"/>
        </w:trPr>
        <w:tc>
          <w:tcPr>
            <w:tcW w:w="3640" w:type="dxa"/>
            <w:vAlign w:val="bottom"/>
          </w:tcPr>
          <w:p>
            <w:pPr>
              <w:ind w:left="260"/>
              <w:spacing w:after="0" w:line="163" w:lineRule="exact"/>
              <w:rPr>
                <w:sz w:val="20"/>
                <w:szCs w:val="20"/>
                <w:color w:val="auto"/>
              </w:rPr>
            </w:pPr>
            <w:r>
              <w:rPr>
                <w:rFonts w:ascii="Arial" w:cs="Arial" w:eastAsia="Arial" w:hAnsi="Arial"/>
                <w:sz w:val="11"/>
                <w:szCs w:val="11"/>
                <w:color w:val="auto"/>
              </w:rPr>
              <w:t>Perquisites</w:t>
            </w:r>
            <w:r>
              <w:rPr>
                <w:rFonts w:ascii="Arial" w:cs="Arial" w:eastAsia="Arial" w:hAnsi="Arial"/>
                <w:sz w:val="18"/>
                <w:szCs w:val="18"/>
                <w:color w:val="auto"/>
                <w:vertAlign w:val="superscript"/>
              </w:rPr>
              <w:t>(8)</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37,089</w:t>
            </w: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r>
      <w:tr>
        <w:trPr>
          <w:trHeight w:val="168"/>
        </w:trPr>
        <w:tc>
          <w:tcPr>
            <w:tcW w:w="364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176,413</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830,841</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1,359,729</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2,744,442</w:t>
            </w:r>
          </w:p>
        </w:tc>
        <w:tc>
          <w:tcPr>
            <w:tcW w:w="180" w:type="dxa"/>
            <w:vAlign w:val="bottom"/>
          </w:tcPr>
          <w:p>
            <w:pPr>
              <w:spacing w:after="0"/>
              <w:rPr>
                <w:sz w:val="14"/>
                <w:szCs w:val="14"/>
                <w:color w:val="auto"/>
              </w:rPr>
            </w:pPr>
          </w:p>
        </w:tc>
      </w:tr>
      <w:tr>
        <w:trPr>
          <w:trHeight w:val="174"/>
        </w:trPr>
        <w:tc>
          <w:tcPr>
            <w:tcW w:w="3640" w:type="dxa"/>
            <w:vAlign w:val="bottom"/>
            <w:shd w:val="clear" w:color="auto" w:fill="D9D9D9"/>
          </w:tcPr>
          <w:p>
            <w:pPr>
              <w:spacing w:after="0"/>
              <w:rPr>
                <w:sz w:val="20"/>
                <w:szCs w:val="20"/>
                <w:color w:val="auto"/>
              </w:rPr>
            </w:pPr>
            <w:r>
              <w:rPr>
                <w:rFonts w:ascii="Arial" w:cs="Arial" w:eastAsia="Arial" w:hAnsi="Arial"/>
                <w:sz w:val="14"/>
                <w:szCs w:val="14"/>
                <w:color w:val="auto"/>
              </w:rPr>
              <w:t>Bradley A. Hamilton</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06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r>
      <w:tr>
        <w:trPr>
          <w:trHeight w:val="174"/>
        </w:trPr>
        <w:tc>
          <w:tcPr>
            <w:tcW w:w="3640" w:type="dxa"/>
            <w:vAlign w:val="bottom"/>
            <w:shd w:val="clear" w:color="auto" w:fill="D9D9D9"/>
          </w:tcPr>
          <w:p>
            <w:pPr>
              <w:ind w:left="260"/>
              <w:spacing w:after="0" w:line="174" w:lineRule="exact"/>
              <w:rPr>
                <w:sz w:val="20"/>
                <w:szCs w:val="20"/>
                <w:color w:val="auto"/>
              </w:rPr>
            </w:pPr>
            <w:r>
              <w:rPr>
                <w:rFonts w:ascii="Arial" w:cs="Arial" w:eastAsia="Arial" w:hAnsi="Arial"/>
                <w:sz w:val="12"/>
                <w:szCs w:val="12"/>
                <w:color w:val="auto"/>
              </w:rPr>
              <w:t>Cash Severance Payment</w:t>
            </w:r>
            <w:r>
              <w:rPr>
                <w:rFonts w:ascii="Arial" w:cs="Arial" w:eastAsia="Arial" w:hAnsi="Arial"/>
                <w:sz w:val="20"/>
                <w:szCs w:val="20"/>
                <w:color w:val="auto"/>
                <w:vertAlign w:val="superscript"/>
              </w:rPr>
              <w:t>(2)</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1,125,600</w:t>
            </w:r>
          </w:p>
        </w:tc>
        <w:tc>
          <w:tcPr>
            <w:tcW w:w="180" w:type="dxa"/>
            <w:vAlign w:val="bottom"/>
            <w:shd w:val="clear" w:color="auto" w:fill="D9D9D9"/>
          </w:tcPr>
          <w:p>
            <w:pPr>
              <w:spacing w:after="0"/>
              <w:rPr>
                <w:sz w:val="15"/>
                <w:szCs w:val="15"/>
                <w:color w:val="auto"/>
              </w:rPr>
            </w:pPr>
          </w:p>
        </w:tc>
      </w:tr>
      <w:tr>
        <w:trPr>
          <w:trHeight w:val="174"/>
        </w:trPr>
        <w:tc>
          <w:tcPr>
            <w:tcW w:w="3640" w:type="dxa"/>
            <w:vAlign w:val="bottom"/>
            <w:shd w:val="clear" w:color="auto" w:fill="D9D9D9"/>
          </w:tcPr>
          <w:p>
            <w:pPr>
              <w:ind w:left="260"/>
              <w:spacing w:after="0" w:line="174"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20"/>
                <w:szCs w:val="20"/>
                <w:color w:val="auto"/>
                <w:vertAlign w:val="superscript"/>
              </w:rPr>
              <w:t>(3)</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541,839</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541,839</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541,839</w:t>
            </w:r>
          </w:p>
        </w:tc>
        <w:tc>
          <w:tcPr>
            <w:tcW w:w="180" w:type="dxa"/>
            <w:vAlign w:val="bottom"/>
            <w:shd w:val="clear" w:color="auto" w:fill="D9D9D9"/>
          </w:tcPr>
          <w:p>
            <w:pPr>
              <w:spacing w:after="0"/>
              <w:rPr>
                <w:sz w:val="15"/>
                <w:szCs w:val="15"/>
                <w:color w:val="auto"/>
              </w:rPr>
            </w:pPr>
          </w:p>
        </w:tc>
      </w:tr>
      <w:tr>
        <w:trPr>
          <w:trHeight w:val="174"/>
        </w:trPr>
        <w:tc>
          <w:tcPr>
            <w:tcW w:w="3640" w:type="dxa"/>
            <w:vAlign w:val="bottom"/>
            <w:shd w:val="clear" w:color="auto" w:fill="D9D9D9"/>
          </w:tcPr>
          <w:p>
            <w:pPr>
              <w:ind w:left="260"/>
              <w:spacing w:after="0"/>
              <w:rPr>
                <w:sz w:val="20"/>
                <w:szCs w:val="20"/>
                <w:color w:val="auto"/>
              </w:rPr>
            </w:pPr>
            <w:r>
              <w:rPr>
                <w:rFonts w:ascii="Arial" w:cs="Arial" w:eastAsia="Arial" w:hAnsi="Arial"/>
                <w:sz w:val="14"/>
                <w:szCs w:val="14"/>
                <w:color w:val="auto"/>
              </w:rPr>
              <w:t>Performance Share Award Payouts</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253,114</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(4)</w:t>
            </w: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253,114</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81"/>
              </w:rPr>
              <w:t>(4)</w:t>
            </w: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396,789</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81"/>
              </w:rPr>
              <w:t>(5)</w:t>
            </w: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396,789</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(5)</w:t>
            </w:r>
          </w:p>
        </w:tc>
      </w:tr>
      <w:tr>
        <w:trPr>
          <w:trHeight w:val="174"/>
        </w:trPr>
        <w:tc>
          <w:tcPr>
            <w:tcW w:w="3640" w:type="dxa"/>
            <w:vAlign w:val="bottom"/>
            <w:shd w:val="clear" w:color="auto" w:fill="D9D9D9"/>
          </w:tcPr>
          <w:p>
            <w:pPr>
              <w:ind w:left="260"/>
              <w:spacing w:after="0" w:line="174" w:lineRule="exact"/>
              <w:rPr>
                <w:sz w:val="20"/>
                <w:szCs w:val="20"/>
                <w:color w:val="auto"/>
              </w:rPr>
            </w:pPr>
            <w:r>
              <w:rPr>
                <w:rFonts w:ascii="Arial" w:cs="Arial" w:eastAsia="Arial" w:hAnsi="Arial"/>
                <w:sz w:val="12"/>
                <w:szCs w:val="12"/>
                <w:color w:val="auto"/>
              </w:rPr>
              <w:t>Welfare Plan Benefits</w:t>
            </w:r>
            <w:r>
              <w:rPr>
                <w:rFonts w:ascii="Arial" w:cs="Arial" w:eastAsia="Arial" w:hAnsi="Arial"/>
                <w:sz w:val="20"/>
                <w:szCs w:val="20"/>
                <w:color w:val="auto"/>
                <w:vertAlign w:val="superscript"/>
              </w:rPr>
              <w:t>(6)</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56,253</w:t>
            </w:r>
          </w:p>
        </w:tc>
        <w:tc>
          <w:tcPr>
            <w:tcW w:w="180" w:type="dxa"/>
            <w:vAlign w:val="bottom"/>
            <w:shd w:val="clear" w:color="auto" w:fill="D9D9D9"/>
          </w:tcPr>
          <w:p>
            <w:pPr>
              <w:spacing w:after="0"/>
              <w:rPr>
                <w:sz w:val="15"/>
                <w:szCs w:val="15"/>
                <w:color w:val="auto"/>
              </w:rPr>
            </w:pPr>
          </w:p>
        </w:tc>
      </w:tr>
      <w:tr>
        <w:trPr>
          <w:trHeight w:val="174"/>
        </w:trPr>
        <w:tc>
          <w:tcPr>
            <w:tcW w:w="3640" w:type="dxa"/>
            <w:vAlign w:val="bottom"/>
            <w:shd w:val="clear" w:color="auto" w:fill="D9D9D9"/>
          </w:tcPr>
          <w:p>
            <w:pPr>
              <w:ind w:left="260"/>
              <w:spacing w:after="0" w:line="174" w:lineRule="exact"/>
              <w:rPr>
                <w:sz w:val="20"/>
                <w:szCs w:val="20"/>
                <w:color w:val="auto"/>
              </w:rPr>
            </w:pPr>
            <w:r>
              <w:rPr>
                <w:rFonts w:ascii="Arial" w:cs="Arial" w:eastAsia="Arial" w:hAnsi="Arial"/>
                <w:sz w:val="12"/>
                <w:szCs w:val="12"/>
                <w:color w:val="auto"/>
              </w:rPr>
              <w:t>Outplacement Services</w:t>
            </w:r>
            <w:r>
              <w:rPr>
                <w:rFonts w:ascii="Arial" w:cs="Arial" w:eastAsia="Arial" w:hAnsi="Arial"/>
                <w:sz w:val="20"/>
                <w:szCs w:val="20"/>
                <w:color w:val="auto"/>
                <w:vertAlign w:val="superscript"/>
              </w:rPr>
              <w:t>(7)</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shd w:val="clear" w:color="auto" w:fill="D9D9D9"/>
          </w:tcPr>
          <w:p>
            <w:pPr>
              <w:spacing w:after="0"/>
              <w:rPr>
                <w:sz w:val="15"/>
                <w:szCs w:val="15"/>
                <w:color w:val="auto"/>
              </w:rPr>
            </w:pPr>
          </w:p>
        </w:tc>
      </w:tr>
      <w:tr>
        <w:trPr>
          <w:trHeight w:val="174"/>
        </w:trPr>
        <w:tc>
          <w:tcPr>
            <w:tcW w:w="3640" w:type="dxa"/>
            <w:vAlign w:val="bottom"/>
            <w:tcBorders>
              <w:bottom w:val="single" w:sz="8" w:color="D9D9D9"/>
            </w:tcBorders>
            <w:shd w:val="clear" w:color="auto" w:fill="D9D9D9"/>
          </w:tcPr>
          <w:p>
            <w:pPr>
              <w:ind w:left="260"/>
              <w:spacing w:after="0" w:line="174" w:lineRule="exact"/>
              <w:rPr>
                <w:sz w:val="20"/>
                <w:szCs w:val="20"/>
                <w:color w:val="auto"/>
              </w:rPr>
            </w:pPr>
            <w:r>
              <w:rPr>
                <w:rFonts w:ascii="Arial" w:cs="Arial" w:eastAsia="Arial" w:hAnsi="Arial"/>
                <w:sz w:val="12"/>
                <w:szCs w:val="12"/>
                <w:color w:val="auto"/>
              </w:rPr>
              <w:t>Perquisites</w:t>
            </w:r>
            <w:r>
              <w:rPr>
                <w:rFonts w:ascii="Arial" w:cs="Arial" w:eastAsia="Arial" w:hAnsi="Arial"/>
                <w:sz w:val="20"/>
                <w:szCs w:val="20"/>
                <w:color w:val="auto"/>
                <w:vertAlign w:val="superscript"/>
              </w:rPr>
              <w:t>(8)</w:t>
            </w:r>
          </w:p>
        </w:tc>
        <w:tc>
          <w:tcPr>
            <w:tcW w:w="120" w:type="dxa"/>
            <w:vAlign w:val="bottom"/>
            <w:tcBorders>
              <w:bottom w:val="single" w:sz="8" w:color="D9D9D9"/>
            </w:tcBorders>
            <w:shd w:val="clear" w:color="auto" w:fill="D9D9D9"/>
          </w:tcPr>
          <w:p>
            <w:pPr>
              <w:spacing w:after="0"/>
              <w:rPr>
                <w:sz w:val="15"/>
                <w:szCs w:val="15"/>
                <w:color w:val="auto"/>
              </w:rPr>
            </w:pPr>
          </w:p>
        </w:tc>
        <w:tc>
          <w:tcPr>
            <w:tcW w:w="10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29,646</w:t>
            </w:r>
          </w:p>
        </w:tc>
        <w:tc>
          <w:tcPr>
            <w:tcW w:w="180" w:type="dxa"/>
            <w:vAlign w:val="bottom"/>
            <w:tcBorders>
              <w:bottom w:val="single" w:sz="8" w:color="D9D9D9"/>
            </w:tcBorders>
            <w:shd w:val="clear" w:color="auto" w:fill="D9D9D9"/>
          </w:tcPr>
          <w:p>
            <w:pPr>
              <w:spacing w:after="0"/>
              <w:rPr>
                <w:sz w:val="15"/>
                <w:szCs w:val="15"/>
                <w:color w:val="auto"/>
              </w:rPr>
            </w:pPr>
          </w:p>
        </w:tc>
        <w:tc>
          <w:tcPr>
            <w:tcW w:w="10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tcBorders>
              <w:bottom w:val="single" w:sz="8" w:color="D9D9D9"/>
            </w:tcBorders>
            <w:shd w:val="clear" w:color="auto" w:fill="D9D9D9"/>
          </w:tcPr>
          <w:p>
            <w:pPr>
              <w:spacing w:after="0"/>
              <w:rPr>
                <w:sz w:val="15"/>
                <w:szCs w:val="15"/>
                <w:color w:val="auto"/>
              </w:rPr>
            </w:pPr>
          </w:p>
        </w:tc>
        <w:tc>
          <w:tcPr>
            <w:tcW w:w="10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D9D9D9"/>
            </w:tcBorders>
            <w:shd w:val="clear" w:color="auto" w:fill="D9D9D9"/>
          </w:tcPr>
          <w:p>
            <w:pPr>
              <w:spacing w:after="0"/>
              <w:rPr>
                <w:sz w:val="15"/>
                <w:szCs w:val="15"/>
                <w:color w:val="auto"/>
              </w:rPr>
            </w:pP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D9D9D9"/>
            </w:tcBorders>
            <w:shd w:val="clear" w:color="auto" w:fill="D9D9D9"/>
          </w:tcPr>
          <w:p>
            <w:pPr>
              <w:spacing w:after="0"/>
              <w:rPr>
                <w:sz w:val="15"/>
                <w:szCs w:val="15"/>
                <w:color w:val="auto"/>
              </w:rPr>
            </w:pPr>
          </w:p>
        </w:tc>
        <w:tc>
          <w:tcPr>
            <w:tcW w:w="10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tcBorders>
              <w:bottom w:val="single" w:sz="8" w:color="D9D9D9"/>
            </w:tcBorders>
            <w:shd w:val="clear" w:color="auto" w:fill="D9D9D9"/>
          </w:tcPr>
          <w:p>
            <w:pPr>
              <w:spacing w:after="0"/>
              <w:rPr>
                <w:sz w:val="15"/>
                <w:szCs w:val="15"/>
                <w:color w:val="auto"/>
              </w:rPr>
            </w:pPr>
          </w:p>
        </w:tc>
        <w:tc>
          <w:tcPr>
            <w:tcW w:w="1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tcBorders>
              <w:bottom w:val="single" w:sz="8" w:color="D9D9D9"/>
            </w:tcBorders>
            <w:shd w:val="clear" w:color="auto" w:fill="D9D9D9"/>
          </w:tcPr>
          <w:p>
            <w:pPr>
              <w:spacing w:after="0"/>
              <w:rPr>
                <w:sz w:val="15"/>
                <w:szCs w:val="15"/>
                <w:color w:val="auto"/>
              </w:rPr>
            </w:pPr>
          </w:p>
        </w:tc>
      </w:tr>
      <w:tr>
        <w:trPr>
          <w:trHeight w:val="168"/>
        </w:trPr>
        <w:tc>
          <w:tcPr>
            <w:tcW w:w="364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Total</w:t>
            </w:r>
          </w:p>
        </w:tc>
        <w:tc>
          <w:tcPr>
            <w:tcW w:w="120" w:type="dxa"/>
            <w:vAlign w:val="bottom"/>
            <w:shd w:val="clear" w:color="auto" w:fill="D9D9D9"/>
          </w:tcPr>
          <w:p>
            <w:pPr>
              <w:spacing w:after="0"/>
              <w:rPr>
                <w:sz w:val="14"/>
                <w:szCs w:val="14"/>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282,760</w:t>
            </w:r>
          </w:p>
        </w:tc>
        <w:tc>
          <w:tcPr>
            <w:tcW w:w="180" w:type="dxa"/>
            <w:vAlign w:val="bottom"/>
            <w:shd w:val="clear" w:color="auto" w:fill="D9D9D9"/>
          </w:tcPr>
          <w:p>
            <w:pPr>
              <w:spacing w:after="0"/>
              <w:rPr>
                <w:sz w:val="14"/>
                <w:szCs w:val="14"/>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794,953</w:t>
            </w:r>
          </w:p>
        </w:tc>
        <w:tc>
          <w:tcPr>
            <w:tcW w:w="180" w:type="dxa"/>
            <w:vAlign w:val="bottom"/>
            <w:shd w:val="clear" w:color="auto" w:fill="D9D9D9"/>
          </w:tcPr>
          <w:p>
            <w:pPr>
              <w:spacing w:after="0"/>
              <w:rPr>
                <w:sz w:val="14"/>
                <w:szCs w:val="14"/>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shd w:val="clear" w:color="auto" w:fill="D9D9D9"/>
          </w:tcPr>
          <w:p>
            <w:pPr>
              <w:spacing w:after="0"/>
              <w:rPr>
                <w:sz w:val="14"/>
                <w:szCs w:val="14"/>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938,628</w:t>
            </w:r>
          </w:p>
        </w:tc>
        <w:tc>
          <w:tcPr>
            <w:tcW w:w="180" w:type="dxa"/>
            <w:vAlign w:val="bottom"/>
            <w:shd w:val="clear" w:color="auto" w:fill="D9D9D9"/>
          </w:tcPr>
          <w:p>
            <w:pPr>
              <w:spacing w:after="0"/>
              <w:rPr>
                <w:sz w:val="14"/>
                <w:szCs w:val="14"/>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2,150,481</w:t>
            </w:r>
          </w:p>
        </w:tc>
        <w:tc>
          <w:tcPr>
            <w:tcW w:w="180" w:type="dxa"/>
            <w:vAlign w:val="bottom"/>
            <w:shd w:val="clear" w:color="auto" w:fill="D9D9D9"/>
          </w:tcPr>
          <w:p>
            <w:pPr>
              <w:spacing w:after="0"/>
              <w:rPr>
                <w:sz w:val="14"/>
                <w:szCs w:val="14"/>
                <w:color w:val="auto"/>
              </w:rPr>
            </w:pPr>
          </w:p>
        </w:tc>
      </w:tr>
      <w:tr>
        <w:trPr>
          <w:trHeight w:val="189"/>
        </w:trPr>
        <w:tc>
          <w:tcPr>
            <w:tcW w:w="3640" w:type="dxa"/>
            <w:vAlign w:val="bottom"/>
          </w:tcPr>
          <w:p>
            <w:pPr>
              <w:spacing w:after="0"/>
              <w:rPr>
                <w:sz w:val="20"/>
                <w:szCs w:val="20"/>
                <w:color w:val="auto"/>
              </w:rPr>
            </w:pPr>
            <w:r>
              <w:rPr>
                <w:rFonts w:ascii="Arial" w:cs="Arial" w:eastAsia="Arial" w:hAnsi="Arial"/>
                <w:sz w:val="14"/>
                <w:szCs w:val="14"/>
                <w:color w:val="auto"/>
              </w:rPr>
              <w:t>Amy E. Dahl</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3"/>
        </w:trPr>
        <w:tc>
          <w:tcPr>
            <w:tcW w:w="3640" w:type="dxa"/>
            <w:vAlign w:val="bottom"/>
          </w:tcPr>
          <w:p>
            <w:pPr>
              <w:ind w:left="260"/>
              <w:spacing w:after="0" w:line="224" w:lineRule="exact"/>
              <w:rPr>
                <w:sz w:val="20"/>
                <w:szCs w:val="20"/>
                <w:color w:val="auto"/>
              </w:rPr>
            </w:pPr>
            <w:r>
              <w:rPr>
                <w:rFonts w:ascii="Arial" w:cs="Arial" w:eastAsia="Arial" w:hAnsi="Arial"/>
                <w:sz w:val="14"/>
                <w:szCs w:val="14"/>
                <w:color w:val="auto"/>
              </w:rPr>
              <w:t>Cash Severance Payment</w:t>
            </w:r>
            <w:r>
              <w:rPr>
                <w:rFonts w:ascii="Arial" w:cs="Arial" w:eastAsia="Arial" w:hAnsi="Arial"/>
                <w:sz w:val="24"/>
                <w:szCs w:val="24"/>
                <w:color w:val="auto"/>
                <w:vertAlign w:val="superscript"/>
              </w:rPr>
              <w:t>(2)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1,246,200</w:t>
            </w:r>
          </w:p>
        </w:tc>
        <w:tc>
          <w:tcPr>
            <w:tcW w:w="180" w:type="dxa"/>
            <w:vAlign w:val="bottom"/>
          </w:tcPr>
          <w:p>
            <w:pPr>
              <w:spacing w:after="0"/>
              <w:rPr>
                <w:sz w:val="19"/>
                <w:szCs w:val="19"/>
                <w:color w:val="auto"/>
              </w:rPr>
            </w:pPr>
          </w:p>
        </w:tc>
      </w:tr>
      <w:tr>
        <w:trPr>
          <w:trHeight w:val="208"/>
        </w:trPr>
        <w:tc>
          <w:tcPr>
            <w:tcW w:w="3640" w:type="dxa"/>
            <w:vAlign w:val="bottom"/>
          </w:tcPr>
          <w:p>
            <w:pPr>
              <w:ind w:left="260"/>
              <w:spacing w:after="0" w:line="209" w:lineRule="exact"/>
              <w:rPr>
                <w:sz w:val="20"/>
                <w:szCs w:val="20"/>
                <w:color w:val="auto"/>
              </w:rPr>
            </w:pPr>
            <w:r>
              <w:rPr>
                <w:rFonts w:ascii="Arial" w:cs="Arial" w:eastAsia="Arial" w:hAnsi="Arial"/>
                <w:sz w:val="14"/>
                <w:szCs w:val="14"/>
                <w:color w:val="auto"/>
              </w:rPr>
              <w:t>Unvested &amp; Accelerated Stock Options</w:t>
            </w:r>
            <w:r>
              <w:rPr>
                <w:rFonts w:ascii="Arial" w:cs="Arial" w:eastAsia="Arial" w:hAnsi="Arial"/>
                <w:sz w:val="24"/>
                <w:szCs w:val="24"/>
                <w:color w:val="auto"/>
                <w:vertAlign w:val="superscript"/>
              </w:rPr>
              <w:t>(3)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441,560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441,560</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441,560</w:t>
            </w:r>
          </w:p>
        </w:tc>
        <w:tc>
          <w:tcPr>
            <w:tcW w:w="180" w:type="dxa"/>
            <w:vAlign w:val="bottom"/>
          </w:tcPr>
          <w:p>
            <w:pPr>
              <w:spacing w:after="0"/>
              <w:rPr>
                <w:sz w:val="18"/>
                <w:szCs w:val="18"/>
                <w:color w:val="auto"/>
              </w:rPr>
            </w:pPr>
          </w:p>
        </w:tc>
      </w:tr>
      <w:tr>
        <w:trPr>
          <w:trHeight w:val="194"/>
        </w:trPr>
        <w:tc>
          <w:tcPr>
            <w:tcW w:w="3640" w:type="dxa"/>
            <w:vAlign w:val="bottom"/>
          </w:tcPr>
          <w:p>
            <w:pPr>
              <w:ind w:left="260"/>
              <w:spacing w:after="0"/>
              <w:rPr>
                <w:sz w:val="20"/>
                <w:szCs w:val="20"/>
                <w:color w:val="auto"/>
              </w:rPr>
            </w:pPr>
            <w:r>
              <w:rPr>
                <w:rFonts w:ascii="Arial" w:cs="Arial" w:eastAsia="Arial" w:hAnsi="Arial"/>
                <w:sz w:val="14"/>
                <w:szCs w:val="14"/>
                <w:color w:val="auto"/>
              </w:rPr>
              <w:t>Performance Share Award Payouts</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205,496</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1020" w:type="dxa"/>
            <w:vAlign w:val="bottom"/>
          </w:tcPr>
          <w:p>
            <w:pPr>
              <w:jc w:val="right"/>
              <w:spacing w:after="0"/>
              <w:rPr>
                <w:sz w:val="20"/>
                <w:szCs w:val="20"/>
                <w:color w:val="auto"/>
              </w:rPr>
            </w:pPr>
            <w:r>
              <w:rPr>
                <w:rFonts w:ascii="Arial" w:cs="Arial" w:eastAsia="Arial" w:hAnsi="Arial"/>
                <w:sz w:val="14"/>
                <w:szCs w:val="14"/>
                <w:color w:val="auto"/>
              </w:rPr>
              <w:t>205,496</w:t>
            </w:r>
          </w:p>
        </w:tc>
        <w:tc>
          <w:tcPr>
            <w:tcW w:w="180" w:type="dxa"/>
            <w:vAlign w:val="bottom"/>
          </w:tcPr>
          <w:p>
            <w:pPr>
              <w:jc w:val="right"/>
              <w:spacing w:after="0"/>
              <w:rPr>
                <w:sz w:val="20"/>
                <w:szCs w:val="20"/>
                <w:color w:val="auto"/>
              </w:rPr>
            </w:pPr>
            <w:r>
              <w:rPr>
                <w:rFonts w:ascii="Arial" w:cs="Arial" w:eastAsia="Arial" w:hAnsi="Arial"/>
                <w:sz w:val="12"/>
                <w:szCs w:val="12"/>
                <w:color w:val="auto"/>
                <w:w w:val="81"/>
              </w:rPr>
              <w:t>(4)</w:t>
            </w: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320,108</w:t>
            </w:r>
          </w:p>
        </w:tc>
        <w:tc>
          <w:tcPr>
            <w:tcW w:w="180" w:type="dxa"/>
            <w:vAlign w:val="bottom"/>
          </w:tcPr>
          <w:p>
            <w:pPr>
              <w:jc w:val="right"/>
              <w:spacing w:after="0"/>
              <w:rPr>
                <w:sz w:val="20"/>
                <w:szCs w:val="20"/>
                <w:color w:val="auto"/>
              </w:rPr>
            </w:pPr>
            <w:r>
              <w:rPr>
                <w:rFonts w:ascii="Arial" w:cs="Arial" w:eastAsia="Arial" w:hAnsi="Arial"/>
                <w:sz w:val="12"/>
                <w:szCs w:val="12"/>
                <w:color w:val="auto"/>
                <w:w w:val="81"/>
              </w:rPr>
              <w:t>(5)</w:t>
            </w:r>
          </w:p>
        </w:tc>
        <w:tc>
          <w:tcPr>
            <w:tcW w:w="1340" w:type="dxa"/>
            <w:vAlign w:val="bottom"/>
          </w:tcPr>
          <w:p>
            <w:pPr>
              <w:jc w:val="right"/>
              <w:spacing w:after="0"/>
              <w:rPr>
                <w:sz w:val="20"/>
                <w:szCs w:val="20"/>
                <w:color w:val="auto"/>
              </w:rPr>
            </w:pPr>
            <w:r>
              <w:rPr>
                <w:rFonts w:ascii="Arial" w:cs="Arial" w:eastAsia="Arial" w:hAnsi="Arial"/>
                <w:sz w:val="14"/>
                <w:szCs w:val="14"/>
                <w:color w:val="auto"/>
              </w:rPr>
              <w:t>320,108</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(5)</w:t>
            </w:r>
          </w:p>
        </w:tc>
      </w:tr>
      <w:tr>
        <w:trPr>
          <w:trHeight w:val="201"/>
        </w:trPr>
        <w:tc>
          <w:tcPr>
            <w:tcW w:w="3640" w:type="dxa"/>
            <w:vAlign w:val="bottom"/>
          </w:tcPr>
          <w:p>
            <w:pPr>
              <w:ind w:left="260"/>
              <w:spacing w:after="0" w:line="201" w:lineRule="exact"/>
              <w:rPr>
                <w:sz w:val="20"/>
                <w:szCs w:val="20"/>
                <w:color w:val="auto"/>
              </w:rPr>
            </w:pPr>
            <w:r>
              <w:rPr>
                <w:rFonts w:ascii="Arial" w:cs="Arial" w:eastAsia="Arial" w:hAnsi="Arial"/>
                <w:sz w:val="14"/>
                <w:szCs w:val="14"/>
                <w:color w:val="auto"/>
              </w:rPr>
              <w:t>Welfare Plan Benefits</w:t>
            </w:r>
            <w:r>
              <w:rPr>
                <w:rFonts w:ascii="Arial" w:cs="Arial" w:eastAsia="Arial" w:hAnsi="Arial"/>
                <w:sz w:val="23"/>
                <w:szCs w:val="23"/>
                <w:color w:val="auto"/>
                <w:vertAlign w:val="superscript"/>
              </w:rPr>
              <w:t>(6)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18,378</w:t>
            </w:r>
          </w:p>
        </w:tc>
        <w:tc>
          <w:tcPr>
            <w:tcW w:w="180" w:type="dxa"/>
            <w:vAlign w:val="bottom"/>
          </w:tcPr>
          <w:p>
            <w:pPr>
              <w:spacing w:after="0"/>
              <w:rPr>
                <w:sz w:val="17"/>
                <w:szCs w:val="17"/>
                <w:color w:val="auto"/>
              </w:rPr>
            </w:pPr>
          </w:p>
        </w:tc>
      </w:tr>
      <w:tr>
        <w:trPr>
          <w:trHeight w:val="201"/>
        </w:trPr>
        <w:tc>
          <w:tcPr>
            <w:tcW w:w="3640" w:type="dxa"/>
            <w:vAlign w:val="bottom"/>
          </w:tcPr>
          <w:p>
            <w:pPr>
              <w:ind w:left="260"/>
              <w:spacing w:after="0" w:line="201" w:lineRule="exact"/>
              <w:rPr>
                <w:sz w:val="20"/>
                <w:szCs w:val="20"/>
                <w:color w:val="auto"/>
              </w:rPr>
            </w:pPr>
            <w:r>
              <w:rPr>
                <w:rFonts w:ascii="Arial" w:cs="Arial" w:eastAsia="Arial" w:hAnsi="Arial"/>
                <w:sz w:val="14"/>
                <w:szCs w:val="14"/>
                <w:color w:val="auto"/>
              </w:rPr>
              <w:t>Outplacement Services</w:t>
            </w:r>
            <w:r>
              <w:rPr>
                <w:rFonts w:ascii="Arial" w:cs="Arial" w:eastAsia="Arial" w:hAnsi="Arial"/>
                <w:sz w:val="23"/>
                <w:szCs w:val="23"/>
                <w:color w:val="auto"/>
                <w:vertAlign w:val="superscript"/>
              </w:rPr>
              <w:t>(7)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tcPr>
          <w:p>
            <w:pPr>
              <w:spacing w:after="0"/>
              <w:rPr>
                <w:sz w:val="17"/>
                <w:szCs w:val="17"/>
                <w:color w:val="auto"/>
              </w:rPr>
            </w:pPr>
          </w:p>
        </w:tc>
      </w:tr>
      <w:tr>
        <w:trPr>
          <w:trHeight w:val="190"/>
        </w:trPr>
        <w:tc>
          <w:tcPr>
            <w:tcW w:w="3640" w:type="dxa"/>
            <w:vAlign w:val="bottom"/>
            <w:tcBorders>
              <w:bottom w:val="single" w:sz="8" w:color="auto"/>
            </w:tcBorders>
          </w:tcPr>
          <w:p>
            <w:pPr>
              <w:ind w:left="260"/>
              <w:spacing w:after="0" w:line="190" w:lineRule="exact"/>
              <w:rPr>
                <w:sz w:val="20"/>
                <w:szCs w:val="20"/>
                <w:color w:val="auto"/>
              </w:rPr>
            </w:pPr>
            <w:r>
              <w:rPr>
                <w:rFonts w:ascii="Arial" w:cs="Arial" w:eastAsia="Arial" w:hAnsi="Arial"/>
                <w:sz w:val="13"/>
                <w:szCs w:val="13"/>
                <w:color w:val="auto"/>
              </w:rPr>
              <w:t>Perquisites</w:t>
            </w:r>
            <w:r>
              <w:rPr>
                <w:rFonts w:ascii="Arial" w:cs="Arial" w:eastAsia="Arial" w:hAnsi="Arial"/>
                <w:sz w:val="22"/>
                <w:szCs w:val="22"/>
                <w:color w:val="auto"/>
                <w:vertAlign w:val="superscript"/>
              </w:rPr>
              <w:t>(8)</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14,323</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6"/>
                <w:szCs w:val="16"/>
                <w:color w:val="auto"/>
              </w:rPr>
            </w:pPr>
          </w:p>
        </w:tc>
      </w:tr>
      <w:tr>
        <w:trPr>
          <w:trHeight w:val="210"/>
        </w:trPr>
        <w:tc>
          <w:tcPr>
            <w:tcW w:w="364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219,819</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647,056</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761,668</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2,056,246</w:t>
            </w:r>
          </w:p>
        </w:tc>
        <w:tc>
          <w:tcPr>
            <w:tcW w:w="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5410200</wp:posOffset>
            </wp:positionH>
            <wp:positionV relativeFrom="paragraph">
              <wp:posOffset>-5167630</wp:posOffset>
            </wp:positionV>
            <wp:extent cx="1727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7278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24130</wp:posOffset>
            </wp:positionV>
            <wp:extent cx="203454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85" w:lineRule="exact"/>
        <w:rPr>
          <w:sz w:val="20"/>
          <w:szCs w:val="20"/>
          <w:color w:val="auto"/>
        </w:rPr>
      </w:pPr>
    </w:p>
    <w:p>
      <w:pPr>
        <w:ind w:left="5520" w:right="2060" w:hanging="5513"/>
        <w:spacing w:after="0" w:line="489" w:lineRule="auto"/>
        <w:tabs>
          <w:tab w:leader="none" w:pos="391"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Messrs. Olson, Hamilton and Rodier and Ms. Peterson met the retirement criteria on October 31, 2020.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5010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47" w:lineRule="exact"/>
        <w:rPr>
          <w:sz w:val="20"/>
          <w:szCs w:val="20"/>
          <w:color w:val="auto"/>
        </w:rPr>
      </w:pPr>
    </w:p>
    <w:p>
      <w:pPr>
        <w:ind w:left="400" w:right="720" w:hanging="393"/>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 reported represents two times (three times for Mr. Olson since he was CEO on October 31, 2020) the sum of the named executive officer’s (a) then current annual base salary and (b) then target annual cash incentive award for fiscal 2020.</w:t>
      </w:r>
    </w:p>
    <w:p>
      <w:pPr>
        <w:spacing w:after="0" w:line="41" w:lineRule="exact"/>
        <w:rPr>
          <w:rFonts w:ascii="Arial" w:cs="Arial" w:eastAsia="Arial" w:hAnsi="Arial"/>
          <w:sz w:val="18"/>
          <w:szCs w:val="18"/>
          <w:color w:val="auto"/>
        </w:rPr>
      </w:pPr>
    </w:p>
    <w:p>
      <w:pPr>
        <w:ind w:left="400" w:right="200" w:hanging="393"/>
        <w:spacing w:after="0" w:line="235" w:lineRule="auto"/>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 reported represents the value of the automatic acceleration of vesting of unvested stock options. All amounts are based on the difference between: (a) the market price of our common stock underlying the unvested stock options as of October 30, 2020, the last trading day preceding October 31, 2020, and (b) the exercise price of the stock options. Because each of Messrs. Olson, Hamilton and Rodier and Ms. Peterson met the retirement criteria on October 31, 2020, upon such event any unvested stock options held would continue to vest for four additional years, but such extended vesting is not quantified in the above table, “Voluntary Resignation / Retirement” column.</w:t>
      </w:r>
    </w:p>
    <w:p>
      <w:pPr>
        <w:spacing w:after="0" w:line="44" w:lineRule="exact"/>
        <w:rPr>
          <w:rFonts w:ascii="Arial" w:cs="Arial" w:eastAsia="Arial" w:hAnsi="Arial"/>
          <w:sz w:val="18"/>
          <w:szCs w:val="18"/>
          <w:color w:val="auto"/>
        </w:rPr>
      </w:pPr>
    </w:p>
    <w:p>
      <w:pPr>
        <w:ind w:left="400" w:hanging="393"/>
        <w:spacing w:after="0" w:line="236" w:lineRule="auto"/>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 reported represents the value of the future payout of two-thirds of the named executive officer’s fiscal 2019 to fiscal 2021 performance share awards (based on two years of the three-year performance period completed as of October 31, 2019) and one-third of the named executive officer’s fiscal 2020 to fiscal 2022 performance share awards (based on one year of the three-year performance period completed as of October 31, 2020), assuming that the Compensation &amp; Human Resources Committee approves the payout at financial plan levels of performance.</w:t>
      </w:r>
    </w:p>
    <w:p>
      <w:pPr>
        <w:spacing w:after="0" w:line="41" w:lineRule="exact"/>
        <w:rPr>
          <w:rFonts w:ascii="Arial" w:cs="Arial" w:eastAsia="Arial" w:hAnsi="Arial"/>
          <w:sz w:val="18"/>
          <w:szCs w:val="18"/>
          <w:color w:val="auto"/>
        </w:rPr>
      </w:pPr>
    </w:p>
    <w:p>
      <w:pPr>
        <w:ind w:left="400" w:right="20" w:hanging="393"/>
        <w:spacing w:after="0" w:line="236" w:lineRule="auto"/>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 reported represents the value of the immediate payout of the applicable number of shares of our common stock that the named executive officer would have been entitled to receive as payout for performance share awards for each of the fiscal 2019 to fiscal 2021 performance period and the fiscal 2020 to fiscal 2022 performance period. The value is based on: (a) the number of outstanding performance share awards at target as of October 31, 2020, multiplied by (b) the market price of our common stock on October 30, 2020, the last trading day preceding October 31, 2020.</w:t>
      </w:r>
    </w:p>
    <w:p>
      <w:pPr>
        <w:spacing w:after="0" w:line="41" w:lineRule="exact"/>
        <w:rPr>
          <w:rFonts w:ascii="Arial" w:cs="Arial" w:eastAsia="Arial" w:hAnsi="Arial"/>
          <w:sz w:val="18"/>
          <w:szCs w:val="18"/>
          <w:color w:val="auto"/>
        </w:rPr>
      </w:pPr>
    </w:p>
    <w:p>
      <w:pPr>
        <w:ind w:left="400" w:hanging="393"/>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 reported represents the estimated value of the welfare plan benefits for a three-year period based on our premium levels in effect on October 31, 2020.</w:t>
      </w:r>
    </w:p>
    <w:p>
      <w:pPr>
        <w:spacing w:after="0" w:line="41" w:lineRule="exact"/>
        <w:rPr>
          <w:rFonts w:ascii="Arial" w:cs="Arial" w:eastAsia="Arial" w:hAnsi="Arial"/>
          <w:sz w:val="18"/>
          <w:szCs w:val="18"/>
          <w:color w:val="auto"/>
        </w:rPr>
      </w:pPr>
    </w:p>
    <w:p>
      <w:pPr>
        <w:ind w:left="400" w:right="220" w:hanging="393"/>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 reported is based on the assumption that we would incur a $30,000 one-time cost for outplacement services to be provided for the two-year period.</w:t>
      </w:r>
    </w:p>
    <w:p>
      <w:pPr>
        <w:spacing w:after="0" w:line="35" w:lineRule="exact"/>
        <w:rPr>
          <w:rFonts w:ascii="Arial" w:cs="Arial" w:eastAsia="Arial" w:hAnsi="Arial"/>
          <w:sz w:val="18"/>
          <w:szCs w:val="18"/>
          <w:color w:val="auto"/>
        </w:rPr>
      </w:pPr>
    </w:p>
    <w:p>
      <w:pPr>
        <w:ind w:left="400" w:hanging="393"/>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 reported represents the value of (a) one additional year of financial planning services, (b) one additional executive physical, and</w:t>
      </w:r>
    </w:p>
    <w:p>
      <w:pPr>
        <w:ind w:left="400"/>
        <w:spacing w:after="0"/>
        <w:rPr>
          <w:rFonts w:ascii="Arial" w:cs="Arial" w:eastAsia="Arial" w:hAnsi="Arial"/>
          <w:sz w:val="18"/>
          <w:szCs w:val="18"/>
          <w:color w:val="auto"/>
        </w:rPr>
      </w:pPr>
      <w:r>
        <w:rPr>
          <w:rFonts w:ascii="Arial" w:cs="Arial" w:eastAsia="Arial" w:hAnsi="Arial"/>
          <w:sz w:val="18"/>
          <w:szCs w:val="18"/>
          <w:color w:val="auto"/>
        </w:rPr>
        <w:t>(c) twelve additional months of automobile lease payments.</w:t>
      </w:r>
    </w:p>
    <w:p>
      <w:pPr>
        <w:spacing w:after="0" w:line="47" w:lineRule="exact"/>
        <w:rPr>
          <w:rFonts w:ascii="Arial" w:cs="Arial" w:eastAsia="Arial" w:hAnsi="Arial"/>
          <w:sz w:val="18"/>
          <w:szCs w:val="18"/>
          <w:color w:val="auto"/>
        </w:rPr>
      </w:pPr>
    </w:p>
    <w:p>
      <w:pPr>
        <w:jc w:val="both"/>
        <w:ind w:left="400" w:right="100" w:hanging="393"/>
        <w:spacing w:after="0" w:line="238" w:lineRule="auto"/>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 reported represents the value of the automatic acceleration of the vesting of unvested restricted stock units and is based on the number of shares of common stock underlying the unvested restricted stock units multiplied by the market price of our common stock as of October 31, 2020.</w:t>
      </w:r>
    </w:p>
    <w:p>
      <w:pPr>
        <w:spacing w:after="0" w:line="73" w:lineRule="exact"/>
        <w:rPr>
          <w:sz w:val="20"/>
          <w:szCs w:val="20"/>
          <w:color w:val="auto"/>
        </w:rPr>
      </w:pPr>
    </w:p>
    <w:p>
      <w:pPr>
        <w:ind w:right="80" w:firstLine="401"/>
        <w:spacing w:after="0" w:line="235" w:lineRule="auto"/>
        <w:rPr>
          <w:sz w:val="20"/>
          <w:szCs w:val="20"/>
          <w:color w:val="auto"/>
        </w:rPr>
      </w:pPr>
      <w:r>
        <w:rPr>
          <w:rFonts w:ascii="Arial" w:cs="Arial" w:eastAsia="Arial" w:hAnsi="Arial"/>
          <w:sz w:val="18"/>
          <w:szCs w:val="18"/>
          <w:b w:val="1"/>
          <w:bCs w:val="1"/>
          <w:color w:val="auto"/>
        </w:rPr>
        <w:t xml:space="preserve">Clawback Provisions. </w:t>
      </w:r>
      <w:r>
        <w:rPr>
          <w:rFonts w:ascii="Arial" w:cs="Arial" w:eastAsia="Arial" w:hAnsi="Arial"/>
          <w:sz w:val="18"/>
          <w:szCs w:val="18"/>
          <w:color w:val="auto"/>
        </w:rPr>
        <w:t>Our 2010 Plan and the related award agreements contain a “clawback” provision which provides that if, within</w:t>
      </w:r>
      <w:r>
        <w:rPr>
          <w:rFonts w:ascii="Arial" w:cs="Arial" w:eastAsia="Arial" w:hAnsi="Arial"/>
          <w:sz w:val="18"/>
          <w:szCs w:val="18"/>
          <w:b w:val="1"/>
          <w:bCs w:val="1"/>
          <w:color w:val="auto"/>
        </w:rPr>
        <w:t xml:space="preserve"> </w:t>
      </w:r>
      <w:r>
        <w:rPr>
          <w:rFonts w:ascii="Arial" w:cs="Arial" w:eastAsia="Arial" w:hAnsi="Arial"/>
          <w:sz w:val="18"/>
          <w:szCs w:val="18"/>
          <w:color w:val="auto"/>
        </w:rPr>
        <w:t>one year after the termination of employment the participant is employed or retained by or renders services to a competitor, violates any confidentiality agreement or agreement governing the ownership or assignment of intellectual property rights or engages in any other conduct or act determined to be injurious, detrimental or prejudicial to any interest of our Company, all rights of such participant under the 2010 Plan and any agreements evidencing an award then held by the participant will terminate and be forfeited and the Committee may require the executive to surrender and return to our Company any shares received, and/or to disgorge any profits or any other economic value made or realized by the participant during the period beginning one year prior to the participant’s termination of employment or other service with our Company or any affiliate or subsidiary, in connection with any awards or any shares issued upon the exercise or vesting of any awards granted under such plan. In addition, if we are required to prepare an accounting restatement due to our material noncompliance, as a result of misconduct, with any financial reporting requirement under the securities laws, then any participant who is one of the individuals subject to automatic forfeiture under Section 304 of the Sarbanes-Oxley Act of 2002 must reimburse us for the amount of any award received by such individual under the 2010 Plan during the 12-month period following the first public issuance or filing with the SEC, as the case may be, of the financial document embodying such financial reporting requirement. These clawback provisions are in addition to any automatic clawback or forfeiture law, rule or regulation of which our named executive officers may be subject, including under the Sarbanes-Oxley Act of 2002 and the Dodd-Frank Act, as well as any policy that may be adopted by us.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Pay Ratio Disclosure</w:t>
      </w:r>
    </w:p>
    <w:p>
      <w:pPr>
        <w:spacing w:after="0" w:line="118" w:lineRule="exact"/>
        <w:rPr>
          <w:sz w:val="20"/>
          <w:szCs w:val="20"/>
          <w:color w:val="auto"/>
        </w:rPr>
      </w:pPr>
    </w:p>
    <w:p>
      <w:pPr>
        <w:ind w:right="40" w:firstLine="401"/>
        <w:spacing w:after="0"/>
        <w:rPr>
          <w:sz w:val="20"/>
          <w:szCs w:val="20"/>
          <w:color w:val="auto"/>
        </w:rPr>
      </w:pPr>
      <w:r>
        <w:rPr>
          <w:rFonts w:ascii="Arial" w:cs="Arial" w:eastAsia="Arial" w:hAnsi="Arial"/>
          <w:sz w:val="18"/>
          <w:szCs w:val="18"/>
          <w:color w:val="auto"/>
        </w:rPr>
        <w:t>In accordance with Item 402(u) of Regulation S-K, passed as part of the Dodd-Frank Wall Street Reform and Consumer Protection Act of 2010, we calculated the ratio of annual total compensation of Mr. Olson relative to the annual total compensation of our median employee.</w:t>
      </w:r>
    </w:p>
    <w:p>
      <w:pPr>
        <w:spacing w:after="0" w:line="95" w:lineRule="exact"/>
        <w:rPr>
          <w:sz w:val="20"/>
          <w:szCs w:val="20"/>
          <w:color w:val="auto"/>
        </w:rPr>
      </w:pPr>
    </w:p>
    <w:p>
      <w:pPr>
        <w:ind w:right="120" w:firstLine="401"/>
        <w:spacing w:after="0" w:line="234" w:lineRule="auto"/>
        <w:rPr>
          <w:sz w:val="20"/>
          <w:szCs w:val="20"/>
          <w:color w:val="auto"/>
        </w:rPr>
      </w:pPr>
      <w:r>
        <w:rPr>
          <w:rFonts w:ascii="Arial" w:cs="Arial" w:eastAsia="Arial" w:hAnsi="Arial"/>
          <w:sz w:val="18"/>
          <w:szCs w:val="18"/>
          <w:color w:val="auto"/>
        </w:rPr>
        <w:t>To determine the median employee, we identified that, as of October 31, 2020, our total employee population was 10,103 employees, which included employees from all our subsidiaries. We identified our median employee from this population (excluding Mr. Olson) by using base salary as our consistently applied compensation measure. Once we identified our median employee, we calculated the annual total compensation of our median employee using the same methodology that we used to calculate the annual total compensation of our named executive officers, including Mr. Olson, in the Summary Compensation Table. Mr. Olson’s annual total compensation for fiscal 2020, as set forth in the Summary Compensation Table on page 44, was $5,997,357. Annual total compensation for our median employee for fiscal 2020 was $40,791</w:t>
      </w:r>
      <w:r>
        <w:rPr>
          <w:rFonts w:ascii="Arial" w:cs="Arial" w:eastAsia="Arial" w:hAnsi="Arial"/>
          <w:sz w:val="18"/>
          <w:szCs w:val="18"/>
          <w:color w:val="4472C4"/>
        </w:rPr>
        <w:t>.</w:t>
      </w:r>
      <w:r>
        <w:rPr>
          <w:rFonts w:ascii="Arial" w:cs="Arial" w:eastAsia="Arial" w:hAnsi="Arial"/>
          <w:sz w:val="18"/>
          <w:szCs w:val="18"/>
          <w:color w:val="auto"/>
        </w:rPr>
        <w:t xml:space="preserve"> The ratio of annual total compensation of Mr. Olson to the annual total compensation of our median employee for fiscal 2020 is 147:1.</w:t>
      </w:r>
    </w:p>
    <w:p>
      <w:pPr>
        <w:spacing w:after="0" w:line="101" w:lineRule="exact"/>
        <w:rPr>
          <w:sz w:val="20"/>
          <w:szCs w:val="20"/>
          <w:color w:val="auto"/>
        </w:rPr>
      </w:pPr>
    </w:p>
    <w:p>
      <w:pPr>
        <w:ind w:right="60" w:firstLine="401"/>
        <w:spacing w:after="0" w:line="232" w:lineRule="auto"/>
        <w:rPr>
          <w:sz w:val="20"/>
          <w:szCs w:val="20"/>
          <w:color w:val="auto"/>
        </w:rPr>
      </w:pPr>
      <w:r>
        <w:rPr>
          <w:rFonts w:ascii="Arial" w:cs="Arial" w:eastAsia="Arial" w:hAnsi="Arial"/>
          <w:sz w:val="18"/>
          <w:szCs w:val="18"/>
          <w:color w:val="auto"/>
        </w:rPr>
        <w:t>We believe the pay ratio presented above is a reasonable estimate calculated in a manner consistent with applicable SEC rules.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w:t>
      </w:r>
    </w:p>
    <w:p>
      <w:pPr>
        <w:ind w:left="20"/>
        <w:spacing w:after="0" w:line="229" w:lineRule="auto"/>
        <w:rPr>
          <w:sz w:val="20"/>
          <w:szCs w:val="20"/>
          <w:color w:val="auto"/>
        </w:rPr>
      </w:pPr>
      <w:r>
        <w:rPr>
          <w:rFonts w:ascii="Arial" w:cs="Arial" w:eastAsia="Arial" w:hAnsi="Arial"/>
          <w:sz w:val="20"/>
          <w:szCs w:val="20"/>
          <w:b w:val="1"/>
          <w:bCs w:val="1"/>
          <w:color w:val="FF0000"/>
        </w:rPr>
        <w:t>Compensation Committee Interlocks and Insider Participation</w:t>
      </w:r>
    </w:p>
    <w:p>
      <w:pPr>
        <w:jc w:val="both"/>
        <w:ind w:firstLine="458"/>
        <w:spacing w:after="0" w:line="238" w:lineRule="auto"/>
        <w:rPr>
          <w:sz w:val="20"/>
          <w:szCs w:val="20"/>
          <w:color w:val="auto"/>
        </w:rPr>
      </w:pPr>
      <w:r>
        <w:rPr>
          <w:rFonts w:ascii="Arial" w:cs="Arial" w:eastAsia="Arial" w:hAnsi="Arial"/>
          <w:sz w:val="18"/>
          <w:szCs w:val="18"/>
          <w:color w:val="auto"/>
        </w:rPr>
        <w:t>No member of the Compensation &amp; Human Resources Committee was an officer or employee of TTC during fiscal year 2020 or in any prior year, and no member of the Compensation &amp; Human Resources Committee had a relationship that would require disclosure under Item 404(a) of Regulation S-K. There were no compensation committee interlocks as described in Item 407(e)(4)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3590" cy="2044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3590" cy="2044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b w:val="1"/>
          <w:bCs w:val="1"/>
          <w:color w:val="FFFFFF"/>
        </w:rPr>
        <w:t>STOCK OWNERSHIP</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Significant Beneficial Owners</w:t>
      </w:r>
    </w:p>
    <w:p>
      <w:pPr>
        <w:spacing w:after="0" w:line="118" w:lineRule="exact"/>
        <w:rPr>
          <w:sz w:val="20"/>
          <w:szCs w:val="20"/>
          <w:color w:val="auto"/>
        </w:rPr>
      </w:pPr>
    </w:p>
    <w:p>
      <w:pPr>
        <w:ind w:right="600" w:firstLine="401"/>
        <w:spacing w:after="0" w:line="238" w:lineRule="auto"/>
        <w:rPr>
          <w:sz w:val="20"/>
          <w:szCs w:val="20"/>
          <w:color w:val="auto"/>
        </w:rPr>
      </w:pPr>
      <w:r>
        <w:rPr>
          <w:rFonts w:ascii="Arial" w:cs="Arial" w:eastAsia="Arial" w:hAnsi="Arial"/>
          <w:sz w:val="18"/>
          <w:szCs w:val="18"/>
          <w:color w:val="auto"/>
        </w:rPr>
        <w:t>The following table sets forth information known to us as of January 19, 2021, as to entities that have reported to the SEC or have otherwise advised us that they are a beneficial owner, as defined by the SEC’s rules and regulations, of more than five percent of our outstanding common stock.</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20" w:type="dxa"/>
            <w:vAlign w:val="bottom"/>
            <w:shd w:val="clear" w:color="auto" w:fill="C00000"/>
          </w:tcPr>
          <w:p>
            <w:pPr>
              <w:spacing w:after="0"/>
              <w:rPr>
                <w:sz w:val="14"/>
                <w:szCs w:val="14"/>
                <w:color w:val="auto"/>
              </w:rPr>
            </w:pPr>
          </w:p>
        </w:tc>
        <w:tc>
          <w:tcPr>
            <w:tcW w:w="4380" w:type="dxa"/>
            <w:vAlign w:val="bottom"/>
            <w:shd w:val="clear" w:color="auto" w:fill="C00000"/>
          </w:tcPr>
          <w:p>
            <w:pPr>
              <w:ind w:left="900"/>
              <w:spacing w:after="0"/>
              <w:rPr>
                <w:sz w:val="20"/>
                <w:szCs w:val="20"/>
                <w:color w:val="auto"/>
              </w:rPr>
            </w:pPr>
            <w:r>
              <w:rPr>
                <w:rFonts w:ascii="Arial" w:cs="Arial" w:eastAsia="Arial" w:hAnsi="Arial"/>
                <w:sz w:val="14"/>
                <w:szCs w:val="14"/>
                <w:color w:val="FFFFFF"/>
              </w:rPr>
              <w:t>Name and Address</w:t>
            </w:r>
          </w:p>
        </w:tc>
        <w:tc>
          <w:tcPr>
            <w:tcW w:w="3500" w:type="dxa"/>
            <w:vAlign w:val="bottom"/>
            <w:shd w:val="clear" w:color="auto" w:fill="C00000"/>
          </w:tcPr>
          <w:p>
            <w:pPr>
              <w:jc w:val="center"/>
              <w:ind w:left="1189"/>
              <w:spacing w:after="0"/>
              <w:rPr>
                <w:sz w:val="20"/>
                <w:szCs w:val="20"/>
                <w:color w:val="auto"/>
              </w:rPr>
            </w:pPr>
            <w:r>
              <w:rPr>
                <w:rFonts w:ascii="Arial" w:cs="Arial" w:eastAsia="Arial" w:hAnsi="Arial"/>
                <w:sz w:val="14"/>
                <w:szCs w:val="14"/>
                <w:color w:val="FFFFFF"/>
              </w:rPr>
              <w:t>Amount and Nature</w:t>
            </w:r>
          </w:p>
        </w:tc>
        <w:tc>
          <w:tcPr>
            <w:tcW w:w="1340" w:type="dxa"/>
            <w:vAlign w:val="bottom"/>
            <w:shd w:val="clear" w:color="auto" w:fill="C00000"/>
          </w:tcPr>
          <w:p>
            <w:pPr>
              <w:jc w:val="center"/>
              <w:ind w:left="6"/>
              <w:spacing w:after="0"/>
              <w:rPr>
                <w:sz w:val="20"/>
                <w:szCs w:val="20"/>
                <w:color w:val="auto"/>
              </w:rPr>
            </w:pPr>
            <w:r>
              <w:rPr>
                <w:rFonts w:ascii="Arial" w:cs="Arial" w:eastAsia="Arial" w:hAnsi="Arial"/>
                <w:sz w:val="14"/>
                <w:szCs w:val="14"/>
                <w:color w:val="FFFFFF"/>
              </w:rPr>
              <w:t>Percent</w:t>
            </w:r>
          </w:p>
        </w:tc>
      </w:tr>
      <w:tr>
        <w:trPr>
          <w:trHeight w:val="164"/>
        </w:trPr>
        <w:tc>
          <w:tcPr>
            <w:tcW w:w="2020" w:type="dxa"/>
            <w:vAlign w:val="bottom"/>
            <w:shd w:val="clear" w:color="auto" w:fill="C00000"/>
          </w:tcPr>
          <w:p>
            <w:pPr>
              <w:spacing w:after="0"/>
              <w:rPr>
                <w:sz w:val="20"/>
                <w:szCs w:val="20"/>
                <w:color w:val="auto"/>
              </w:rPr>
            </w:pPr>
            <w:r>
              <w:rPr>
                <w:rFonts w:ascii="Arial" w:cs="Arial" w:eastAsia="Arial" w:hAnsi="Arial"/>
                <w:sz w:val="14"/>
                <w:szCs w:val="14"/>
                <w:color w:val="FFFFFF"/>
              </w:rPr>
              <w:t>Title of Class</w:t>
            </w:r>
          </w:p>
        </w:tc>
        <w:tc>
          <w:tcPr>
            <w:tcW w:w="4380" w:type="dxa"/>
            <w:vAlign w:val="bottom"/>
            <w:shd w:val="clear" w:color="auto" w:fill="C00000"/>
          </w:tcPr>
          <w:p>
            <w:pPr>
              <w:ind w:left="900"/>
              <w:spacing w:after="0"/>
              <w:rPr>
                <w:sz w:val="20"/>
                <w:szCs w:val="20"/>
                <w:color w:val="auto"/>
              </w:rPr>
            </w:pPr>
            <w:r>
              <w:rPr>
                <w:rFonts w:ascii="Arial" w:cs="Arial" w:eastAsia="Arial" w:hAnsi="Arial"/>
                <w:sz w:val="14"/>
                <w:szCs w:val="14"/>
                <w:color w:val="FFFFFF"/>
              </w:rPr>
              <w:t>of Beneficial Owner</w:t>
            </w:r>
          </w:p>
        </w:tc>
        <w:tc>
          <w:tcPr>
            <w:tcW w:w="3500" w:type="dxa"/>
            <w:vAlign w:val="bottom"/>
            <w:shd w:val="clear" w:color="auto" w:fill="C00000"/>
          </w:tcPr>
          <w:p>
            <w:pPr>
              <w:jc w:val="center"/>
              <w:ind w:left="1209"/>
              <w:spacing w:after="0"/>
              <w:rPr>
                <w:sz w:val="20"/>
                <w:szCs w:val="20"/>
                <w:color w:val="auto"/>
              </w:rPr>
            </w:pPr>
            <w:r>
              <w:rPr>
                <w:rFonts w:ascii="Arial" w:cs="Arial" w:eastAsia="Arial" w:hAnsi="Arial"/>
                <w:sz w:val="14"/>
                <w:szCs w:val="14"/>
                <w:color w:val="FFFFFF"/>
              </w:rPr>
              <w:t>of Beneficial Ownership</w:t>
            </w:r>
          </w:p>
        </w:tc>
        <w:tc>
          <w:tcPr>
            <w:tcW w:w="1340" w:type="dxa"/>
            <w:vAlign w:val="bottom"/>
            <w:shd w:val="clear" w:color="auto" w:fill="C00000"/>
          </w:tcPr>
          <w:p>
            <w:pPr>
              <w:jc w:val="center"/>
              <w:ind w:left="6"/>
              <w:spacing w:after="0" w:line="164" w:lineRule="exact"/>
              <w:rPr>
                <w:sz w:val="20"/>
                <w:szCs w:val="20"/>
                <w:color w:val="auto"/>
              </w:rPr>
            </w:pPr>
            <w:r>
              <w:rPr>
                <w:rFonts w:ascii="Arial" w:cs="Arial" w:eastAsia="Arial" w:hAnsi="Arial"/>
                <w:sz w:val="11"/>
                <w:szCs w:val="11"/>
                <w:color w:val="FFFFFF"/>
              </w:rPr>
              <w:t>of Class</w:t>
            </w:r>
            <w:r>
              <w:rPr>
                <w:rFonts w:ascii="Arial" w:cs="Arial" w:eastAsia="Arial" w:hAnsi="Arial"/>
                <w:sz w:val="18"/>
                <w:szCs w:val="18"/>
                <w:color w:val="FFFFFF"/>
                <w:vertAlign w:val="superscript"/>
              </w:rPr>
              <w:t>(1)</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Common Stock</w:t>
            </w:r>
          </w:p>
        </w:tc>
        <w:tc>
          <w:tcPr>
            <w:tcW w:w="4380" w:type="dxa"/>
            <w:vAlign w:val="bottom"/>
          </w:tcPr>
          <w:p>
            <w:pPr>
              <w:ind w:left="900"/>
              <w:spacing w:after="0"/>
              <w:rPr>
                <w:sz w:val="20"/>
                <w:szCs w:val="20"/>
                <w:color w:val="auto"/>
              </w:rPr>
            </w:pPr>
            <w:r>
              <w:rPr>
                <w:rFonts w:ascii="Arial" w:cs="Arial" w:eastAsia="Arial" w:hAnsi="Arial"/>
                <w:sz w:val="16"/>
                <w:szCs w:val="16"/>
                <w:color w:val="auto"/>
              </w:rPr>
              <w:t>The Vanguard Group, Inc.</w:t>
            </w:r>
          </w:p>
        </w:tc>
        <w:tc>
          <w:tcPr>
            <w:tcW w:w="3500" w:type="dxa"/>
            <w:vAlign w:val="bottom"/>
          </w:tcPr>
          <w:p>
            <w:pPr>
              <w:jc w:val="center"/>
              <w:ind w:left="1209"/>
              <w:spacing w:after="0" w:line="203" w:lineRule="exact"/>
              <w:rPr>
                <w:sz w:val="20"/>
                <w:szCs w:val="20"/>
                <w:color w:val="auto"/>
              </w:rPr>
            </w:pPr>
            <w:r>
              <w:rPr>
                <w:rFonts w:ascii="Arial" w:cs="Arial" w:eastAsia="Arial" w:hAnsi="Arial"/>
                <w:sz w:val="14"/>
                <w:szCs w:val="14"/>
                <w:color w:val="auto"/>
              </w:rPr>
              <w:t>10,242,239</w:t>
            </w:r>
            <w:r>
              <w:rPr>
                <w:rFonts w:ascii="Arial" w:cs="Arial" w:eastAsia="Arial" w:hAnsi="Arial"/>
                <w:sz w:val="23"/>
                <w:szCs w:val="23"/>
                <w:color w:val="auto"/>
                <w:vertAlign w:val="superscript"/>
              </w:rPr>
              <w:t>(2)</w:t>
            </w:r>
          </w:p>
        </w:tc>
        <w:tc>
          <w:tcPr>
            <w:tcW w:w="1340" w:type="dxa"/>
            <w:vAlign w:val="bottom"/>
          </w:tcPr>
          <w:p>
            <w:pPr>
              <w:jc w:val="center"/>
              <w:ind w:left="6"/>
              <w:spacing w:after="0"/>
              <w:rPr>
                <w:sz w:val="20"/>
                <w:szCs w:val="20"/>
                <w:color w:val="auto"/>
              </w:rPr>
            </w:pPr>
            <w:r>
              <w:rPr>
                <w:rFonts w:ascii="Arial" w:cs="Arial" w:eastAsia="Arial" w:hAnsi="Arial"/>
                <w:sz w:val="16"/>
                <w:szCs w:val="16"/>
                <w:color w:val="auto"/>
              </w:rPr>
              <w:t>9.48%</w:t>
            </w:r>
          </w:p>
        </w:tc>
      </w:tr>
      <w:tr>
        <w:trPr>
          <w:trHeight w:val="188"/>
        </w:trPr>
        <w:tc>
          <w:tcPr>
            <w:tcW w:w="2020" w:type="dxa"/>
            <w:vAlign w:val="bottom"/>
          </w:tcPr>
          <w:p>
            <w:pPr>
              <w:spacing w:after="0"/>
              <w:rPr>
                <w:sz w:val="16"/>
                <w:szCs w:val="16"/>
                <w:color w:val="auto"/>
              </w:rPr>
            </w:pPr>
          </w:p>
        </w:tc>
        <w:tc>
          <w:tcPr>
            <w:tcW w:w="4380" w:type="dxa"/>
            <w:vAlign w:val="bottom"/>
          </w:tcPr>
          <w:p>
            <w:pPr>
              <w:ind w:left="900"/>
              <w:spacing w:after="0"/>
              <w:rPr>
                <w:sz w:val="20"/>
                <w:szCs w:val="20"/>
                <w:color w:val="auto"/>
              </w:rPr>
            </w:pPr>
            <w:r>
              <w:rPr>
                <w:rFonts w:ascii="Arial" w:cs="Arial" w:eastAsia="Arial" w:hAnsi="Arial"/>
                <w:sz w:val="16"/>
                <w:szCs w:val="16"/>
                <w:color w:val="auto"/>
              </w:rPr>
              <w:t>100 Vanguard Blvd.</w:t>
            </w:r>
          </w:p>
        </w:tc>
        <w:tc>
          <w:tcPr>
            <w:tcW w:w="35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6"/>
        </w:trPr>
        <w:tc>
          <w:tcPr>
            <w:tcW w:w="2020" w:type="dxa"/>
            <w:vAlign w:val="bottom"/>
          </w:tcPr>
          <w:p>
            <w:pPr>
              <w:spacing w:after="0"/>
              <w:rPr>
                <w:sz w:val="16"/>
                <w:szCs w:val="16"/>
                <w:color w:val="auto"/>
              </w:rPr>
            </w:pPr>
          </w:p>
        </w:tc>
        <w:tc>
          <w:tcPr>
            <w:tcW w:w="4380" w:type="dxa"/>
            <w:vAlign w:val="bottom"/>
          </w:tcPr>
          <w:p>
            <w:pPr>
              <w:ind w:left="900"/>
              <w:spacing w:after="0"/>
              <w:rPr>
                <w:sz w:val="20"/>
                <w:szCs w:val="20"/>
                <w:color w:val="auto"/>
              </w:rPr>
            </w:pPr>
            <w:r>
              <w:rPr>
                <w:rFonts w:ascii="Arial" w:cs="Arial" w:eastAsia="Arial" w:hAnsi="Arial"/>
                <w:sz w:val="16"/>
                <w:szCs w:val="16"/>
                <w:color w:val="auto"/>
              </w:rPr>
              <w:t>Malvern, PA 19355</w:t>
            </w:r>
          </w:p>
        </w:tc>
        <w:tc>
          <w:tcPr>
            <w:tcW w:w="35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3"/>
        </w:trPr>
        <w:tc>
          <w:tcPr>
            <w:tcW w:w="202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4380" w:type="dxa"/>
            <w:vAlign w:val="bottom"/>
            <w:shd w:val="clear" w:color="auto" w:fill="D9D9D9"/>
          </w:tcPr>
          <w:p>
            <w:pPr>
              <w:ind w:left="900"/>
              <w:spacing w:after="0"/>
              <w:rPr>
                <w:sz w:val="20"/>
                <w:szCs w:val="20"/>
                <w:color w:val="auto"/>
              </w:rPr>
            </w:pPr>
            <w:r>
              <w:rPr>
                <w:rFonts w:ascii="Arial" w:cs="Arial" w:eastAsia="Arial" w:hAnsi="Arial"/>
                <w:sz w:val="16"/>
                <w:szCs w:val="16"/>
                <w:color w:val="auto"/>
              </w:rPr>
              <w:t>BlackRock, Inc.</w:t>
            </w:r>
          </w:p>
        </w:tc>
        <w:tc>
          <w:tcPr>
            <w:tcW w:w="3500" w:type="dxa"/>
            <w:vAlign w:val="bottom"/>
            <w:shd w:val="clear" w:color="auto" w:fill="D9D9D9"/>
          </w:tcPr>
          <w:p>
            <w:pPr>
              <w:jc w:val="center"/>
              <w:ind w:left="1189"/>
              <w:spacing w:after="0" w:line="203" w:lineRule="exact"/>
              <w:rPr>
                <w:sz w:val="20"/>
                <w:szCs w:val="20"/>
                <w:color w:val="auto"/>
              </w:rPr>
            </w:pPr>
            <w:r>
              <w:rPr>
                <w:rFonts w:ascii="Arial" w:cs="Arial" w:eastAsia="Arial" w:hAnsi="Arial"/>
                <w:sz w:val="14"/>
                <w:szCs w:val="14"/>
                <w:color w:val="auto"/>
              </w:rPr>
              <w:t>9,737,316</w:t>
            </w:r>
            <w:r>
              <w:rPr>
                <w:rFonts w:ascii="Arial" w:cs="Arial" w:eastAsia="Arial" w:hAnsi="Arial"/>
                <w:sz w:val="23"/>
                <w:szCs w:val="23"/>
                <w:color w:val="auto"/>
                <w:vertAlign w:val="superscript"/>
              </w:rPr>
              <w:t>(3)</w:t>
            </w:r>
          </w:p>
        </w:tc>
        <w:tc>
          <w:tcPr>
            <w:tcW w:w="1340" w:type="dxa"/>
            <w:vAlign w:val="bottom"/>
            <w:shd w:val="clear" w:color="auto" w:fill="D9D9D9"/>
          </w:tcPr>
          <w:p>
            <w:pPr>
              <w:jc w:val="center"/>
              <w:ind w:left="6"/>
              <w:spacing w:after="0"/>
              <w:rPr>
                <w:sz w:val="20"/>
                <w:szCs w:val="20"/>
                <w:color w:val="auto"/>
              </w:rPr>
            </w:pPr>
            <w:r>
              <w:rPr>
                <w:rFonts w:ascii="Arial" w:cs="Arial" w:eastAsia="Arial" w:hAnsi="Arial"/>
                <w:sz w:val="16"/>
                <w:szCs w:val="16"/>
                <w:color w:val="auto"/>
              </w:rPr>
              <w:t>9.01%</w:t>
            </w:r>
          </w:p>
        </w:tc>
      </w:tr>
      <w:tr>
        <w:trPr>
          <w:trHeight w:val="188"/>
        </w:trPr>
        <w:tc>
          <w:tcPr>
            <w:tcW w:w="2020" w:type="dxa"/>
            <w:vAlign w:val="bottom"/>
            <w:shd w:val="clear" w:color="auto" w:fill="D9D9D9"/>
          </w:tcPr>
          <w:p>
            <w:pPr>
              <w:spacing w:after="0"/>
              <w:rPr>
                <w:sz w:val="16"/>
                <w:szCs w:val="16"/>
                <w:color w:val="auto"/>
              </w:rPr>
            </w:pPr>
          </w:p>
        </w:tc>
        <w:tc>
          <w:tcPr>
            <w:tcW w:w="4380" w:type="dxa"/>
            <w:vAlign w:val="bottom"/>
            <w:shd w:val="clear" w:color="auto" w:fill="D9D9D9"/>
          </w:tcPr>
          <w:p>
            <w:pPr>
              <w:ind w:left="900"/>
              <w:spacing w:after="0"/>
              <w:rPr>
                <w:sz w:val="20"/>
                <w:szCs w:val="20"/>
                <w:color w:val="auto"/>
              </w:rPr>
            </w:pPr>
            <w:r>
              <w:rPr>
                <w:rFonts w:ascii="Arial" w:cs="Arial" w:eastAsia="Arial" w:hAnsi="Arial"/>
                <w:sz w:val="16"/>
                <w:szCs w:val="16"/>
                <w:color w:val="auto"/>
              </w:rPr>
              <w:t>55 East 52nd St.</w:t>
            </w:r>
          </w:p>
        </w:tc>
        <w:tc>
          <w:tcPr>
            <w:tcW w:w="3500" w:type="dxa"/>
            <w:vAlign w:val="bottom"/>
            <w:shd w:val="clear" w:color="auto" w:fill="D9D9D9"/>
          </w:tcPr>
          <w:p>
            <w:pPr>
              <w:spacing w:after="0"/>
              <w:rPr>
                <w:sz w:val="16"/>
                <w:szCs w:val="16"/>
                <w:color w:val="auto"/>
              </w:rPr>
            </w:pPr>
          </w:p>
        </w:tc>
        <w:tc>
          <w:tcPr>
            <w:tcW w:w="1340" w:type="dxa"/>
            <w:vAlign w:val="bottom"/>
            <w:shd w:val="clear" w:color="auto" w:fill="D9D9D9"/>
          </w:tcPr>
          <w:p>
            <w:pPr>
              <w:spacing w:after="0"/>
              <w:rPr>
                <w:sz w:val="16"/>
                <w:szCs w:val="16"/>
                <w:color w:val="auto"/>
              </w:rPr>
            </w:pPr>
          </w:p>
        </w:tc>
      </w:tr>
      <w:tr>
        <w:trPr>
          <w:trHeight w:val="186"/>
        </w:trPr>
        <w:tc>
          <w:tcPr>
            <w:tcW w:w="2020" w:type="dxa"/>
            <w:vAlign w:val="bottom"/>
            <w:shd w:val="clear" w:color="auto" w:fill="D9D9D9"/>
          </w:tcPr>
          <w:p>
            <w:pPr>
              <w:spacing w:after="0"/>
              <w:rPr>
                <w:sz w:val="16"/>
                <w:szCs w:val="16"/>
                <w:color w:val="auto"/>
              </w:rPr>
            </w:pPr>
          </w:p>
        </w:tc>
        <w:tc>
          <w:tcPr>
            <w:tcW w:w="4380" w:type="dxa"/>
            <w:vAlign w:val="bottom"/>
            <w:shd w:val="clear" w:color="auto" w:fill="D9D9D9"/>
          </w:tcPr>
          <w:p>
            <w:pPr>
              <w:ind w:left="900"/>
              <w:spacing w:after="0"/>
              <w:rPr>
                <w:sz w:val="20"/>
                <w:szCs w:val="20"/>
                <w:color w:val="auto"/>
              </w:rPr>
            </w:pPr>
            <w:r>
              <w:rPr>
                <w:rFonts w:ascii="Arial" w:cs="Arial" w:eastAsia="Arial" w:hAnsi="Arial"/>
                <w:sz w:val="16"/>
                <w:szCs w:val="16"/>
                <w:color w:val="auto"/>
              </w:rPr>
              <w:t>New York, NY 10055</w:t>
            </w:r>
          </w:p>
        </w:tc>
        <w:tc>
          <w:tcPr>
            <w:tcW w:w="3500" w:type="dxa"/>
            <w:vAlign w:val="bottom"/>
            <w:shd w:val="clear" w:color="auto" w:fill="D9D9D9"/>
          </w:tcPr>
          <w:p>
            <w:pPr>
              <w:spacing w:after="0"/>
              <w:rPr>
                <w:sz w:val="16"/>
                <w:szCs w:val="16"/>
                <w:color w:val="auto"/>
              </w:rPr>
            </w:pPr>
          </w:p>
        </w:tc>
        <w:tc>
          <w:tcPr>
            <w:tcW w:w="1340" w:type="dxa"/>
            <w:vAlign w:val="bottom"/>
            <w:shd w:val="clear" w:color="auto" w:fill="D9D9D9"/>
          </w:tcPr>
          <w:p>
            <w:pPr>
              <w:spacing w:after="0"/>
              <w:rPr>
                <w:sz w:val="16"/>
                <w:szCs w:val="16"/>
                <w:color w:val="auto"/>
              </w:rPr>
            </w:pP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Common Stock</w:t>
            </w:r>
          </w:p>
        </w:tc>
        <w:tc>
          <w:tcPr>
            <w:tcW w:w="4380" w:type="dxa"/>
            <w:vAlign w:val="bottom"/>
          </w:tcPr>
          <w:p>
            <w:pPr>
              <w:ind w:left="900"/>
              <w:spacing w:after="0"/>
              <w:rPr>
                <w:sz w:val="20"/>
                <w:szCs w:val="20"/>
                <w:color w:val="auto"/>
              </w:rPr>
            </w:pPr>
            <w:r>
              <w:rPr>
                <w:rFonts w:ascii="Arial" w:cs="Arial" w:eastAsia="Arial" w:hAnsi="Arial"/>
                <w:sz w:val="16"/>
                <w:szCs w:val="16"/>
                <w:color w:val="auto"/>
              </w:rPr>
              <w:t>Select Equity Group, L.P.</w:t>
            </w:r>
          </w:p>
        </w:tc>
        <w:tc>
          <w:tcPr>
            <w:tcW w:w="3500" w:type="dxa"/>
            <w:vAlign w:val="bottom"/>
          </w:tcPr>
          <w:p>
            <w:pPr>
              <w:jc w:val="center"/>
              <w:ind w:left="1189"/>
              <w:spacing w:after="0" w:line="203" w:lineRule="exact"/>
              <w:rPr>
                <w:sz w:val="20"/>
                <w:szCs w:val="20"/>
                <w:color w:val="auto"/>
              </w:rPr>
            </w:pPr>
            <w:r>
              <w:rPr>
                <w:rFonts w:ascii="Arial" w:cs="Arial" w:eastAsia="Arial" w:hAnsi="Arial"/>
                <w:sz w:val="14"/>
                <w:szCs w:val="14"/>
                <w:color w:val="auto"/>
              </w:rPr>
              <w:t>6,310,226</w:t>
            </w:r>
            <w:r>
              <w:rPr>
                <w:rFonts w:ascii="Arial" w:cs="Arial" w:eastAsia="Arial" w:hAnsi="Arial"/>
                <w:sz w:val="23"/>
                <w:szCs w:val="23"/>
                <w:color w:val="auto"/>
                <w:vertAlign w:val="superscript"/>
              </w:rPr>
              <w:t>(4)</w:t>
            </w:r>
          </w:p>
        </w:tc>
        <w:tc>
          <w:tcPr>
            <w:tcW w:w="1340" w:type="dxa"/>
            <w:vAlign w:val="bottom"/>
          </w:tcPr>
          <w:p>
            <w:pPr>
              <w:jc w:val="center"/>
              <w:ind w:left="6"/>
              <w:spacing w:after="0"/>
              <w:rPr>
                <w:sz w:val="20"/>
                <w:szCs w:val="20"/>
                <w:color w:val="auto"/>
              </w:rPr>
            </w:pPr>
            <w:r>
              <w:rPr>
                <w:rFonts w:ascii="Arial" w:cs="Arial" w:eastAsia="Arial" w:hAnsi="Arial"/>
                <w:sz w:val="16"/>
                <w:szCs w:val="16"/>
                <w:color w:val="auto"/>
              </w:rPr>
              <w:t>5.84%</w:t>
            </w:r>
          </w:p>
        </w:tc>
      </w:tr>
      <w:tr>
        <w:trPr>
          <w:trHeight w:val="188"/>
        </w:trPr>
        <w:tc>
          <w:tcPr>
            <w:tcW w:w="2020" w:type="dxa"/>
            <w:vAlign w:val="bottom"/>
          </w:tcPr>
          <w:p>
            <w:pPr>
              <w:spacing w:after="0"/>
              <w:rPr>
                <w:sz w:val="16"/>
                <w:szCs w:val="16"/>
                <w:color w:val="auto"/>
              </w:rPr>
            </w:pPr>
          </w:p>
        </w:tc>
        <w:tc>
          <w:tcPr>
            <w:tcW w:w="4380" w:type="dxa"/>
            <w:vAlign w:val="bottom"/>
          </w:tcPr>
          <w:p>
            <w:pPr>
              <w:ind w:left="900"/>
              <w:spacing w:after="0"/>
              <w:rPr>
                <w:sz w:val="20"/>
                <w:szCs w:val="20"/>
                <w:color w:val="auto"/>
              </w:rPr>
            </w:pPr>
            <w:r>
              <w:rPr>
                <w:rFonts w:ascii="Arial" w:cs="Arial" w:eastAsia="Arial" w:hAnsi="Arial"/>
                <w:sz w:val="16"/>
                <w:szCs w:val="16"/>
                <w:color w:val="auto"/>
              </w:rPr>
              <w:t>380 Lafayette Street</w:t>
            </w:r>
          </w:p>
        </w:tc>
        <w:tc>
          <w:tcPr>
            <w:tcW w:w="35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4"/>
        </w:trPr>
        <w:tc>
          <w:tcPr>
            <w:tcW w:w="2020" w:type="dxa"/>
            <w:vAlign w:val="bottom"/>
          </w:tcPr>
          <w:p>
            <w:pPr>
              <w:spacing w:after="0"/>
              <w:rPr>
                <w:sz w:val="16"/>
                <w:szCs w:val="16"/>
                <w:color w:val="auto"/>
              </w:rPr>
            </w:pPr>
          </w:p>
        </w:tc>
        <w:tc>
          <w:tcPr>
            <w:tcW w:w="4380" w:type="dxa"/>
            <w:vAlign w:val="bottom"/>
          </w:tcPr>
          <w:p>
            <w:pPr>
              <w:ind w:left="900"/>
              <w:spacing w:after="0"/>
              <w:rPr>
                <w:sz w:val="20"/>
                <w:szCs w:val="20"/>
                <w:color w:val="auto"/>
              </w:rPr>
            </w:pPr>
            <w:r>
              <w:rPr>
                <w:rFonts w:ascii="Arial" w:cs="Arial" w:eastAsia="Arial" w:hAnsi="Arial"/>
                <w:sz w:val="16"/>
                <w:szCs w:val="16"/>
                <w:color w:val="auto"/>
              </w:rPr>
              <w:t>New York, NY 10003</w:t>
            </w:r>
          </w:p>
        </w:tc>
        <w:tc>
          <w:tcPr>
            <w:tcW w:w="3500" w:type="dxa"/>
            <w:vAlign w:val="bottom"/>
          </w:tcPr>
          <w:p>
            <w:pPr>
              <w:spacing w:after="0"/>
              <w:rPr>
                <w:sz w:val="16"/>
                <w:szCs w:val="16"/>
                <w:color w:val="auto"/>
              </w:rPr>
            </w:pPr>
          </w:p>
        </w:tc>
        <w:tc>
          <w:tcPr>
            <w:tcW w:w="13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203454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46" w:lineRule="exact"/>
        <w:rPr>
          <w:sz w:val="20"/>
          <w:szCs w:val="20"/>
          <w:color w:val="auto"/>
        </w:rPr>
      </w:pPr>
    </w:p>
    <w:p>
      <w:pPr>
        <w:ind w:left="400" w:hanging="393"/>
        <w:spacing w:after="0"/>
        <w:tabs>
          <w:tab w:leader="none" w:pos="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Percent of class is based on 108,023,811 shares outstanding as of our record date.</w:t>
      </w:r>
    </w:p>
    <w:p>
      <w:pPr>
        <w:spacing w:after="0" w:line="47" w:lineRule="exact"/>
        <w:rPr>
          <w:rFonts w:ascii="Arial" w:cs="Arial" w:eastAsia="Arial" w:hAnsi="Arial"/>
          <w:sz w:val="18"/>
          <w:szCs w:val="18"/>
          <w:color w:val="auto"/>
        </w:rPr>
      </w:pPr>
    </w:p>
    <w:p>
      <w:pPr>
        <w:ind w:left="400" w:right="20" w:hanging="393"/>
        <w:spacing w:after="0" w:line="236" w:lineRule="auto"/>
        <w:tabs>
          <w:tab w:leader="none" w:pos="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13F of The Vanguard Group, Inc., an investment adviser, filed with the SEC on November 16, 2020, reflecting beneficial ownership as of September 30, 2020, with sole investment discretion but no voting authority with respect to 10,075,763 shares, sole investment discretion and shared voting authority with respect to 679 shares, sole investment discretion but no voting authority with respect to 78,888 shares and shared discretion and voting authority with respect to 86,909 shares. The Vanguard Group, Inc. does not have sole voting authority over any of the shares.</w:t>
      </w:r>
    </w:p>
    <w:p>
      <w:pPr>
        <w:spacing w:after="0" w:line="41" w:lineRule="exact"/>
        <w:rPr>
          <w:rFonts w:ascii="Arial" w:cs="Arial" w:eastAsia="Arial" w:hAnsi="Arial"/>
          <w:sz w:val="18"/>
          <w:szCs w:val="18"/>
          <w:color w:val="auto"/>
        </w:rPr>
      </w:pPr>
    </w:p>
    <w:p>
      <w:pPr>
        <w:jc w:val="both"/>
        <w:ind w:left="400" w:right="280" w:hanging="393"/>
        <w:spacing w:after="0" w:line="233" w:lineRule="auto"/>
        <w:tabs>
          <w:tab w:leader="none" w:pos="400" w:val="left"/>
        </w:tabs>
        <w:numPr>
          <w:ilvl w:val="0"/>
          <w:numId w:val="74"/>
        </w:numPr>
        <w:rPr>
          <w:rFonts w:ascii="Arial" w:cs="Arial" w:eastAsia="Arial" w:hAnsi="Arial"/>
          <w:sz w:val="18"/>
          <w:szCs w:val="18"/>
          <w:color w:val="4472C4"/>
        </w:rPr>
      </w:pPr>
      <w:r>
        <w:rPr>
          <w:rFonts w:ascii="Arial" w:cs="Arial" w:eastAsia="Arial" w:hAnsi="Arial"/>
          <w:sz w:val="18"/>
          <w:szCs w:val="18"/>
          <w:color w:val="auto"/>
        </w:rPr>
        <w:t>Based solely on information contained in the most recently filed Schedule 13F of BlackRock, Inc., a parent holding company, filed with the SEC on November 11, 2020, reflecting beneficial ownership as of September 30, 2020, with sole investment discretion and voting authority with respect to 9,220,957 shares and sole investment discretion but no voting authority with respect 516,359 shares.</w:t>
      </w:r>
    </w:p>
    <w:p>
      <w:pPr>
        <w:ind w:left="400"/>
        <w:spacing w:after="0"/>
        <w:rPr>
          <w:rFonts w:ascii="Arial" w:cs="Arial" w:eastAsia="Arial" w:hAnsi="Arial"/>
          <w:sz w:val="18"/>
          <w:szCs w:val="18"/>
          <w:color w:val="4472C4"/>
        </w:rPr>
      </w:pPr>
      <w:r>
        <w:rPr>
          <w:rFonts w:ascii="Arial" w:cs="Arial" w:eastAsia="Arial" w:hAnsi="Arial"/>
          <w:sz w:val="18"/>
          <w:szCs w:val="18"/>
          <w:color w:val="auto"/>
        </w:rPr>
        <w:t>BlackRock, Inc. does not have shared voting or dispositive power over any of the shares.</w:t>
      </w:r>
    </w:p>
    <w:p>
      <w:pPr>
        <w:spacing w:after="0" w:line="47" w:lineRule="exact"/>
        <w:rPr>
          <w:rFonts w:ascii="Arial" w:cs="Arial" w:eastAsia="Arial" w:hAnsi="Arial"/>
          <w:sz w:val="18"/>
          <w:szCs w:val="18"/>
          <w:color w:val="4472C4"/>
        </w:rPr>
      </w:pPr>
    </w:p>
    <w:p>
      <w:pPr>
        <w:ind w:left="400" w:right="100" w:hanging="393"/>
        <w:spacing w:after="0" w:line="258" w:lineRule="auto"/>
        <w:tabs>
          <w:tab w:leader="none" w:pos="4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solely on information contained in the most recently filed Schedule 13F of Select Equity Group, L.P., an investment adviser, filed with the SEC on November 16, 2020, reflecting beneficial ownership as of September 30, 2020, with sole investment discretion with respect to all such shares, sole voting authority with respect to 6,151,989 shares and no voting authority with respect to 158,237 shares.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Directors and Executive Officers</w:t>
      </w:r>
    </w:p>
    <w:p>
      <w:pPr>
        <w:spacing w:after="0" w:line="118" w:lineRule="exact"/>
        <w:rPr>
          <w:sz w:val="20"/>
          <w:szCs w:val="20"/>
          <w:color w:val="auto"/>
        </w:rPr>
      </w:pPr>
    </w:p>
    <w:p>
      <w:pPr>
        <w:ind w:right="80" w:firstLine="401"/>
        <w:spacing w:after="0" w:line="236"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January 19, 2021, by (i) each of our current non-employee directors (including our non-employee director nominees), (ii) individuals who served as our “principal executive officer” or “principal financial officer” during fiscal 2020 and the next three most highly compensated executive officers named in the “Summary Compensation Table” beginning on page 44, and (iii) all current directors and executive officers as a group.</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20" w:type="dxa"/>
            <w:vAlign w:val="bottom"/>
            <w:shd w:val="clear" w:color="auto" w:fill="C00000"/>
          </w:tcPr>
          <w:p>
            <w:pPr>
              <w:spacing w:after="0"/>
              <w:rPr>
                <w:sz w:val="15"/>
                <w:szCs w:val="15"/>
                <w:color w:val="auto"/>
              </w:rPr>
            </w:pPr>
          </w:p>
        </w:tc>
        <w:tc>
          <w:tcPr>
            <w:tcW w:w="3900" w:type="dxa"/>
            <w:vAlign w:val="bottom"/>
            <w:shd w:val="clear" w:color="auto" w:fill="C00000"/>
          </w:tcPr>
          <w:p>
            <w:pPr>
              <w:spacing w:after="0"/>
              <w:rPr>
                <w:sz w:val="15"/>
                <w:szCs w:val="15"/>
                <w:color w:val="auto"/>
              </w:rPr>
            </w:pPr>
          </w:p>
        </w:tc>
        <w:tc>
          <w:tcPr>
            <w:tcW w:w="3800" w:type="dxa"/>
            <w:vAlign w:val="bottom"/>
            <w:shd w:val="clear" w:color="auto" w:fill="C00000"/>
          </w:tcPr>
          <w:p>
            <w:pPr>
              <w:jc w:val="center"/>
              <w:ind w:left="1002"/>
              <w:spacing w:after="0"/>
              <w:rPr>
                <w:sz w:val="20"/>
                <w:szCs w:val="20"/>
                <w:color w:val="auto"/>
              </w:rPr>
            </w:pPr>
            <w:r>
              <w:rPr>
                <w:rFonts w:ascii="Arial" w:cs="Arial" w:eastAsia="Arial" w:hAnsi="Arial"/>
                <w:sz w:val="14"/>
                <w:szCs w:val="14"/>
                <w:color w:val="FFFFFF"/>
              </w:rPr>
              <w:t>Amount and Nature of</w:t>
            </w:r>
          </w:p>
        </w:tc>
        <w:tc>
          <w:tcPr>
            <w:tcW w:w="1520" w:type="dxa"/>
            <w:vAlign w:val="bottom"/>
            <w:vMerge w:val="restart"/>
            <w:shd w:val="clear" w:color="auto" w:fill="C00000"/>
          </w:tcPr>
          <w:p>
            <w:pPr>
              <w:jc w:val="center"/>
              <w:ind w:right="21"/>
              <w:spacing w:after="0"/>
              <w:rPr>
                <w:sz w:val="20"/>
                <w:szCs w:val="20"/>
                <w:color w:val="auto"/>
              </w:rPr>
            </w:pPr>
            <w:r>
              <w:rPr>
                <w:rFonts w:ascii="Arial" w:cs="Arial" w:eastAsia="Arial" w:hAnsi="Arial"/>
                <w:sz w:val="14"/>
                <w:szCs w:val="14"/>
                <w:color w:val="FFFFFF"/>
              </w:rPr>
              <w:t>Percent of</w:t>
            </w:r>
          </w:p>
        </w:tc>
        <w:tc>
          <w:tcPr>
            <w:tcW w:w="0" w:type="dxa"/>
            <w:vAlign w:val="bottom"/>
          </w:tcPr>
          <w:p>
            <w:pPr>
              <w:spacing w:after="0"/>
              <w:rPr>
                <w:sz w:val="1"/>
                <w:szCs w:val="1"/>
                <w:color w:val="auto"/>
              </w:rPr>
            </w:pPr>
          </w:p>
        </w:tc>
      </w:tr>
      <w:tr>
        <w:trPr>
          <w:trHeight w:val="129"/>
        </w:trPr>
        <w:tc>
          <w:tcPr>
            <w:tcW w:w="2020" w:type="dxa"/>
            <w:vAlign w:val="bottom"/>
            <w:vMerge w:val="restart"/>
            <w:shd w:val="clear" w:color="auto" w:fill="C00000"/>
          </w:tcPr>
          <w:p>
            <w:pPr>
              <w:spacing w:after="0"/>
              <w:rPr>
                <w:sz w:val="20"/>
                <w:szCs w:val="20"/>
                <w:color w:val="auto"/>
              </w:rPr>
            </w:pPr>
            <w:r>
              <w:rPr>
                <w:rFonts w:ascii="Arial" w:cs="Arial" w:eastAsia="Arial" w:hAnsi="Arial"/>
                <w:sz w:val="14"/>
                <w:szCs w:val="14"/>
                <w:color w:val="FFFFFF"/>
              </w:rPr>
              <w:t>Title of Class</w:t>
            </w:r>
          </w:p>
        </w:tc>
        <w:tc>
          <w:tcPr>
            <w:tcW w:w="3900" w:type="dxa"/>
            <w:vAlign w:val="bottom"/>
            <w:vMerge w:val="restart"/>
            <w:shd w:val="clear" w:color="auto" w:fill="C00000"/>
          </w:tcPr>
          <w:p>
            <w:pPr>
              <w:ind w:left="260"/>
              <w:spacing w:after="0"/>
              <w:rPr>
                <w:sz w:val="20"/>
                <w:szCs w:val="20"/>
                <w:color w:val="auto"/>
              </w:rPr>
            </w:pPr>
            <w:r>
              <w:rPr>
                <w:rFonts w:ascii="Arial" w:cs="Arial" w:eastAsia="Arial" w:hAnsi="Arial"/>
                <w:sz w:val="14"/>
                <w:szCs w:val="14"/>
                <w:color w:val="FFFFFF"/>
              </w:rPr>
              <w:t>Name of Beneficial Owner</w:t>
            </w:r>
          </w:p>
        </w:tc>
        <w:tc>
          <w:tcPr>
            <w:tcW w:w="3800" w:type="dxa"/>
            <w:vAlign w:val="bottom"/>
            <w:shd w:val="clear" w:color="auto" w:fill="C00000"/>
          </w:tcPr>
          <w:p>
            <w:pPr>
              <w:jc w:val="center"/>
              <w:ind w:left="982"/>
              <w:spacing w:after="0" w:line="129" w:lineRule="exact"/>
              <w:rPr>
                <w:sz w:val="20"/>
                <w:szCs w:val="20"/>
                <w:color w:val="auto"/>
              </w:rPr>
            </w:pPr>
            <w:r>
              <w:rPr>
                <w:rFonts w:ascii="Arial" w:cs="Arial" w:eastAsia="Arial" w:hAnsi="Arial"/>
                <w:sz w:val="14"/>
                <w:szCs w:val="14"/>
                <w:color w:val="FFFFFF"/>
              </w:rPr>
              <w:t>Beneficial Ownership</w:t>
            </w:r>
          </w:p>
        </w:tc>
        <w:tc>
          <w:tcPr>
            <w:tcW w:w="1520" w:type="dxa"/>
            <w:vAlign w:val="bottom"/>
            <w:vMerge w:val="continue"/>
            <w:shd w:val="clear" w:color="auto" w:fill="C00000"/>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20" w:type="dxa"/>
            <w:vAlign w:val="bottom"/>
            <w:vMerge w:val="continue"/>
            <w:shd w:val="clear" w:color="auto" w:fill="C00000"/>
          </w:tcPr>
          <w:p>
            <w:pPr>
              <w:spacing w:after="0"/>
              <w:rPr>
                <w:sz w:val="13"/>
                <w:szCs w:val="13"/>
                <w:color w:val="auto"/>
              </w:rPr>
            </w:pPr>
          </w:p>
        </w:tc>
        <w:tc>
          <w:tcPr>
            <w:tcW w:w="3900" w:type="dxa"/>
            <w:vAlign w:val="bottom"/>
            <w:vMerge w:val="continue"/>
            <w:shd w:val="clear" w:color="auto" w:fill="C00000"/>
          </w:tcPr>
          <w:p>
            <w:pPr>
              <w:spacing w:after="0"/>
              <w:rPr>
                <w:sz w:val="13"/>
                <w:szCs w:val="13"/>
                <w:color w:val="auto"/>
              </w:rPr>
            </w:pPr>
          </w:p>
        </w:tc>
        <w:tc>
          <w:tcPr>
            <w:tcW w:w="3800" w:type="dxa"/>
            <w:vAlign w:val="bottom"/>
            <w:shd w:val="clear" w:color="auto" w:fill="C00000"/>
          </w:tcPr>
          <w:p>
            <w:pPr>
              <w:jc w:val="center"/>
              <w:ind w:left="1002"/>
              <w:spacing w:after="0"/>
              <w:rPr>
                <w:sz w:val="20"/>
                <w:szCs w:val="20"/>
                <w:color w:val="auto"/>
              </w:rPr>
            </w:pPr>
            <w:r>
              <w:rPr>
                <w:rFonts w:ascii="Arial" w:cs="Arial" w:eastAsia="Arial" w:hAnsi="Arial"/>
                <w:sz w:val="12"/>
                <w:szCs w:val="12"/>
                <w:color w:val="FFFFFF"/>
              </w:rPr>
              <w:t>(1)(2)(3)(4)</w:t>
            </w:r>
          </w:p>
        </w:tc>
        <w:tc>
          <w:tcPr>
            <w:tcW w:w="1520" w:type="dxa"/>
            <w:vAlign w:val="bottom"/>
            <w:shd w:val="clear" w:color="auto" w:fill="C00000"/>
          </w:tcPr>
          <w:p>
            <w:pPr>
              <w:jc w:val="center"/>
              <w:ind w:right="21"/>
              <w:spacing w:after="0" w:line="161" w:lineRule="exact"/>
              <w:rPr>
                <w:sz w:val="20"/>
                <w:szCs w:val="20"/>
                <w:color w:val="auto"/>
              </w:rPr>
            </w:pPr>
            <w:r>
              <w:rPr>
                <w:rFonts w:ascii="Arial" w:cs="Arial" w:eastAsia="Arial" w:hAnsi="Arial"/>
                <w:sz w:val="11"/>
                <w:szCs w:val="11"/>
                <w:color w:val="FFFFFF"/>
              </w:rPr>
              <w:t>Class</w:t>
            </w:r>
            <w:r>
              <w:rPr>
                <w:rFonts w:ascii="Arial" w:cs="Arial" w:eastAsia="Arial" w:hAnsi="Arial"/>
                <w:sz w:val="18"/>
                <w:szCs w:val="18"/>
                <w:color w:val="FFFFFF"/>
                <w:vertAlign w:val="superscript"/>
              </w:rPr>
              <w:t>(5)</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3900" w:type="dxa"/>
            <w:vAlign w:val="bottom"/>
          </w:tcPr>
          <w:p>
            <w:pPr>
              <w:ind w:left="260"/>
              <w:spacing w:after="0"/>
              <w:rPr>
                <w:sz w:val="20"/>
                <w:szCs w:val="20"/>
                <w:color w:val="auto"/>
              </w:rPr>
            </w:pPr>
            <w:r>
              <w:rPr>
                <w:rFonts w:ascii="Arial" w:cs="Arial" w:eastAsia="Arial" w:hAnsi="Arial"/>
                <w:sz w:val="16"/>
                <w:szCs w:val="16"/>
                <w:color w:val="auto"/>
              </w:rPr>
              <w:t>Non-Employee Directors:</w:t>
            </w:r>
          </w:p>
        </w:tc>
        <w:tc>
          <w:tcPr>
            <w:tcW w:w="3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2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3900" w:type="dxa"/>
            <w:vAlign w:val="bottom"/>
            <w:shd w:val="clear" w:color="auto" w:fill="D9D9D9"/>
          </w:tcPr>
          <w:p>
            <w:pPr>
              <w:ind w:left="500"/>
              <w:spacing w:after="0"/>
              <w:rPr>
                <w:sz w:val="20"/>
                <w:szCs w:val="20"/>
                <w:color w:val="auto"/>
              </w:rPr>
            </w:pPr>
            <w:r>
              <w:rPr>
                <w:rFonts w:ascii="Arial" w:cs="Arial" w:eastAsia="Arial" w:hAnsi="Arial"/>
                <w:sz w:val="16"/>
                <w:szCs w:val="16"/>
                <w:color w:val="auto"/>
              </w:rPr>
              <w:t>Janet K. Cooper</w:t>
            </w:r>
          </w:p>
        </w:tc>
        <w:tc>
          <w:tcPr>
            <w:tcW w:w="3800" w:type="dxa"/>
            <w:vAlign w:val="bottom"/>
            <w:shd w:val="clear" w:color="auto" w:fill="D9D9D9"/>
          </w:tcPr>
          <w:p>
            <w:pPr>
              <w:jc w:val="right"/>
              <w:ind w:right="302"/>
              <w:spacing w:after="0"/>
              <w:rPr>
                <w:sz w:val="20"/>
                <w:szCs w:val="20"/>
                <w:color w:val="auto"/>
              </w:rPr>
            </w:pPr>
            <w:r>
              <w:rPr>
                <w:rFonts w:ascii="Arial" w:cs="Arial" w:eastAsia="Arial" w:hAnsi="Arial"/>
                <w:sz w:val="16"/>
                <w:szCs w:val="16"/>
                <w:color w:val="auto"/>
              </w:rPr>
              <w:t>99,740</w:t>
            </w:r>
          </w:p>
        </w:tc>
        <w:tc>
          <w:tcPr>
            <w:tcW w:w="1520" w:type="dxa"/>
            <w:vAlign w:val="bottom"/>
            <w:shd w:val="clear" w:color="auto" w:fill="D9D9D9"/>
          </w:tcPr>
          <w:p>
            <w:pPr>
              <w:jc w:val="center"/>
              <w:ind w:right="2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20"/>
                <w:szCs w:val="20"/>
                <w:color w:val="auto"/>
              </w:rPr>
            </w:pPr>
            <w:r>
              <w:rPr>
                <w:rFonts w:ascii="Arial" w:cs="Arial" w:eastAsia="Arial" w:hAnsi="Arial"/>
                <w:sz w:val="16"/>
                <w:szCs w:val="16"/>
                <w:color w:val="auto"/>
              </w:rPr>
              <w:t>Common Stock</w:t>
            </w:r>
          </w:p>
        </w:tc>
        <w:tc>
          <w:tcPr>
            <w:tcW w:w="3900" w:type="dxa"/>
            <w:vAlign w:val="bottom"/>
          </w:tcPr>
          <w:p>
            <w:pPr>
              <w:ind w:left="500"/>
              <w:spacing w:after="0"/>
              <w:rPr>
                <w:sz w:val="20"/>
                <w:szCs w:val="20"/>
                <w:color w:val="auto"/>
              </w:rPr>
            </w:pPr>
            <w:r>
              <w:rPr>
                <w:rFonts w:ascii="Arial" w:cs="Arial" w:eastAsia="Arial" w:hAnsi="Arial"/>
                <w:sz w:val="16"/>
                <w:szCs w:val="16"/>
                <w:color w:val="auto"/>
              </w:rPr>
              <w:t>Gary L. Ellis</w:t>
            </w:r>
          </w:p>
        </w:tc>
        <w:tc>
          <w:tcPr>
            <w:tcW w:w="3800" w:type="dxa"/>
            <w:vAlign w:val="bottom"/>
          </w:tcPr>
          <w:p>
            <w:pPr>
              <w:jc w:val="right"/>
              <w:ind w:right="302"/>
              <w:spacing w:after="0"/>
              <w:rPr>
                <w:sz w:val="20"/>
                <w:szCs w:val="20"/>
                <w:color w:val="auto"/>
              </w:rPr>
            </w:pPr>
            <w:r>
              <w:rPr>
                <w:rFonts w:ascii="Arial" w:cs="Arial" w:eastAsia="Arial" w:hAnsi="Arial"/>
                <w:sz w:val="16"/>
                <w:szCs w:val="16"/>
                <w:color w:val="auto"/>
              </w:rPr>
              <w:t>79,507</w:t>
            </w:r>
          </w:p>
        </w:tc>
        <w:tc>
          <w:tcPr>
            <w:tcW w:w="1520" w:type="dxa"/>
            <w:vAlign w:val="bottom"/>
          </w:tcPr>
          <w:p>
            <w:pPr>
              <w:jc w:val="center"/>
              <w:ind w:right="2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1"/>
        </w:trPr>
        <w:tc>
          <w:tcPr>
            <w:tcW w:w="202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3900" w:type="dxa"/>
            <w:vAlign w:val="bottom"/>
            <w:shd w:val="clear" w:color="auto" w:fill="D9D9D9"/>
          </w:tcPr>
          <w:p>
            <w:pPr>
              <w:ind w:left="500"/>
              <w:spacing w:after="0"/>
              <w:rPr>
                <w:sz w:val="20"/>
                <w:szCs w:val="20"/>
                <w:color w:val="auto"/>
              </w:rPr>
            </w:pPr>
            <w:r>
              <w:rPr>
                <w:rFonts w:ascii="Arial" w:cs="Arial" w:eastAsia="Arial" w:hAnsi="Arial"/>
                <w:sz w:val="16"/>
                <w:szCs w:val="16"/>
                <w:color w:val="auto"/>
              </w:rPr>
              <w:t>Jeffrey M. Ettinger</w:t>
            </w:r>
          </w:p>
        </w:tc>
        <w:tc>
          <w:tcPr>
            <w:tcW w:w="3800" w:type="dxa"/>
            <w:vAlign w:val="bottom"/>
            <w:shd w:val="clear" w:color="auto" w:fill="D9D9D9"/>
          </w:tcPr>
          <w:p>
            <w:pPr>
              <w:jc w:val="right"/>
              <w:ind w:right="302"/>
              <w:spacing w:after="0"/>
              <w:rPr>
                <w:sz w:val="20"/>
                <w:szCs w:val="20"/>
                <w:color w:val="auto"/>
              </w:rPr>
            </w:pPr>
            <w:r>
              <w:rPr>
                <w:rFonts w:ascii="Arial" w:cs="Arial" w:eastAsia="Arial" w:hAnsi="Arial"/>
                <w:sz w:val="16"/>
                <w:szCs w:val="16"/>
                <w:color w:val="auto"/>
              </w:rPr>
              <w:t>95,445</w:t>
            </w:r>
          </w:p>
        </w:tc>
        <w:tc>
          <w:tcPr>
            <w:tcW w:w="1520" w:type="dxa"/>
            <w:vAlign w:val="bottom"/>
            <w:shd w:val="clear" w:color="auto" w:fill="D9D9D9"/>
          </w:tcPr>
          <w:p>
            <w:pPr>
              <w:jc w:val="center"/>
              <w:ind w:right="2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20"/>
                <w:szCs w:val="20"/>
                <w:color w:val="auto"/>
              </w:rPr>
            </w:pPr>
            <w:r>
              <w:rPr>
                <w:rFonts w:ascii="Arial" w:cs="Arial" w:eastAsia="Arial" w:hAnsi="Arial"/>
                <w:sz w:val="16"/>
                <w:szCs w:val="16"/>
                <w:color w:val="auto"/>
              </w:rPr>
              <w:t>Common Stock</w:t>
            </w:r>
          </w:p>
        </w:tc>
        <w:tc>
          <w:tcPr>
            <w:tcW w:w="3900" w:type="dxa"/>
            <w:vAlign w:val="bottom"/>
          </w:tcPr>
          <w:p>
            <w:pPr>
              <w:ind w:left="500"/>
              <w:spacing w:after="0"/>
              <w:rPr>
                <w:sz w:val="20"/>
                <w:szCs w:val="20"/>
                <w:color w:val="auto"/>
              </w:rPr>
            </w:pPr>
            <w:r>
              <w:rPr>
                <w:rFonts w:ascii="Arial" w:cs="Arial" w:eastAsia="Arial" w:hAnsi="Arial"/>
                <w:sz w:val="16"/>
                <w:szCs w:val="16"/>
                <w:color w:val="auto"/>
              </w:rPr>
              <w:t>Katherine J. Harless</w:t>
            </w:r>
          </w:p>
        </w:tc>
        <w:tc>
          <w:tcPr>
            <w:tcW w:w="3800" w:type="dxa"/>
            <w:vAlign w:val="bottom"/>
          </w:tcPr>
          <w:p>
            <w:pPr>
              <w:jc w:val="right"/>
              <w:ind w:right="302"/>
              <w:spacing w:after="0"/>
              <w:rPr>
                <w:sz w:val="20"/>
                <w:szCs w:val="20"/>
                <w:color w:val="auto"/>
              </w:rPr>
            </w:pPr>
            <w:r>
              <w:rPr>
                <w:rFonts w:ascii="Arial" w:cs="Arial" w:eastAsia="Arial" w:hAnsi="Arial"/>
                <w:sz w:val="16"/>
                <w:szCs w:val="16"/>
                <w:color w:val="auto"/>
              </w:rPr>
              <w:t>103,689</w:t>
            </w:r>
          </w:p>
        </w:tc>
        <w:tc>
          <w:tcPr>
            <w:tcW w:w="1520" w:type="dxa"/>
            <w:vAlign w:val="bottom"/>
          </w:tcPr>
          <w:p>
            <w:pPr>
              <w:jc w:val="center"/>
              <w:ind w:right="2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1"/>
        </w:trPr>
        <w:tc>
          <w:tcPr>
            <w:tcW w:w="202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3900" w:type="dxa"/>
            <w:vAlign w:val="bottom"/>
            <w:shd w:val="clear" w:color="auto" w:fill="D9D9D9"/>
          </w:tcPr>
          <w:p>
            <w:pPr>
              <w:ind w:left="500"/>
              <w:spacing w:after="0"/>
              <w:rPr>
                <w:sz w:val="20"/>
                <w:szCs w:val="20"/>
                <w:color w:val="auto"/>
              </w:rPr>
            </w:pPr>
            <w:r>
              <w:rPr>
                <w:rFonts w:ascii="Arial" w:cs="Arial" w:eastAsia="Arial" w:hAnsi="Arial"/>
                <w:sz w:val="16"/>
                <w:szCs w:val="16"/>
                <w:color w:val="auto"/>
              </w:rPr>
              <w:t>Jeffrey L. Harmening</w:t>
            </w:r>
          </w:p>
        </w:tc>
        <w:tc>
          <w:tcPr>
            <w:tcW w:w="3800" w:type="dxa"/>
            <w:vAlign w:val="bottom"/>
            <w:shd w:val="clear" w:color="auto" w:fill="D9D9D9"/>
          </w:tcPr>
          <w:p>
            <w:pPr>
              <w:jc w:val="right"/>
              <w:ind w:right="302"/>
              <w:spacing w:after="0"/>
              <w:rPr>
                <w:sz w:val="20"/>
                <w:szCs w:val="20"/>
                <w:color w:val="auto"/>
              </w:rPr>
            </w:pPr>
            <w:r>
              <w:rPr>
                <w:rFonts w:ascii="Arial" w:cs="Arial" w:eastAsia="Arial" w:hAnsi="Arial"/>
                <w:sz w:val="16"/>
                <w:szCs w:val="16"/>
                <w:color w:val="auto"/>
              </w:rPr>
              <w:t>4,531</w:t>
            </w:r>
          </w:p>
        </w:tc>
        <w:tc>
          <w:tcPr>
            <w:tcW w:w="1520" w:type="dxa"/>
            <w:vAlign w:val="bottom"/>
            <w:shd w:val="clear" w:color="auto" w:fill="D9D9D9"/>
          </w:tcPr>
          <w:p>
            <w:pPr>
              <w:jc w:val="center"/>
              <w:ind w:right="2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20"/>
                <w:szCs w:val="20"/>
                <w:color w:val="auto"/>
              </w:rPr>
            </w:pPr>
            <w:r>
              <w:rPr>
                <w:rFonts w:ascii="Arial" w:cs="Arial" w:eastAsia="Arial" w:hAnsi="Arial"/>
                <w:sz w:val="16"/>
                <w:szCs w:val="16"/>
                <w:color w:val="auto"/>
              </w:rPr>
              <w:t>Common Stock</w:t>
            </w:r>
          </w:p>
        </w:tc>
        <w:tc>
          <w:tcPr>
            <w:tcW w:w="3900" w:type="dxa"/>
            <w:vAlign w:val="bottom"/>
          </w:tcPr>
          <w:p>
            <w:pPr>
              <w:ind w:left="500"/>
              <w:spacing w:after="0"/>
              <w:rPr>
                <w:sz w:val="20"/>
                <w:szCs w:val="20"/>
                <w:color w:val="auto"/>
              </w:rPr>
            </w:pPr>
            <w:r>
              <w:rPr>
                <w:rFonts w:ascii="Arial" w:cs="Arial" w:eastAsia="Arial" w:hAnsi="Arial"/>
                <w:sz w:val="16"/>
                <w:szCs w:val="16"/>
                <w:color w:val="auto"/>
              </w:rPr>
              <w:t>D. Christian Koch</w:t>
            </w:r>
          </w:p>
        </w:tc>
        <w:tc>
          <w:tcPr>
            <w:tcW w:w="3800" w:type="dxa"/>
            <w:vAlign w:val="bottom"/>
          </w:tcPr>
          <w:p>
            <w:pPr>
              <w:jc w:val="right"/>
              <w:ind w:right="302"/>
              <w:spacing w:after="0"/>
              <w:rPr>
                <w:sz w:val="20"/>
                <w:szCs w:val="20"/>
                <w:color w:val="auto"/>
              </w:rPr>
            </w:pPr>
            <w:r>
              <w:rPr>
                <w:rFonts w:ascii="Arial" w:cs="Arial" w:eastAsia="Arial" w:hAnsi="Arial"/>
                <w:sz w:val="16"/>
                <w:szCs w:val="16"/>
                <w:color w:val="auto"/>
              </w:rPr>
              <w:t>17,866</w:t>
            </w:r>
          </w:p>
        </w:tc>
        <w:tc>
          <w:tcPr>
            <w:tcW w:w="1520" w:type="dxa"/>
            <w:vAlign w:val="bottom"/>
          </w:tcPr>
          <w:p>
            <w:pPr>
              <w:jc w:val="center"/>
              <w:ind w:right="2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1"/>
        </w:trPr>
        <w:tc>
          <w:tcPr>
            <w:tcW w:w="202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3900" w:type="dxa"/>
            <w:vAlign w:val="bottom"/>
            <w:shd w:val="clear" w:color="auto" w:fill="D9D9D9"/>
          </w:tcPr>
          <w:p>
            <w:pPr>
              <w:ind w:left="500"/>
              <w:spacing w:after="0"/>
              <w:rPr>
                <w:sz w:val="20"/>
                <w:szCs w:val="20"/>
                <w:color w:val="auto"/>
              </w:rPr>
            </w:pPr>
            <w:r>
              <w:rPr>
                <w:rFonts w:ascii="Arial" w:cs="Arial" w:eastAsia="Arial" w:hAnsi="Arial"/>
                <w:sz w:val="16"/>
                <w:szCs w:val="16"/>
                <w:color w:val="auto"/>
              </w:rPr>
              <w:t>Joyce A. Mullen</w:t>
            </w:r>
          </w:p>
        </w:tc>
        <w:tc>
          <w:tcPr>
            <w:tcW w:w="3800" w:type="dxa"/>
            <w:vAlign w:val="bottom"/>
            <w:shd w:val="clear" w:color="auto" w:fill="D9D9D9"/>
          </w:tcPr>
          <w:p>
            <w:pPr>
              <w:jc w:val="right"/>
              <w:ind w:right="302"/>
              <w:spacing w:after="0"/>
              <w:rPr>
                <w:sz w:val="20"/>
                <w:szCs w:val="20"/>
                <w:color w:val="auto"/>
              </w:rPr>
            </w:pPr>
            <w:r>
              <w:rPr>
                <w:rFonts w:ascii="Arial" w:cs="Arial" w:eastAsia="Arial" w:hAnsi="Arial"/>
                <w:sz w:val="16"/>
                <w:szCs w:val="16"/>
                <w:color w:val="auto"/>
              </w:rPr>
              <w:t>2,889</w:t>
            </w:r>
          </w:p>
        </w:tc>
        <w:tc>
          <w:tcPr>
            <w:tcW w:w="1520" w:type="dxa"/>
            <w:vAlign w:val="bottom"/>
            <w:shd w:val="clear" w:color="auto" w:fill="D9D9D9"/>
          </w:tcPr>
          <w:p>
            <w:pPr>
              <w:jc w:val="center"/>
              <w:ind w:right="2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20"/>
                <w:szCs w:val="20"/>
                <w:color w:val="auto"/>
              </w:rPr>
            </w:pPr>
            <w:r>
              <w:rPr>
                <w:rFonts w:ascii="Arial" w:cs="Arial" w:eastAsia="Arial" w:hAnsi="Arial"/>
                <w:sz w:val="16"/>
                <w:szCs w:val="16"/>
                <w:color w:val="auto"/>
              </w:rPr>
              <w:t>Common Stock</w:t>
            </w:r>
          </w:p>
        </w:tc>
        <w:tc>
          <w:tcPr>
            <w:tcW w:w="3900" w:type="dxa"/>
            <w:vAlign w:val="bottom"/>
          </w:tcPr>
          <w:p>
            <w:pPr>
              <w:ind w:left="500"/>
              <w:spacing w:after="0"/>
              <w:rPr>
                <w:sz w:val="20"/>
                <w:szCs w:val="20"/>
                <w:color w:val="auto"/>
              </w:rPr>
            </w:pPr>
            <w:r>
              <w:rPr>
                <w:rFonts w:ascii="Arial" w:cs="Arial" w:eastAsia="Arial" w:hAnsi="Arial"/>
                <w:sz w:val="16"/>
                <w:szCs w:val="16"/>
                <w:color w:val="auto"/>
              </w:rPr>
              <w:t>James C. O’Rourke</w:t>
            </w:r>
          </w:p>
        </w:tc>
        <w:tc>
          <w:tcPr>
            <w:tcW w:w="3800" w:type="dxa"/>
            <w:vAlign w:val="bottom"/>
          </w:tcPr>
          <w:p>
            <w:pPr>
              <w:jc w:val="right"/>
              <w:ind w:right="302"/>
              <w:spacing w:after="0"/>
              <w:rPr>
                <w:sz w:val="20"/>
                <w:szCs w:val="20"/>
                <w:color w:val="auto"/>
              </w:rPr>
            </w:pPr>
            <w:r>
              <w:rPr>
                <w:rFonts w:ascii="Arial" w:cs="Arial" w:eastAsia="Arial" w:hAnsi="Arial"/>
                <w:sz w:val="16"/>
                <w:szCs w:val="16"/>
                <w:color w:val="auto"/>
              </w:rPr>
              <w:t>30,120</w:t>
            </w:r>
          </w:p>
        </w:tc>
        <w:tc>
          <w:tcPr>
            <w:tcW w:w="1520" w:type="dxa"/>
            <w:vAlign w:val="bottom"/>
          </w:tcPr>
          <w:p>
            <w:pPr>
              <w:jc w:val="center"/>
              <w:ind w:right="2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1"/>
        </w:trPr>
        <w:tc>
          <w:tcPr>
            <w:tcW w:w="202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3900" w:type="dxa"/>
            <w:vAlign w:val="bottom"/>
            <w:shd w:val="clear" w:color="auto" w:fill="D9D9D9"/>
          </w:tcPr>
          <w:p>
            <w:pPr>
              <w:ind w:left="500"/>
              <w:spacing w:after="0"/>
              <w:rPr>
                <w:sz w:val="20"/>
                <w:szCs w:val="20"/>
                <w:color w:val="auto"/>
              </w:rPr>
            </w:pPr>
            <w:r>
              <w:rPr>
                <w:rFonts w:ascii="Arial" w:cs="Arial" w:eastAsia="Arial" w:hAnsi="Arial"/>
                <w:sz w:val="16"/>
                <w:szCs w:val="16"/>
                <w:color w:val="auto"/>
              </w:rPr>
              <w:t>Gregg W. Steinhafel</w:t>
            </w:r>
          </w:p>
        </w:tc>
        <w:tc>
          <w:tcPr>
            <w:tcW w:w="3800" w:type="dxa"/>
            <w:vAlign w:val="bottom"/>
            <w:shd w:val="clear" w:color="auto" w:fill="D9D9D9"/>
          </w:tcPr>
          <w:p>
            <w:pPr>
              <w:jc w:val="right"/>
              <w:ind w:right="302"/>
              <w:spacing w:after="0"/>
              <w:rPr>
                <w:sz w:val="20"/>
                <w:szCs w:val="20"/>
                <w:color w:val="auto"/>
              </w:rPr>
            </w:pPr>
            <w:r>
              <w:rPr>
                <w:rFonts w:ascii="Arial" w:cs="Arial" w:eastAsia="Arial" w:hAnsi="Arial"/>
                <w:sz w:val="16"/>
                <w:szCs w:val="16"/>
                <w:color w:val="auto"/>
              </w:rPr>
              <w:t>71,574</w:t>
            </w:r>
          </w:p>
        </w:tc>
        <w:tc>
          <w:tcPr>
            <w:tcW w:w="1520" w:type="dxa"/>
            <w:vAlign w:val="bottom"/>
            <w:shd w:val="clear" w:color="auto" w:fill="D9D9D9"/>
          </w:tcPr>
          <w:p>
            <w:pPr>
              <w:jc w:val="center"/>
              <w:ind w:right="2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20"/>
                <w:szCs w:val="20"/>
                <w:color w:val="auto"/>
              </w:rPr>
            </w:pPr>
            <w:r>
              <w:rPr>
                <w:rFonts w:ascii="Arial" w:cs="Arial" w:eastAsia="Arial" w:hAnsi="Arial"/>
                <w:sz w:val="16"/>
                <w:szCs w:val="16"/>
                <w:color w:val="auto"/>
              </w:rPr>
              <w:t>Common Stock</w:t>
            </w:r>
          </w:p>
        </w:tc>
        <w:tc>
          <w:tcPr>
            <w:tcW w:w="3900" w:type="dxa"/>
            <w:vAlign w:val="bottom"/>
          </w:tcPr>
          <w:p>
            <w:pPr>
              <w:ind w:left="500"/>
              <w:spacing w:after="0"/>
              <w:rPr>
                <w:sz w:val="20"/>
                <w:szCs w:val="20"/>
                <w:color w:val="auto"/>
              </w:rPr>
            </w:pPr>
            <w:r>
              <w:rPr>
                <w:rFonts w:ascii="Arial" w:cs="Arial" w:eastAsia="Arial" w:hAnsi="Arial"/>
                <w:sz w:val="16"/>
                <w:szCs w:val="16"/>
                <w:color w:val="auto"/>
              </w:rPr>
              <w:t>Michael G. Vale</w:t>
            </w:r>
          </w:p>
        </w:tc>
        <w:tc>
          <w:tcPr>
            <w:tcW w:w="3800" w:type="dxa"/>
            <w:vAlign w:val="bottom"/>
          </w:tcPr>
          <w:p>
            <w:pPr>
              <w:jc w:val="right"/>
              <w:ind w:right="302"/>
              <w:spacing w:after="0"/>
              <w:rPr>
                <w:sz w:val="20"/>
                <w:szCs w:val="20"/>
                <w:color w:val="auto"/>
              </w:rPr>
            </w:pPr>
            <w:r>
              <w:rPr>
                <w:rFonts w:ascii="Arial" w:cs="Arial" w:eastAsia="Arial" w:hAnsi="Arial"/>
                <w:sz w:val="16"/>
                <w:szCs w:val="16"/>
                <w:color w:val="auto"/>
              </w:rPr>
              <w:t>6,916</w:t>
            </w:r>
          </w:p>
        </w:tc>
        <w:tc>
          <w:tcPr>
            <w:tcW w:w="1520" w:type="dxa"/>
            <w:vAlign w:val="bottom"/>
          </w:tcPr>
          <w:p>
            <w:pPr>
              <w:jc w:val="center"/>
              <w:ind w:right="2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1"/>
        </w:trPr>
        <w:tc>
          <w:tcPr>
            <w:tcW w:w="2020" w:type="dxa"/>
            <w:vAlign w:val="bottom"/>
            <w:shd w:val="clear" w:color="auto" w:fill="D9D9D9"/>
          </w:tcPr>
          <w:p>
            <w:pPr>
              <w:spacing w:after="0"/>
              <w:rPr>
                <w:sz w:val="17"/>
                <w:szCs w:val="17"/>
                <w:color w:val="auto"/>
              </w:rPr>
            </w:pPr>
          </w:p>
        </w:tc>
        <w:tc>
          <w:tcPr>
            <w:tcW w:w="3900" w:type="dxa"/>
            <w:vAlign w:val="bottom"/>
            <w:shd w:val="clear" w:color="auto" w:fill="D9D9D9"/>
          </w:tcPr>
          <w:p>
            <w:pPr>
              <w:ind w:left="260"/>
              <w:spacing w:after="0"/>
              <w:rPr>
                <w:sz w:val="20"/>
                <w:szCs w:val="20"/>
                <w:color w:val="auto"/>
              </w:rPr>
            </w:pPr>
            <w:r>
              <w:rPr>
                <w:rFonts w:ascii="Arial" w:cs="Arial" w:eastAsia="Arial" w:hAnsi="Arial"/>
                <w:sz w:val="16"/>
                <w:szCs w:val="16"/>
                <w:color w:val="auto"/>
              </w:rPr>
              <w:t>Named Executive Officers:</w:t>
            </w:r>
          </w:p>
        </w:tc>
        <w:tc>
          <w:tcPr>
            <w:tcW w:w="3800" w:type="dxa"/>
            <w:vAlign w:val="bottom"/>
            <w:shd w:val="clear" w:color="auto" w:fill="D9D9D9"/>
          </w:tcPr>
          <w:p>
            <w:pPr>
              <w:spacing w:after="0"/>
              <w:rPr>
                <w:sz w:val="17"/>
                <w:szCs w:val="17"/>
                <w:color w:val="auto"/>
              </w:rPr>
            </w:pPr>
          </w:p>
        </w:tc>
        <w:tc>
          <w:tcPr>
            <w:tcW w:w="152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20" w:type="dxa"/>
            <w:vAlign w:val="bottom"/>
          </w:tcPr>
          <w:p>
            <w:pPr>
              <w:spacing w:after="0"/>
              <w:rPr>
                <w:sz w:val="20"/>
                <w:szCs w:val="20"/>
                <w:color w:val="auto"/>
              </w:rPr>
            </w:pPr>
            <w:r>
              <w:rPr>
                <w:rFonts w:ascii="Arial" w:cs="Arial" w:eastAsia="Arial" w:hAnsi="Arial"/>
                <w:sz w:val="16"/>
                <w:szCs w:val="16"/>
                <w:color w:val="auto"/>
              </w:rPr>
              <w:t>Common Stock</w:t>
            </w:r>
          </w:p>
        </w:tc>
        <w:tc>
          <w:tcPr>
            <w:tcW w:w="3900" w:type="dxa"/>
            <w:vAlign w:val="bottom"/>
          </w:tcPr>
          <w:p>
            <w:pPr>
              <w:ind w:left="500"/>
              <w:spacing w:after="0"/>
              <w:rPr>
                <w:sz w:val="20"/>
                <w:szCs w:val="20"/>
                <w:color w:val="auto"/>
              </w:rPr>
            </w:pPr>
            <w:r>
              <w:rPr>
                <w:rFonts w:ascii="Arial" w:cs="Arial" w:eastAsia="Arial" w:hAnsi="Arial"/>
                <w:sz w:val="16"/>
                <w:szCs w:val="16"/>
                <w:color w:val="auto"/>
              </w:rPr>
              <w:t>Richard M. Olson</w:t>
            </w:r>
          </w:p>
        </w:tc>
        <w:tc>
          <w:tcPr>
            <w:tcW w:w="3800" w:type="dxa"/>
            <w:vAlign w:val="bottom"/>
          </w:tcPr>
          <w:p>
            <w:pPr>
              <w:jc w:val="right"/>
              <w:ind w:right="302"/>
              <w:spacing w:after="0"/>
              <w:rPr>
                <w:sz w:val="20"/>
                <w:szCs w:val="20"/>
                <w:color w:val="auto"/>
              </w:rPr>
            </w:pPr>
            <w:r>
              <w:rPr>
                <w:rFonts w:ascii="Arial" w:cs="Arial" w:eastAsia="Arial" w:hAnsi="Arial"/>
                <w:sz w:val="16"/>
                <w:szCs w:val="16"/>
                <w:color w:val="auto"/>
              </w:rPr>
              <w:t>594,353</w:t>
            </w:r>
          </w:p>
        </w:tc>
        <w:tc>
          <w:tcPr>
            <w:tcW w:w="1520" w:type="dxa"/>
            <w:vAlign w:val="bottom"/>
          </w:tcPr>
          <w:p>
            <w:pPr>
              <w:jc w:val="center"/>
              <w:ind w:right="2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1"/>
        </w:trPr>
        <w:tc>
          <w:tcPr>
            <w:tcW w:w="202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3900" w:type="dxa"/>
            <w:vAlign w:val="bottom"/>
            <w:shd w:val="clear" w:color="auto" w:fill="D9D9D9"/>
          </w:tcPr>
          <w:p>
            <w:pPr>
              <w:ind w:left="500"/>
              <w:spacing w:after="0"/>
              <w:rPr>
                <w:sz w:val="20"/>
                <w:szCs w:val="20"/>
                <w:color w:val="auto"/>
              </w:rPr>
            </w:pPr>
            <w:r>
              <w:rPr>
                <w:rFonts w:ascii="Arial" w:cs="Arial" w:eastAsia="Arial" w:hAnsi="Arial"/>
                <w:sz w:val="16"/>
                <w:szCs w:val="16"/>
                <w:color w:val="auto"/>
              </w:rPr>
              <w:t>Renee J. Peterson</w:t>
            </w:r>
          </w:p>
        </w:tc>
        <w:tc>
          <w:tcPr>
            <w:tcW w:w="3800" w:type="dxa"/>
            <w:vAlign w:val="bottom"/>
            <w:shd w:val="clear" w:color="auto" w:fill="D9D9D9"/>
          </w:tcPr>
          <w:p>
            <w:pPr>
              <w:jc w:val="right"/>
              <w:ind w:right="302"/>
              <w:spacing w:after="0"/>
              <w:rPr>
                <w:sz w:val="20"/>
                <w:szCs w:val="20"/>
                <w:color w:val="auto"/>
              </w:rPr>
            </w:pPr>
            <w:r>
              <w:rPr>
                <w:rFonts w:ascii="Arial" w:cs="Arial" w:eastAsia="Arial" w:hAnsi="Arial"/>
                <w:sz w:val="16"/>
                <w:szCs w:val="16"/>
                <w:color w:val="auto"/>
              </w:rPr>
              <w:t>281,411</w:t>
            </w:r>
          </w:p>
        </w:tc>
        <w:tc>
          <w:tcPr>
            <w:tcW w:w="1520" w:type="dxa"/>
            <w:vAlign w:val="bottom"/>
            <w:shd w:val="clear" w:color="auto" w:fill="D9D9D9"/>
          </w:tcPr>
          <w:p>
            <w:pPr>
              <w:jc w:val="center"/>
              <w:ind w:right="2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20"/>
                <w:szCs w:val="20"/>
                <w:color w:val="auto"/>
              </w:rPr>
            </w:pPr>
            <w:r>
              <w:rPr>
                <w:rFonts w:ascii="Arial" w:cs="Arial" w:eastAsia="Arial" w:hAnsi="Arial"/>
                <w:sz w:val="16"/>
                <w:szCs w:val="16"/>
                <w:color w:val="auto"/>
              </w:rPr>
              <w:t>Common Stock</w:t>
            </w:r>
          </w:p>
        </w:tc>
        <w:tc>
          <w:tcPr>
            <w:tcW w:w="3900" w:type="dxa"/>
            <w:vAlign w:val="bottom"/>
          </w:tcPr>
          <w:p>
            <w:pPr>
              <w:ind w:left="500"/>
              <w:spacing w:after="0"/>
              <w:rPr>
                <w:sz w:val="20"/>
                <w:szCs w:val="20"/>
                <w:color w:val="auto"/>
              </w:rPr>
            </w:pPr>
            <w:r>
              <w:rPr>
                <w:rFonts w:ascii="Arial" w:cs="Arial" w:eastAsia="Arial" w:hAnsi="Arial"/>
                <w:sz w:val="16"/>
                <w:szCs w:val="16"/>
                <w:color w:val="auto"/>
              </w:rPr>
              <w:t>Richard W. Rodier</w:t>
            </w:r>
          </w:p>
        </w:tc>
        <w:tc>
          <w:tcPr>
            <w:tcW w:w="3800" w:type="dxa"/>
            <w:vAlign w:val="bottom"/>
          </w:tcPr>
          <w:p>
            <w:pPr>
              <w:jc w:val="right"/>
              <w:ind w:right="302"/>
              <w:spacing w:after="0"/>
              <w:rPr>
                <w:sz w:val="20"/>
                <w:szCs w:val="20"/>
                <w:color w:val="auto"/>
              </w:rPr>
            </w:pPr>
            <w:r>
              <w:rPr>
                <w:rFonts w:ascii="Arial" w:cs="Arial" w:eastAsia="Arial" w:hAnsi="Arial"/>
                <w:sz w:val="16"/>
                <w:szCs w:val="16"/>
                <w:color w:val="auto"/>
              </w:rPr>
              <w:t>83,152</w:t>
            </w:r>
          </w:p>
        </w:tc>
        <w:tc>
          <w:tcPr>
            <w:tcW w:w="1520" w:type="dxa"/>
            <w:vAlign w:val="bottom"/>
          </w:tcPr>
          <w:p>
            <w:pPr>
              <w:jc w:val="center"/>
              <w:ind w:right="2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1"/>
        </w:trPr>
        <w:tc>
          <w:tcPr>
            <w:tcW w:w="202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3900" w:type="dxa"/>
            <w:vAlign w:val="bottom"/>
            <w:shd w:val="clear" w:color="auto" w:fill="D9D9D9"/>
          </w:tcPr>
          <w:p>
            <w:pPr>
              <w:ind w:left="500"/>
              <w:spacing w:after="0"/>
              <w:rPr>
                <w:sz w:val="20"/>
                <w:szCs w:val="20"/>
                <w:color w:val="auto"/>
              </w:rPr>
            </w:pPr>
            <w:r>
              <w:rPr>
                <w:rFonts w:ascii="Arial" w:cs="Arial" w:eastAsia="Arial" w:hAnsi="Arial"/>
                <w:sz w:val="16"/>
                <w:szCs w:val="16"/>
                <w:color w:val="auto"/>
              </w:rPr>
              <w:t>Bradley A. Hamilton</w:t>
            </w:r>
          </w:p>
        </w:tc>
        <w:tc>
          <w:tcPr>
            <w:tcW w:w="3800" w:type="dxa"/>
            <w:vAlign w:val="bottom"/>
            <w:shd w:val="clear" w:color="auto" w:fill="D9D9D9"/>
          </w:tcPr>
          <w:p>
            <w:pPr>
              <w:jc w:val="right"/>
              <w:ind w:right="302"/>
              <w:spacing w:after="0"/>
              <w:rPr>
                <w:sz w:val="20"/>
                <w:szCs w:val="20"/>
                <w:color w:val="auto"/>
              </w:rPr>
            </w:pPr>
            <w:r>
              <w:rPr>
                <w:rFonts w:ascii="Arial" w:cs="Arial" w:eastAsia="Arial" w:hAnsi="Arial"/>
                <w:sz w:val="16"/>
                <w:szCs w:val="16"/>
                <w:color w:val="auto"/>
              </w:rPr>
              <w:t>71,111</w:t>
            </w:r>
          </w:p>
        </w:tc>
        <w:tc>
          <w:tcPr>
            <w:tcW w:w="1520" w:type="dxa"/>
            <w:vAlign w:val="bottom"/>
            <w:shd w:val="clear" w:color="auto" w:fill="D9D9D9"/>
          </w:tcPr>
          <w:p>
            <w:pPr>
              <w:jc w:val="center"/>
              <w:ind w:right="2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20"/>
                <w:szCs w:val="20"/>
                <w:color w:val="auto"/>
              </w:rPr>
            </w:pPr>
            <w:r>
              <w:rPr>
                <w:rFonts w:ascii="Arial" w:cs="Arial" w:eastAsia="Arial" w:hAnsi="Arial"/>
                <w:sz w:val="16"/>
                <w:szCs w:val="16"/>
                <w:color w:val="auto"/>
              </w:rPr>
              <w:t>Common Stock</w:t>
            </w:r>
          </w:p>
        </w:tc>
        <w:tc>
          <w:tcPr>
            <w:tcW w:w="3900" w:type="dxa"/>
            <w:vAlign w:val="bottom"/>
          </w:tcPr>
          <w:p>
            <w:pPr>
              <w:ind w:left="500"/>
              <w:spacing w:after="0"/>
              <w:rPr>
                <w:sz w:val="20"/>
                <w:szCs w:val="20"/>
                <w:color w:val="auto"/>
              </w:rPr>
            </w:pPr>
            <w:r>
              <w:rPr>
                <w:rFonts w:ascii="Arial" w:cs="Arial" w:eastAsia="Arial" w:hAnsi="Arial"/>
                <w:sz w:val="16"/>
                <w:szCs w:val="16"/>
                <w:color w:val="auto"/>
              </w:rPr>
              <w:t>Amy E. Dahl</w:t>
            </w:r>
          </w:p>
        </w:tc>
        <w:tc>
          <w:tcPr>
            <w:tcW w:w="3800" w:type="dxa"/>
            <w:vAlign w:val="bottom"/>
          </w:tcPr>
          <w:p>
            <w:pPr>
              <w:jc w:val="right"/>
              <w:ind w:right="302"/>
              <w:spacing w:after="0"/>
              <w:rPr>
                <w:sz w:val="20"/>
                <w:szCs w:val="20"/>
                <w:color w:val="auto"/>
              </w:rPr>
            </w:pPr>
            <w:r>
              <w:rPr>
                <w:rFonts w:ascii="Arial" w:cs="Arial" w:eastAsia="Arial" w:hAnsi="Arial"/>
                <w:sz w:val="16"/>
                <w:szCs w:val="16"/>
                <w:color w:val="auto"/>
              </w:rPr>
              <w:t>105,021</w:t>
            </w:r>
          </w:p>
        </w:tc>
        <w:tc>
          <w:tcPr>
            <w:tcW w:w="1520" w:type="dxa"/>
            <w:vAlign w:val="bottom"/>
          </w:tcPr>
          <w:p>
            <w:pPr>
              <w:jc w:val="center"/>
              <w:ind w:right="2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3"/>
        </w:trPr>
        <w:tc>
          <w:tcPr>
            <w:tcW w:w="2020" w:type="dxa"/>
            <w:vAlign w:val="bottom"/>
            <w:shd w:val="clear" w:color="auto" w:fill="D9D9D9"/>
          </w:tcPr>
          <w:p>
            <w:pPr>
              <w:spacing w:after="0"/>
              <w:rPr>
                <w:sz w:val="20"/>
                <w:szCs w:val="20"/>
                <w:color w:val="auto"/>
              </w:rPr>
            </w:pPr>
            <w:r>
              <w:rPr>
                <w:rFonts w:ascii="Arial" w:cs="Arial" w:eastAsia="Arial" w:hAnsi="Arial"/>
                <w:sz w:val="16"/>
                <w:szCs w:val="16"/>
                <w:color w:val="auto"/>
              </w:rPr>
              <w:t>All Current Directors and</w:t>
            </w:r>
          </w:p>
        </w:tc>
        <w:tc>
          <w:tcPr>
            <w:tcW w:w="3900" w:type="dxa"/>
            <w:vAlign w:val="bottom"/>
            <w:shd w:val="clear" w:color="auto" w:fill="D9D9D9"/>
          </w:tcPr>
          <w:p>
            <w:pPr>
              <w:spacing w:after="0"/>
              <w:rPr>
                <w:sz w:val="17"/>
                <w:szCs w:val="17"/>
                <w:color w:val="auto"/>
              </w:rPr>
            </w:pPr>
          </w:p>
        </w:tc>
        <w:tc>
          <w:tcPr>
            <w:tcW w:w="3800" w:type="dxa"/>
            <w:vAlign w:val="bottom"/>
            <w:shd w:val="clear" w:color="auto" w:fill="D9D9D9"/>
          </w:tcPr>
          <w:p>
            <w:pPr>
              <w:spacing w:after="0"/>
              <w:rPr>
                <w:sz w:val="17"/>
                <w:szCs w:val="17"/>
                <w:color w:val="auto"/>
              </w:rPr>
            </w:pPr>
          </w:p>
        </w:tc>
        <w:tc>
          <w:tcPr>
            <w:tcW w:w="152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20" w:type="dxa"/>
            <w:vAlign w:val="bottom"/>
            <w:shd w:val="clear" w:color="auto" w:fill="D9D9D9"/>
          </w:tcPr>
          <w:p>
            <w:pPr>
              <w:spacing w:after="0"/>
              <w:rPr>
                <w:sz w:val="20"/>
                <w:szCs w:val="20"/>
                <w:color w:val="auto"/>
              </w:rPr>
            </w:pPr>
            <w:r>
              <w:rPr>
                <w:rFonts w:ascii="Arial" w:cs="Arial" w:eastAsia="Arial" w:hAnsi="Arial"/>
                <w:sz w:val="16"/>
                <w:szCs w:val="16"/>
                <w:color w:val="auto"/>
              </w:rPr>
              <w:t>Executive Officers as a</w:t>
            </w:r>
          </w:p>
        </w:tc>
        <w:tc>
          <w:tcPr>
            <w:tcW w:w="3900" w:type="dxa"/>
            <w:vAlign w:val="bottom"/>
            <w:shd w:val="clear" w:color="auto" w:fill="D9D9D9"/>
          </w:tcPr>
          <w:p>
            <w:pPr>
              <w:spacing w:after="0"/>
              <w:rPr>
                <w:sz w:val="16"/>
                <w:szCs w:val="16"/>
                <w:color w:val="auto"/>
              </w:rPr>
            </w:pPr>
          </w:p>
        </w:tc>
        <w:tc>
          <w:tcPr>
            <w:tcW w:w="3800" w:type="dxa"/>
            <w:vAlign w:val="bottom"/>
            <w:shd w:val="clear" w:color="auto" w:fill="D9D9D9"/>
          </w:tcPr>
          <w:p>
            <w:pPr>
              <w:spacing w:after="0"/>
              <w:rPr>
                <w:sz w:val="16"/>
                <w:szCs w:val="16"/>
                <w:color w:val="auto"/>
              </w:rPr>
            </w:pPr>
          </w:p>
        </w:tc>
        <w:tc>
          <w:tcPr>
            <w:tcW w:w="152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20" w:type="dxa"/>
            <w:vAlign w:val="bottom"/>
            <w:shd w:val="clear" w:color="auto" w:fill="D9D9D9"/>
          </w:tcPr>
          <w:p>
            <w:pPr>
              <w:spacing w:after="0"/>
              <w:rPr>
                <w:sz w:val="20"/>
                <w:szCs w:val="20"/>
                <w:color w:val="auto"/>
              </w:rPr>
            </w:pPr>
            <w:r>
              <w:rPr>
                <w:rFonts w:ascii="Arial" w:cs="Arial" w:eastAsia="Arial" w:hAnsi="Arial"/>
                <w:sz w:val="16"/>
                <w:szCs w:val="16"/>
                <w:color w:val="auto"/>
              </w:rPr>
              <w:t>Group (22)</w:t>
            </w:r>
          </w:p>
        </w:tc>
        <w:tc>
          <w:tcPr>
            <w:tcW w:w="3900" w:type="dxa"/>
            <w:vAlign w:val="bottom"/>
            <w:shd w:val="clear" w:color="auto" w:fill="D9D9D9"/>
          </w:tcPr>
          <w:p>
            <w:pPr>
              <w:spacing w:after="0"/>
              <w:rPr>
                <w:sz w:val="16"/>
                <w:szCs w:val="16"/>
                <w:color w:val="auto"/>
              </w:rPr>
            </w:pPr>
          </w:p>
        </w:tc>
        <w:tc>
          <w:tcPr>
            <w:tcW w:w="3800" w:type="dxa"/>
            <w:vAlign w:val="bottom"/>
            <w:shd w:val="clear" w:color="auto" w:fill="D9D9D9"/>
          </w:tcPr>
          <w:p>
            <w:pPr>
              <w:jc w:val="right"/>
              <w:ind w:right="302"/>
              <w:spacing w:after="0"/>
              <w:rPr>
                <w:sz w:val="20"/>
                <w:szCs w:val="20"/>
                <w:color w:val="auto"/>
              </w:rPr>
            </w:pPr>
            <w:r>
              <w:rPr>
                <w:rFonts w:ascii="Arial" w:cs="Arial" w:eastAsia="Arial" w:hAnsi="Arial"/>
                <w:sz w:val="16"/>
                <w:szCs w:val="16"/>
                <w:color w:val="auto"/>
              </w:rPr>
              <w:t>1,968,322</w:t>
            </w:r>
          </w:p>
        </w:tc>
        <w:tc>
          <w:tcPr>
            <w:tcW w:w="1520" w:type="dxa"/>
            <w:vAlign w:val="bottom"/>
            <w:shd w:val="clear" w:color="auto" w:fill="D9D9D9"/>
          </w:tcPr>
          <w:p>
            <w:pPr>
              <w:jc w:val="center"/>
              <w:ind w:right="2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203454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53" w:lineRule="exact"/>
        <w:rPr>
          <w:sz w:val="20"/>
          <w:szCs w:val="20"/>
          <w:color w:val="auto"/>
        </w:rPr>
      </w:pPr>
    </w:p>
    <w:p>
      <w:pPr>
        <w:ind w:left="400" w:hanging="393"/>
        <w:spacing w:after="0"/>
        <w:tabs>
          <w:tab w:leader="none" w:pos="4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Less than one percent of the outstanding shares of our common stock.</w:t>
      </w:r>
    </w:p>
    <w:p>
      <w:pPr>
        <w:spacing w:after="0" w:line="48" w:lineRule="exact"/>
        <w:rPr>
          <w:sz w:val="20"/>
          <w:szCs w:val="20"/>
          <w:color w:val="auto"/>
        </w:rPr>
      </w:pPr>
    </w:p>
    <w:p>
      <w:pPr>
        <w:ind w:left="400" w:right="100" w:hanging="393"/>
        <w:spacing w:after="0" w:line="236" w:lineRule="auto"/>
        <w:tabs>
          <w:tab w:leader="none" w:pos="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in the footnotes to this table, the persons in this table have sole voting and investment power with respect to all shares of our common stock shown as beneficially owned by them, subject to community property laws, where applicable.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01" w:lineRule="exact"/>
        <w:rPr>
          <w:sz w:val="20"/>
          <w:szCs w:val="20"/>
          <w:color w:val="auto"/>
        </w:rPr>
      </w:pPr>
    </w:p>
    <w:p>
      <w:pPr>
        <w:ind w:left="400" w:hanging="393"/>
        <w:spacing w:after="0" w:line="252" w:lineRule="auto"/>
        <w:tabs>
          <w:tab w:leader="none" w:pos="4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“Beneficial ownership” also includes: (a) shares that a person has the right to acquire within 60 days of January 19, 2021, and, as such, includes shares that may be acquired upon exercise of stock options within 60 days of January 19, 2021; (b) shares allocated to executive officers under the Retirement Plan; and (c) common stock units and performance share units, collectively referred to as units, credited under the Deferred Plan for Directors and Deferred Plan for Officers. The following table reflects the beneficial ownership by type of security held by our non-employee directors, named executive officers, and all current directors and executive officers as a group:</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840" w:type="dxa"/>
            <w:vAlign w:val="bottom"/>
            <w:shd w:val="clear" w:color="auto" w:fill="C00000"/>
          </w:tcPr>
          <w:p>
            <w:pPr>
              <w:spacing w:after="0"/>
              <w:rPr>
                <w:sz w:val="15"/>
                <w:szCs w:val="15"/>
                <w:color w:val="auto"/>
              </w:rPr>
            </w:pPr>
          </w:p>
        </w:tc>
        <w:tc>
          <w:tcPr>
            <w:tcW w:w="1780" w:type="dxa"/>
            <w:vAlign w:val="bottom"/>
            <w:shd w:val="clear" w:color="auto" w:fill="C00000"/>
          </w:tcPr>
          <w:p>
            <w:pPr>
              <w:spacing w:after="0"/>
              <w:rPr>
                <w:sz w:val="15"/>
                <w:szCs w:val="15"/>
                <w:color w:val="auto"/>
              </w:rPr>
            </w:pPr>
          </w:p>
        </w:tc>
        <w:tc>
          <w:tcPr>
            <w:tcW w:w="1580" w:type="dxa"/>
            <w:vAlign w:val="bottom"/>
            <w:shd w:val="clear" w:color="auto" w:fill="C00000"/>
          </w:tcPr>
          <w:p>
            <w:pPr>
              <w:spacing w:after="0"/>
              <w:rPr>
                <w:sz w:val="15"/>
                <w:szCs w:val="15"/>
                <w:color w:val="auto"/>
              </w:rPr>
            </w:pPr>
          </w:p>
        </w:tc>
        <w:tc>
          <w:tcPr>
            <w:tcW w:w="1560" w:type="dxa"/>
            <w:vAlign w:val="bottom"/>
            <w:shd w:val="clear" w:color="auto" w:fill="C00000"/>
          </w:tcPr>
          <w:p>
            <w:pPr>
              <w:jc w:val="center"/>
              <w:ind w:right="81"/>
              <w:spacing w:after="0"/>
              <w:rPr>
                <w:sz w:val="20"/>
                <w:szCs w:val="20"/>
                <w:color w:val="auto"/>
              </w:rPr>
            </w:pPr>
            <w:r>
              <w:rPr>
                <w:rFonts w:ascii="Arial" w:cs="Arial" w:eastAsia="Arial" w:hAnsi="Arial"/>
                <w:sz w:val="14"/>
                <w:szCs w:val="14"/>
                <w:color w:val="FFFFFF"/>
              </w:rPr>
              <w:t>Units under the</w:t>
            </w:r>
          </w:p>
        </w:tc>
        <w:tc>
          <w:tcPr>
            <w:tcW w:w="1480" w:type="dxa"/>
            <w:vAlign w:val="bottom"/>
            <w:shd w:val="clear" w:color="auto" w:fill="C00000"/>
          </w:tcPr>
          <w:p>
            <w:pPr>
              <w:jc w:val="center"/>
              <w:ind w:right="1"/>
              <w:spacing w:after="0"/>
              <w:rPr>
                <w:sz w:val="20"/>
                <w:szCs w:val="20"/>
                <w:color w:val="auto"/>
              </w:rPr>
            </w:pPr>
            <w:r>
              <w:rPr>
                <w:rFonts w:ascii="Arial" w:cs="Arial" w:eastAsia="Arial" w:hAnsi="Arial"/>
                <w:sz w:val="14"/>
                <w:szCs w:val="14"/>
                <w:color w:val="FFFFFF"/>
              </w:rPr>
              <w:t>Units under the</w:t>
            </w:r>
          </w:p>
        </w:tc>
      </w:tr>
      <w:tr>
        <w:trPr>
          <w:trHeight w:val="161"/>
        </w:trPr>
        <w:tc>
          <w:tcPr>
            <w:tcW w:w="4840" w:type="dxa"/>
            <w:vAlign w:val="bottom"/>
            <w:shd w:val="clear" w:color="auto" w:fill="C00000"/>
          </w:tcPr>
          <w:p>
            <w:pPr>
              <w:spacing w:after="0"/>
              <w:rPr>
                <w:sz w:val="13"/>
                <w:szCs w:val="13"/>
                <w:color w:val="auto"/>
              </w:rPr>
            </w:pPr>
          </w:p>
        </w:tc>
        <w:tc>
          <w:tcPr>
            <w:tcW w:w="1780" w:type="dxa"/>
            <w:vAlign w:val="bottom"/>
            <w:shd w:val="clear" w:color="auto" w:fill="C00000"/>
          </w:tcPr>
          <w:p>
            <w:pPr>
              <w:spacing w:after="0"/>
              <w:rPr>
                <w:sz w:val="13"/>
                <w:szCs w:val="13"/>
                <w:color w:val="auto"/>
              </w:rPr>
            </w:pPr>
          </w:p>
        </w:tc>
        <w:tc>
          <w:tcPr>
            <w:tcW w:w="1580" w:type="dxa"/>
            <w:vAlign w:val="bottom"/>
            <w:shd w:val="clear" w:color="auto" w:fill="C00000"/>
          </w:tcPr>
          <w:p>
            <w:pPr>
              <w:spacing w:after="0"/>
              <w:rPr>
                <w:sz w:val="13"/>
                <w:szCs w:val="13"/>
                <w:color w:val="auto"/>
              </w:rPr>
            </w:pPr>
          </w:p>
        </w:tc>
        <w:tc>
          <w:tcPr>
            <w:tcW w:w="1560" w:type="dxa"/>
            <w:vAlign w:val="bottom"/>
            <w:shd w:val="clear" w:color="auto" w:fill="C00000"/>
          </w:tcPr>
          <w:p>
            <w:pPr>
              <w:jc w:val="center"/>
              <w:ind w:right="81"/>
              <w:spacing w:after="0"/>
              <w:rPr>
                <w:sz w:val="20"/>
                <w:szCs w:val="20"/>
                <w:color w:val="auto"/>
              </w:rPr>
            </w:pPr>
            <w:r>
              <w:rPr>
                <w:rFonts w:ascii="Arial" w:cs="Arial" w:eastAsia="Arial" w:hAnsi="Arial"/>
                <w:sz w:val="14"/>
                <w:szCs w:val="14"/>
                <w:color w:val="FFFFFF"/>
              </w:rPr>
              <w:t>Deferred Plan</w:t>
            </w:r>
          </w:p>
        </w:tc>
        <w:tc>
          <w:tcPr>
            <w:tcW w:w="1480" w:type="dxa"/>
            <w:vAlign w:val="bottom"/>
            <w:shd w:val="clear" w:color="auto" w:fill="C00000"/>
          </w:tcPr>
          <w:p>
            <w:pPr>
              <w:jc w:val="center"/>
              <w:ind w:right="1"/>
              <w:spacing w:after="0"/>
              <w:rPr>
                <w:sz w:val="20"/>
                <w:szCs w:val="20"/>
                <w:color w:val="auto"/>
              </w:rPr>
            </w:pPr>
            <w:r>
              <w:rPr>
                <w:rFonts w:ascii="Arial" w:cs="Arial" w:eastAsia="Arial" w:hAnsi="Arial"/>
                <w:sz w:val="14"/>
                <w:szCs w:val="14"/>
                <w:color w:val="FFFFFF"/>
              </w:rPr>
              <w:t>Deferred Plan</w:t>
            </w:r>
          </w:p>
        </w:tc>
      </w:tr>
      <w:tr>
        <w:trPr>
          <w:trHeight w:val="156"/>
        </w:trPr>
        <w:tc>
          <w:tcPr>
            <w:tcW w:w="4840" w:type="dxa"/>
            <w:vAlign w:val="bottom"/>
            <w:shd w:val="clear" w:color="auto" w:fill="C00000"/>
          </w:tcPr>
          <w:p>
            <w:pPr>
              <w:spacing w:after="0" w:line="156" w:lineRule="exact"/>
              <w:rPr>
                <w:sz w:val="20"/>
                <w:szCs w:val="20"/>
                <w:color w:val="auto"/>
              </w:rPr>
            </w:pPr>
            <w:r>
              <w:rPr>
                <w:rFonts w:ascii="Arial" w:cs="Arial" w:eastAsia="Arial" w:hAnsi="Arial"/>
                <w:sz w:val="14"/>
                <w:szCs w:val="14"/>
                <w:color w:val="FFFFFF"/>
              </w:rPr>
              <w:t>Name</w:t>
            </w:r>
          </w:p>
        </w:tc>
        <w:tc>
          <w:tcPr>
            <w:tcW w:w="1780" w:type="dxa"/>
            <w:vAlign w:val="bottom"/>
            <w:shd w:val="clear" w:color="auto" w:fill="C00000"/>
          </w:tcPr>
          <w:p>
            <w:pPr>
              <w:jc w:val="right"/>
              <w:ind w:right="260"/>
              <w:spacing w:after="0" w:line="156" w:lineRule="exact"/>
              <w:rPr>
                <w:sz w:val="20"/>
                <w:szCs w:val="20"/>
                <w:color w:val="auto"/>
              </w:rPr>
            </w:pPr>
            <w:r>
              <w:rPr>
                <w:rFonts w:ascii="Arial" w:cs="Arial" w:eastAsia="Arial" w:hAnsi="Arial"/>
                <w:sz w:val="14"/>
                <w:szCs w:val="14"/>
                <w:color w:val="FFFFFF"/>
              </w:rPr>
              <w:t>Stock Options</w:t>
            </w:r>
          </w:p>
        </w:tc>
        <w:tc>
          <w:tcPr>
            <w:tcW w:w="1580" w:type="dxa"/>
            <w:vAlign w:val="bottom"/>
            <w:shd w:val="clear" w:color="auto" w:fill="C00000"/>
          </w:tcPr>
          <w:p>
            <w:pPr>
              <w:jc w:val="right"/>
              <w:ind w:right="260"/>
              <w:spacing w:after="0" w:line="156" w:lineRule="exact"/>
              <w:rPr>
                <w:sz w:val="20"/>
                <w:szCs w:val="20"/>
                <w:color w:val="auto"/>
              </w:rPr>
            </w:pPr>
            <w:r>
              <w:rPr>
                <w:rFonts w:ascii="Arial" w:cs="Arial" w:eastAsia="Arial" w:hAnsi="Arial"/>
                <w:sz w:val="14"/>
                <w:szCs w:val="14"/>
                <w:color w:val="FFFFFF"/>
              </w:rPr>
              <w:t>Retirement Plan</w:t>
            </w:r>
          </w:p>
        </w:tc>
        <w:tc>
          <w:tcPr>
            <w:tcW w:w="1560" w:type="dxa"/>
            <w:vAlign w:val="bottom"/>
            <w:shd w:val="clear" w:color="auto" w:fill="C00000"/>
          </w:tcPr>
          <w:p>
            <w:pPr>
              <w:jc w:val="center"/>
              <w:ind w:right="101"/>
              <w:spacing w:after="0" w:line="156" w:lineRule="exact"/>
              <w:rPr>
                <w:sz w:val="20"/>
                <w:szCs w:val="20"/>
                <w:color w:val="auto"/>
              </w:rPr>
            </w:pPr>
            <w:r>
              <w:rPr>
                <w:rFonts w:ascii="Arial" w:cs="Arial" w:eastAsia="Arial" w:hAnsi="Arial"/>
                <w:sz w:val="14"/>
                <w:szCs w:val="14"/>
                <w:color w:val="FFFFFF"/>
              </w:rPr>
              <w:t>for Directors</w:t>
            </w:r>
          </w:p>
        </w:tc>
        <w:tc>
          <w:tcPr>
            <w:tcW w:w="1480" w:type="dxa"/>
            <w:vAlign w:val="bottom"/>
            <w:shd w:val="clear" w:color="auto" w:fill="C00000"/>
          </w:tcPr>
          <w:p>
            <w:pPr>
              <w:jc w:val="center"/>
              <w:ind w:right="21"/>
              <w:spacing w:after="0" w:line="156" w:lineRule="exact"/>
              <w:rPr>
                <w:sz w:val="20"/>
                <w:szCs w:val="20"/>
                <w:color w:val="auto"/>
              </w:rPr>
            </w:pPr>
            <w:r>
              <w:rPr>
                <w:rFonts w:ascii="Arial" w:cs="Arial" w:eastAsia="Arial" w:hAnsi="Arial"/>
                <w:sz w:val="14"/>
                <w:szCs w:val="14"/>
                <w:color w:val="FFFFFF"/>
              </w:rPr>
              <w:t>for Officers</w:t>
            </w:r>
          </w:p>
        </w:tc>
      </w:tr>
      <w:tr>
        <w:trPr>
          <w:trHeight w:val="212"/>
        </w:trPr>
        <w:tc>
          <w:tcPr>
            <w:tcW w:w="4840" w:type="dxa"/>
            <w:vAlign w:val="bottom"/>
          </w:tcPr>
          <w:p>
            <w:pPr>
              <w:spacing w:after="0"/>
              <w:rPr>
                <w:sz w:val="20"/>
                <w:szCs w:val="20"/>
                <w:color w:val="auto"/>
              </w:rPr>
            </w:pPr>
            <w:r>
              <w:rPr>
                <w:rFonts w:ascii="Arial" w:cs="Arial" w:eastAsia="Arial" w:hAnsi="Arial"/>
                <w:sz w:val="16"/>
                <w:szCs w:val="16"/>
                <w:color w:val="auto"/>
              </w:rPr>
              <w:t>Non-Employee Directors:</w:t>
            </w:r>
          </w:p>
        </w:tc>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4"/>
        </w:trPr>
        <w:tc>
          <w:tcPr>
            <w:tcW w:w="4840" w:type="dxa"/>
            <w:vAlign w:val="bottom"/>
            <w:shd w:val="clear" w:color="auto" w:fill="D9D9D9"/>
          </w:tcPr>
          <w:p>
            <w:pPr>
              <w:ind w:left="260"/>
              <w:spacing w:after="0"/>
              <w:rPr>
                <w:sz w:val="20"/>
                <w:szCs w:val="20"/>
                <w:color w:val="auto"/>
              </w:rPr>
            </w:pPr>
            <w:r>
              <w:rPr>
                <w:rFonts w:ascii="Arial" w:cs="Arial" w:eastAsia="Arial" w:hAnsi="Arial"/>
                <w:sz w:val="16"/>
                <w:szCs w:val="16"/>
                <w:color w:val="auto"/>
              </w:rPr>
              <w:t>Janet K. Cooper</w:t>
            </w:r>
          </w:p>
        </w:tc>
        <w:tc>
          <w:tcPr>
            <w:tcW w:w="1780" w:type="dxa"/>
            <w:vAlign w:val="bottom"/>
            <w:shd w:val="clear" w:color="auto" w:fill="D9D9D9"/>
          </w:tcPr>
          <w:p>
            <w:pPr>
              <w:jc w:val="right"/>
              <w:ind w:right="120"/>
              <w:spacing w:after="0"/>
              <w:rPr>
                <w:sz w:val="20"/>
                <w:szCs w:val="20"/>
                <w:color w:val="auto"/>
              </w:rPr>
            </w:pPr>
            <w:r>
              <w:rPr>
                <w:rFonts w:ascii="Arial" w:cs="Arial" w:eastAsia="Arial" w:hAnsi="Arial"/>
                <w:sz w:val="16"/>
                <w:szCs w:val="16"/>
                <w:color w:val="auto"/>
              </w:rPr>
              <w:t>28,292</w:t>
            </w:r>
          </w:p>
        </w:tc>
        <w:tc>
          <w:tcPr>
            <w:tcW w:w="1580" w:type="dxa"/>
            <w:vAlign w:val="bottom"/>
            <w:shd w:val="clear" w:color="auto" w:fill="D9D9D9"/>
          </w:tcPr>
          <w:p>
            <w:pPr>
              <w:jc w:val="right"/>
              <w:ind w:right="7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D9D9D9"/>
          </w:tcPr>
          <w:p>
            <w:pPr>
              <w:jc w:val="right"/>
              <w:ind w:right="141"/>
              <w:spacing w:after="0"/>
              <w:rPr>
                <w:sz w:val="20"/>
                <w:szCs w:val="20"/>
                <w:color w:val="auto"/>
              </w:rPr>
            </w:pPr>
            <w:r>
              <w:rPr>
                <w:rFonts w:ascii="Arial" w:cs="Arial" w:eastAsia="Arial" w:hAnsi="Arial"/>
                <w:sz w:val="16"/>
                <w:szCs w:val="16"/>
                <w:color w:val="auto"/>
              </w:rPr>
              <w:t>46,551</w:t>
            </w:r>
          </w:p>
        </w:tc>
        <w:tc>
          <w:tcPr>
            <w:tcW w:w="1480" w:type="dxa"/>
            <w:vAlign w:val="bottom"/>
            <w:shd w:val="clear" w:color="auto" w:fill="D9D9D9"/>
          </w:tcPr>
          <w:p>
            <w:pPr>
              <w:jc w:val="center"/>
              <w:ind w:right="21"/>
              <w:spacing w:after="0"/>
              <w:rPr>
                <w:sz w:val="20"/>
                <w:szCs w:val="20"/>
                <w:color w:val="auto"/>
              </w:rPr>
            </w:pPr>
            <w:r>
              <w:rPr>
                <w:rFonts w:ascii="Arial" w:cs="Arial" w:eastAsia="Arial" w:hAnsi="Arial"/>
                <w:sz w:val="16"/>
                <w:szCs w:val="16"/>
                <w:color w:val="auto"/>
              </w:rPr>
              <w:t>‒</w:t>
            </w:r>
          </w:p>
        </w:tc>
      </w:tr>
      <w:tr>
        <w:trPr>
          <w:trHeight w:val="201"/>
        </w:trPr>
        <w:tc>
          <w:tcPr>
            <w:tcW w:w="4840" w:type="dxa"/>
            <w:vAlign w:val="bottom"/>
          </w:tcPr>
          <w:p>
            <w:pPr>
              <w:ind w:left="260"/>
              <w:spacing w:after="0"/>
              <w:rPr>
                <w:sz w:val="20"/>
                <w:szCs w:val="20"/>
                <w:color w:val="auto"/>
              </w:rPr>
            </w:pPr>
            <w:r>
              <w:rPr>
                <w:rFonts w:ascii="Arial" w:cs="Arial" w:eastAsia="Arial" w:hAnsi="Arial"/>
                <w:sz w:val="16"/>
                <w:szCs w:val="16"/>
                <w:color w:val="auto"/>
              </w:rPr>
              <w:t>Gary L. Ellis</w:t>
            </w:r>
          </w:p>
        </w:tc>
        <w:tc>
          <w:tcPr>
            <w:tcW w:w="1780" w:type="dxa"/>
            <w:vAlign w:val="bottom"/>
          </w:tcPr>
          <w:p>
            <w:pPr>
              <w:jc w:val="right"/>
              <w:ind w:right="120"/>
              <w:spacing w:after="0"/>
              <w:rPr>
                <w:sz w:val="20"/>
                <w:szCs w:val="20"/>
                <w:color w:val="auto"/>
              </w:rPr>
            </w:pPr>
            <w:r>
              <w:rPr>
                <w:rFonts w:ascii="Arial" w:cs="Arial" w:eastAsia="Arial" w:hAnsi="Arial"/>
                <w:sz w:val="16"/>
                <w:szCs w:val="16"/>
                <w:color w:val="auto"/>
              </w:rPr>
              <w:t>45,182</w:t>
            </w:r>
          </w:p>
        </w:tc>
        <w:tc>
          <w:tcPr>
            <w:tcW w:w="158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41"/>
              <w:spacing w:after="0"/>
              <w:rPr>
                <w:sz w:val="20"/>
                <w:szCs w:val="20"/>
                <w:color w:val="auto"/>
              </w:rPr>
            </w:pPr>
            <w:r>
              <w:rPr>
                <w:rFonts w:ascii="Arial" w:cs="Arial" w:eastAsia="Arial" w:hAnsi="Arial"/>
                <w:sz w:val="16"/>
                <w:szCs w:val="16"/>
                <w:color w:val="auto"/>
              </w:rPr>
              <w:t>3,873</w:t>
            </w:r>
          </w:p>
        </w:tc>
        <w:tc>
          <w:tcPr>
            <w:tcW w:w="1480" w:type="dxa"/>
            <w:vAlign w:val="bottom"/>
          </w:tcPr>
          <w:p>
            <w:pPr>
              <w:jc w:val="center"/>
              <w:ind w:right="21"/>
              <w:spacing w:after="0"/>
              <w:rPr>
                <w:sz w:val="20"/>
                <w:szCs w:val="20"/>
                <w:color w:val="auto"/>
              </w:rPr>
            </w:pPr>
            <w:r>
              <w:rPr>
                <w:rFonts w:ascii="Arial" w:cs="Arial" w:eastAsia="Arial" w:hAnsi="Arial"/>
                <w:sz w:val="16"/>
                <w:szCs w:val="16"/>
                <w:color w:val="auto"/>
              </w:rPr>
              <w:t>‒</w:t>
            </w:r>
          </w:p>
        </w:tc>
      </w:tr>
      <w:tr>
        <w:trPr>
          <w:trHeight w:val="201"/>
        </w:trPr>
        <w:tc>
          <w:tcPr>
            <w:tcW w:w="4840" w:type="dxa"/>
            <w:vAlign w:val="bottom"/>
            <w:shd w:val="clear" w:color="auto" w:fill="D9D9D9"/>
          </w:tcPr>
          <w:p>
            <w:pPr>
              <w:ind w:left="260"/>
              <w:spacing w:after="0"/>
              <w:rPr>
                <w:sz w:val="20"/>
                <w:szCs w:val="20"/>
                <w:color w:val="auto"/>
              </w:rPr>
            </w:pPr>
            <w:r>
              <w:rPr>
                <w:rFonts w:ascii="Arial" w:cs="Arial" w:eastAsia="Arial" w:hAnsi="Arial"/>
                <w:sz w:val="16"/>
                <w:szCs w:val="16"/>
                <w:color w:val="auto"/>
              </w:rPr>
              <w:t>Jeffrey M. Ettinger</w:t>
            </w:r>
          </w:p>
        </w:tc>
        <w:tc>
          <w:tcPr>
            <w:tcW w:w="1780" w:type="dxa"/>
            <w:vAlign w:val="bottom"/>
            <w:shd w:val="clear" w:color="auto" w:fill="D9D9D9"/>
          </w:tcPr>
          <w:p>
            <w:pPr>
              <w:jc w:val="right"/>
              <w:ind w:right="120"/>
              <w:spacing w:after="0"/>
              <w:rPr>
                <w:sz w:val="20"/>
                <w:szCs w:val="20"/>
                <w:color w:val="auto"/>
              </w:rPr>
            </w:pPr>
            <w:r>
              <w:rPr>
                <w:rFonts w:ascii="Arial" w:cs="Arial" w:eastAsia="Arial" w:hAnsi="Arial"/>
                <w:sz w:val="16"/>
                <w:szCs w:val="16"/>
                <w:color w:val="auto"/>
              </w:rPr>
              <w:t>45,182</w:t>
            </w:r>
          </w:p>
        </w:tc>
        <w:tc>
          <w:tcPr>
            <w:tcW w:w="1580" w:type="dxa"/>
            <w:vAlign w:val="bottom"/>
            <w:shd w:val="clear" w:color="auto" w:fill="D9D9D9"/>
          </w:tcPr>
          <w:p>
            <w:pPr>
              <w:jc w:val="right"/>
              <w:ind w:right="7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D9D9D9"/>
          </w:tcPr>
          <w:p>
            <w:pPr>
              <w:jc w:val="right"/>
              <w:ind w:right="141"/>
              <w:spacing w:after="0"/>
              <w:rPr>
                <w:sz w:val="20"/>
                <w:szCs w:val="20"/>
                <w:color w:val="auto"/>
              </w:rPr>
            </w:pPr>
            <w:r>
              <w:rPr>
                <w:rFonts w:ascii="Arial" w:cs="Arial" w:eastAsia="Arial" w:hAnsi="Arial"/>
                <w:sz w:val="16"/>
                <w:szCs w:val="16"/>
                <w:color w:val="auto"/>
              </w:rPr>
              <w:t>0</w:t>
            </w:r>
          </w:p>
        </w:tc>
        <w:tc>
          <w:tcPr>
            <w:tcW w:w="1480" w:type="dxa"/>
            <w:vAlign w:val="bottom"/>
            <w:shd w:val="clear" w:color="auto" w:fill="D9D9D9"/>
          </w:tcPr>
          <w:p>
            <w:pPr>
              <w:jc w:val="center"/>
              <w:ind w:right="21"/>
              <w:spacing w:after="0"/>
              <w:rPr>
                <w:sz w:val="20"/>
                <w:szCs w:val="20"/>
                <w:color w:val="auto"/>
              </w:rPr>
            </w:pPr>
            <w:r>
              <w:rPr>
                <w:rFonts w:ascii="Arial" w:cs="Arial" w:eastAsia="Arial" w:hAnsi="Arial"/>
                <w:sz w:val="16"/>
                <w:szCs w:val="16"/>
                <w:color w:val="auto"/>
              </w:rPr>
              <w:t>‒</w:t>
            </w:r>
          </w:p>
        </w:tc>
      </w:tr>
      <w:tr>
        <w:trPr>
          <w:trHeight w:val="201"/>
        </w:trPr>
        <w:tc>
          <w:tcPr>
            <w:tcW w:w="4840" w:type="dxa"/>
            <w:vAlign w:val="bottom"/>
          </w:tcPr>
          <w:p>
            <w:pPr>
              <w:ind w:left="260"/>
              <w:spacing w:after="0"/>
              <w:rPr>
                <w:sz w:val="20"/>
                <w:szCs w:val="20"/>
                <w:color w:val="auto"/>
              </w:rPr>
            </w:pPr>
            <w:r>
              <w:rPr>
                <w:rFonts w:ascii="Arial" w:cs="Arial" w:eastAsia="Arial" w:hAnsi="Arial"/>
                <w:sz w:val="16"/>
                <w:szCs w:val="16"/>
                <w:color w:val="auto"/>
              </w:rPr>
              <w:t>Katherine J. Harless</w:t>
            </w:r>
          </w:p>
        </w:tc>
        <w:tc>
          <w:tcPr>
            <w:tcW w:w="1780" w:type="dxa"/>
            <w:vAlign w:val="bottom"/>
          </w:tcPr>
          <w:p>
            <w:pPr>
              <w:jc w:val="right"/>
              <w:ind w:right="120"/>
              <w:spacing w:after="0"/>
              <w:rPr>
                <w:sz w:val="20"/>
                <w:szCs w:val="20"/>
                <w:color w:val="auto"/>
              </w:rPr>
            </w:pPr>
            <w:r>
              <w:rPr>
                <w:rFonts w:ascii="Arial" w:cs="Arial" w:eastAsia="Arial" w:hAnsi="Arial"/>
                <w:sz w:val="16"/>
                <w:szCs w:val="16"/>
                <w:color w:val="auto"/>
              </w:rPr>
              <w:t>35,134</w:t>
            </w:r>
          </w:p>
        </w:tc>
        <w:tc>
          <w:tcPr>
            <w:tcW w:w="158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41"/>
              <w:spacing w:after="0"/>
              <w:rPr>
                <w:sz w:val="20"/>
                <w:szCs w:val="20"/>
                <w:color w:val="auto"/>
              </w:rPr>
            </w:pPr>
            <w:r>
              <w:rPr>
                <w:rFonts w:ascii="Arial" w:cs="Arial" w:eastAsia="Arial" w:hAnsi="Arial"/>
                <w:sz w:val="16"/>
                <w:szCs w:val="16"/>
                <w:color w:val="auto"/>
              </w:rPr>
              <w:t>3,728</w:t>
            </w:r>
          </w:p>
        </w:tc>
        <w:tc>
          <w:tcPr>
            <w:tcW w:w="1480" w:type="dxa"/>
            <w:vAlign w:val="bottom"/>
          </w:tcPr>
          <w:p>
            <w:pPr>
              <w:jc w:val="center"/>
              <w:ind w:right="21"/>
              <w:spacing w:after="0"/>
              <w:rPr>
                <w:sz w:val="20"/>
                <w:szCs w:val="20"/>
                <w:color w:val="auto"/>
              </w:rPr>
            </w:pPr>
            <w:r>
              <w:rPr>
                <w:rFonts w:ascii="Arial" w:cs="Arial" w:eastAsia="Arial" w:hAnsi="Arial"/>
                <w:sz w:val="16"/>
                <w:szCs w:val="16"/>
                <w:color w:val="auto"/>
              </w:rPr>
              <w:t>‒</w:t>
            </w:r>
          </w:p>
        </w:tc>
      </w:tr>
      <w:tr>
        <w:trPr>
          <w:trHeight w:val="201"/>
        </w:trPr>
        <w:tc>
          <w:tcPr>
            <w:tcW w:w="4840" w:type="dxa"/>
            <w:vAlign w:val="bottom"/>
            <w:shd w:val="clear" w:color="auto" w:fill="D9D9D9"/>
          </w:tcPr>
          <w:p>
            <w:pPr>
              <w:ind w:left="260"/>
              <w:spacing w:after="0"/>
              <w:rPr>
                <w:sz w:val="20"/>
                <w:szCs w:val="20"/>
                <w:color w:val="auto"/>
              </w:rPr>
            </w:pPr>
            <w:r>
              <w:rPr>
                <w:rFonts w:ascii="Arial" w:cs="Arial" w:eastAsia="Arial" w:hAnsi="Arial"/>
                <w:sz w:val="16"/>
                <w:szCs w:val="16"/>
                <w:color w:val="auto"/>
              </w:rPr>
              <w:t>Jeffrey L. Harmening</w:t>
            </w:r>
          </w:p>
        </w:tc>
        <w:tc>
          <w:tcPr>
            <w:tcW w:w="1780" w:type="dxa"/>
            <w:vAlign w:val="bottom"/>
            <w:shd w:val="clear" w:color="auto" w:fill="D9D9D9"/>
          </w:tcPr>
          <w:p>
            <w:pPr>
              <w:jc w:val="right"/>
              <w:ind w:right="120"/>
              <w:spacing w:after="0"/>
              <w:rPr>
                <w:sz w:val="20"/>
                <w:szCs w:val="20"/>
                <w:color w:val="auto"/>
              </w:rPr>
            </w:pPr>
            <w:r>
              <w:rPr>
                <w:rFonts w:ascii="Arial" w:cs="Arial" w:eastAsia="Arial" w:hAnsi="Arial"/>
                <w:sz w:val="16"/>
                <w:szCs w:val="16"/>
                <w:color w:val="auto"/>
              </w:rPr>
              <w:t>1,173</w:t>
            </w:r>
          </w:p>
        </w:tc>
        <w:tc>
          <w:tcPr>
            <w:tcW w:w="1580" w:type="dxa"/>
            <w:vAlign w:val="bottom"/>
            <w:shd w:val="clear" w:color="auto" w:fill="D9D9D9"/>
          </w:tcPr>
          <w:p>
            <w:pPr>
              <w:jc w:val="right"/>
              <w:ind w:right="7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D9D9D9"/>
          </w:tcPr>
          <w:p>
            <w:pPr>
              <w:jc w:val="right"/>
              <w:ind w:right="141"/>
              <w:spacing w:after="0"/>
              <w:rPr>
                <w:sz w:val="20"/>
                <w:szCs w:val="20"/>
                <w:color w:val="auto"/>
              </w:rPr>
            </w:pPr>
            <w:r>
              <w:rPr>
                <w:rFonts w:ascii="Arial" w:cs="Arial" w:eastAsia="Arial" w:hAnsi="Arial"/>
                <w:sz w:val="16"/>
                <w:szCs w:val="16"/>
                <w:color w:val="auto"/>
              </w:rPr>
              <w:t>0</w:t>
            </w:r>
          </w:p>
        </w:tc>
        <w:tc>
          <w:tcPr>
            <w:tcW w:w="1480" w:type="dxa"/>
            <w:vAlign w:val="bottom"/>
            <w:shd w:val="clear" w:color="auto" w:fill="D9D9D9"/>
          </w:tcPr>
          <w:p>
            <w:pPr>
              <w:jc w:val="center"/>
              <w:ind w:right="21"/>
              <w:spacing w:after="0"/>
              <w:rPr>
                <w:sz w:val="20"/>
                <w:szCs w:val="20"/>
                <w:color w:val="auto"/>
              </w:rPr>
            </w:pPr>
            <w:r>
              <w:rPr>
                <w:rFonts w:ascii="Arial" w:cs="Arial" w:eastAsia="Arial" w:hAnsi="Arial"/>
                <w:sz w:val="16"/>
                <w:szCs w:val="16"/>
                <w:color w:val="auto"/>
              </w:rPr>
              <w:t>‒</w:t>
            </w:r>
          </w:p>
        </w:tc>
      </w:tr>
      <w:tr>
        <w:trPr>
          <w:trHeight w:val="201"/>
        </w:trPr>
        <w:tc>
          <w:tcPr>
            <w:tcW w:w="4840" w:type="dxa"/>
            <w:vAlign w:val="bottom"/>
          </w:tcPr>
          <w:p>
            <w:pPr>
              <w:ind w:left="260"/>
              <w:spacing w:after="0"/>
              <w:rPr>
                <w:sz w:val="20"/>
                <w:szCs w:val="20"/>
                <w:color w:val="auto"/>
              </w:rPr>
            </w:pPr>
            <w:r>
              <w:rPr>
                <w:rFonts w:ascii="Arial" w:cs="Arial" w:eastAsia="Arial" w:hAnsi="Arial"/>
                <w:sz w:val="16"/>
                <w:szCs w:val="16"/>
                <w:color w:val="auto"/>
              </w:rPr>
              <w:t>D. Christian Koch</w:t>
            </w:r>
          </w:p>
        </w:tc>
        <w:tc>
          <w:tcPr>
            <w:tcW w:w="1780" w:type="dxa"/>
            <w:vAlign w:val="bottom"/>
          </w:tcPr>
          <w:p>
            <w:pPr>
              <w:jc w:val="right"/>
              <w:ind w:right="120"/>
              <w:spacing w:after="0"/>
              <w:rPr>
                <w:sz w:val="20"/>
                <w:szCs w:val="20"/>
                <w:color w:val="auto"/>
              </w:rPr>
            </w:pPr>
            <w:r>
              <w:rPr>
                <w:rFonts w:ascii="Arial" w:cs="Arial" w:eastAsia="Arial" w:hAnsi="Arial"/>
                <w:sz w:val="16"/>
                <w:szCs w:val="16"/>
                <w:color w:val="auto"/>
              </w:rPr>
              <w:t>12,958</w:t>
            </w:r>
          </w:p>
        </w:tc>
        <w:tc>
          <w:tcPr>
            <w:tcW w:w="158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41"/>
              <w:spacing w:after="0"/>
              <w:rPr>
                <w:sz w:val="20"/>
                <w:szCs w:val="20"/>
                <w:color w:val="auto"/>
              </w:rPr>
            </w:pPr>
            <w:r>
              <w:rPr>
                <w:rFonts w:ascii="Arial" w:cs="Arial" w:eastAsia="Arial" w:hAnsi="Arial"/>
                <w:sz w:val="16"/>
                <w:szCs w:val="16"/>
                <w:color w:val="auto"/>
              </w:rPr>
              <w:t>0</w:t>
            </w:r>
          </w:p>
        </w:tc>
        <w:tc>
          <w:tcPr>
            <w:tcW w:w="1480" w:type="dxa"/>
            <w:vAlign w:val="bottom"/>
          </w:tcPr>
          <w:p>
            <w:pPr>
              <w:jc w:val="center"/>
              <w:ind w:right="21"/>
              <w:spacing w:after="0"/>
              <w:rPr>
                <w:sz w:val="20"/>
                <w:szCs w:val="20"/>
                <w:color w:val="auto"/>
              </w:rPr>
            </w:pPr>
            <w:r>
              <w:rPr>
                <w:rFonts w:ascii="Arial" w:cs="Arial" w:eastAsia="Arial" w:hAnsi="Arial"/>
                <w:sz w:val="16"/>
                <w:szCs w:val="16"/>
                <w:color w:val="auto"/>
              </w:rPr>
              <w:t>‒</w:t>
            </w:r>
          </w:p>
        </w:tc>
      </w:tr>
      <w:tr>
        <w:trPr>
          <w:trHeight w:val="201"/>
        </w:trPr>
        <w:tc>
          <w:tcPr>
            <w:tcW w:w="4840" w:type="dxa"/>
            <w:vAlign w:val="bottom"/>
            <w:shd w:val="clear" w:color="auto" w:fill="D9D9D9"/>
          </w:tcPr>
          <w:p>
            <w:pPr>
              <w:ind w:left="260"/>
              <w:spacing w:after="0"/>
              <w:rPr>
                <w:sz w:val="20"/>
                <w:szCs w:val="20"/>
                <w:color w:val="auto"/>
              </w:rPr>
            </w:pPr>
            <w:r>
              <w:rPr>
                <w:rFonts w:ascii="Arial" w:cs="Arial" w:eastAsia="Arial" w:hAnsi="Arial"/>
                <w:sz w:val="16"/>
                <w:szCs w:val="16"/>
                <w:color w:val="auto"/>
              </w:rPr>
              <w:t>Joyce A. Mullen</w:t>
            </w:r>
          </w:p>
        </w:tc>
        <w:tc>
          <w:tcPr>
            <w:tcW w:w="1780" w:type="dxa"/>
            <w:vAlign w:val="bottom"/>
            <w:shd w:val="clear" w:color="auto" w:fill="D9D9D9"/>
          </w:tcPr>
          <w:p>
            <w:pPr>
              <w:jc w:val="right"/>
              <w:ind w:right="120"/>
              <w:spacing w:after="0"/>
              <w:rPr>
                <w:sz w:val="20"/>
                <w:szCs w:val="20"/>
                <w:color w:val="auto"/>
              </w:rPr>
            </w:pPr>
            <w:r>
              <w:rPr>
                <w:rFonts w:ascii="Arial" w:cs="Arial" w:eastAsia="Arial" w:hAnsi="Arial"/>
                <w:sz w:val="16"/>
                <w:szCs w:val="16"/>
                <w:color w:val="auto"/>
              </w:rPr>
              <w:t>1,173</w:t>
            </w:r>
          </w:p>
        </w:tc>
        <w:tc>
          <w:tcPr>
            <w:tcW w:w="1580" w:type="dxa"/>
            <w:vAlign w:val="bottom"/>
            <w:shd w:val="clear" w:color="auto" w:fill="D9D9D9"/>
          </w:tcPr>
          <w:p>
            <w:pPr>
              <w:jc w:val="right"/>
              <w:ind w:right="7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D9D9D9"/>
          </w:tcPr>
          <w:p>
            <w:pPr>
              <w:jc w:val="right"/>
              <w:ind w:right="141"/>
              <w:spacing w:after="0"/>
              <w:rPr>
                <w:sz w:val="20"/>
                <w:szCs w:val="20"/>
                <w:color w:val="auto"/>
              </w:rPr>
            </w:pPr>
            <w:r>
              <w:rPr>
                <w:rFonts w:ascii="Arial" w:cs="Arial" w:eastAsia="Arial" w:hAnsi="Arial"/>
                <w:sz w:val="16"/>
                <w:szCs w:val="16"/>
                <w:color w:val="auto"/>
              </w:rPr>
              <w:t>1,716</w:t>
            </w:r>
          </w:p>
        </w:tc>
        <w:tc>
          <w:tcPr>
            <w:tcW w:w="1480" w:type="dxa"/>
            <w:vAlign w:val="bottom"/>
            <w:shd w:val="clear" w:color="auto" w:fill="D9D9D9"/>
          </w:tcPr>
          <w:p>
            <w:pPr>
              <w:jc w:val="center"/>
              <w:ind w:right="21"/>
              <w:spacing w:after="0"/>
              <w:rPr>
                <w:sz w:val="20"/>
                <w:szCs w:val="20"/>
                <w:color w:val="auto"/>
              </w:rPr>
            </w:pPr>
            <w:r>
              <w:rPr>
                <w:rFonts w:ascii="Arial" w:cs="Arial" w:eastAsia="Arial" w:hAnsi="Arial"/>
                <w:sz w:val="16"/>
                <w:szCs w:val="16"/>
                <w:color w:val="auto"/>
              </w:rPr>
              <w:t>‒</w:t>
            </w:r>
          </w:p>
        </w:tc>
      </w:tr>
      <w:tr>
        <w:trPr>
          <w:trHeight w:val="201"/>
        </w:trPr>
        <w:tc>
          <w:tcPr>
            <w:tcW w:w="4840" w:type="dxa"/>
            <w:vAlign w:val="bottom"/>
          </w:tcPr>
          <w:p>
            <w:pPr>
              <w:ind w:left="260"/>
              <w:spacing w:after="0"/>
              <w:rPr>
                <w:sz w:val="20"/>
                <w:szCs w:val="20"/>
                <w:color w:val="auto"/>
              </w:rPr>
            </w:pPr>
            <w:r>
              <w:rPr>
                <w:rFonts w:ascii="Arial" w:cs="Arial" w:eastAsia="Arial" w:hAnsi="Arial"/>
                <w:sz w:val="16"/>
                <w:szCs w:val="16"/>
                <w:color w:val="auto"/>
              </w:rPr>
              <w:t>James C. O’Rourke</w:t>
            </w:r>
          </w:p>
        </w:tc>
        <w:tc>
          <w:tcPr>
            <w:tcW w:w="1780" w:type="dxa"/>
            <w:vAlign w:val="bottom"/>
          </w:tcPr>
          <w:p>
            <w:pPr>
              <w:jc w:val="right"/>
              <w:ind w:right="120"/>
              <w:spacing w:after="0"/>
              <w:rPr>
                <w:sz w:val="20"/>
                <w:szCs w:val="20"/>
                <w:color w:val="auto"/>
              </w:rPr>
            </w:pPr>
            <w:r>
              <w:rPr>
                <w:rFonts w:ascii="Arial" w:cs="Arial" w:eastAsia="Arial" w:hAnsi="Arial"/>
                <w:sz w:val="16"/>
                <w:szCs w:val="16"/>
                <w:color w:val="auto"/>
              </w:rPr>
              <w:t>17,996</w:t>
            </w:r>
          </w:p>
        </w:tc>
        <w:tc>
          <w:tcPr>
            <w:tcW w:w="158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41"/>
              <w:spacing w:after="0"/>
              <w:rPr>
                <w:sz w:val="20"/>
                <w:szCs w:val="20"/>
                <w:color w:val="auto"/>
              </w:rPr>
            </w:pPr>
            <w:r>
              <w:rPr>
                <w:rFonts w:ascii="Arial" w:cs="Arial" w:eastAsia="Arial" w:hAnsi="Arial"/>
                <w:sz w:val="16"/>
                <w:szCs w:val="16"/>
                <w:color w:val="auto"/>
              </w:rPr>
              <w:t>0</w:t>
            </w:r>
          </w:p>
        </w:tc>
        <w:tc>
          <w:tcPr>
            <w:tcW w:w="1480" w:type="dxa"/>
            <w:vAlign w:val="bottom"/>
          </w:tcPr>
          <w:p>
            <w:pPr>
              <w:jc w:val="center"/>
              <w:ind w:right="21"/>
              <w:spacing w:after="0"/>
              <w:rPr>
                <w:sz w:val="20"/>
                <w:szCs w:val="20"/>
                <w:color w:val="auto"/>
              </w:rPr>
            </w:pPr>
            <w:r>
              <w:rPr>
                <w:rFonts w:ascii="Arial" w:cs="Arial" w:eastAsia="Arial" w:hAnsi="Arial"/>
                <w:sz w:val="16"/>
                <w:szCs w:val="16"/>
                <w:color w:val="auto"/>
              </w:rPr>
              <w:t>‒</w:t>
            </w:r>
          </w:p>
        </w:tc>
      </w:tr>
      <w:tr>
        <w:trPr>
          <w:trHeight w:val="201"/>
        </w:trPr>
        <w:tc>
          <w:tcPr>
            <w:tcW w:w="4840" w:type="dxa"/>
            <w:vAlign w:val="bottom"/>
            <w:shd w:val="clear" w:color="auto" w:fill="D9D9D9"/>
          </w:tcPr>
          <w:p>
            <w:pPr>
              <w:ind w:left="260"/>
              <w:spacing w:after="0"/>
              <w:rPr>
                <w:sz w:val="20"/>
                <w:szCs w:val="20"/>
                <w:color w:val="auto"/>
              </w:rPr>
            </w:pPr>
            <w:r>
              <w:rPr>
                <w:rFonts w:ascii="Arial" w:cs="Arial" w:eastAsia="Arial" w:hAnsi="Arial"/>
                <w:sz w:val="16"/>
                <w:szCs w:val="16"/>
                <w:color w:val="auto"/>
              </w:rPr>
              <w:t>Gregg W. Steinhafel</w:t>
            </w:r>
          </w:p>
        </w:tc>
        <w:tc>
          <w:tcPr>
            <w:tcW w:w="1780" w:type="dxa"/>
            <w:vAlign w:val="bottom"/>
            <w:shd w:val="clear" w:color="auto" w:fill="D9D9D9"/>
          </w:tcPr>
          <w:p>
            <w:pPr>
              <w:jc w:val="right"/>
              <w:ind w:right="120"/>
              <w:spacing w:after="0"/>
              <w:rPr>
                <w:sz w:val="20"/>
                <w:szCs w:val="20"/>
                <w:color w:val="auto"/>
              </w:rPr>
            </w:pPr>
            <w:r>
              <w:rPr>
                <w:rFonts w:ascii="Arial" w:cs="Arial" w:eastAsia="Arial" w:hAnsi="Arial"/>
                <w:sz w:val="16"/>
                <w:szCs w:val="16"/>
                <w:color w:val="auto"/>
              </w:rPr>
              <w:t>12,958</w:t>
            </w:r>
          </w:p>
        </w:tc>
        <w:tc>
          <w:tcPr>
            <w:tcW w:w="1580" w:type="dxa"/>
            <w:vAlign w:val="bottom"/>
            <w:shd w:val="clear" w:color="auto" w:fill="D9D9D9"/>
          </w:tcPr>
          <w:p>
            <w:pPr>
              <w:jc w:val="right"/>
              <w:ind w:right="7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D9D9D9"/>
          </w:tcPr>
          <w:p>
            <w:pPr>
              <w:jc w:val="right"/>
              <w:ind w:right="141"/>
              <w:spacing w:after="0"/>
              <w:rPr>
                <w:sz w:val="20"/>
                <w:szCs w:val="20"/>
                <w:color w:val="auto"/>
              </w:rPr>
            </w:pPr>
            <w:r>
              <w:rPr>
                <w:rFonts w:ascii="Arial" w:cs="Arial" w:eastAsia="Arial" w:hAnsi="Arial"/>
                <w:sz w:val="16"/>
                <w:szCs w:val="16"/>
                <w:color w:val="auto"/>
              </w:rPr>
              <w:t>5,789</w:t>
            </w:r>
          </w:p>
        </w:tc>
        <w:tc>
          <w:tcPr>
            <w:tcW w:w="1480" w:type="dxa"/>
            <w:vAlign w:val="bottom"/>
            <w:shd w:val="clear" w:color="auto" w:fill="D9D9D9"/>
          </w:tcPr>
          <w:p>
            <w:pPr>
              <w:jc w:val="center"/>
              <w:ind w:right="21"/>
              <w:spacing w:after="0"/>
              <w:rPr>
                <w:sz w:val="20"/>
                <w:szCs w:val="20"/>
                <w:color w:val="auto"/>
              </w:rPr>
            </w:pPr>
            <w:r>
              <w:rPr>
                <w:rFonts w:ascii="Arial" w:cs="Arial" w:eastAsia="Arial" w:hAnsi="Arial"/>
                <w:sz w:val="16"/>
                <w:szCs w:val="16"/>
                <w:color w:val="auto"/>
              </w:rPr>
              <w:t>‒</w:t>
            </w:r>
          </w:p>
        </w:tc>
      </w:tr>
      <w:tr>
        <w:trPr>
          <w:trHeight w:val="201"/>
        </w:trPr>
        <w:tc>
          <w:tcPr>
            <w:tcW w:w="4840" w:type="dxa"/>
            <w:vAlign w:val="bottom"/>
          </w:tcPr>
          <w:p>
            <w:pPr>
              <w:ind w:left="260"/>
              <w:spacing w:after="0"/>
              <w:rPr>
                <w:sz w:val="20"/>
                <w:szCs w:val="20"/>
                <w:color w:val="auto"/>
              </w:rPr>
            </w:pPr>
            <w:r>
              <w:rPr>
                <w:rFonts w:ascii="Arial" w:cs="Arial" w:eastAsia="Arial" w:hAnsi="Arial"/>
                <w:sz w:val="16"/>
                <w:szCs w:val="16"/>
                <w:color w:val="auto"/>
              </w:rPr>
              <w:t>Michael G. Vale</w:t>
            </w:r>
          </w:p>
        </w:tc>
        <w:tc>
          <w:tcPr>
            <w:tcW w:w="1780" w:type="dxa"/>
            <w:vAlign w:val="bottom"/>
          </w:tcPr>
          <w:p>
            <w:pPr>
              <w:jc w:val="right"/>
              <w:ind w:right="120"/>
              <w:spacing w:after="0"/>
              <w:rPr>
                <w:sz w:val="20"/>
                <w:szCs w:val="20"/>
                <w:color w:val="auto"/>
              </w:rPr>
            </w:pPr>
            <w:r>
              <w:rPr>
                <w:rFonts w:ascii="Arial" w:cs="Arial" w:eastAsia="Arial" w:hAnsi="Arial"/>
                <w:sz w:val="16"/>
                <w:szCs w:val="16"/>
                <w:color w:val="auto"/>
              </w:rPr>
              <w:t>4,161</w:t>
            </w:r>
          </w:p>
        </w:tc>
        <w:tc>
          <w:tcPr>
            <w:tcW w:w="158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41"/>
              <w:spacing w:after="0"/>
              <w:rPr>
                <w:sz w:val="20"/>
                <w:szCs w:val="20"/>
                <w:color w:val="auto"/>
              </w:rPr>
            </w:pPr>
            <w:r>
              <w:rPr>
                <w:rFonts w:ascii="Arial" w:cs="Arial" w:eastAsia="Arial" w:hAnsi="Arial"/>
                <w:sz w:val="16"/>
                <w:szCs w:val="16"/>
                <w:color w:val="auto"/>
              </w:rPr>
              <w:t>2,755</w:t>
            </w:r>
          </w:p>
        </w:tc>
        <w:tc>
          <w:tcPr>
            <w:tcW w:w="1480" w:type="dxa"/>
            <w:vAlign w:val="bottom"/>
          </w:tcPr>
          <w:p>
            <w:pPr>
              <w:jc w:val="center"/>
              <w:ind w:right="21"/>
              <w:spacing w:after="0"/>
              <w:rPr>
                <w:sz w:val="20"/>
                <w:szCs w:val="20"/>
                <w:color w:val="auto"/>
              </w:rPr>
            </w:pPr>
            <w:r>
              <w:rPr>
                <w:rFonts w:ascii="Arial" w:cs="Arial" w:eastAsia="Arial" w:hAnsi="Arial"/>
                <w:sz w:val="16"/>
                <w:szCs w:val="16"/>
                <w:color w:val="auto"/>
              </w:rPr>
              <w:t>‒</w:t>
            </w:r>
          </w:p>
        </w:tc>
      </w:tr>
      <w:tr>
        <w:trPr>
          <w:trHeight w:val="201"/>
        </w:trPr>
        <w:tc>
          <w:tcPr>
            <w:tcW w:w="4840" w:type="dxa"/>
            <w:vAlign w:val="bottom"/>
            <w:shd w:val="clear" w:color="auto" w:fill="D9D9D9"/>
          </w:tcPr>
          <w:p>
            <w:pPr>
              <w:spacing w:after="0"/>
              <w:rPr>
                <w:sz w:val="20"/>
                <w:szCs w:val="20"/>
                <w:color w:val="auto"/>
              </w:rPr>
            </w:pPr>
            <w:r>
              <w:rPr>
                <w:rFonts w:ascii="Arial" w:cs="Arial" w:eastAsia="Arial" w:hAnsi="Arial"/>
                <w:sz w:val="16"/>
                <w:szCs w:val="16"/>
                <w:color w:val="auto"/>
              </w:rPr>
              <w:t>Named Executive Officers:</w:t>
            </w:r>
          </w:p>
        </w:tc>
        <w:tc>
          <w:tcPr>
            <w:tcW w:w="1780" w:type="dxa"/>
            <w:vAlign w:val="bottom"/>
            <w:shd w:val="clear" w:color="auto" w:fill="D9D9D9"/>
          </w:tcPr>
          <w:p>
            <w:pPr>
              <w:spacing w:after="0"/>
              <w:rPr>
                <w:sz w:val="17"/>
                <w:szCs w:val="17"/>
                <w:color w:val="auto"/>
              </w:rPr>
            </w:pPr>
          </w:p>
        </w:tc>
        <w:tc>
          <w:tcPr>
            <w:tcW w:w="1580" w:type="dxa"/>
            <w:vAlign w:val="bottom"/>
            <w:shd w:val="clear" w:color="auto" w:fill="D9D9D9"/>
          </w:tcPr>
          <w:p>
            <w:pPr>
              <w:spacing w:after="0"/>
              <w:rPr>
                <w:sz w:val="17"/>
                <w:szCs w:val="17"/>
                <w:color w:val="auto"/>
              </w:rPr>
            </w:pPr>
          </w:p>
        </w:tc>
        <w:tc>
          <w:tcPr>
            <w:tcW w:w="1560" w:type="dxa"/>
            <w:vAlign w:val="bottom"/>
            <w:shd w:val="clear" w:color="auto" w:fill="D9D9D9"/>
          </w:tcPr>
          <w:p>
            <w:pPr>
              <w:spacing w:after="0"/>
              <w:rPr>
                <w:sz w:val="17"/>
                <w:szCs w:val="17"/>
                <w:color w:val="auto"/>
              </w:rPr>
            </w:pPr>
          </w:p>
        </w:tc>
        <w:tc>
          <w:tcPr>
            <w:tcW w:w="1480" w:type="dxa"/>
            <w:vAlign w:val="bottom"/>
            <w:shd w:val="clear" w:color="auto" w:fill="D9D9D9"/>
          </w:tcPr>
          <w:p>
            <w:pPr>
              <w:spacing w:after="0"/>
              <w:rPr>
                <w:sz w:val="17"/>
                <w:szCs w:val="17"/>
                <w:color w:val="auto"/>
              </w:rPr>
            </w:pPr>
          </w:p>
        </w:tc>
      </w:tr>
      <w:tr>
        <w:trPr>
          <w:trHeight w:val="201"/>
        </w:trPr>
        <w:tc>
          <w:tcPr>
            <w:tcW w:w="4840" w:type="dxa"/>
            <w:vAlign w:val="bottom"/>
          </w:tcPr>
          <w:p>
            <w:pPr>
              <w:ind w:left="260"/>
              <w:spacing w:after="0"/>
              <w:rPr>
                <w:sz w:val="20"/>
                <w:szCs w:val="20"/>
                <w:color w:val="auto"/>
              </w:rPr>
            </w:pPr>
            <w:r>
              <w:rPr>
                <w:rFonts w:ascii="Arial" w:cs="Arial" w:eastAsia="Arial" w:hAnsi="Arial"/>
                <w:sz w:val="16"/>
                <w:szCs w:val="16"/>
                <w:color w:val="auto"/>
              </w:rPr>
              <w:t>Richard M. Olson</w:t>
            </w:r>
          </w:p>
        </w:tc>
        <w:tc>
          <w:tcPr>
            <w:tcW w:w="1780" w:type="dxa"/>
            <w:vAlign w:val="bottom"/>
          </w:tcPr>
          <w:p>
            <w:pPr>
              <w:jc w:val="right"/>
              <w:ind w:right="120"/>
              <w:spacing w:after="0"/>
              <w:rPr>
                <w:sz w:val="20"/>
                <w:szCs w:val="20"/>
                <w:color w:val="auto"/>
              </w:rPr>
            </w:pPr>
            <w:r>
              <w:rPr>
                <w:rFonts w:ascii="Arial" w:cs="Arial" w:eastAsia="Arial" w:hAnsi="Arial"/>
                <w:sz w:val="16"/>
                <w:szCs w:val="16"/>
                <w:color w:val="auto"/>
              </w:rPr>
              <w:t>467,166</w:t>
            </w:r>
          </w:p>
        </w:tc>
        <w:tc>
          <w:tcPr>
            <w:tcW w:w="1580" w:type="dxa"/>
            <w:vAlign w:val="bottom"/>
          </w:tcPr>
          <w:p>
            <w:pPr>
              <w:jc w:val="right"/>
              <w:ind w:right="140"/>
              <w:spacing w:after="0"/>
              <w:rPr>
                <w:sz w:val="20"/>
                <w:szCs w:val="20"/>
                <w:color w:val="auto"/>
              </w:rPr>
            </w:pPr>
            <w:r>
              <w:rPr>
                <w:rFonts w:ascii="Arial" w:cs="Arial" w:eastAsia="Arial" w:hAnsi="Arial"/>
                <w:sz w:val="16"/>
                <w:szCs w:val="16"/>
                <w:color w:val="auto"/>
              </w:rPr>
              <w:t>16,518</w:t>
            </w:r>
          </w:p>
        </w:tc>
        <w:tc>
          <w:tcPr>
            <w:tcW w:w="1560" w:type="dxa"/>
            <w:vAlign w:val="bottom"/>
          </w:tcPr>
          <w:p>
            <w:pPr>
              <w:jc w:val="center"/>
              <w:ind w:right="10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99,619</w:t>
            </w:r>
          </w:p>
        </w:tc>
      </w:tr>
      <w:tr>
        <w:trPr>
          <w:trHeight w:val="201"/>
        </w:trPr>
        <w:tc>
          <w:tcPr>
            <w:tcW w:w="4840" w:type="dxa"/>
            <w:vAlign w:val="bottom"/>
            <w:shd w:val="clear" w:color="auto" w:fill="D9D9D9"/>
          </w:tcPr>
          <w:p>
            <w:pPr>
              <w:ind w:left="260"/>
              <w:spacing w:after="0"/>
              <w:rPr>
                <w:sz w:val="20"/>
                <w:szCs w:val="20"/>
                <w:color w:val="auto"/>
              </w:rPr>
            </w:pPr>
            <w:r>
              <w:rPr>
                <w:rFonts w:ascii="Arial" w:cs="Arial" w:eastAsia="Arial" w:hAnsi="Arial"/>
                <w:sz w:val="16"/>
                <w:szCs w:val="16"/>
                <w:color w:val="auto"/>
              </w:rPr>
              <w:t>Renee J. Peterson</w:t>
            </w:r>
          </w:p>
        </w:tc>
        <w:tc>
          <w:tcPr>
            <w:tcW w:w="1780" w:type="dxa"/>
            <w:vAlign w:val="bottom"/>
            <w:shd w:val="clear" w:color="auto" w:fill="D9D9D9"/>
          </w:tcPr>
          <w:p>
            <w:pPr>
              <w:jc w:val="right"/>
              <w:ind w:right="120"/>
              <w:spacing w:after="0"/>
              <w:rPr>
                <w:sz w:val="20"/>
                <w:szCs w:val="20"/>
                <w:color w:val="auto"/>
              </w:rPr>
            </w:pPr>
            <w:r>
              <w:rPr>
                <w:rFonts w:ascii="Arial" w:cs="Arial" w:eastAsia="Arial" w:hAnsi="Arial"/>
                <w:sz w:val="16"/>
                <w:szCs w:val="16"/>
                <w:color w:val="auto"/>
              </w:rPr>
              <w:t>137,666</w:t>
            </w:r>
          </w:p>
        </w:tc>
        <w:tc>
          <w:tcPr>
            <w:tcW w:w="1580" w:type="dxa"/>
            <w:vAlign w:val="bottom"/>
            <w:shd w:val="clear" w:color="auto" w:fill="D9D9D9"/>
          </w:tcPr>
          <w:p>
            <w:pPr>
              <w:jc w:val="right"/>
              <w:ind w:right="140"/>
              <w:spacing w:after="0"/>
              <w:rPr>
                <w:sz w:val="20"/>
                <w:szCs w:val="20"/>
                <w:color w:val="auto"/>
              </w:rPr>
            </w:pPr>
            <w:r>
              <w:rPr>
                <w:rFonts w:ascii="Arial" w:cs="Arial" w:eastAsia="Arial" w:hAnsi="Arial"/>
                <w:sz w:val="16"/>
                <w:szCs w:val="16"/>
                <w:color w:val="auto"/>
              </w:rPr>
              <w:t>728</w:t>
            </w:r>
          </w:p>
        </w:tc>
        <w:tc>
          <w:tcPr>
            <w:tcW w:w="1560" w:type="dxa"/>
            <w:vAlign w:val="bottom"/>
            <w:shd w:val="clear" w:color="auto" w:fill="D9D9D9"/>
          </w:tcPr>
          <w:p>
            <w:pPr>
              <w:jc w:val="center"/>
              <w:ind w:right="101"/>
              <w:spacing w:after="0"/>
              <w:rPr>
                <w:sz w:val="20"/>
                <w:szCs w:val="20"/>
                <w:color w:val="auto"/>
              </w:rPr>
            </w:pPr>
            <w:r>
              <w:rPr>
                <w:rFonts w:ascii="Arial" w:cs="Arial" w:eastAsia="Arial" w:hAnsi="Arial"/>
                <w:sz w:val="16"/>
                <w:szCs w:val="16"/>
                <w:color w:val="auto"/>
              </w:rPr>
              <w:t>‒</w:t>
            </w:r>
          </w:p>
        </w:tc>
        <w:tc>
          <w:tcPr>
            <w:tcW w:w="1480" w:type="dxa"/>
            <w:vAlign w:val="bottom"/>
            <w:shd w:val="clear" w:color="auto" w:fill="D9D9D9"/>
          </w:tcPr>
          <w:p>
            <w:pPr>
              <w:jc w:val="right"/>
              <w:ind w:right="61"/>
              <w:spacing w:after="0"/>
              <w:rPr>
                <w:sz w:val="20"/>
                <w:szCs w:val="20"/>
                <w:color w:val="auto"/>
              </w:rPr>
            </w:pPr>
            <w:r>
              <w:rPr>
                <w:rFonts w:ascii="Arial" w:cs="Arial" w:eastAsia="Arial" w:hAnsi="Arial"/>
                <w:sz w:val="16"/>
                <w:szCs w:val="16"/>
                <w:color w:val="auto"/>
              </w:rPr>
              <w:t>85,212</w:t>
            </w:r>
          </w:p>
        </w:tc>
      </w:tr>
      <w:tr>
        <w:trPr>
          <w:trHeight w:val="201"/>
        </w:trPr>
        <w:tc>
          <w:tcPr>
            <w:tcW w:w="4840" w:type="dxa"/>
            <w:vAlign w:val="bottom"/>
          </w:tcPr>
          <w:p>
            <w:pPr>
              <w:ind w:left="260"/>
              <w:spacing w:after="0"/>
              <w:rPr>
                <w:sz w:val="20"/>
                <w:szCs w:val="20"/>
                <w:color w:val="auto"/>
              </w:rPr>
            </w:pPr>
            <w:r>
              <w:rPr>
                <w:rFonts w:ascii="Arial" w:cs="Arial" w:eastAsia="Arial" w:hAnsi="Arial"/>
                <w:sz w:val="16"/>
                <w:szCs w:val="16"/>
                <w:color w:val="auto"/>
              </w:rPr>
              <w:t>Richard W. Rodier</w:t>
            </w:r>
          </w:p>
        </w:tc>
        <w:tc>
          <w:tcPr>
            <w:tcW w:w="1780" w:type="dxa"/>
            <w:vAlign w:val="bottom"/>
          </w:tcPr>
          <w:p>
            <w:pPr>
              <w:jc w:val="right"/>
              <w:ind w:right="120"/>
              <w:spacing w:after="0"/>
              <w:rPr>
                <w:sz w:val="20"/>
                <w:szCs w:val="20"/>
                <w:color w:val="auto"/>
              </w:rPr>
            </w:pPr>
            <w:r>
              <w:rPr>
                <w:rFonts w:ascii="Arial" w:cs="Arial" w:eastAsia="Arial" w:hAnsi="Arial"/>
                <w:sz w:val="16"/>
                <w:szCs w:val="16"/>
                <w:color w:val="auto"/>
              </w:rPr>
              <w:t>53,766</w:t>
            </w:r>
          </w:p>
        </w:tc>
        <w:tc>
          <w:tcPr>
            <w:tcW w:w="1580" w:type="dxa"/>
            <w:vAlign w:val="bottom"/>
          </w:tcPr>
          <w:p>
            <w:pPr>
              <w:jc w:val="right"/>
              <w:ind w:right="140"/>
              <w:spacing w:after="0"/>
              <w:rPr>
                <w:sz w:val="20"/>
                <w:szCs w:val="20"/>
                <w:color w:val="auto"/>
              </w:rPr>
            </w:pPr>
            <w:r>
              <w:rPr>
                <w:rFonts w:ascii="Arial" w:cs="Arial" w:eastAsia="Arial" w:hAnsi="Arial"/>
                <w:sz w:val="16"/>
                <w:szCs w:val="16"/>
                <w:color w:val="auto"/>
              </w:rPr>
              <w:t>2,767</w:t>
            </w:r>
          </w:p>
        </w:tc>
        <w:tc>
          <w:tcPr>
            <w:tcW w:w="1560" w:type="dxa"/>
            <w:vAlign w:val="bottom"/>
          </w:tcPr>
          <w:p>
            <w:pPr>
              <w:jc w:val="center"/>
              <w:ind w:right="10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6,014</w:t>
            </w:r>
          </w:p>
        </w:tc>
      </w:tr>
      <w:tr>
        <w:trPr>
          <w:trHeight w:val="201"/>
        </w:trPr>
        <w:tc>
          <w:tcPr>
            <w:tcW w:w="4840" w:type="dxa"/>
            <w:vAlign w:val="bottom"/>
            <w:shd w:val="clear" w:color="auto" w:fill="D9D9D9"/>
          </w:tcPr>
          <w:p>
            <w:pPr>
              <w:ind w:left="260"/>
              <w:spacing w:after="0"/>
              <w:rPr>
                <w:sz w:val="20"/>
                <w:szCs w:val="20"/>
                <w:color w:val="auto"/>
              </w:rPr>
            </w:pPr>
            <w:r>
              <w:rPr>
                <w:rFonts w:ascii="Arial" w:cs="Arial" w:eastAsia="Arial" w:hAnsi="Arial"/>
                <w:sz w:val="16"/>
                <w:szCs w:val="16"/>
                <w:color w:val="auto"/>
              </w:rPr>
              <w:t>Bradley A. Hamilton</w:t>
            </w:r>
          </w:p>
        </w:tc>
        <w:tc>
          <w:tcPr>
            <w:tcW w:w="1780" w:type="dxa"/>
            <w:vAlign w:val="bottom"/>
            <w:shd w:val="clear" w:color="auto" w:fill="D9D9D9"/>
          </w:tcPr>
          <w:p>
            <w:pPr>
              <w:jc w:val="right"/>
              <w:ind w:right="120"/>
              <w:spacing w:after="0"/>
              <w:rPr>
                <w:sz w:val="20"/>
                <w:szCs w:val="20"/>
                <w:color w:val="auto"/>
              </w:rPr>
            </w:pPr>
            <w:r>
              <w:rPr>
                <w:rFonts w:ascii="Arial" w:cs="Arial" w:eastAsia="Arial" w:hAnsi="Arial"/>
                <w:sz w:val="16"/>
                <w:szCs w:val="16"/>
                <w:color w:val="auto"/>
              </w:rPr>
              <w:t>59,363</w:t>
            </w:r>
          </w:p>
        </w:tc>
        <w:tc>
          <w:tcPr>
            <w:tcW w:w="1580" w:type="dxa"/>
            <w:vAlign w:val="bottom"/>
            <w:shd w:val="clear" w:color="auto" w:fill="D9D9D9"/>
          </w:tcPr>
          <w:p>
            <w:pPr>
              <w:jc w:val="right"/>
              <w:ind w:right="140"/>
              <w:spacing w:after="0"/>
              <w:rPr>
                <w:sz w:val="20"/>
                <w:szCs w:val="20"/>
                <w:color w:val="auto"/>
              </w:rPr>
            </w:pPr>
            <w:r>
              <w:rPr>
                <w:rFonts w:ascii="Arial" w:cs="Arial" w:eastAsia="Arial" w:hAnsi="Arial"/>
                <w:sz w:val="16"/>
                <w:szCs w:val="16"/>
                <w:color w:val="auto"/>
              </w:rPr>
              <w:t>1,011</w:t>
            </w:r>
          </w:p>
        </w:tc>
        <w:tc>
          <w:tcPr>
            <w:tcW w:w="1560" w:type="dxa"/>
            <w:vAlign w:val="bottom"/>
            <w:shd w:val="clear" w:color="auto" w:fill="D9D9D9"/>
          </w:tcPr>
          <w:p>
            <w:pPr>
              <w:jc w:val="center"/>
              <w:ind w:right="101"/>
              <w:spacing w:after="0"/>
              <w:rPr>
                <w:sz w:val="20"/>
                <w:szCs w:val="20"/>
                <w:color w:val="auto"/>
              </w:rPr>
            </w:pPr>
            <w:r>
              <w:rPr>
                <w:rFonts w:ascii="Arial" w:cs="Arial" w:eastAsia="Arial" w:hAnsi="Arial"/>
                <w:sz w:val="16"/>
                <w:szCs w:val="16"/>
                <w:color w:val="auto"/>
              </w:rPr>
              <w:t>‒</w:t>
            </w:r>
          </w:p>
        </w:tc>
        <w:tc>
          <w:tcPr>
            <w:tcW w:w="1480" w:type="dxa"/>
            <w:vAlign w:val="bottom"/>
            <w:shd w:val="clear" w:color="auto" w:fill="D9D9D9"/>
          </w:tcPr>
          <w:p>
            <w:pPr>
              <w:jc w:val="right"/>
              <w:ind w:right="61"/>
              <w:spacing w:after="0"/>
              <w:rPr>
                <w:sz w:val="20"/>
                <w:szCs w:val="20"/>
                <w:color w:val="auto"/>
              </w:rPr>
            </w:pPr>
            <w:r>
              <w:rPr>
                <w:rFonts w:ascii="Arial" w:cs="Arial" w:eastAsia="Arial" w:hAnsi="Arial"/>
                <w:sz w:val="16"/>
                <w:szCs w:val="16"/>
                <w:color w:val="auto"/>
              </w:rPr>
              <w:t>8,886</w:t>
            </w:r>
          </w:p>
        </w:tc>
      </w:tr>
      <w:tr>
        <w:trPr>
          <w:trHeight w:val="228"/>
        </w:trPr>
        <w:tc>
          <w:tcPr>
            <w:tcW w:w="4840" w:type="dxa"/>
            <w:vAlign w:val="bottom"/>
          </w:tcPr>
          <w:p>
            <w:pPr>
              <w:ind w:left="260"/>
              <w:spacing w:after="0"/>
              <w:rPr>
                <w:sz w:val="20"/>
                <w:szCs w:val="20"/>
                <w:color w:val="auto"/>
              </w:rPr>
            </w:pPr>
            <w:r>
              <w:rPr>
                <w:rFonts w:ascii="Arial" w:cs="Arial" w:eastAsia="Arial" w:hAnsi="Arial"/>
                <w:sz w:val="16"/>
                <w:szCs w:val="16"/>
                <w:color w:val="auto"/>
              </w:rPr>
              <w:t>Amy E. Dahl</w:t>
            </w:r>
          </w:p>
        </w:tc>
        <w:tc>
          <w:tcPr>
            <w:tcW w:w="1780" w:type="dxa"/>
            <w:vAlign w:val="bottom"/>
          </w:tcPr>
          <w:p>
            <w:pPr>
              <w:jc w:val="right"/>
              <w:ind w:right="120"/>
              <w:spacing w:after="0"/>
              <w:rPr>
                <w:sz w:val="20"/>
                <w:szCs w:val="20"/>
                <w:color w:val="auto"/>
              </w:rPr>
            </w:pPr>
            <w:r>
              <w:rPr>
                <w:rFonts w:ascii="Arial" w:cs="Arial" w:eastAsia="Arial" w:hAnsi="Arial"/>
                <w:sz w:val="16"/>
                <w:szCs w:val="16"/>
                <w:color w:val="auto"/>
              </w:rPr>
              <w:t>78,853</w:t>
            </w:r>
          </w:p>
        </w:tc>
        <w:tc>
          <w:tcPr>
            <w:tcW w:w="1580" w:type="dxa"/>
            <w:vAlign w:val="bottom"/>
          </w:tcPr>
          <w:p>
            <w:pPr>
              <w:jc w:val="right"/>
              <w:ind w:right="140"/>
              <w:spacing w:after="0"/>
              <w:rPr>
                <w:sz w:val="20"/>
                <w:szCs w:val="20"/>
                <w:color w:val="auto"/>
              </w:rPr>
            </w:pPr>
            <w:r>
              <w:rPr>
                <w:rFonts w:ascii="Arial" w:cs="Arial" w:eastAsia="Arial" w:hAnsi="Arial"/>
                <w:sz w:val="16"/>
                <w:szCs w:val="16"/>
                <w:color w:val="auto"/>
              </w:rPr>
              <w:t>3,670</w:t>
            </w:r>
          </w:p>
        </w:tc>
        <w:tc>
          <w:tcPr>
            <w:tcW w:w="1560" w:type="dxa"/>
            <w:vAlign w:val="bottom"/>
          </w:tcPr>
          <w:p>
            <w:pPr>
              <w:jc w:val="center"/>
              <w:ind w:right="10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7,088</w:t>
            </w:r>
          </w:p>
        </w:tc>
      </w:tr>
      <w:tr>
        <w:trPr>
          <w:trHeight w:val="201"/>
        </w:trPr>
        <w:tc>
          <w:tcPr>
            <w:tcW w:w="4840" w:type="dxa"/>
            <w:vAlign w:val="bottom"/>
            <w:shd w:val="clear" w:color="auto" w:fill="D9D9D9"/>
          </w:tcPr>
          <w:p>
            <w:pPr>
              <w:spacing w:after="0"/>
              <w:rPr>
                <w:sz w:val="20"/>
                <w:szCs w:val="20"/>
                <w:color w:val="auto"/>
              </w:rPr>
            </w:pPr>
            <w:r>
              <w:rPr>
                <w:rFonts w:ascii="Arial" w:cs="Arial" w:eastAsia="Arial" w:hAnsi="Arial"/>
                <w:sz w:val="16"/>
                <w:szCs w:val="16"/>
                <w:color w:val="auto"/>
              </w:rPr>
              <w:t>All Current Directors and Executive Officers as a Group (22)</w:t>
            </w:r>
          </w:p>
        </w:tc>
        <w:tc>
          <w:tcPr>
            <w:tcW w:w="1780" w:type="dxa"/>
            <w:vAlign w:val="bottom"/>
            <w:shd w:val="clear" w:color="auto" w:fill="D9D9D9"/>
          </w:tcPr>
          <w:p>
            <w:pPr>
              <w:jc w:val="right"/>
              <w:ind w:right="120"/>
              <w:spacing w:after="0"/>
              <w:rPr>
                <w:sz w:val="20"/>
                <w:szCs w:val="20"/>
                <w:color w:val="auto"/>
              </w:rPr>
            </w:pPr>
            <w:r>
              <w:rPr>
                <w:rFonts w:ascii="Arial" w:cs="Arial" w:eastAsia="Arial" w:hAnsi="Arial"/>
                <w:sz w:val="16"/>
                <w:szCs w:val="16"/>
                <w:color w:val="auto"/>
              </w:rPr>
              <w:t>1,187,926</w:t>
            </w:r>
          </w:p>
        </w:tc>
        <w:tc>
          <w:tcPr>
            <w:tcW w:w="1580" w:type="dxa"/>
            <w:vAlign w:val="bottom"/>
            <w:shd w:val="clear" w:color="auto" w:fill="D9D9D9"/>
          </w:tcPr>
          <w:p>
            <w:pPr>
              <w:jc w:val="right"/>
              <w:ind w:right="140"/>
              <w:spacing w:after="0"/>
              <w:rPr>
                <w:sz w:val="20"/>
                <w:szCs w:val="20"/>
                <w:color w:val="auto"/>
              </w:rPr>
            </w:pPr>
            <w:r>
              <w:rPr>
                <w:rFonts w:ascii="Arial" w:cs="Arial" w:eastAsia="Arial" w:hAnsi="Arial"/>
                <w:sz w:val="16"/>
                <w:szCs w:val="16"/>
                <w:color w:val="auto"/>
              </w:rPr>
              <w:t>75,912</w:t>
            </w:r>
          </w:p>
        </w:tc>
        <w:tc>
          <w:tcPr>
            <w:tcW w:w="1560" w:type="dxa"/>
            <w:vAlign w:val="bottom"/>
            <w:shd w:val="clear" w:color="auto" w:fill="D9D9D9"/>
          </w:tcPr>
          <w:p>
            <w:pPr>
              <w:jc w:val="right"/>
              <w:ind w:right="141"/>
              <w:spacing w:after="0"/>
              <w:rPr>
                <w:sz w:val="20"/>
                <w:szCs w:val="20"/>
                <w:color w:val="auto"/>
              </w:rPr>
            </w:pPr>
            <w:r>
              <w:rPr>
                <w:rFonts w:ascii="Arial" w:cs="Arial" w:eastAsia="Arial" w:hAnsi="Arial"/>
                <w:sz w:val="16"/>
                <w:szCs w:val="16"/>
                <w:color w:val="auto"/>
              </w:rPr>
              <w:t>64,412</w:t>
            </w:r>
          </w:p>
        </w:tc>
        <w:tc>
          <w:tcPr>
            <w:tcW w:w="1480" w:type="dxa"/>
            <w:vAlign w:val="bottom"/>
            <w:shd w:val="clear" w:color="auto" w:fill="D9D9D9"/>
          </w:tcPr>
          <w:p>
            <w:pPr>
              <w:jc w:val="right"/>
              <w:ind w:right="61"/>
              <w:spacing w:after="0"/>
              <w:rPr>
                <w:sz w:val="20"/>
                <w:szCs w:val="20"/>
                <w:color w:val="auto"/>
              </w:rPr>
            </w:pPr>
            <w:r>
              <w:rPr>
                <w:rFonts w:ascii="Arial" w:cs="Arial" w:eastAsia="Arial" w:hAnsi="Arial"/>
                <w:sz w:val="16"/>
                <w:szCs w:val="16"/>
                <w:color w:val="auto"/>
              </w:rPr>
              <w:t>267,050</w:t>
            </w:r>
          </w:p>
        </w:tc>
      </w:tr>
    </w:tbl>
    <w:p>
      <w:pPr>
        <w:spacing w:after="0" w:line="53" w:lineRule="exact"/>
        <w:rPr>
          <w:sz w:val="20"/>
          <w:szCs w:val="20"/>
          <w:color w:val="auto"/>
        </w:rPr>
      </w:pPr>
    </w:p>
    <w:p>
      <w:pPr>
        <w:ind w:left="400" w:right="40" w:hanging="393"/>
        <w:spacing w:after="0" w:line="254" w:lineRule="auto"/>
        <w:tabs>
          <w:tab w:leader="none" w:pos="4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Includes shares held in trust for estate planning purposes as follows: 24,897 shares for Ms. Cooper, 50,263 shares for Mr. Ettinger, 53,896 shares for Ms. Harless, 4,908 shares for Mr. Koch, 11,317 shares for Mr. O’Rourke, 32,994 shares for Ms. Peterson and 178,275 shares for all current directors and executive officers as a group. Ms. Cooper’s spouse is sole trustee of the trust and has sole voting and investment power with respect to the shares held in trust; and accordingly, Ms. Cooper disclaims beneficial ownership of such shares.</w:t>
      </w:r>
    </w:p>
    <w:p>
      <w:pPr>
        <w:spacing w:after="0" w:line="30" w:lineRule="exact"/>
        <w:rPr>
          <w:rFonts w:ascii="Arial" w:cs="Arial" w:eastAsia="Arial" w:hAnsi="Arial"/>
          <w:sz w:val="17"/>
          <w:szCs w:val="17"/>
          <w:color w:val="auto"/>
        </w:rPr>
      </w:pPr>
    </w:p>
    <w:p>
      <w:pPr>
        <w:ind w:left="400" w:right="520" w:hanging="393"/>
        <w:spacing w:after="0"/>
        <w:tabs>
          <w:tab w:leader="none" w:pos="4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shares held jointly with spouse for which the director or officer has shared voting and investment power as follows: 52,827 shares for Mr. Steinhafel and 52,827 shares for all current directors and executive officers as a group.</w:t>
      </w:r>
    </w:p>
    <w:p>
      <w:pPr>
        <w:spacing w:after="0" w:line="41" w:lineRule="exact"/>
        <w:rPr>
          <w:rFonts w:ascii="Arial" w:cs="Arial" w:eastAsia="Arial" w:hAnsi="Arial"/>
          <w:sz w:val="18"/>
          <w:szCs w:val="18"/>
          <w:color w:val="auto"/>
        </w:rPr>
      </w:pPr>
    </w:p>
    <w:p>
      <w:pPr>
        <w:ind w:left="400" w:right="20" w:hanging="393"/>
        <w:spacing w:after="0" w:line="235" w:lineRule="auto"/>
        <w:tabs>
          <w:tab w:leader="none" w:pos="4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Percentages are based on our shares outstanding as of our record date and are calculated pursuant to Rule 13d-3 under the Exchange Act. Percentage calculations assume, for each person and the group, that all shares that may be acquired by such person or by the group pursuant to stock options or other rights currently exercisable or that become exercisable or issuable within 60 days following January 19, 2021, are outstanding for the purpose of computing the percentage of common stock owned by such person or by the group. However, those unissued shares of our common stock described above are not deemed to be outstanding for the purpose of calculating the percentage of common stock owned by any other person.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rPr>
          <w:sz w:val="20"/>
          <w:szCs w:val="20"/>
          <w:color w:val="auto"/>
        </w:rPr>
      </w:pPr>
      <w:r>
        <w:rPr>
          <w:rFonts w:ascii="Arial" w:cs="Arial" w:eastAsia="Arial" w:hAnsi="Arial"/>
          <w:sz w:val="20"/>
          <w:szCs w:val="20"/>
          <w:b w:val="1"/>
          <w:bCs w:val="1"/>
          <w:color w:val="FF0000"/>
        </w:rPr>
        <w:t>Stock Ownership Guidelines</w:t>
      </w:r>
    </w:p>
    <w:p>
      <w:pPr>
        <w:spacing w:after="0" w:line="81" w:lineRule="exact"/>
        <w:rPr>
          <w:sz w:val="20"/>
          <w:szCs w:val="20"/>
          <w:color w:val="auto"/>
        </w:rPr>
      </w:pPr>
    </w:p>
    <w:p>
      <w:pPr>
        <w:ind w:right="120" w:firstLine="401"/>
        <w:spacing w:after="0" w:line="236" w:lineRule="auto"/>
        <w:rPr>
          <w:sz w:val="20"/>
          <w:szCs w:val="20"/>
          <w:color w:val="auto"/>
        </w:rPr>
      </w:pPr>
      <w:r>
        <w:rPr>
          <w:rFonts w:ascii="Arial" w:cs="Arial" w:eastAsia="Arial" w:hAnsi="Arial"/>
          <w:sz w:val="18"/>
          <w:szCs w:val="18"/>
          <w:color w:val="auto"/>
        </w:rPr>
        <w:t>We maintain stock ownership guidelines described in the table below to align the interests of our non-employee directors and executive officers with those of our shareholders. Non-employee directors are expected to meet this guideline within five years of joining the Board. Executive officers are expected to meet the guideline within five years of the date of hire or promotion. As of January 19, 2021, each of our non-employee directors and executive officers who is required to meet a stock ownership guideline met such guideline.</w:t>
      </w:r>
    </w:p>
    <w:p>
      <w:pPr>
        <w:spacing w:after="0" w:line="71" w:lineRule="exact"/>
        <w:rPr>
          <w:sz w:val="20"/>
          <w:szCs w:val="20"/>
          <w:color w:val="auto"/>
        </w:rPr>
      </w:pPr>
    </w:p>
    <w:tbl>
      <w:tblPr>
        <w:tblLayout w:type="fixed"/>
        <w:tblInd w:w="580" w:type="dxa"/>
        <w:tblCellMar>
          <w:top w:w="0" w:type="dxa"/>
          <w:left w:w="0" w:type="dxa"/>
          <w:bottom w:w="0" w:type="dxa"/>
          <w:right w:w="0" w:type="dxa"/>
        </w:tblCellMar>
      </w:tblPr>
      <w:tr>
        <w:trPr>
          <w:trHeight w:val="262"/>
        </w:trPr>
        <w:tc>
          <w:tcPr>
            <w:tcW w:w="3080" w:type="dxa"/>
            <w:vAlign w:val="bottom"/>
            <w:shd w:val="clear" w:color="auto" w:fill="C00000"/>
          </w:tcPr>
          <w:p>
            <w:pPr>
              <w:spacing w:after="0"/>
              <w:rPr>
                <w:sz w:val="22"/>
                <w:szCs w:val="22"/>
                <w:color w:val="auto"/>
              </w:rPr>
            </w:pPr>
          </w:p>
        </w:tc>
        <w:tc>
          <w:tcPr>
            <w:tcW w:w="3960" w:type="dxa"/>
            <w:vAlign w:val="bottom"/>
            <w:shd w:val="clear" w:color="auto" w:fill="C00000"/>
          </w:tcPr>
          <w:p>
            <w:pPr>
              <w:ind w:left="420"/>
              <w:spacing w:after="0"/>
              <w:rPr>
                <w:sz w:val="20"/>
                <w:szCs w:val="20"/>
                <w:color w:val="auto"/>
              </w:rPr>
            </w:pPr>
            <w:r>
              <w:rPr>
                <w:rFonts w:ascii="Arial" w:cs="Arial" w:eastAsia="Arial" w:hAnsi="Arial"/>
                <w:sz w:val="16"/>
                <w:szCs w:val="16"/>
                <w:b w:val="1"/>
                <w:bCs w:val="1"/>
                <w:color w:val="FFFFFF"/>
              </w:rPr>
              <w:t>Stock Ownership Guidelines by Position</w:t>
            </w:r>
          </w:p>
        </w:tc>
        <w:tc>
          <w:tcPr>
            <w:tcW w:w="3060" w:type="dxa"/>
            <w:vAlign w:val="bottom"/>
            <w:shd w:val="clear" w:color="auto" w:fill="C00000"/>
          </w:tcPr>
          <w:p>
            <w:pPr>
              <w:spacing w:after="0"/>
              <w:rPr>
                <w:sz w:val="22"/>
                <w:szCs w:val="22"/>
                <w:color w:val="auto"/>
              </w:rPr>
            </w:pPr>
          </w:p>
        </w:tc>
      </w:tr>
      <w:tr>
        <w:trPr>
          <w:trHeight w:val="247"/>
        </w:trPr>
        <w:tc>
          <w:tcPr>
            <w:tcW w:w="3080" w:type="dxa"/>
            <w:vAlign w:val="bottom"/>
            <w:shd w:val="clear" w:color="auto" w:fill="C00000"/>
          </w:tcPr>
          <w:p>
            <w:pPr>
              <w:jc w:val="center"/>
              <w:ind w:left="240"/>
              <w:spacing w:after="0"/>
              <w:rPr>
                <w:sz w:val="20"/>
                <w:szCs w:val="20"/>
                <w:color w:val="auto"/>
              </w:rPr>
            </w:pPr>
            <w:r>
              <w:rPr>
                <w:rFonts w:ascii="Arial" w:cs="Arial" w:eastAsia="Arial" w:hAnsi="Arial"/>
                <w:sz w:val="16"/>
                <w:szCs w:val="16"/>
                <w:b w:val="1"/>
                <w:bCs w:val="1"/>
                <w:color w:val="FFFFFF"/>
              </w:rPr>
              <w:t>Non-Employee Directors</w:t>
            </w:r>
          </w:p>
        </w:tc>
        <w:tc>
          <w:tcPr>
            <w:tcW w:w="3960" w:type="dxa"/>
            <w:vAlign w:val="bottom"/>
            <w:shd w:val="clear" w:color="auto" w:fill="C00000"/>
          </w:tcPr>
          <w:p>
            <w:pPr>
              <w:jc w:val="center"/>
              <w:ind w:left="40"/>
              <w:spacing w:after="0"/>
              <w:rPr>
                <w:sz w:val="20"/>
                <w:szCs w:val="20"/>
                <w:color w:val="auto"/>
              </w:rPr>
            </w:pPr>
            <w:r>
              <w:rPr>
                <w:rFonts w:ascii="Arial" w:cs="Arial" w:eastAsia="Arial" w:hAnsi="Arial"/>
                <w:sz w:val="16"/>
                <w:szCs w:val="16"/>
                <w:b w:val="1"/>
                <w:bCs w:val="1"/>
                <w:color w:val="FFFFFF"/>
              </w:rPr>
              <w:t>Chairman and CEO</w:t>
            </w:r>
          </w:p>
        </w:tc>
        <w:tc>
          <w:tcPr>
            <w:tcW w:w="3060" w:type="dxa"/>
            <w:vAlign w:val="bottom"/>
            <w:shd w:val="clear" w:color="auto" w:fill="C00000"/>
          </w:tcPr>
          <w:p>
            <w:pPr>
              <w:jc w:val="center"/>
              <w:ind w:right="140"/>
              <w:spacing w:after="0"/>
              <w:rPr>
                <w:sz w:val="20"/>
                <w:szCs w:val="20"/>
                <w:color w:val="auto"/>
              </w:rPr>
            </w:pPr>
            <w:r>
              <w:rPr>
                <w:rFonts w:ascii="Arial" w:cs="Arial" w:eastAsia="Arial" w:hAnsi="Arial"/>
                <w:sz w:val="16"/>
                <w:szCs w:val="16"/>
                <w:b w:val="1"/>
                <w:bCs w:val="1"/>
                <w:color w:val="FFFFFF"/>
              </w:rPr>
              <w:t>Other Executive Officers</w:t>
            </w:r>
          </w:p>
        </w:tc>
      </w:tr>
      <w:tr>
        <w:trPr>
          <w:trHeight w:val="236"/>
        </w:trPr>
        <w:tc>
          <w:tcPr>
            <w:tcW w:w="3080" w:type="dxa"/>
            <w:vAlign w:val="bottom"/>
          </w:tcPr>
          <w:p>
            <w:pPr>
              <w:jc w:val="center"/>
              <w:ind w:left="260"/>
              <w:spacing w:after="0"/>
              <w:rPr>
                <w:sz w:val="20"/>
                <w:szCs w:val="20"/>
                <w:color w:val="auto"/>
              </w:rPr>
            </w:pPr>
            <w:r>
              <w:rPr>
                <w:rFonts w:ascii="Arial" w:cs="Arial" w:eastAsia="Arial" w:hAnsi="Arial"/>
                <w:sz w:val="16"/>
                <w:szCs w:val="16"/>
                <w:color w:val="auto"/>
              </w:rPr>
              <w:t>5x annual board retainer</w:t>
            </w:r>
          </w:p>
        </w:tc>
        <w:tc>
          <w:tcPr>
            <w:tcW w:w="3960" w:type="dxa"/>
            <w:vAlign w:val="bottom"/>
          </w:tcPr>
          <w:p>
            <w:pPr>
              <w:jc w:val="center"/>
              <w:ind w:left="40"/>
              <w:spacing w:after="0"/>
              <w:rPr>
                <w:sz w:val="20"/>
                <w:szCs w:val="20"/>
                <w:color w:val="auto"/>
              </w:rPr>
            </w:pPr>
            <w:r>
              <w:rPr>
                <w:rFonts w:ascii="Arial" w:cs="Arial" w:eastAsia="Arial" w:hAnsi="Arial"/>
                <w:sz w:val="16"/>
                <w:szCs w:val="16"/>
                <w:color w:val="auto"/>
              </w:rPr>
              <w:t>5x annual base salary</w:t>
            </w:r>
          </w:p>
        </w:tc>
        <w:tc>
          <w:tcPr>
            <w:tcW w:w="3060" w:type="dxa"/>
            <w:vAlign w:val="bottom"/>
          </w:tcPr>
          <w:p>
            <w:pPr>
              <w:jc w:val="center"/>
              <w:ind w:right="140"/>
              <w:spacing w:after="0"/>
              <w:rPr>
                <w:sz w:val="20"/>
                <w:szCs w:val="20"/>
                <w:color w:val="auto"/>
              </w:rPr>
            </w:pPr>
            <w:r>
              <w:rPr>
                <w:rFonts w:ascii="Arial" w:cs="Arial" w:eastAsia="Arial" w:hAnsi="Arial"/>
                <w:sz w:val="16"/>
                <w:szCs w:val="16"/>
                <w:color w:val="auto"/>
              </w:rPr>
              <w:t>2x or 3x annual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-327660</wp:posOffset>
            </wp:positionV>
            <wp:extent cx="19640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96405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Anti-Hedging and Anti-Pledging Policies</w:t>
      </w:r>
    </w:p>
    <w:p>
      <w:pPr>
        <w:spacing w:after="0" w:line="118" w:lineRule="exact"/>
        <w:rPr>
          <w:sz w:val="20"/>
          <w:szCs w:val="20"/>
          <w:color w:val="auto"/>
        </w:rPr>
      </w:pPr>
    </w:p>
    <w:p>
      <w:pPr>
        <w:ind w:right="60" w:firstLine="401"/>
        <w:spacing w:after="0" w:line="235" w:lineRule="auto"/>
        <w:rPr>
          <w:sz w:val="20"/>
          <w:szCs w:val="20"/>
          <w:color w:val="auto"/>
        </w:rPr>
      </w:pPr>
      <w:r>
        <w:rPr>
          <w:rFonts w:ascii="Arial" w:cs="Arial" w:eastAsia="Arial" w:hAnsi="Arial"/>
          <w:sz w:val="18"/>
          <w:szCs w:val="18"/>
          <w:color w:val="auto"/>
        </w:rPr>
        <w:t>The Toro Company Insider Trading Policy (the “Insider Trading Policy”) addresses hedging, pledging and other transactions which might give the appearance of impropriety. Under the Insider Trading Policy, we consider it inappropriate for any person subject to the policy, including all directors, officers and employees of TTC, to engage in speculative transactions in TTC securities or other transactions which might give the appearance of impropriety. In addition, we discourage any person subject to the Insider Trading Policy from engaging in frequent trading in TTC securities because such trading also may give the appearance that such trades were timed to take advantage of material non-public information. Accordingly, our Insider Trading Policy either prohibits or limits the following types of transactions:</w:t>
      </w:r>
    </w:p>
    <w:p>
      <w:pPr>
        <w:spacing w:after="0" w:line="80" w:lineRule="exact"/>
        <w:rPr>
          <w:sz w:val="20"/>
          <w:szCs w:val="20"/>
          <w:color w:val="auto"/>
        </w:rPr>
      </w:pPr>
    </w:p>
    <w:p>
      <w:pPr>
        <w:ind w:left="780" w:right="240" w:hanging="384"/>
        <w:spacing w:after="0" w:line="247"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Short sales</w:t>
      </w:r>
      <w:r>
        <w:rPr>
          <w:rFonts w:ascii="Arial" w:cs="Arial" w:eastAsia="Arial" w:hAnsi="Arial"/>
          <w:sz w:val="18"/>
          <w:szCs w:val="18"/>
          <w:color w:val="auto"/>
        </w:rPr>
        <w:t>. All directors, officers and employees of TTC are prohibited from engaging in short sales of TTC securities since such</w:t>
      </w:r>
      <w:r>
        <w:rPr>
          <w:rFonts w:ascii="Arial" w:cs="Arial" w:eastAsia="Arial" w:hAnsi="Arial"/>
          <w:sz w:val="18"/>
          <w:szCs w:val="18"/>
          <w:i w:val="1"/>
          <w:iCs w:val="1"/>
          <w:color w:val="auto"/>
        </w:rPr>
        <w:t xml:space="preserve"> </w:t>
      </w:r>
      <w:r>
        <w:rPr>
          <w:rFonts w:ascii="Arial" w:cs="Arial" w:eastAsia="Arial" w:hAnsi="Arial"/>
          <w:sz w:val="18"/>
          <w:szCs w:val="18"/>
          <w:color w:val="auto"/>
        </w:rPr>
        <w:t>sales are intended to reward a person for downward changes in price, and as such, may appear to have resulted from the possession of material non-public information.</w:t>
      </w:r>
    </w:p>
    <w:p>
      <w:pPr>
        <w:spacing w:after="0" w:line="71" w:lineRule="exact"/>
        <w:rPr>
          <w:rFonts w:ascii="Arial" w:cs="Arial" w:eastAsia="Arial" w:hAnsi="Arial"/>
          <w:sz w:val="18"/>
          <w:szCs w:val="18"/>
          <w:color w:val="auto"/>
        </w:rPr>
      </w:pPr>
    </w:p>
    <w:p>
      <w:pPr>
        <w:ind w:left="780" w:right="40" w:hanging="384"/>
        <w:spacing w:after="0" w:line="242"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Publicly-traded options</w:t>
      </w:r>
      <w:r>
        <w:rPr>
          <w:rFonts w:ascii="Arial" w:cs="Arial" w:eastAsia="Arial" w:hAnsi="Arial"/>
          <w:sz w:val="18"/>
          <w:szCs w:val="18"/>
          <w:color w:val="auto"/>
        </w:rPr>
        <w:t>. All directors, officers and employees of TTC are prohibited from engaging in transactions in put options, call</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or other derivative securities involving TTC stock, whether on an exchange or otherwise, since given the relatively short terms of publicly-traded options, such transactions may create the appearance that they have resulted from possession of material non-public information.</w:t>
      </w:r>
    </w:p>
    <w:p>
      <w:pPr>
        <w:spacing w:after="0" w:line="76" w:lineRule="exact"/>
        <w:rPr>
          <w:rFonts w:ascii="Arial" w:cs="Arial" w:eastAsia="Arial" w:hAnsi="Arial"/>
          <w:sz w:val="18"/>
          <w:szCs w:val="18"/>
          <w:color w:val="auto"/>
        </w:rPr>
      </w:pPr>
    </w:p>
    <w:p>
      <w:pPr>
        <w:ind w:left="780" w:hanging="384"/>
        <w:spacing w:after="0" w:line="242"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Hedging transactions</w:t>
      </w:r>
      <w:r>
        <w:rPr>
          <w:rFonts w:ascii="Arial" w:cs="Arial" w:eastAsia="Arial" w:hAnsi="Arial"/>
          <w:sz w:val="18"/>
          <w:szCs w:val="18"/>
          <w:color w:val="auto"/>
        </w:rPr>
        <w:t>. All directors, officers and employees of TTC are prohibited from engaging in hedging transactions involving</w:t>
      </w:r>
      <w:r>
        <w:rPr>
          <w:rFonts w:ascii="Arial" w:cs="Arial" w:eastAsia="Arial" w:hAnsi="Arial"/>
          <w:sz w:val="18"/>
          <w:szCs w:val="18"/>
          <w:i w:val="1"/>
          <w:iCs w:val="1"/>
          <w:color w:val="auto"/>
        </w:rPr>
        <w:t xml:space="preserve"> </w:t>
      </w:r>
      <w:r>
        <w:rPr>
          <w:rFonts w:ascii="Arial" w:cs="Arial" w:eastAsia="Arial" w:hAnsi="Arial"/>
          <w:sz w:val="18"/>
          <w:szCs w:val="18"/>
          <w:color w:val="auto"/>
        </w:rPr>
        <w:t>TTC securities, such as collars, equity swaps, prepaid variable forwards, and exchange funds, since such transactions are designed to hedge or offset any decrease in the market value of securities and when that occurs, the owner may no longer have the same objectives as other TTC security holders.</w:t>
      </w:r>
    </w:p>
    <w:p>
      <w:pPr>
        <w:spacing w:after="0" w:line="76" w:lineRule="exact"/>
        <w:rPr>
          <w:rFonts w:ascii="Arial" w:cs="Arial" w:eastAsia="Arial" w:hAnsi="Arial"/>
          <w:sz w:val="18"/>
          <w:szCs w:val="18"/>
          <w:color w:val="auto"/>
        </w:rPr>
      </w:pPr>
    </w:p>
    <w:p>
      <w:pPr>
        <w:ind w:left="780" w:right="20" w:hanging="384"/>
        <w:spacing w:after="0" w:line="239"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Standing and limit orders</w:t>
      </w:r>
      <w:r>
        <w:rPr>
          <w:rFonts w:ascii="Arial" w:cs="Arial" w:eastAsia="Arial" w:hAnsi="Arial"/>
          <w:sz w:val="18"/>
          <w:szCs w:val="18"/>
          <w:color w:val="auto"/>
        </w:rPr>
        <w:t>. All directors, officers and employees of TTC are restricted in their use of standing and limit orders for TTC</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which are orders placed with a broker to sell or purchase stock at a specified price. Because there is no control over the timing of purchases or sales that result from standing instructions to a broker, a transaction could be executed when such shareholders are aware of material non-public information. Accordingly, the Insider Trading Policy provides that if a TTC director, officer or employee uses a standing order or limit order for TTC securities, the order should be limited in duration and should otherwise comply with the trading requirements outlined in the Insider Trading Policy.</w:t>
      </w:r>
    </w:p>
    <w:p>
      <w:pPr>
        <w:spacing w:after="0" w:line="76" w:lineRule="exact"/>
        <w:rPr>
          <w:rFonts w:ascii="Arial" w:cs="Arial" w:eastAsia="Arial" w:hAnsi="Arial"/>
          <w:sz w:val="18"/>
          <w:szCs w:val="18"/>
          <w:color w:val="auto"/>
        </w:rPr>
      </w:pPr>
    </w:p>
    <w:p>
      <w:pPr>
        <w:ind w:left="780" w:right="80" w:hanging="384"/>
        <w:spacing w:after="0" w:line="261"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Pledging</w:t>
      </w:r>
      <w:r>
        <w:rPr>
          <w:rFonts w:ascii="Arial" w:cs="Arial" w:eastAsia="Arial" w:hAnsi="Arial"/>
          <w:sz w:val="18"/>
          <w:szCs w:val="18"/>
          <w:color w:val="auto"/>
        </w:rPr>
        <w:t>. All directors and officers of TTC are prohibited from purchasing TTC securities on margin, borrowing against any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in which TTC securities are held, or pledging TTC securities as collateral for a loan.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3590" cy="2044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3590" cy="2044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b w:val="1"/>
          <w:bCs w:val="1"/>
          <w:color w:val="FFFFFF"/>
        </w:rPr>
        <w:t>EQUITY COMPENSATION PLAN INFORMATION</w:t>
      </w:r>
    </w:p>
    <w:p>
      <w:pPr>
        <w:spacing w:after="0" w:line="282" w:lineRule="exact"/>
        <w:rPr>
          <w:sz w:val="20"/>
          <w:szCs w:val="20"/>
          <w:color w:val="auto"/>
        </w:rPr>
      </w:pPr>
    </w:p>
    <w:p>
      <w:pPr>
        <w:ind w:right="120" w:firstLine="401"/>
        <w:spacing w:after="0"/>
        <w:rPr>
          <w:sz w:val="20"/>
          <w:szCs w:val="20"/>
          <w:color w:val="auto"/>
        </w:rPr>
      </w:pPr>
      <w:r>
        <w:rPr>
          <w:rFonts w:ascii="Arial" w:cs="Arial" w:eastAsia="Arial" w:hAnsi="Arial"/>
          <w:sz w:val="18"/>
          <w:szCs w:val="18"/>
          <w:color w:val="auto"/>
        </w:rPr>
        <w:t>The following table provides information about shares of our common stock that may be issued under our equity compensation plans as of October 31, 2020, the last day of fiscal 2020.</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920" w:type="dxa"/>
            <w:vAlign w:val="bottom"/>
            <w:shd w:val="clear" w:color="auto" w:fill="C00000"/>
          </w:tcPr>
          <w:p>
            <w:pPr>
              <w:spacing w:after="0"/>
              <w:rPr>
                <w:sz w:val="15"/>
                <w:szCs w:val="15"/>
                <w:color w:val="auto"/>
              </w:rPr>
            </w:pPr>
          </w:p>
        </w:tc>
        <w:tc>
          <w:tcPr>
            <w:tcW w:w="2880" w:type="dxa"/>
            <w:vAlign w:val="bottom"/>
            <w:shd w:val="clear" w:color="auto" w:fill="C00000"/>
          </w:tcPr>
          <w:p>
            <w:pPr>
              <w:spacing w:after="0"/>
              <w:rPr>
                <w:sz w:val="15"/>
                <w:szCs w:val="15"/>
                <w:color w:val="auto"/>
              </w:rPr>
            </w:pPr>
          </w:p>
        </w:tc>
        <w:tc>
          <w:tcPr>
            <w:tcW w:w="1980" w:type="dxa"/>
            <w:vAlign w:val="bottom"/>
            <w:shd w:val="clear" w:color="auto" w:fill="C00000"/>
          </w:tcPr>
          <w:p>
            <w:pPr>
              <w:spacing w:after="0"/>
              <w:rPr>
                <w:sz w:val="15"/>
                <w:szCs w:val="15"/>
                <w:color w:val="auto"/>
              </w:rPr>
            </w:pPr>
          </w:p>
        </w:tc>
        <w:tc>
          <w:tcPr>
            <w:tcW w:w="2460" w:type="dxa"/>
            <w:vAlign w:val="bottom"/>
            <w:shd w:val="clear" w:color="auto" w:fill="C00000"/>
          </w:tcPr>
          <w:p>
            <w:pPr>
              <w:jc w:val="center"/>
              <w:ind w:left="26"/>
              <w:spacing w:after="0"/>
              <w:rPr>
                <w:sz w:val="20"/>
                <w:szCs w:val="20"/>
                <w:color w:val="auto"/>
              </w:rPr>
            </w:pPr>
            <w:r>
              <w:rPr>
                <w:rFonts w:ascii="Arial" w:cs="Arial" w:eastAsia="Arial" w:hAnsi="Arial"/>
                <w:sz w:val="14"/>
                <w:szCs w:val="14"/>
                <w:color w:val="FFFFFF"/>
              </w:rPr>
              <w:t>Number of Securities</w:t>
            </w:r>
          </w:p>
        </w:tc>
        <w:tc>
          <w:tcPr>
            <w:tcW w:w="0" w:type="dxa"/>
            <w:vAlign w:val="bottom"/>
          </w:tcPr>
          <w:p>
            <w:pPr>
              <w:spacing w:after="0"/>
              <w:rPr>
                <w:sz w:val="1"/>
                <w:szCs w:val="1"/>
                <w:color w:val="auto"/>
              </w:rPr>
            </w:pPr>
          </w:p>
        </w:tc>
      </w:tr>
      <w:tr>
        <w:trPr>
          <w:trHeight w:val="161"/>
        </w:trPr>
        <w:tc>
          <w:tcPr>
            <w:tcW w:w="3920" w:type="dxa"/>
            <w:vAlign w:val="bottom"/>
            <w:shd w:val="clear" w:color="auto" w:fill="C00000"/>
          </w:tcPr>
          <w:p>
            <w:pPr>
              <w:spacing w:after="0"/>
              <w:rPr>
                <w:sz w:val="13"/>
                <w:szCs w:val="13"/>
                <w:color w:val="auto"/>
              </w:rPr>
            </w:pPr>
          </w:p>
        </w:tc>
        <w:tc>
          <w:tcPr>
            <w:tcW w:w="2880" w:type="dxa"/>
            <w:vAlign w:val="bottom"/>
            <w:shd w:val="clear" w:color="auto" w:fill="C00000"/>
          </w:tcPr>
          <w:p>
            <w:pPr>
              <w:jc w:val="center"/>
              <w:ind w:left="686"/>
              <w:spacing w:after="0"/>
              <w:rPr>
                <w:sz w:val="20"/>
                <w:szCs w:val="20"/>
                <w:color w:val="auto"/>
              </w:rPr>
            </w:pPr>
            <w:r>
              <w:rPr>
                <w:rFonts w:ascii="Arial" w:cs="Arial" w:eastAsia="Arial" w:hAnsi="Arial"/>
                <w:sz w:val="14"/>
                <w:szCs w:val="14"/>
                <w:color w:val="FFFFFF"/>
              </w:rPr>
              <w:t>Number of Securities to</w:t>
            </w:r>
          </w:p>
        </w:tc>
        <w:tc>
          <w:tcPr>
            <w:tcW w:w="1980" w:type="dxa"/>
            <w:vAlign w:val="bottom"/>
            <w:shd w:val="clear" w:color="auto" w:fill="C00000"/>
          </w:tcPr>
          <w:p>
            <w:pPr>
              <w:spacing w:after="0"/>
              <w:rPr>
                <w:sz w:val="13"/>
                <w:szCs w:val="13"/>
                <w:color w:val="auto"/>
              </w:rPr>
            </w:pPr>
          </w:p>
        </w:tc>
        <w:tc>
          <w:tcPr>
            <w:tcW w:w="2460" w:type="dxa"/>
            <w:vAlign w:val="bottom"/>
            <w:shd w:val="clear" w:color="auto" w:fill="C00000"/>
          </w:tcPr>
          <w:p>
            <w:pPr>
              <w:jc w:val="center"/>
              <w:ind w:left="46"/>
              <w:spacing w:after="0"/>
              <w:rPr>
                <w:sz w:val="20"/>
                <w:szCs w:val="20"/>
                <w:color w:val="auto"/>
              </w:rPr>
            </w:pPr>
            <w:r>
              <w:rPr>
                <w:rFonts w:ascii="Arial" w:cs="Arial" w:eastAsia="Arial" w:hAnsi="Arial"/>
                <w:sz w:val="14"/>
                <w:szCs w:val="14"/>
                <w:color w:val="FFFFFF"/>
              </w:rPr>
              <w:t>Remaining Available for</w:t>
            </w:r>
          </w:p>
        </w:tc>
        <w:tc>
          <w:tcPr>
            <w:tcW w:w="0" w:type="dxa"/>
            <w:vAlign w:val="bottom"/>
          </w:tcPr>
          <w:p>
            <w:pPr>
              <w:spacing w:after="0"/>
              <w:rPr>
                <w:sz w:val="1"/>
                <w:szCs w:val="1"/>
                <w:color w:val="auto"/>
              </w:rPr>
            </w:pPr>
          </w:p>
        </w:tc>
      </w:tr>
      <w:tr>
        <w:trPr>
          <w:trHeight w:val="161"/>
        </w:trPr>
        <w:tc>
          <w:tcPr>
            <w:tcW w:w="3920" w:type="dxa"/>
            <w:vAlign w:val="bottom"/>
            <w:shd w:val="clear" w:color="auto" w:fill="C00000"/>
          </w:tcPr>
          <w:p>
            <w:pPr>
              <w:spacing w:after="0"/>
              <w:rPr>
                <w:sz w:val="13"/>
                <w:szCs w:val="13"/>
                <w:color w:val="auto"/>
              </w:rPr>
            </w:pPr>
          </w:p>
        </w:tc>
        <w:tc>
          <w:tcPr>
            <w:tcW w:w="2880" w:type="dxa"/>
            <w:vAlign w:val="bottom"/>
            <w:shd w:val="clear" w:color="auto" w:fill="C00000"/>
          </w:tcPr>
          <w:p>
            <w:pPr>
              <w:jc w:val="center"/>
              <w:ind w:left="686"/>
              <w:spacing w:after="0"/>
              <w:rPr>
                <w:sz w:val="20"/>
                <w:szCs w:val="20"/>
                <w:color w:val="auto"/>
              </w:rPr>
            </w:pPr>
            <w:r>
              <w:rPr>
                <w:rFonts w:ascii="Arial" w:cs="Arial" w:eastAsia="Arial" w:hAnsi="Arial"/>
                <w:sz w:val="14"/>
                <w:szCs w:val="14"/>
                <w:color w:val="FFFFFF"/>
              </w:rPr>
              <w:t>be Issued Upon</w:t>
            </w:r>
          </w:p>
        </w:tc>
        <w:tc>
          <w:tcPr>
            <w:tcW w:w="1980" w:type="dxa"/>
            <w:vAlign w:val="bottom"/>
            <w:shd w:val="clear" w:color="auto" w:fill="C00000"/>
          </w:tcPr>
          <w:p>
            <w:pPr>
              <w:jc w:val="center"/>
              <w:spacing w:after="0"/>
              <w:rPr>
                <w:sz w:val="20"/>
                <w:szCs w:val="20"/>
                <w:color w:val="auto"/>
              </w:rPr>
            </w:pPr>
            <w:r>
              <w:rPr>
                <w:rFonts w:ascii="Arial" w:cs="Arial" w:eastAsia="Arial" w:hAnsi="Arial"/>
                <w:sz w:val="14"/>
                <w:szCs w:val="14"/>
                <w:color w:val="FFFFFF"/>
              </w:rPr>
              <w:t>Weighted Average</w:t>
            </w:r>
          </w:p>
        </w:tc>
        <w:tc>
          <w:tcPr>
            <w:tcW w:w="2460" w:type="dxa"/>
            <w:vAlign w:val="bottom"/>
            <w:shd w:val="clear" w:color="auto" w:fill="C00000"/>
          </w:tcPr>
          <w:p>
            <w:pPr>
              <w:jc w:val="center"/>
              <w:ind w:left="26"/>
              <w:spacing w:after="0"/>
              <w:rPr>
                <w:sz w:val="20"/>
                <w:szCs w:val="20"/>
                <w:color w:val="auto"/>
              </w:rPr>
            </w:pPr>
            <w:r>
              <w:rPr>
                <w:rFonts w:ascii="Arial" w:cs="Arial" w:eastAsia="Arial" w:hAnsi="Arial"/>
                <w:sz w:val="14"/>
                <w:szCs w:val="14"/>
                <w:color w:val="FFFFFF"/>
              </w:rPr>
              <w:t>Future Issuance Under</w:t>
            </w:r>
          </w:p>
        </w:tc>
        <w:tc>
          <w:tcPr>
            <w:tcW w:w="0" w:type="dxa"/>
            <w:vAlign w:val="bottom"/>
          </w:tcPr>
          <w:p>
            <w:pPr>
              <w:spacing w:after="0"/>
              <w:rPr>
                <w:sz w:val="1"/>
                <w:szCs w:val="1"/>
                <w:color w:val="auto"/>
              </w:rPr>
            </w:pPr>
          </w:p>
        </w:tc>
      </w:tr>
      <w:tr>
        <w:trPr>
          <w:trHeight w:val="161"/>
        </w:trPr>
        <w:tc>
          <w:tcPr>
            <w:tcW w:w="3920" w:type="dxa"/>
            <w:vAlign w:val="bottom"/>
            <w:shd w:val="clear" w:color="auto" w:fill="C00000"/>
          </w:tcPr>
          <w:p>
            <w:pPr>
              <w:spacing w:after="0"/>
              <w:rPr>
                <w:sz w:val="13"/>
                <w:szCs w:val="13"/>
                <w:color w:val="auto"/>
              </w:rPr>
            </w:pPr>
          </w:p>
        </w:tc>
        <w:tc>
          <w:tcPr>
            <w:tcW w:w="2880" w:type="dxa"/>
            <w:vAlign w:val="bottom"/>
            <w:shd w:val="clear" w:color="auto" w:fill="C00000"/>
          </w:tcPr>
          <w:p>
            <w:pPr>
              <w:jc w:val="center"/>
              <w:ind w:left="686"/>
              <w:spacing w:after="0"/>
              <w:rPr>
                <w:sz w:val="20"/>
                <w:szCs w:val="20"/>
                <w:color w:val="auto"/>
              </w:rPr>
            </w:pPr>
            <w:r>
              <w:rPr>
                <w:rFonts w:ascii="Arial" w:cs="Arial" w:eastAsia="Arial" w:hAnsi="Arial"/>
                <w:sz w:val="14"/>
                <w:szCs w:val="14"/>
                <w:color w:val="FFFFFF"/>
              </w:rPr>
              <w:t>Exercise of</w:t>
            </w:r>
          </w:p>
        </w:tc>
        <w:tc>
          <w:tcPr>
            <w:tcW w:w="1980" w:type="dxa"/>
            <w:vAlign w:val="bottom"/>
            <w:shd w:val="clear" w:color="auto" w:fill="C00000"/>
          </w:tcPr>
          <w:p>
            <w:pPr>
              <w:jc w:val="center"/>
              <w:spacing w:after="0"/>
              <w:rPr>
                <w:sz w:val="20"/>
                <w:szCs w:val="20"/>
                <w:color w:val="auto"/>
              </w:rPr>
            </w:pPr>
            <w:r>
              <w:rPr>
                <w:rFonts w:ascii="Arial" w:cs="Arial" w:eastAsia="Arial" w:hAnsi="Arial"/>
                <w:sz w:val="14"/>
                <w:szCs w:val="14"/>
                <w:color w:val="FFFFFF"/>
              </w:rPr>
              <w:t>Exercise Price of</w:t>
            </w:r>
          </w:p>
        </w:tc>
        <w:tc>
          <w:tcPr>
            <w:tcW w:w="2460" w:type="dxa"/>
            <w:vAlign w:val="bottom"/>
            <w:shd w:val="clear" w:color="auto" w:fill="C00000"/>
          </w:tcPr>
          <w:p>
            <w:pPr>
              <w:jc w:val="center"/>
              <w:ind w:left="26"/>
              <w:spacing w:after="0"/>
              <w:rPr>
                <w:sz w:val="20"/>
                <w:szCs w:val="20"/>
                <w:color w:val="auto"/>
              </w:rPr>
            </w:pPr>
            <w:r>
              <w:rPr>
                <w:rFonts w:ascii="Arial" w:cs="Arial" w:eastAsia="Arial" w:hAnsi="Arial"/>
                <w:sz w:val="14"/>
                <w:szCs w:val="14"/>
                <w:color w:val="FFFFFF"/>
              </w:rPr>
              <w:t>Equity Compensation Plans</w:t>
            </w:r>
          </w:p>
        </w:tc>
        <w:tc>
          <w:tcPr>
            <w:tcW w:w="0" w:type="dxa"/>
            <w:vAlign w:val="bottom"/>
          </w:tcPr>
          <w:p>
            <w:pPr>
              <w:spacing w:after="0"/>
              <w:rPr>
                <w:sz w:val="1"/>
                <w:szCs w:val="1"/>
                <w:color w:val="auto"/>
              </w:rPr>
            </w:pPr>
          </w:p>
        </w:tc>
      </w:tr>
      <w:tr>
        <w:trPr>
          <w:trHeight w:val="161"/>
        </w:trPr>
        <w:tc>
          <w:tcPr>
            <w:tcW w:w="3920" w:type="dxa"/>
            <w:vAlign w:val="bottom"/>
            <w:shd w:val="clear" w:color="auto" w:fill="C00000"/>
          </w:tcPr>
          <w:p>
            <w:pPr>
              <w:spacing w:after="0"/>
              <w:rPr>
                <w:sz w:val="13"/>
                <w:szCs w:val="13"/>
                <w:color w:val="auto"/>
              </w:rPr>
            </w:pPr>
          </w:p>
        </w:tc>
        <w:tc>
          <w:tcPr>
            <w:tcW w:w="2880" w:type="dxa"/>
            <w:vAlign w:val="bottom"/>
            <w:shd w:val="clear" w:color="auto" w:fill="C00000"/>
          </w:tcPr>
          <w:p>
            <w:pPr>
              <w:jc w:val="center"/>
              <w:ind w:left="666"/>
              <w:spacing w:after="0"/>
              <w:rPr>
                <w:sz w:val="20"/>
                <w:szCs w:val="20"/>
                <w:color w:val="auto"/>
              </w:rPr>
            </w:pPr>
            <w:r>
              <w:rPr>
                <w:rFonts w:ascii="Arial" w:cs="Arial" w:eastAsia="Arial" w:hAnsi="Arial"/>
                <w:sz w:val="14"/>
                <w:szCs w:val="14"/>
                <w:color w:val="FFFFFF"/>
              </w:rPr>
              <w:t>Outstanding Options,</w:t>
            </w:r>
          </w:p>
        </w:tc>
        <w:tc>
          <w:tcPr>
            <w:tcW w:w="1980" w:type="dxa"/>
            <w:vAlign w:val="bottom"/>
            <w:shd w:val="clear" w:color="auto" w:fill="C00000"/>
          </w:tcPr>
          <w:p>
            <w:pPr>
              <w:jc w:val="center"/>
              <w:spacing w:after="0"/>
              <w:rPr>
                <w:sz w:val="20"/>
                <w:szCs w:val="20"/>
                <w:color w:val="auto"/>
              </w:rPr>
            </w:pPr>
            <w:r>
              <w:rPr>
                <w:rFonts w:ascii="Arial" w:cs="Arial" w:eastAsia="Arial" w:hAnsi="Arial"/>
                <w:sz w:val="14"/>
                <w:szCs w:val="14"/>
                <w:color w:val="FFFFFF"/>
              </w:rPr>
              <w:t>Outstanding Options,</w:t>
            </w:r>
          </w:p>
        </w:tc>
        <w:tc>
          <w:tcPr>
            <w:tcW w:w="2460" w:type="dxa"/>
            <w:vAlign w:val="bottom"/>
            <w:shd w:val="clear" w:color="auto" w:fill="C00000"/>
          </w:tcPr>
          <w:p>
            <w:pPr>
              <w:jc w:val="center"/>
              <w:ind w:left="26"/>
              <w:spacing w:after="0"/>
              <w:rPr>
                <w:sz w:val="20"/>
                <w:szCs w:val="20"/>
                <w:color w:val="auto"/>
              </w:rPr>
            </w:pPr>
            <w:r>
              <w:rPr>
                <w:rFonts w:ascii="Arial" w:cs="Arial" w:eastAsia="Arial" w:hAnsi="Arial"/>
                <w:sz w:val="14"/>
                <w:szCs w:val="14"/>
                <w:color w:val="FFFFFF"/>
              </w:rPr>
              <w:t>(excluding securities reflected</w:t>
            </w:r>
          </w:p>
        </w:tc>
        <w:tc>
          <w:tcPr>
            <w:tcW w:w="0" w:type="dxa"/>
            <w:vAlign w:val="bottom"/>
          </w:tcPr>
          <w:p>
            <w:pPr>
              <w:spacing w:after="0"/>
              <w:rPr>
                <w:sz w:val="1"/>
                <w:szCs w:val="1"/>
                <w:color w:val="auto"/>
              </w:rPr>
            </w:pPr>
          </w:p>
        </w:tc>
      </w:tr>
      <w:tr>
        <w:trPr>
          <w:trHeight w:val="161"/>
        </w:trPr>
        <w:tc>
          <w:tcPr>
            <w:tcW w:w="3920" w:type="dxa"/>
            <w:vAlign w:val="bottom"/>
            <w:shd w:val="clear" w:color="auto" w:fill="C00000"/>
          </w:tcPr>
          <w:p>
            <w:pPr>
              <w:spacing w:after="0"/>
              <w:rPr>
                <w:sz w:val="13"/>
                <w:szCs w:val="13"/>
                <w:color w:val="auto"/>
              </w:rPr>
            </w:pPr>
          </w:p>
        </w:tc>
        <w:tc>
          <w:tcPr>
            <w:tcW w:w="2880" w:type="dxa"/>
            <w:vAlign w:val="bottom"/>
            <w:shd w:val="clear" w:color="auto" w:fill="C00000"/>
          </w:tcPr>
          <w:p>
            <w:pPr>
              <w:jc w:val="center"/>
              <w:ind w:left="666"/>
              <w:spacing w:after="0"/>
              <w:rPr>
                <w:sz w:val="20"/>
                <w:szCs w:val="20"/>
                <w:color w:val="auto"/>
              </w:rPr>
            </w:pPr>
            <w:r>
              <w:rPr>
                <w:rFonts w:ascii="Arial" w:cs="Arial" w:eastAsia="Arial" w:hAnsi="Arial"/>
                <w:sz w:val="14"/>
                <w:szCs w:val="14"/>
                <w:color w:val="FFFFFF"/>
              </w:rPr>
              <w:t>Warrants and Rights</w:t>
            </w:r>
          </w:p>
        </w:tc>
        <w:tc>
          <w:tcPr>
            <w:tcW w:w="1980" w:type="dxa"/>
            <w:vAlign w:val="bottom"/>
            <w:shd w:val="clear" w:color="auto" w:fill="C00000"/>
          </w:tcPr>
          <w:p>
            <w:pPr>
              <w:jc w:val="center"/>
              <w:spacing w:after="0"/>
              <w:rPr>
                <w:sz w:val="20"/>
                <w:szCs w:val="20"/>
                <w:color w:val="auto"/>
              </w:rPr>
            </w:pPr>
            <w:r>
              <w:rPr>
                <w:rFonts w:ascii="Arial" w:cs="Arial" w:eastAsia="Arial" w:hAnsi="Arial"/>
                <w:sz w:val="14"/>
                <w:szCs w:val="14"/>
                <w:color w:val="FFFFFF"/>
              </w:rPr>
              <w:t>Warrants and Rights</w:t>
            </w:r>
          </w:p>
        </w:tc>
        <w:tc>
          <w:tcPr>
            <w:tcW w:w="2460" w:type="dxa"/>
            <w:vAlign w:val="bottom"/>
            <w:shd w:val="clear" w:color="auto" w:fill="C00000"/>
          </w:tcPr>
          <w:p>
            <w:pPr>
              <w:jc w:val="center"/>
              <w:ind w:left="26"/>
              <w:spacing w:after="0"/>
              <w:rPr>
                <w:sz w:val="20"/>
                <w:szCs w:val="20"/>
                <w:color w:val="auto"/>
              </w:rPr>
            </w:pPr>
            <w:r>
              <w:rPr>
                <w:rFonts w:ascii="Arial" w:cs="Arial" w:eastAsia="Arial" w:hAnsi="Arial"/>
                <w:sz w:val="14"/>
                <w:szCs w:val="14"/>
                <w:color w:val="FFFFFF"/>
              </w:rPr>
              <w:t>in column (a))</w:t>
            </w:r>
          </w:p>
        </w:tc>
        <w:tc>
          <w:tcPr>
            <w:tcW w:w="0" w:type="dxa"/>
            <w:vAlign w:val="bottom"/>
          </w:tcPr>
          <w:p>
            <w:pPr>
              <w:spacing w:after="0"/>
              <w:rPr>
                <w:sz w:val="1"/>
                <w:szCs w:val="1"/>
                <w:color w:val="auto"/>
              </w:rPr>
            </w:pPr>
          </w:p>
        </w:tc>
      </w:tr>
      <w:tr>
        <w:trPr>
          <w:trHeight w:val="156"/>
        </w:trPr>
        <w:tc>
          <w:tcPr>
            <w:tcW w:w="3920" w:type="dxa"/>
            <w:vAlign w:val="bottom"/>
            <w:shd w:val="clear" w:color="auto" w:fill="C00000"/>
          </w:tcPr>
          <w:p>
            <w:pPr>
              <w:spacing w:after="0" w:line="156" w:lineRule="exact"/>
              <w:rPr>
                <w:sz w:val="20"/>
                <w:szCs w:val="20"/>
                <w:color w:val="auto"/>
              </w:rPr>
            </w:pPr>
            <w:r>
              <w:rPr>
                <w:rFonts w:ascii="Arial" w:cs="Arial" w:eastAsia="Arial" w:hAnsi="Arial"/>
                <w:sz w:val="14"/>
                <w:szCs w:val="14"/>
                <w:color w:val="FFFFFF"/>
              </w:rPr>
              <w:t>Plan Category</w:t>
            </w:r>
          </w:p>
        </w:tc>
        <w:tc>
          <w:tcPr>
            <w:tcW w:w="2880" w:type="dxa"/>
            <w:vAlign w:val="bottom"/>
            <w:shd w:val="clear" w:color="auto" w:fill="C00000"/>
          </w:tcPr>
          <w:p>
            <w:pPr>
              <w:jc w:val="center"/>
              <w:ind w:left="686"/>
              <w:spacing w:after="0" w:line="156" w:lineRule="exact"/>
              <w:rPr>
                <w:sz w:val="20"/>
                <w:szCs w:val="20"/>
                <w:color w:val="auto"/>
              </w:rPr>
            </w:pPr>
            <w:r>
              <w:rPr>
                <w:rFonts w:ascii="Arial" w:cs="Arial" w:eastAsia="Arial" w:hAnsi="Arial"/>
                <w:sz w:val="14"/>
                <w:szCs w:val="14"/>
                <w:color w:val="FFFFFF"/>
                <w:w w:val="93"/>
              </w:rPr>
              <w:t>(a)</w:t>
            </w:r>
          </w:p>
        </w:tc>
        <w:tc>
          <w:tcPr>
            <w:tcW w:w="1980" w:type="dxa"/>
            <w:vAlign w:val="bottom"/>
            <w:shd w:val="clear" w:color="auto" w:fill="C00000"/>
          </w:tcPr>
          <w:p>
            <w:pPr>
              <w:jc w:val="center"/>
              <w:spacing w:after="0" w:line="156" w:lineRule="exact"/>
              <w:rPr>
                <w:sz w:val="20"/>
                <w:szCs w:val="20"/>
                <w:color w:val="auto"/>
              </w:rPr>
            </w:pPr>
            <w:r>
              <w:rPr>
                <w:rFonts w:ascii="Arial" w:cs="Arial" w:eastAsia="Arial" w:hAnsi="Arial"/>
                <w:sz w:val="14"/>
                <w:szCs w:val="14"/>
                <w:color w:val="FFFFFF"/>
                <w:w w:val="93"/>
              </w:rPr>
              <w:t>(b)</w:t>
            </w:r>
          </w:p>
        </w:tc>
        <w:tc>
          <w:tcPr>
            <w:tcW w:w="2460" w:type="dxa"/>
            <w:vAlign w:val="bottom"/>
            <w:shd w:val="clear" w:color="auto" w:fill="C00000"/>
          </w:tcPr>
          <w:p>
            <w:pPr>
              <w:jc w:val="center"/>
              <w:ind w:left="26"/>
              <w:spacing w:after="0" w:line="156" w:lineRule="exact"/>
              <w:rPr>
                <w:sz w:val="20"/>
                <w:szCs w:val="20"/>
                <w:color w:val="auto"/>
              </w:rPr>
            </w:pPr>
            <w:r>
              <w:rPr>
                <w:rFonts w:ascii="Arial" w:cs="Arial" w:eastAsia="Arial" w:hAnsi="Arial"/>
                <w:sz w:val="14"/>
                <w:szCs w:val="14"/>
                <w:color w:val="FFFFFF"/>
                <w:w w:val="97"/>
              </w:rPr>
              <w:t>(c)</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Equity compensation plans approved by</w:t>
            </w:r>
          </w:p>
        </w:tc>
        <w:tc>
          <w:tcPr>
            <w:tcW w:w="2880" w:type="dxa"/>
            <w:vAlign w:val="bottom"/>
            <w:vMerge w:val="restart"/>
          </w:tcPr>
          <w:p>
            <w:pPr>
              <w:jc w:val="center"/>
              <w:ind w:left="686"/>
              <w:spacing w:after="0"/>
              <w:rPr>
                <w:sz w:val="20"/>
                <w:szCs w:val="20"/>
                <w:color w:val="auto"/>
              </w:rPr>
            </w:pPr>
            <w:r>
              <w:rPr>
                <w:rFonts w:ascii="Arial" w:cs="Arial" w:eastAsia="Arial" w:hAnsi="Arial"/>
                <w:sz w:val="16"/>
                <w:szCs w:val="16"/>
                <w:color w:val="auto"/>
                <w:w w:val="94"/>
              </w:rPr>
              <w:t>3,121,725</w:t>
            </w:r>
            <w:r>
              <w:rPr>
                <w:rFonts w:ascii="Arial" w:cs="Arial" w:eastAsia="Arial" w:hAnsi="Arial"/>
                <w:sz w:val="27"/>
                <w:szCs w:val="27"/>
                <w:color w:val="auto"/>
                <w:w w:val="94"/>
                <w:vertAlign w:val="superscript"/>
              </w:rPr>
              <w:t>(1)</w:t>
            </w:r>
          </w:p>
        </w:tc>
        <w:tc>
          <w:tcPr>
            <w:tcW w:w="1980" w:type="dxa"/>
            <w:vAlign w:val="bottom"/>
            <w:vMerge w:val="restart"/>
          </w:tcPr>
          <w:p>
            <w:pPr>
              <w:jc w:val="center"/>
              <w:spacing w:after="0"/>
              <w:rPr>
                <w:sz w:val="20"/>
                <w:szCs w:val="20"/>
                <w:color w:val="auto"/>
              </w:rPr>
            </w:pPr>
            <w:r>
              <w:rPr>
                <w:rFonts w:ascii="Arial" w:cs="Arial" w:eastAsia="Arial" w:hAnsi="Arial"/>
                <w:sz w:val="16"/>
                <w:szCs w:val="16"/>
                <w:color w:val="auto"/>
                <w:w w:val="92"/>
              </w:rPr>
              <w:t>$54.40</w:t>
            </w:r>
            <w:r>
              <w:rPr>
                <w:rFonts w:ascii="Arial" w:cs="Arial" w:eastAsia="Arial" w:hAnsi="Arial"/>
                <w:sz w:val="27"/>
                <w:szCs w:val="27"/>
                <w:color w:val="auto"/>
                <w:w w:val="92"/>
                <w:vertAlign w:val="superscript"/>
              </w:rPr>
              <w:t>(2)</w:t>
            </w:r>
          </w:p>
        </w:tc>
        <w:tc>
          <w:tcPr>
            <w:tcW w:w="2460" w:type="dxa"/>
            <w:vAlign w:val="bottom"/>
            <w:vMerge w:val="restart"/>
          </w:tcPr>
          <w:p>
            <w:pPr>
              <w:jc w:val="center"/>
              <w:ind w:left="26"/>
              <w:spacing w:after="0"/>
              <w:rPr>
                <w:sz w:val="20"/>
                <w:szCs w:val="20"/>
                <w:color w:val="auto"/>
              </w:rPr>
            </w:pPr>
            <w:r>
              <w:rPr>
                <w:rFonts w:ascii="Arial" w:cs="Arial" w:eastAsia="Arial" w:hAnsi="Arial"/>
                <w:sz w:val="16"/>
                <w:szCs w:val="16"/>
                <w:color w:val="auto"/>
                <w:w w:val="94"/>
              </w:rPr>
              <w:t>3,740,799</w:t>
            </w:r>
            <w:r>
              <w:rPr>
                <w:rFonts w:ascii="Arial" w:cs="Arial" w:eastAsia="Arial" w:hAnsi="Arial"/>
                <w:sz w:val="27"/>
                <w:szCs w:val="27"/>
                <w:color w:val="auto"/>
                <w:w w:val="94"/>
                <w:vertAlign w:val="superscript"/>
              </w:rPr>
              <w:t>(3)</w:t>
            </w:r>
          </w:p>
        </w:tc>
        <w:tc>
          <w:tcPr>
            <w:tcW w:w="0" w:type="dxa"/>
            <w:vAlign w:val="bottom"/>
          </w:tcPr>
          <w:p>
            <w:pPr>
              <w:spacing w:after="0"/>
              <w:rPr>
                <w:sz w:val="1"/>
                <w:szCs w:val="1"/>
                <w:color w:val="auto"/>
              </w:rPr>
            </w:pPr>
          </w:p>
        </w:tc>
      </w:tr>
      <w:tr>
        <w:trPr>
          <w:trHeight w:val="186"/>
        </w:trPr>
        <w:tc>
          <w:tcPr>
            <w:tcW w:w="3920" w:type="dxa"/>
            <w:vAlign w:val="bottom"/>
          </w:tcPr>
          <w:p>
            <w:pPr>
              <w:ind w:left="140"/>
              <w:spacing w:after="0"/>
              <w:rPr>
                <w:sz w:val="20"/>
                <w:szCs w:val="20"/>
                <w:color w:val="auto"/>
              </w:rPr>
            </w:pPr>
            <w:r>
              <w:rPr>
                <w:rFonts w:ascii="Arial" w:cs="Arial" w:eastAsia="Arial" w:hAnsi="Arial"/>
                <w:sz w:val="16"/>
                <w:szCs w:val="16"/>
                <w:color w:val="auto"/>
              </w:rPr>
              <w:t>security holders</w:t>
            </w:r>
          </w:p>
        </w:tc>
        <w:tc>
          <w:tcPr>
            <w:tcW w:w="2880" w:type="dxa"/>
            <w:vAlign w:val="bottom"/>
            <w:vMerge w:val="continue"/>
          </w:tcPr>
          <w:p>
            <w:pPr>
              <w:spacing w:after="0"/>
              <w:rPr>
                <w:sz w:val="16"/>
                <w:szCs w:val="16"/>
                <w:color w:val="auto"/>
              </w:rPr>
            </w:pPr>
          </w:p>
        </w:tc>
        <w:tc>
          <w:tcPr>
            <w:tcW w:w="1980" w:type="dxa"/>
            <w:vAlign w:val="bottom"/>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D9D9D9"/>
          </w:tcPr>
          <w:p>
            <w:pPr>
              <w:spacing w:after="0"/>
              <w:rPr>
                <w:sz w:val="20"/>
                <w:szCs w:val="20"/>
                <w:color w:val="auto"/>
              </w:rPr>
            </w:pPr>
            <w:r>
              <w:rPr>
                <w:rFonts w:ascii="Arial" w:cs="Arial" w:eastAsia="Arial" w:hAnsi="Arial"/>
                <w:sz w:val="16"/>
                <w:szCs w:val="16"/>
                <w:color w:val="auto"/>
              </w:rPr>
              <w:t>Equity compensation plans not</w:t>
            </w:r>
          </w:p>
        </w:tc>
        <w:tc>
          <w:tcPr>
            <w:tcW w:w="2880" w:type="dxa"/>
            <w:vAlign w:val="bottom"/>
            <w:shd w:val="clear" w:color="auto" w:fill="D9D9D9"/>
          </w:tcPr>
          <w:p>
            <w:pPr>
              <w:spacing w:after="0"/>
              <w:rPr>
                <w:sz w:val="17"/>
                <w:szCs w:val="17"/>
                <w:color w:val="auto"/>
              </w:rPr>
            </w:pPr>
          </w:p>
        </w:tc>
        <w:tc>
          <w:tcPr>
            <w:tcW w:w="1980" w:type="dxa"/>
            <w:vAlign w:val="bottom"/>
            <w:shd w:val="clear" w:color="auto" w:fill="D9D9D9"/>
          </w:tcPr>
          <w:p>
            <w:pPr>
              <w:spacing w:after="0"/>
              <w:rPr>
                <w:sz w:val="17"/>
                <w:szCs w:val="17"/>
                <w:color w:val="auto"/>
              </w:rPr>
            </w:pPr>
          </w:p>
        </w:tc>
        <w:tc>
          <w:tcPr>
            <w:tcW w:w="246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920" w:type="dxa"/>
            <w:vAlign w:val="bottom"/>
            <w:shd w:val="clear" w:color="auto" w:fill="D9D9D9"/>
          </w:tcPr>
          <w:p>
            <w:pPr>
              <w:ind w:left="140"/>
              <w:spacing w:after="0"/>
              <w:rPr>
                <w:sz w:val="20"/>
                <w:szCs w:val="20"/>
                <w:color w:val="auto"/>
              </w:rPr>
            </w:pPr>
            <w:r>
              <w:rPr>
                <w:rFonts w:ascii="Arial" w:cs="Arial" w:eastAsia="Arial" w:hAnsi="Arial"/>
                <w:sz w:val="16"/>
                <w:szCs w:val="16"/>
                <w:color w:val="auto"/>
              </w:rPr>
              <w:t>approved by security holders</w:t>
            </w:r>
          </w:p>
        </w:tc>
        <w:tc>
          <w:tcPr>
            <w:tcW w:w="2880" w:type="dxa"/>
            <w:vAlign w:val="bottom"/>
            <w:shd w:val="clear" w:color="auto" w:fill="D9D9D9"/>
          </w:tcPr>
          <w:p>
            <w:pPr>
              <w:jc w:val="center"/>
              <w:ind w:left="686"/>
              <w:spacing w:after="0"/>
              <w:rPr>
                <w:sz w:val="20"/>
                <w:szCs w:val="20"/>
                <w:color w:val="auto"/>
              </w:rPr>
            </w:pPr>
            <w:r>
              <w:rPr>
                <w:rFonts w:ascii="Arial" w:cs="Arial" w:eastAsia="Arial" w:hAnsi="Arial"/>
                <w:sz w:val="16"/>
                <w:szCs w:val="16"/>
                <w:color w:val="auto"/>
              </w:rPr>
              <w:t>N/A</w:t>
            </w:r>
          </w:p>
        </w:tc>
        <w:tc>
          <w:tcPr>
            <w:tcW w:w="198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N/A</w:t>
            </w:r>
          </w:p>
        </w:tc>
        <w:tc>
          <w:tcPr>
            <w:tcW w:w="2460" w:type="dxa"/>
            <w:vAlign w:val="bottom"/>
            <w:shd w:val="clear" w:color="auto" w:fill="D9D9D9"/>
          </w:tcPr>
          <w:p>
            <w:pPr>
              <w:jc w:val="center"/>
              <w:ind w:left="26"/>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60"/>
        </w:trPr>
        <w:tc>
          <w:tcPr>
            <w:tcW w:w="3920" w:type="dxa"/>
            <w:vAlign w:val="bottom"/>
          </w:tcPr>
          <w:p>
            <w:pPr>
              <w:spacing w:after="0"/>
              <w:rPr>
                <w:sz w:val="20"/>
                <w:szCs w:val="20"/>
                <w:color w:val="auto"/>
              </w:rPr>
            </w:pPr>
            <w:r>
              <w:rPr>
                <w:rFonts w:ascii="Arial" w:cs="Arial" w:eastAsia="Arial" w:hAnsi="Arial"/>
                <w:sz w:val="16"/>
                <w:szCs w:val="16"/>
                <w:color w:val="auto"/>
              </w:rPr>
              <w:t>Total</w:t>
            </w:r>
          </w:p>
        </w:tc>
        <w:tc>
          <w:tcPr>
            <w:tcW w:w="2880" w:type="dxa"/>
            <w:vAlign w:val="bottom"/>
          </w:tcPr>
          <w:p>
            <w:pPr>
              <w:jc w:val="center"/>
              <w:ind w:left="686"/>
              <w:spacing w:after="0"/>
              <w:rPr>
                <w:sz w:val="20"/>
                <w:szCs w:val="20"/>
                <w:color w:val="auto"/>
              </w:rPr>
            </w:pPr>
            <w:r>
              <w:rPr>
                <w:rFonts w:ascii="Arial" w:cs="Arial" w:eastAsia="Arial" w:hAnsi="Arial"/>
                <w:sz w:val="16"/>
                <w:szCs w:val="16"/>
                <w:color w:val="auto"/>
                <w:w w:val="94"/>
              </w:rPr>
              <w:t>3,121,725</w:t>
            </w:r>
            <w:r>
              <w:rPr>
                <w:rFonts w:ascii="Arial" w:cs="Arial" w:eastAsia="Arial" w:hAnsi="Arial"/>
                <w:sz w:val="27"/>
                <w:szCs w:val="27"/>
                <w:color w:val="auto"/>
                <w:w w:val="94"/>
                <w:vertAlign w:val="superscript"/>
              </w:rPr>
              <w:t>(1)</w:t>
            </w:r>
          </w:p>
        </w:tc>
        <w:tc>
          <w:tcPr>
            <w:tcW w:w="1980" w:type="dxa"/>
            <w:vAlign w:val="bottom"/>
          </w:tcPr>
          <w:p>
            <w:pPr>
              <w:jc w:val="center"/>
              <w:spacing w:after="0"/>
              <w:rPr>
                <w:sz w:val="20"/>
                <w:szCs w:val="20"/>
                <w:color w:val="auto"/>
              </w:rPr>
            </w:pPr>
            <w:r>
              <w:rPr>
                <w:rFonts w:ascii="Arial" w:cs="Arial" w:eastAsia="Arial" w:hAnsi="Arial"/>
                <w:sz w:val="16"/>
                <w:szCs w:val="16"/>
                <w:color w:val="auto"/>
                <w:w w:val="92"/>
              </w:rPr>
              <w:t>$54.40</w:t>
            </w:r>
            <w:r>
              <w:rPr>
                <w:rFonts w:ascii="Arial" w:cs="Arial" w:eastAsia="Arial" w:hAnsi="Arial"/>
                <w:sz w:val="27"/>
                <w:szCs w:val="27"/>
                <w:color w:val="auto"/>
                <w:w w:val="92"/>
                <w:vertAlign w:val="superscript"/>
              </w:rPr>
              <w:t>(2)</w:t>
            </w:r>
          </w:p>
        </w:tc>
        <w:tc>
          <w:tcPr>
            <w:tcW w:w="2460" w:type="dxa"/>
            <w:vAlign w:val="bottom"/>
          </w:tcPr>
          <w:p>
            <w:pPr>
              <w:jc w:val="center"/>
              <w:ind w:left="26"/>
              <w:spacing w:after="0"/>
              <w:rPr>
                <w:sz w:val="20"/>
                <w:szCs w:val="20"/>
                <w:color w:val="auto"/>
              </w:rPr>
            </w:pPr>
            <w:r>
              <w:rPr>
                <w:rFonts w:ascii="Arial" w:cs="Arial" w:eastAsia="Arial" w:hAnsi="Arial"/>
                <w:sz w:val="16"/>
                <w:szCs w:val="16"/>
                <w:color w:val="auto"/>
                <w:w w:val="94"/>
              </w:rPr>
              <w:t>3,740,799</w:t>
            </w:r>
            <w:r>
              <w:rPr>
                <w:rFonts w:ascii="Arial" w:cs="Arial" w:eastAsia="Arial" w:hAnsi="Arial"/>
                <w:sz w:val="27"/>
                <w:szCs w:val="27"/>
                <w:color w:val="auto"/>
                <w:w w:val="94"/>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203454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ind w:left="400" w:right="160" w:hanging="393"/>
        <w:spacing w:after="0" w:line="236" w:lineRule="auto"/>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Amount includes: 2,646,603 outstanding stock options under the 2010 Plan; 100,280 outstanding restricted stock unit awards under the 2010 Plan, including share dividend equivalents that have been issued on such outstanding restricted stock units; and 374,842 outstanding performance share awards under the 2010 Plan, assuming a maximum level of achievement. The actual number of shares that will be issued under the performance share awards is determined by the level of achievement of performance goals.</w:t>
      </w:r>
    </w:p>
    <w:p>
      <w:pPr>
        <w:spacing w:after="0" w:line="43" w:lineRule="exact"/>
        <w:rPr>
          <w:rFonts w:ascii="Arial" w:cs="Arial" w:eastAsia="Arial" w:hAnsi="Arial"/>
          <w:sz w:val="18"/>
          <w:szCs w:val="18"/>
          <w:color w:val="auto"/>
        </w:rPr>
      </w:pPr>
    </w:p>
    <w:p>
      <w:pPr>
        <w:ind w:left="400" w:right="60" w:hanging="393"/>
        <w:spacing w:after="0"/>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Performance share awards and restricted stock units do not have exercise prices and, therefore, have been excluded from the weighted-average exercise price calculation in column (b).</w:t>
      </w:r>
    </w:p>
    <w:p>
      <w:pPr>
        <w:spacing w:after="0" w:line="41" w:lineRule="exact"/>
        <w:rPr>
          <w:rFonts w:ascii="Arial" w:cs="Arial" w:eastAsia="Arial" w:hAnsi="Arial"/>
          <w:sz w:val="18"/>
          <w:szCs w:val="18"/>
          <w:color w:val="auto"/>
        </w:rPr>
      </w:pPr>
    </w:p>
    <w:p>
      <w:pPr>
        <w:ind w:left="400" w:hanging="393"/>
        <w:spacing w:after="0"/>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Amount represents shares available for future issuance upon awards that may be granted under the 2010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167005</wp:posOffset>
            </wp:positionV>
            <wp:extent cx="7133590" cy="2044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3590" cy="204470"/>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FFFFFF"/>
        </w:rPr>
        <w:t>OTHER INFORMATION</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Shareholder Proposals and Director Nominations for the 2022 Annual Meeting</w:t>
      </w:r>
    </w:p>
    <w:p>
      <w:pPr>
        <w:spacing w:after="0" w:line="118" w:lineRule="exact"/>
        <w:rPr>
          <w:sz w:val="20"/>
          <w:szCs w:val="20"/>
          <w:color w:val="auto"/>
        </w:rPr>
      </w:pPr>
    </w:p>
    <w:p>
      <w:pPr>
        <w:ind w:firstLine="401"/>
        <w:spacing w:after="0" w:line="236" w:lineRule="auto"/>
        <w:rPr>
          <w:sz w:val="20"/>
          <w:szCs w:val="20"/>
          <w:color w:val="auto"/>
        </w:rPr>
      </w:pPr>
      <w:r>
        <w:rPr>
          <w:rFonts w:ascii="Arial" w:cs="Arial" w:eastAsia="Arial" w:hAnsi="Arial"/>
          <w:sz w:val="18"/>
          <w:szCs w:val="18"/>
          <w:color w:val="auto"/>
        </w:rPr>
        <w:t>The 2022 Annual Meeting of Shareholders is expected to be held on March 15, 2022. In order for a shareholder proposal to be included in our proxy statement for the 2022 Annual Meeting, (i) our General Counsel must receive such proposal no later than the close of business on October 6, 2021, unless the date of the 2022 Annual Meeting is delayed by more than 30 calendar days; and (ii) such proposal must satisfy all of the requirements of, and not otherwise be permitted to be excluded under, Rule 14a-8 promulgated by the SEC and our Amended and Restated Bylaws.</w:t>
      </w:r>
    </w:p>
    <w:p>
      <w:pPr>
        <w:spacing w:after="0" w:line="95" w:lineRule="exact"/>
        <w:rPr>
          <w:sz w:val="20"/>
          <w:szCs w:val="20"/>
          <w:color w:val="auto"/>
        </w:rPr>
      </w:pPr>
    </w:p>
    <w:p>
      <w:pPr>
        <w:ind w:right="20" w:firstLine="401"/>
        <w:spacing w:after="0" w:line="248" w:lineRule="auto"/>
        <w:rPr>
          <w:sz w:val="20"/>
          <w:szCs w:val="20"/>
          <w:color w:val="auto"/>
        </w:rPr>
      </w:pPr>
      <w:r>
        <w:rPr>
          <w:rFonts w:ascii="Arial" w:cs="Arial" w:eastAsia="Arial" w:hAnsi="Arial"/>
          <w:sz w:val="17"/>
          <w:szCs w:val="17"/>
          <w:color w:val="auto"/>
        </w:rPr>
        <w:t>Under our current Amended and Restated Bylaws, in order for a shareholder to nominate one or more persons for election to the Board at the 2022 Annual Meeting of Shareholders or propose any other business to be brought before the 2022 Annual Meeting, complete and timely notice must be given in writing and in proper form to our General Counsel not later than December 16, 2021, nor earlier than November 16, 2021. However, if the date of the 2022 Annual Meeting is advanced by more than 30 days or delayed by more than 60 days from the first anniversary date of the 2021 Annual Meeting of Shareholders, such notice must be delivered not earlier than the 120th day prior to the date of the rescheduled 2022 Annual Meeting and not later than the close of business on the later of the 90th day prior to the date of the rescheduled 2022 Annual Meeting or the 10th day following the day on which we first make a public announcement of the date of the rescheduled 2022 Annual Meeting. Any notice must contain the specific information required by our Amended and Restated Bylaws, including, among other things, information about: any proposed nominee and his or her relationships with the shareholder submitting the nomination; any agreements, arrangements or understandings the shareholder may have with any proposed nominee or other parties relating to the nomination or other proposal; and the interests that the shareholder has related to our Company and its shares, including as a result of, among other things, derivative securities, voting arrangements or short positions. Such information must be updated as of the record date for the 2022 Annual Meeting and as of the date that is 10 business days prior to the date of the 2022 Annual Meeting. This summary information regarding our Amended and Restated Bylaws is qualified in its entirety by reference to the full text of the Amended and Restated Bylaws, a copy of which can be found on our website at www.thetorocompany.com/corporategovernance. If a nomination or proposal is not timely and properly made in accordance with the procedures set forth in our Amended and Restated Bylaws, or does not contain the specific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0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information required by our Amended and Restated Bylaws, such nomination or proposal will be defective and will not be brought before the 2022 Annual Meeting. If a nomination or proposal is nonetheless brought before the 2022 Annual Meeting and the Chairman does not exercise the power and duty to declare the nomination or proposal defective, the persons named in the proxy may use their discretionary voting with respect to such nomination or proposal.</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Householding of Annual Meeting Materials</w:t>
      </w:r>
    </w:p>
    <w:p>
      <w:pPr>
        <w:spacing w:after="0" w:line="118" w:lineRule="exact"/>
        <w:rPr>
          <w:sz w:val="20"/>
          <w:szCs w:val="20"/>
          <w:color w:val="auto"/>
        </w:rPr>
      </w:pPr>
    </w:p>
    <w:p>
      <w:pPr>
        <w:ind w:firstLine="401"/>
        <w:spacing w:after="0" w:line="235"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set of these documents may have been sent to multiple shareholders at a shared address. Additional copies of this proxy statement and our Annual Report on Form 10-K are available upon request to our General Counsel at 8111 Lyndale Avenue South, Bloomington, Minnesota, 55420-1196, by telephone at 888-237-3054, or by e-mail to invest@thetorocompany.com. These documents also may be downloaded and printed from our website at www.thetorocompany.com/proxy. Any shareholder who wants to receive separate copies of our proxy statement and annual report in the future, or any shareholder who is receiving multiple copies and would like to receive only one copy per household, should contact his, her or its bank, broker or other nominee record holder.</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Annual Report</w:t>
      </w:r>
    </w:p>
    <w:p>
      <w:pPr>
        <w:spacing w:after="0" w:line="96" w:lineRule="exact"/>
        <w:rPr>
          <w:sz w:val="20"/>
          <w:szCs w:val="20"/>
          <w:color w:val="auto"/>
        </w:rPr>
      </w:pPr>
    </w:p>
    <w:p>
      <w:pPr>
        <w:ind w:right="20" w:firstLine="401"/>
        <w:spacing w:after="0" w:line="239" w:lineRule="auto"/>
        <w:rPr>
          <w:sz w:val="20"/>
          <w:szCs w:val="20"/>
          <w:color w:val="auto"/>
        </w:rPr>
      </w:pPr>
      <w:r>
        <w:rPr>
          <w:rFonts w:ascii="Arial" w:cs="Arial" w:eastAsia="Arial" w:hAnsi="Arial"/>
          <w:sz w:val="18"/>
          <w:szCs w:val="18"/>
          <w:b w:val="1"/>
          <w:bCs w:val="1"/>
          <w:color w:val="auto"/>
        </w:rPr>
        <w:t>A copy of TTC’s Annual Report on Form 10-K for the fiscal year ended October 31, 2020, as filed with the SEC, will be sent to any shareholder, without charge, upon written request to our General Counsel at 8111 Lyndale Avenue South, Bloomington, Minnesota, 55420-1196. You also may obtain our Annual Report on Form 10-K on the Internet at the SEC’s website, www.sec.gov, or on our website at www.thetorocompany.com/proxy. Our Fiscal Year 2020 Annual Report, which contains information about our business but is not part of our disclosure deemed to be filed with the SEC, also is available on our website at www.thetorocompany.com/proxy.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rPr>
        <w:t>Cost and Method of Solicitation</w:t>
      </w:r>
    </w:p>
    <w:p>
      <w:pPr>
        <w:spacing w:after="0" w:line="118" w:lineRule="exact"/>
        <w:rPr>
          <w:sz w:val="20"/>
          <w:szCs w:val="20"/>
          <w:color w:val="auto"/>
        </w:rPr>
      </w:pPr>
    </w:p>
    <w:p>
      <w:pPr>
        <w:ind w:firstLine="401"/>
        <w:spacing w:after="0" w:line="235" w:lineRule="auto"/>
        <w:rPr>
          <w:sz w:val="20"/>
          <w:szCs w:val="20"/>
          <w:color w:val="auto"/>
        </w:rPr>
      </w:pPr>
      <w:r>
        <w:rPr>
          <w:rFonts w:ascii="Arial" w:cs="Arial" w:eastAsia="Arial" w:hAnsi="Arial"/>
          <w:sz w:val="18"/>
          <w:szCs w:val="18"/>
          <w:color w:val="auto"/>
        </w:rPr>
        <w:t>We will pay the cost of soliciting proxies and may make arrangements with brokerage houses, custodians, nominees and other fiduciaries to send proxy materials to beneficial owners of our common stock. We will reimburse these third-parties for reasonable out-of-pocket expenses. In addition to solicitation by mail, our non-employee directors, executive officers and other employees may solicit proxies by telephone, electronic transmission and personally. Our non-employee directors, executive officers and other employees will not receive compensation for such services other than regular non-employee director or employee compensation. We have retained Morrow Sodali LLC, 470 West Avenue, Stamford, Connecticut, 06902, for an estimated fee of $8,000, plus out of pocket expenses, to assist in distributing proxy materials and soliciting proxies in connection with our 2021 Annual Meeting of Shareholders.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2021</w:t>
      </w:r>
    </w:p>
    <w:p>
      <w:pPr>
        <w:spacing w:after="0" w:line="3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4337050</wp:posOffset>
            </wp:positionH>
            <wp:positionV relativeFrom="paragraph">
              <wp:posOffset>73660</wp:posOffset>
            </wp:positionV>
            <wp:extent cx="1464310" cy="4933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464310" cy="49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Amy E. Dahl</w:t>
      </w:r>
    </w:p>
    <w:p>
      <w:pPr>
        <w:jc w:val="center"/>
        <w:ind w:left="4900"/>
        <w:spacing w:after="0" w:line="233" w:lineRule="auto"/>
        <w:rPr>
          <w:sz w:val="20"/>
          <w:szCs w:val="20"/>
          <w:color w:val="auto"/>
        </w:rPr>
      </w:pPr>
      <w:r>
        <w:rPr>
          <w:rFonts w:ascii="Arial" w:cs="Arial" w:eastAsia="Arial" w:hAnsi="Arial"/>
          <w:sz w:val="18"/>
          <w:szCs w:val="18"/>
          <w:color w:val="auto"/>
        </w:rPr>
        <w:t>Vice President, Human Resources and General Counsel</w:t>
      </w:r>
    </w:p>
    <w:p>
      <w:pPr>
        <w:jc w:val="center"/>
        <w:ind w:left="4900"/>
        <w:spacing w:after="0"/>
        <w:rPr>
          <w:sz w:val="20"/>
          <w:szCs w:val="20"/>
          <w:color w:val="auto"/>
        </w:rPr>
      </w:pPr>
      <w:r>
        <w:rPr>
          <w:rFonts w:ascii="Arial" w:cs="Arial" w:eastAsia="Arial" w:hAnsi="Arial"/>
          <w:sz w:val="18"/>
          <w:szCs w:val="18"/>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5010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010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361315</wp:posOffset>
            </wp:positionV>
            <wp:extent cx="7150100" cy="7499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0100" cy="7499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1135380</wp:posOffset>
            </wp:positionH>
            <wp:positionV relativeFrom="page">
              <wp:posOffset>361315</wp:posOffset>
            </wp:positionV>
            <wp:extent cx="5277485" cy="68014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clrChange>
                        <a:clrFrom>
                          <a:srgbClr val="FFFFFF"/>
                        </a:clrFrom>
                        <a:clrTo>
                          <a:srgbClr val="FFFFFF">
                            <a:alpha val="0"/>
                          </a:srgbClr>
                        </a:clrTo>
                      </a:clrChange>
                      <a:extLst>
                        <a:ext uri="{28A0092B-C50C-407E-A947-70E740481C1C}"/>
                      </a:extLst>
                    </a:blip>
                    <a:srcRect/>
                    <a:stretch>
                      <a:fillRect/>
                    </a:stretch>
                  </pic:blipFill>
                  <pic:spPr bwMode="auto">
                    <a:xfrm>
                      <a:off x="0" y="0"/>
                      <a:ext cx="5277485" cy="68014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lvl w:ilvl="1">
      <w:lvlJc w:val="left"/>
      <w:lvlText w:val="(%2)"/>
      <w:numFmt w:val="decimal"/>
      <w:start w:val="1"/>
    </w:lvl>
  </w:abstractNum>
  <w:abstractNum w:abstractNumId="3">
    <w:nsid w:val="70A64E2A"/>
    <w:multiLevelType w:val="hybridMultilevel"/>
    <w:lvl w:ilvl="0">
      <w:lvlJc w:val="left"/>
      <w:lvlText w:val="%1."/>
      <w:numFmt w:val="decimal"/>
      <w:start w:val="2"/>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1)"/>
      <w:numFmt w:val="decimal"/>
      <w:start w:val="1"/>
    </w:lvl>
  </w:abstractNum>
  <w:abstractNum w:abstractNumId="10">
    <w:nsid w:val="7A6D8D3C"/>
    <w:multiLevelType w:val="hybridMultilevel"/>
    <w:lvl w:ilvl="0">
      <w:lvlJc w:val="left"/>
      <w:lvlText w:val="(%1)"/>
      <w:numFmt w:val="decimal"/>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1)"/>
      <w:numFmt w:val="lowerLetter"/>
      <w:start w:val="2"/>
    </w:lvl>
  </w:abstractNum>
  <w:abstractNum w:abstractNumId="14">
    <w:nsid w:val="38437FDB"/>
    <w:multiLevelType w:val="hybridMultilevel"/>
    <w:lvl w:ilvl="0">
      <w:lvlJc w:val="left"/>
      <w:lvlText w:val="(%1)"/>
      <w:numFmt w:val="lowerRoman"/>
      <w:start w:val="3"/>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amp;"/>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1)"/>
      <w:numFmt w:val="decimal"/>
      <w:start w:val="2"/>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1)"/>
      <w:numFmt w:val="decimal"/>
      <w:start w:val="3"/>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lvl w:ilvl="1">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1)"/>
      <w:numFmt w:val="decimal"/>
      <w:start w:val="1"/>
    </w:lvl>
  </w:abstractNum>
  <w:abstractNum w:abstractNumId="33">
    <w:nsid w:val="1CF10FD8"/>
    <w:multiLevelType w:val="hybridMultilevel"/>
    <w:lvl w:ilvl="0">
      <w:lvlJc w:val="left"/>
      <w:lvlText w:val="(%1)"/>
      <w:numFmt w:val="decimal"/>
      <w:start w:val="2"/>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o"/>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lvl w:ilvl="1">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1)"/>
      <w:numFmt w:val="decimal"/>
      <w:start w:val="1"/>
    </w:lvl>
    <w:lvl w:ilvl="1">
      <w:lvlJc w:val="left"/>
      <w:lvlText w:val="(%2)"/>
      <w:numFmt w:val="decimal"/>
      <w:start w:val="2"/>
    </w:lvl>
  </w:abstractNum>
  <w:abstractNum w:abstractNumId="47">
    <w:nsid w:val="310C50B3"/>
    <w:multiLevelType w:val="hybridMultilevel"/>
    <w:lvl w:ilvl="0">
      <w:lvlJc w:val="left"/>
      <w:lvlText w:val="(%1)"/>
      <w:numFmt w:val="decimal"/>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1)"/>
      <w:numFmt w:val="decimal"/>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lvl w:ilvl="1">
      <w:lvlJc w:val="left"/>
      <w:lvlText w:val="−"/>
      <w:numFmt w:val="bullet"/>
      <w:start w:val="1"/>
    </w:lvl>
  </w:abstractNum>
  <w:abstractNum w:abstractNumId="52">
    <w:nsid w:val="4AD084E9"/>
    <w:multiLevelType w:val="hybridMultilevel"/>
    <w:lvl w:ilvl="0">
      <w:lvlJc w:val="left"/>
      <w:lvlText w:val="(%1)"/>
      <w:numFmt w:val="decimal"/>
      <w:start w:val="1"/>
    </w:lvl>
  </w:abstractNum>
  <w:abstractNum w:abstractNumId="53">
    <w:nsid w:val="1F48EAA1"/>
    <w:multiLevelType w:val="hybridMultilevel"/>
    <w:lvl w:ilvl="0">
      <w:lvlJc w:val="left"/>
      <w:lvlText w:val="(%1)"/>
      <w:numFmt w:val="decimal"/>
      <w:start w:val="4"/>
    </w:lvl>
  </w:abstractNum>
  <w:abstractNum w:abstractNumId="54">
    <w:nsid w:val="1381823A"/>
    <w:multiLevelType w:val="hybridMultilevel"/>
    <w:lvl w:ilvl="0">
      <w:lvlJc w:val="left"/>
      <w:lvlText w:val="(%1)"/>
      <w:numFmt w:val="decimal"/>
      <w:start w:val="5"/>
    </w:lvl>
  </w:abstractNum>
  <w:abstractNum w:abstractNumId="55">
    <w:nsid w:val="5DB70AE5"/>
    <w:multiLevelType w:val="hybridMultilevel"/>
    <w:lvl w:ilvl="0">
      <w:lvlJc w:val="left"/>
      <w:lvlText w:val="(%1)"/>
      <w:numFmt w:val="decimal"/>
      <w:start w:val="1"/>
    </w:lvl>
  </w:abstractNum>
  <w:abstractNum w:abstractNumId="56">
    <w:nsid w:val="100F8FCA"/>
    <w:multiLevelType w:val="hybridMultilevel"/>
    <w:lvl w:ilvl="0">
      <w:lvlJc w:val="left"/>
      <w:lvlText w:val="(%1)"/>
      <w:numFmt w:val="decimal"/>
      <w:start w:val="1"/>
    </w:lvl>
  </w:abstractNum>
  <w:abstractNum w:abstractNumId="57">
    <w:nsid w:val="6590700B"/>
    <w:multiLevelType w:val="hybridMultilevel"/>
    <w:lvl w:ilvl="0">
      <w:lvlJc w:val="left"/>
      <w:lvlText w:val="(%1)"/>
      <w:numFmt w:val="decimal"/>
      <w:start w:val="1"/>
    </w:lvl>
  </w:abstractNum>
  <w:abstractNum w:abstractNumId="58">
    <w:nsid w:val="15014ACB"/>
    <w:multiLevelType w:val="hybridMultilevel"/>
    <w:lvl w:ilvl="0">
      <w:lvlJc w:val="left"/>
      <w:lvlText w:val="(%1)"/>
      <w:numFmt w:val="decimal"/>
      <w:start w:val="2"/>
    </w:lvl>
  </w:abstractNum>
  <w:abstractNum w:abstractNumId="59">
    <w:nsid w:val="5F5E7FD0"/>
    <w:multiLevelType w:val="hybridMultilevel"/>
    <w:lvl w:ilvl="0">
      <w:lvlJc w:val="left"/>
      <w:lvlText w:val="(%1)"/>
      <w:numFmt w:val="decimal"/>
      <w:start w:val="1"/>
    </w:lvl>
  </w:abstractNum>
  <w:abstractNum w:abstractNumId="60">
    <w:nsid w:val="98A3148"/>
    <w:multiLevelType w:val="hybridMultilevel"/>
    <w:lvl w:ilvl="0">
      <w:lvlJc w:val="left"/>
      <w:lvlText w:val="(%1)"/>
      <w:numFmt w:val="decimal"/>
      <w:start w:val="1"/>
    </w:lvl>
  </w:abstractNum>
  <w:abstractNum w:abstractNumId="61">
    <w:nsid w:val="799D0247"/>
    <w:multiLevelType w:val="hybridMultilevel"/>
    <w:lvl w:ilvl="0">
      <w:lvlJc w:val="left"/>
      <w:lvlText w:val="(%1)"/>
      <w:numFmt w:val="decimal"/>
      <w:start w:val="2"/>
    </w:lvl>
  </w:abstractNum>
  <w:abstractNum w:abstractNumId="62">
    <w:nsid w:val="6B94764"/>
    <w:multiLevelType w:val="hybridMultilevel"/>
    <w:lvl w:ilvl="0">
      <w:lvlJc w:val="left"/>
      <w:lvlText w:val="(%1)"/>
      <w:numFmt w:val="decimal"/>
      <w:start w:val="4"/>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1)"/>
      <w:numFmt w:val="decimal"/>
      <w:start w:val="1"/>
    </w:lvl>
  </w:abstractNum>
  <w:abstractNum w:abstractNumId="72">
    <w:nsid w:val="BF72B14"/>
    <w:multiLevelType w:val="hybridMultilevel"/>
    <w:lvl w:ilvl="0">
      <w:lvlJc w:val="left"/>
      <w:lvlText w:val="(%1)"/>
      <w:numFmt w:val="decimal"/>
      <w:start w:val="2"/>
    </w:lvl>
  </w:abstractNum>
  <w:abstractNum w:abstractNumId="73">
    <w:nsid w:val="11447B73"/>
    <w:multiLevelType w:val="hybridMultilevel"/>
    <w:lvl w:ilvl="0">
      <w:lvlJc w:val="left"/>
      <w:lvlText w:val="(%1)"/>
      <w:numFmt w:val="decimal"/>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1)"/>
      <w:numFmt w:val="decimal"/>
      <w:start w:val="1"/>
    </w:lvl>
  </w:abstractNum>
  <w:abstractNum w:abstractNumId="76">
    <w:nsid w:val="8F2B15E"/>
    <w:multiLevelType w:val="hybridMultilevel"/>
    <w:lvl w:ilvl="0">
      <w:lvlJc w:val="left"/>
      <w:lvlText w:val="(%1)"/>
      <w:numFmt w:val="decimal"/>
      <w:start w:val="2"/>
    </w:lvl>
  </w:abstractNum>
  <w:abstractNum w:abstractNumId="77">
    <w:nsid w:val="1A32234B"/>
    <w:multiLevelType w:val="hybridMultilevel"/>
    <w:lvl w:ilvl="0">
      <w:lvlJc w:val="left"/>
      <w:lvlText w:val="(%1)"/>
      <w:numFmt w:val="decimal"/>
      <w:start w:val="3"/>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2021-02-03T16:06:50Z</dcterms:created>
  <dcterms:modified xsi:type="dcterms:W3CDTF">2021-02-03T16:06:50Z</dcterms:modified>
</cp:coreProperties>
</file>