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VP, Treasurer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08/22/2014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5,286</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62.69</w:t>
            </w:r>
          </w:p>
        </w:tc>
        <w:tc>
          <w:tcPr>
            <w:tcW w:w="116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6"/>
              </w:rPr>
              <w:t>30,727.672</w:t>
            </w:r>
            <w:r>
              <w:rPr>
                <w:rFonts w:ascii="Arial" w:cs="Arial" w:eastAsia="Arial" w:hAnsi="Arial"/>
                <w:sz w:val="22"/>
                <w:szCs w:val="22"/>
                <w:color w:val="008000"/>
                <w:w w:val="96"/>
                <w:vertAlign w:val="superscript"/>
              </w:rPr>
              <w:t>(2)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133"/>
              <w:spacing w:after="0" w:line="217" w:lineRule="exact"/>
              <w:rPr>
                <w:sz w:val="20"/>
                <w:szCs w:val="20"/>
                <w:color w:val="auto"/>
              </w:rPr>
            </w:pPr>
            <w:r>
              <w:rPr>
                <w:rFonts w:ascii="Arial" w:cs="Arial" w:eastAsia="Arial" w:hAnsi="Arial"/>
                <w:sz w:val="18"/>
                <w:szCs w:val="18"/>
                <w:color w:val="0000FF"/>
              </w:rPr>
              <w:t>140.471</w:t>
            </w:r>
            <w:r>
              <w:rPr>
                <w:rFonts w:ascii="Arial" w:cs="Arial" w:eastAsia="Arial" w:hAnsi="Arial"/>
                <w:sz w:val="22"/>
                <w:szCs w:val="22"/>
                <w:color w:val="008000"/>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withheld for the payment of taxes in connection with the third anniversary vesting on August 22, 2014, of 15,569.331 shares and related dividend reinvestment shares of the employment inducement grant awarded to the reporting person on August 22, 2011 (the "Inducement Grant"). The award of the Inducement Grant was previously reported on a Form 4 by the reporting person on August 24, 2011.? The Inducement Grant vested in three equal installments on the first, second and third anniversaries of the date of grant.</w:t>
      </w:r>
    </w:p>
    <w:p>
      <w:pPr>
        <w:spacing w:after="0" w:line="2"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147.472 shares acquired by the reporting person since the date of her last report under The Toro Company Dividend Reinvestment Plan (the "DRIP") on 15,421.859 shares of restricted stock and related DRIP shares.</w:t>
      </w:r>
    </w:p>
    <w:p>
      <w:pPr>
        <w:spacing w:after="0" w:line="30" w:lineRule="exact"/>
        <w:rPr>
          <w:rFonts w:ascii="Arial" w:cs="Arial" w:eastAsia="Arial" w:hAnsi="Arial"/>
          <w:sz w:val="14"/>
          <w:szCs w:val="14"/>
          <w:color w:val="008000"/>
        </w:rPr>
      </w:pPr>
    </w:p>
    <w:p>
      <w:pPr>
        <w:ind w:left="40" w:right="3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1.091 net shares acquired under the dividend reinvestment feature of The Toro Company Investment, Savings &amp; ESOP (the "IS&amp;ESOP") less quarterly non-discretionary administrative fees; and 58.661 shares acquired through issuer annual investment fund contributions to the IS&amp;ESOP.</w:t>
      </w:r>
    </w:p>
    <w:tbl>
      <w:tblPr>
        <w:tblLayout w:type="fixed"/>
        <w:tblInd w:w="6860" w:type="dxa"/>
        <w:tblCellMar>
          <w:top w:w="0" w:type="dxa"/>
          <w:left w:w="0" w:type="dxa"/>
          <w:bottom w:w="0" w:type="dxa"/>
          <w:right w:w="0" w:type="dxa"/>
        </w:tblCellMar>
      </w:tblPr>
      <w:tr>
        <w:trPr>
          <w:trHeight w:val="199"/>
        </w:trPr>
        <w:tc>
          <w:tcPr>
            <w:tcW w:w="16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08/26/2014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2019-12-17T02:52:46Z</dcterms:created>
  <dcterms:modified xsi:type="dcterms:W3CDTF">2019-12-17T02:52:46Z</dcterms:modified>
</cp:coreProperties>
</file>