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151765</wp:posOffset>
            </wp:positionH>
            <wp:positionV relativeFrom="page">
              <wp:posOffset>257175</wp:posOffset>
            </wp:positionV>
            <wp:extent cx="725868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3683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January 30, 2009</w:t>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THE TORO COMPANY</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20"/>
          </w:cols>
          <w:pgMar w:left="240" w:top="1214"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240"/>
        <w:spacing w:after="0"/>
        <w:rPr>
          <w:sz w:val="20"/>
          <w:szCs w:val="20"/>
          <w:color w:val="auto"/>
        </w:rPr>
      </w:pPr>
      <w:r>
        <w:rPr>
          <w:rFonts w:ascii="Arial" w:cs="Arial" w:eastAsia="Arial" w:hAnsi="Arial"/>
          <w:sz w:val="17"/>
          <w:szCs w:val="17"/>
          <w:b w:val="1"/>
          <w:bCs w:val="1"/>
          <w:color w:val="auto"/>
        </w:rPr>
        <w:t>Delaware</w:t>
      </w:r>
    </w:p>
    <w:p>
      <w:pPr>
        <w:spacing w:after="0" w:line="24" w:lineRule="exact"/>
        <w:rPr>
          <w:sz w:val="24"/>
          <w:szCs w:val="24"/>
          <w:color w:val="auto"/>
        </w:rPr>
      </w:pPr>
    </w:p>
    <w:p>
      <w:pPr>
        <w:jc w:val="center"/>
        <w:ind w:right="240"/>
        <w:spacing w:after="0"/>
        <w:rPr>
          <w:sz w:val="20"/>
          <w:szCs w:val="20"/>
          <w:color w:val="auto"/>
        </w:rPr>
      </w:pPr>
      <w:r>
        <w:rPr>
          <w:rFonts w:ascii="Arial" w:cs="Arial" w:eastAsia="Arial" w:hAnsi="Arial"/>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740"/>
        <w:spacing w:after="0"/>
        <w:rPr>
          <w:sz w:val="20"/>
          <w:szCs w:val="20"/>
          <w:color w:val="auto"/>
        </w:rPr>
      </w:pPr>
      <w:r>
        <w:rPr>
          <w:rFonts w:ascii="Arial" w:cs="Arial" w:eastAsia="Arial" w:hAnsi="Arial"/>
          <w:sz w:val="17"/>
          <w:szCs w:val="17"/>
          <w:b w:val="1"/>
          <w:bCs w:val="1"/>
          <w:color w:val="auto"/>
        </w:rPr>
        <w:t>1-8649</w:t>
      </w:r>
    </w:p>
    <w:p>
      <w:pPr>
        <w:spacing w:after="0" w:line="24" w:lineRule="exact"/>
        <w:rPr>
          <w:sz w:val="24"/>
          <w:szCs w:val="24"/>
          <w:color w:val="auto"/>
        </w:rPr>
      </w:pPr>
    </w:p>
    <w:p>
      <w:pPr>
        <w:jc w:val="center"/>
        <w:ind w:right="74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500"/>
        <w:spacing w:after="0"/>
        <w:rPr>
          <w:sz w:val="20"/>
          <w:szCs w:val="20"/>
          <w:color w:val="auto"/>
        </w:rPr>
      </w:pPr>
      <w:r>
        <w:rPr>
          <w:rFonts w:ascii="Arial" w:cs="Arial" w:eastAsia="Arial" w:hAnsi="Arial"/>
          <w:sz w:val="17"/>
          <w:szCs w:val="17"/>
          <w:b w:val="1"/>
          <w:bCs w:val="1"/>
          <w:color w:val="auto"/>
        </w:rPr>
        <w:t>41-0580470</w:t>
      </w:r>
    </w:p>
    <w:p>
      <w:pPr>
        <w:spacing w:after="0" w:line="24"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640" w:space="720"/>
            <w:col w:w="3300"/>
          </w:cols>
          <w:pgMar w:left="240" w:top="1214" w:right="239" w:bottom="1440" w:gutter="0" w:footer="0" w:header="0"/>
          <w:type w:val="continuous"/>
        </w:sect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8111 Lyndale Avenue South</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Telephone number: (952) 888-8801</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70" w:lineRule="exact"/>
        <w:rPr>
          <w:sz w:val="24"/>
          <w:szCs w:val="24"/>
          <w:color w:val="auto"/>
        </w:rPr>
      </w:pPr>
    </w:p>
    <w:p>
      <w:pPr>
        <w:jc w:val="both"/>
        <w:spacing w:after="0" w:line="263"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2" w:lineRule="exact"/>
        <w:rPr>
          <w:sz w:val="24"/>
          <w:szCs w:val="24"/>
          <w:color w:val="auto"/>
        </w:rPr>
      </w:pPr>
    </w:p>
    <w:p>
      <w:pPr>
        <w:spacing w:after="0"/>
        <w:tabs>
          <w:tab w:leader="none" w:pos="580" w:val="left"/>
        </w:tabs>
        <w:rPr>
          <w:sz w:val="20"/>
          <w:szCs w:val="20"/>
          <w:color w:val="auto"/>
        </w:rPr>
      </w:pPr>
      <w:r>
        <w:rPr>
          <w:rFonts w:ascii="Arial" w:cs="Arial" w:eastAsia="Arial" w:hAnsi="Arial"/>
          <w:sz w:val="17"/>
          <w:szCs w:val="17"/>
          <w:color w:val="auto"/>
        </w:rPr>
        <w:t>Yes S</w:t>
        <w:tab/>
        <w:t>No £</w:t>
      </w:r>
    </w:p>
    <w:p>
      <w:pPr>
        <w:spacing w:after="0" w:line="239" w:lineRule="exact"/>
        <w:rPr>
          <w:sz w:val="24"/>
          <w:szCs w:val="24"/>
          <w:color w:val="auto"/>
        </w:rPr>
      </w:pPr>
    </w:p>
    <w:p>
      <w:pPr>
        <w:jc w:val="both"/>
        <w:spacing w:after="0" w:line="27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1214" w:right="239" w:bottom="1440" w:gutter="0" w:footer="0" w:header="0"/>
          <w:type w:val="continuous"/>
        </w:sectPr>
      </w:pPr>
    </w:p>
    <w:p>
      <w:pPr>
        <w:spacing w:after="0" w:line="190"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 S</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ind w:right="1120"/>
        <w:spacing w:after="0" w:line="276" w:lineRule="auto"/>
        <w:rPr>
          <w:sz w:val="20"/>
          <w:szCs w:val="20"/>
          <w:color w:val="auto"/>
        </w:rPr>
      </w:pPr>
      <w:r>
        <w:rPr>
          <w:rFonts w:ascii="Arial" w:cs="Arial" w:eastAsia="Arial" w:hAnsi="Arial"/>
          <w:sz w:val="17"/>
          <w:szCs w:val="17"/>
          <w:color w:val="auto"/>
        </w:rPr>
        <w:t>Non-accelerated filer £ Smaller reporting company £ (Do not check if a smaller reporting company)</w:t>
      </w:r>
    </w:p>
    <w:p>
      <w:pPr>
        <w:spacing w:after="0" w:line="190" w:lineRule="exact"/>
        <w:rPr>
          <w:sz w:val="24"/>
          <w:szCs w:val="24"/>
          <w:color w:val="auto"/>
        </w:rPr>
      </w:pPr>
    </w:p>
    <w:p>
      <w:pPr>
        <w:sectPr>
          <w:pgSz w:w="11900" w:h="16838" w:orient="portrait"/>
          <w:cols w:equalWidth="0" w:num="3">
            <w:col w:w="2300" w:space="720"/>
            <w:col w:w="1640" w:space="720"/>
            <w:col w:w="6040"/>
          </w:cols>
          <w:pgMar w:left="240" w:top="1214"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62" w:lineRule="exact"/>
        <w:rPr>
          <w:sz w:val="24"/>
          <w:szCs w:val="24"/>
          <w:color w:val="auto"/>
        </w:rPr>
      </w:pPr>
    </w:p>
    <w:p>
      <w:pPr>
        <w:spacing w:after="0"/>
        <w:tabs>
          <w:tab w:leader="none" w:pos="580" w:val="left"/>
        </w:tabs>
        <w:rPr>
          <w:sz w:val="20"/>
          <w:szCs w:val="20"/>
          <w:color w:val="auto"/>
        </w:rPr>
      </w:pPr>
      <w:r>
        <w:rPr>
          <w:rFonts w:ascii="Arial" w:cs="Arial" w:eastAsia="Arial" w:hAnsi="Arial"/>
          <w:sz w:val="17"/>
          <w:szCs w:val="17"/>
          <w:color w:val="auto"/>
        </w:rPr>
        <w:t>Yes £</w:t>
        <w:tab/>
        <w:t>No S</w:t>
      </w: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of Common Stock outstanding as of February 27, 2009 was 35,804,195.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230505</wp:posOffset>
            </wp:positionV>
            <wp:extent cx="725868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68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718185</wp:posOffset>
            </wp:positionV>
            <wp:extent cx="725868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21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356"/>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0" w:type="dxa"/>
            <w:vAlign w:val="bottom"/>
            <w:gridSpan w:val="8"/>
          </w:tcPr>
          <w:p>
            <w:pPr>
              <w:jc w:val="center"/>
              <w:ind w:right="2560"/>
              <w:spacing w:after="0"/>
              <w:rPr>
                <w:sz w:val="20"/>
                <w:szCs w:val="20"/>
                <w:color w:val="auto"/>
              </w:rPr>
            </w:pPr>
            <w:r>
              <w:rPr>
                <w:rFonts w:ascii="Arial" w:cs="Arial" w:eastAsia="Arial" w:hAnsi="Arial"/>
                <w:sz w:val="31"/>
                <w:szCs w:val="31"/>
                <w:b w:val="1"/>
                <w:bCs w:val="1"/>
                <w:color w:val="auto"/>
              </w:rPr>
              <w:t>THE TORO COMPANY</w:t>
            </w:r>
          </w:p>
        </w:tc>
        <w:tc>
          <w:tcPr>
            <w:tcW w:w="1320" w:type="dxa"/>
            <w:vAlign w:val="bottom"/>
          </w:tcPr>
          <w:p>
            <w:pPr>
              <w:spacing w:after="0"/>
              <w:rPr>
                <w:sz w:val="24"/>
                <w:szCs w:val="24"/>
                <w:color w:val="auto"/>
              </w:rPr>
            </w:pPr>
          </w:p>
        </w:tc>
      </w:tr>
      <w:tr>
        <w:trPr>
          <w:trHeight w:val="400"/>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0" w:type="dxa"/>
            <w:vAlign w:val="bottom"/>
            <w:gridSpan w:val="8"/>
          </w:tcPr>
          <w:p>
            <w:pPr>
              <w:jc w:val="center"/>
              <w:ind w:right="2560"/>
              <w:spacing w:after="0"/>
              <w:rPr>
                <w:sz w:val="20"/>
                <w:szCs w:val="20"/>
                <w:color w:val="auto"/>
              </w:rPr>
            </w:pPr>
            <w:r>
              <w:rPr>
                <w:rFonts w:ascii="Arial" w:cs="Arial" w:eastAsia="Arial" w:hAnsi="Arial"/>
                <w:sz w:val="31"/>
                <w:szCs w:val="31"/>
                <w:b w:val="1"/>
                <w:bCs w:val="1"/>
                <w:color w:val="auto"/>
              </w:rPr>
              <w:t>INDEX TO FORM 10-Q</w:t>
            </w:r>
          </w:p>
        </w:tc>
        <w:tc>
          <w:tcPr>
            <w:tcW w:w="1320" w:type="dxa"/>
            <w:vAlign w:val="bottom"/>
          </w:tcPr>
          <w:p>
            <w:pPr>
              <w:spacing w:after="0"/>
              <w:rPr>
                <w:sz w:val="24"/>
                <w:szCs w:val="24"/>
                <w:color w:val="auto"/>
              </w:rPr>
            </w:pPr>
          </w:p>
        </w:tc>
      </w:tr>
      <w:tr>
        <w:trPr>
          <w:trHeight w:val="42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Page Number</w:t>
            </w:r>
          </w:p>
        </w:tc>
      </w:tr>
      <w:tr>
        <w:trPr>
          <w:trHeight w:val="371"/>
        </w:trPr>
        <w:tc>
          <w:tcPr>
            <w:tcW w:w="600" w:type="dxa"/>
            <w:vAlign w:val="bottom"/>
            <w:tcBorders>
              <w:bottom w:val="single" w:sz="8" w:color="0000EE"/>
            </w:tcBorders>
            <w:gridSpan w:val="2"/>
          </w:tcPr>
          <w:p>
            <w:pPr>
              <w:spacing w:after="0"/>
              <w:rPr>
                <w:rFonts w:ascii="Arial" w:cs="Arial" w:eastAsia="Arial" w:hAnsi="Arial"/>
                <w:sz w:val="17"/>
                <w:szCs w:val="17"/>
                <w:b w:val="1"/>
                <w:bCs w:val="1"/>
                <w:color w:val="0000EE"/>
                <w:w w:val="95"/>
              </w:rPr>
            </w:pPr>
            <w:hyperlink w:anchor="page3">
              <w:r>
                <w:rPr>
                  <w:rFonts w:ascii="Arial" w:cs="Arial" w:eastAsia="Arial" w:hAnsi="Arial"/>
                  <w:sz w:val="17"/>
                  <w:szCs w:val="17"/>
                  <w:b w:val="1"/>
                  <w:bCs w:val="1"/>
                  <w:color w:val="0000EE"/>
                  <w:w w:val="95"/>
                </w:rPr>
                <w:t>PART I.</w:t>
              </w:r>
            </w:hyperlink>
          </w:p>
        </w:tc>
        <w:tc>
          <w:tcPr>
            <w:tcW w:w="980" w:type="dxa"/>
            <w:vAlign w:val="bottom"/>
            <w:gridSpan w:val="3"/>
          </w:tcPr>
          <w:p>
            <w:pPr>
              <w:spacing w:after="0"/>
              <w:rPr>
                <w:sz w:val="24"/>
                <w:szCs w:val="24"/>
                <w:color w:val="auto"/>
              </w:rPr>
            </w:pPr>
          </w:p>
        </w:tc>
        <w:tc>
          <w:tcPr>
            <w:tcW w:w="2320" w:type="dxa"/>
            <w:vAlign w:val="bottom"/>
            <w:tcBorders>
              <w:bottom w:val="single" w:sz="8" w:color="0000EE"/>
            </w:tcBorders>
            <w:gridSpan w:val="12"/>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FINANCIAL INFORMATION:</w:t>
              </w:r>
            </w:hyperlink>
          </w:p>
        </w:tc>
        <w:tc>
          <w:tcPr>
            <w:tcW w:w="6200" w:type="dxa"/>
            <w:vAlign w:val="bottom"/>
            <w:gridSpan w:val="8"/>
          </w:tcPr>
          <w:p>
            <w:pPr>
              <w:spacing w:after="0"/>
              <w:rPr>
                <w:sz w:val="24"/>
                <w:szCs w:val="24"/>
                <w:color w:val="auto"/>
              </w:rPr>
            </w:pPr>
          </w:p>
        </w:tc>
        <w:tc>
          <w:tcPr>
            <w:tcW w:w="1320" w:type="dxa"/>
            <w:vAlign w:val="bottom"/>
          </w:tcPr>
          <w:p>
            <w:pPr>
              <w:spacing w:after="0"/>
              <w:rPr>
                <w:sz w:val="24"/>
                <w:szCs w:val="24"/>
                <w:color w:val="auto"/>
              </w:rPr>
            </w:pPr>
          </w:p>
        </w:tc>
      </w:tr>
      <w:tr>
        <w:trPr>
          <w:trHeight w:val="389"/>
        </w:trPr>
        <w:tc>
          <w:tcPr>
            <w:tcW w:w="520" w:type="dxa"/>
            <w:vAlign w:val="bottom"/>
          </w:tcPr>
          <w:p>
            <w:pPr>
              <w:spacing w:after="0"/>
              <w:rPr>
                <w:rFonts w:ascii="Arial" w:cs="Arial" w:eastAsia="Arial" w:hAnsi="Arial"/>
                <w:sz w:val="17"/>
                <w:szCs w:val="17"/>
                <w:b w:val="1"/>
                <w:bCs w:val="1"/>
                <w:color w:val="0000EE"/>
                <w:w w:val="92"/>
              </w:rPr>
            </w:pPr>
            <w:hyperlink w:anchor="page3">
              <w:r>
                <w:rPr>
                  <w:rFonts w:ascii="Arial" w:cs="Arial" w:eastAsia="Arial" w:hAnsi="Arial"/>
                  <w:sz w:val="17"/>
                  <w:szCs w:val="17"/>
                  <w:b w:val="1"/>
                  <w:bCs w:val="1"/>
                  <w:color w:val="0000EE"/>
                  <w:w w:val="92"/>
                </w:rPr>
                <w:t>Item 1.</w:t>
              </w:r>
            </w:hyperlink>
          </w:p>
        </w:tc>
        <w:tc>
          <w:tcPr>
            <w:tcW w:w="1060" w:type="dxa"/>
            <w:vAlign w:val="bottom"/>
            <w:gridSpan w:val="4"/>
          </w:tcPr>
          <w:p>
            <w:pPr>
              <w:spacing w:after="0"/>
              <w:rPr>
                <w:sz w:val="24"/>
                <w:szCs w:val="24"/>
                <w:color w:val="auto"/>
              </w:rPr>
            </w:pPr>
          </w:p>
        </w:tc>
        <w:tc>
          <w:tcPr>
            <w:tcW w:w="8520" w:type="dxa"/>
            <w:vAlign w:val="bottom"/>
            <w:gridSpan w:val="20"/>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Financial Statements</w:t>
              </w:r>
            </w:hyperlink>
          </w:p>
        </w:tc>
        <w:tc>
          <w:tcPr>
            <w:tcW w:w="132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5"/>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20" w:type="dxa"/>
            <w:vAlign w:val="bottom"/>
            <w:gridSpan w:val="19"/>
          </w:tcPr>
          <w:p>
            <w:pPr>
              <w:spacing w:after="0" w:line="185" w:lineRule="exact"/>
              <w:rPr>
                <w:rFonts w:ascii="Arial" w:cs="Arial" w:eastAsia="Arial" w:hAnsi="Arial"/>
                <w:sz w:val="17"/>
                <w:szCs w:val="17"/>
                <w:color w:val="0000EE"/>
                <w:w w:val="91"/>
              </w:rPr>
            </w:pPr>
            <w:hyperlink w:anchor="page3">
              <w:r>
                <w:rPr>
                  <w:rFonts w:ascii="Arial" w:cs="Arial" w:eastAsia="Arial" w:hAnsi="Arial"/>
                  <w:sz w:val="17"/>
                  <w:szCs w:val="17"/>
                  <w:color w:val="0000EE"/>
                  <w:w w:val="91"/>
                </w:rPr>
                <w:t>Condensed Consolidated Statements of Earnings (Unaudited) - Three Months Ended January 30, 2009 and February 1,</w:t>
              </w:r>
            </w:hyperlink>
          </w:p>
        </w:tc>
        <w:tc>
          <w:tcPr>
            <w:tcW w:w="1320" w:type="dxa"/>
            <w:vAlign w:val="bottom"/>
          </w:tcPr>
          <w:p>
            <w:pPr>
              <w:spacing w:after="0"/>
              <w:rPr>
                <w:sz w:val="16"/>
                <w:szCs w:val="16"/>
                <w:color w:val="auto"/>
              </w:rPr>
            </w:pPr>
          </w:p>
        </w:tc>
      </w:tr>
      <w:tr>
        <w:trPr>
          <w:trHeight w:val="185"/>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85" w:lineRule="exact"/>
              <w:rPr>
                <w:rFonts w:ascii="Arial" w:cs="Arial" w:eastAsia="Arial" w:hAnsi="Arial"/>
                <w:sz w:val="17"/>
                <w:szCs w:val="17"/>
                <w:color w:val="0000EE"/>
                <w:w w:val="89"/>
              </w:rPr>
            </w:pPr>
            <w:hyperlink w:anchor="page3">
              <w:r>
                <w:rPr>
                  <w:rFonts w:ascii="Arial" w:cs="Arial" w:eastAsia="Arial" w:hAnsi="Arial"/>
                  <w:sz w:val="17"/>
                  <w:szCs w:val="17"/>
                  <w:color w:val="0000EE"/>
                  <w:w w:val="89"/>
                </w:rPr>
                <w:t>2008</w:t>
              </w:r>
            </w:hyperlink>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0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1440" w:type="dxa"/>
            <w:vAlign w:val="bottom"/>
            <w:tcBorders>
              <w:top w:val="single" w:sz="8" w:color="0000EE"/>
            </w:tcBorders>
          </w:tcPr>
          <w:p>
            <w:pPr>
              <w:spacing w:after="0"/>
              <w:rPr>
                <w:sz w:val="16"/>
                <w:szCs w:val="16"/>
                <w:color w:val="auto"/>
              </w:rPr>
            </w:pPr>
          </w:p>
        </w:tc>
        <w:tc>
          <w:tcPr>
            <w:tcW w:w="168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line="185" w:lineRule="exact"/>
              <w:rPr>
                <w:sz w:val="20"/>
                <w:szCs w:val="20"/>
                <w:color w:val="auto"/>
              </w:rPr>
            </w:pPr>
            <w:r>
              <w:rPr>
                <w:rFonts w:ascii="Arial" w:cs="Arial" w:eastAsia="Arial" w:hAnsi="Arial"/>
                <w:sz w:val="17"/>
                <w:szCs w:val="17"/>
                <w:color w:val="auto"/>
                <w:w w:val="84"/>
              </w:rPr>
              <w:t>3</w:t>
            </w:r>
          </w:p>
        </w:tc>
      </w:tr>
      <w:tr>
        <w:trPr>
          <w:trHeight w:val="38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80" w:type="dxa"/>
            <w:vAlign w:val="bottom"/>
            <w:tcBorders>
              <w:bottom w:val="single" w:sz="8" w:color="0000EE"/>
            </w:tcBorders>
            <w:gridSpan w:val="16"/>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Condensed Consolidated Balance Sheets (Unaudited) - January 30, 2009, February 1, 2008, and October 31, 2008</w:t>
              </w:r>
            </w:hyperlink>
          </w:p>
        </w:tc>
        <w:tc>
          <w:tcPr>
            <w:tcW w:w="440" w:type="dxa"/>
            <w:vAlign w:val="bottom"/>
            <w:gridSpan w:val="3"/>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84"/>
              </w:rPr>
              <w:t>4</w:t>
            </w:r>
          </w:p>
        </w:tc>
      </w:tr>
      <w:tr>
        <w:trPr>
          <w:trHeight w:val="38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20" w:type="dxa"/>
            <w:vAlign w:val="bottom"/>
            <w:gridSpan w:val="19"/>
          </w:tcPr>
          <w:p>
            <w:pPr>
              <w:spacing w:after="0"/>
              <w:rPr>
                <w:rFonts w:ascii="Arial" w:cs="Arial" w:eastAsia="Arial" w:hAnsi="Arial"/>
                <w:sz w:val="17"/>
                <w:szCs w:val="17"/>
                <w:color w:val="0000EE"/>
                <w:w w:val="90"/>
              </w:rPr>
            </w:pPr>
            <w:hyperlink w:anchor="page5">
              <w:r>
                <w:rPr>
                  <w:rFonts w:ascii="Arial" w:cs="Arial" w:eastAsia="Arial" w:hAnsi="Arial"/>
                  <w:sz w:val="17"/>
                  <w:szCs w:val="17"/>
                  <w:color w:val="0000EE"/>
                  <w:w w:val="90"/>
                </w:rPr>
                <w:t>Condensed Consolidated Statements of Cash Flows (Unaudited) - Three Months Ended January 30, 2009 and February</w:t>
              </w:r>
            </w:hyperlink>
          </w:p>
        </w:tc>
        <w:tc>
          <w:tcPr>
            <w:tcW w:w="1320" w:type="dxa"/>
            <w:vAlign w:val="bottom"/>
          </w:tcPr>
          <w:p>
            <w:pPr>
              <w:spacing w:after="0"/>
              <w:rPr>
                <w:sz w:val="24"/>
                <w:szCs w:val="24"/>
                <w:color w:val="auto"/>
              </w:rPr>
            </w:pPr>
          </w:p>
        </w:tc>
      </w:tr>
      <w:tr>
        <w:trPr>
          <w:trHeight w:val="185"/>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520" w:type="dxa"/>
            <w:vAlign w:val="bottom"/>
            <w:tcBorders>
              <w:top w:val="single" w:sz="8" w:color="0000EE"/>
              <w:bottom w:val="single" w:sz="8" w:color="0000EE"/>
            </w:tcBorders>
            <w:gridSpan w:val="4"/>
          </w:tcPr>
          <w:p>
            <w:pPr>
              <w:spacing w:after="0" w:line="185" w:lineRule="exact"/>
              <w:rPr>
                <w:rFonts w:ascii="Arial" w:cs="Arial" w:eastAsia="Arial" w:hAnsi="Arial"/>
                <w:sz w:val="17"/>
                <w:szCs w:val="17"/>
                <w:color w:val="0000EE"/>
                <w:w w:val="88"/>
              </w:rPr>
            </w:pPr>
            <w:hyperlink w:anchor="page5">
              <w:r>
                <w:rPr>
                  <w:rFonts w:ascii="Arial" w:cs="Arial" w:eastAsia="Arial" w:hAnsi="Arial"/>
                  <w:sz w:val="17"/>
                  <w:szCs w:val="17"/>
                  <w:color w:val="0000EE"/>
                  <w:w w:val="88"/>
                </w:rPr>
                <w:t>1, 2008</w:t>
              </w:r>
            </w:hyperlink>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0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1440" w:type="dxa"/>
            <w:vAlign w:val="bottom"/>
            <w:tcBorders>
              <w:top w:val="single" w:sz="8" w:color="0000EE"/>
            </w:tcBorders>
          </w:tcPr>
          <w:p>
            <w:pPr>
              <w:spacing w:after="0"/>
              <w:rPr>
                <w:sz w:val="16"/>
                <w:szCs w:val="16"/>
                <w:color w:val="auto"/>
              </w:rPr>
            </w:pPr>
          </w:p>
        </w:tc>
        <w:tc>
          <w:tcPr>
            <w:tcW w:w="168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line="185" w:lineRule="exact"/>
              <w:rPr>
                <w:sz w:val="20"/>
                <w:szCs w:val="20"/>
                <w:color w:val="auto"/>
              </w:rPr>
            </w:pPr>
            <w:r>
              <w:rPr>
                <w:rFonts w:ascii="Arial" w:cs="Arial" w:eastAsia="Arial" w:hAnsi="Arial"/>
                <w:sz w:val="17"/>
                <w:szCs w:val="17"/>
                <w:color w:val="auto"/>
                <w:w w:val="84"/>
              </w:rPr>
              <w:t>5</w:t>
            </w:r>
          </w:p>
        </w:tc>
      </w:tr>
      <w:tr>
        <w:trPr>
          <w:trHeight w:val="38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60" w:type="dxa"/>
            <w:vAlign w:val="bottom"/>
            <w:tcBorders>
              <w:bottom w:val="single" w:sz="8" w:color="0000EE"/>
            </w:tcBorders>
            <w:gridSpan w:val="14"/>
          </w:tcPr>
          <w:p>
            <w:pPr>
              <w:spacing w:after="0"/>
              <w:rPr>
                <w:rFonts w:ascii="Arial" w:cs="Arial" w:eastAsia="Arial" w:hAnsi="Arial"/>
                <w:sz w:val="17"/>
                <w:szCs w:val="17"/>
                <w:color w:val="0000EE"/>
                <w:w w:val="89"/>
              </w:rPr>
            </w:pPr>
            <w:hyperlink w:anchor="page6">
              <w:r>
                <w:rPr>
                  <w:rFonts w:ascii="Arial" w:cs="Arial" w:eastAsia="Arial" w:hAnsi="Arial"/>
                  <w:sz w:val="17"/>
                  <w:szCs w:val="17"/>
                  <w:color w:val="0000EE"/>
                  <w:w w:val="89"/>
                </w:rPr>
                <w:t>Notes to Condensed Consolidated Financial Statements (Unaudited)</w:t>
              </w:r>
            </w:hyperlink>
          </w:p>
        </w:tc>
        <w:tc>
          <w:tcPr>
            <w:tcW w:w="3560" w:type="dxa"/>
            <w:vAlign w:val="bottom"/>
            <w:gridSpan w:val="5"/>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88"/>
              </w:rPr>
              <w:t>6-14</w:t>
            </w:r>
          </w:p>
        </w:tc>
      </w:tr>
      <w:tr>
        <w:trPr>
          <w:trHeight w:val="389"/>
        </w:trPr>
        <w:tc>
          <w:tcPr>
            <w:tcW w:w="520" w:type="dxa"/>
            <w:vAlign w:val="bottom"/>
          </w:tcPr>
          <w:p>
            <w:pPr>
              <w:spacing w:after="0"/>
              <w:rPr>
                <w:rFonts w:ascii="Arial" w:cs="Arial" w:eastAsia="Arial" w:hAnsi="Arial"/>
                <w:sz w:val="17"/>
                <w:szCs w:val="17"/>
                <w:b w:val="1"/>
                <w:bCs w:val="1"/>
                <w:color w:val="0000EE"/>
                <w:w w:val="92"/>
              </w:rPr>
            </w:pPr>
            <w:hyperlink w:anchor="page15">
              <w:r>
                <w:rPr>
                  <w:rFonts w:ascii="Arial" w:cs="Arial" w:eastAsia="Arial" w:hAnsi="Arial"/>
                  <w:sz w:val="17"/>
                  <w:szCs w:val="17"/>
                  <w:b w:val="1"/>
                  <w:bCs w:val="1"/>
                  <w:color w:val="0000EE"/>
                  <w:w w:val="92"/>
                </w:rPr>
                <w:t>Item 2.</w:t>
              </w:r>
            </w:hyperlink>
          </w:p>
        </w:tc>
        <w:tc>
          <w:tcPr>
            <w:tcW w:w="10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8220" w:type="dxa"/>
            <w:vAlign w:val="bottom"/>
            <w:gridSpan w:val="19"/>
          </w:tcPr>
          <w:p>
            <w:pPr>
              <w:spacing w:after="0"/>
              <w:rPr>
                <w:rFonts w:ascii="Arial" w:cs="Arial" w:eastAsia="Arial" w:hAnsi="Arial"/>
                <w:sz w:val="17"/>
                <w:szCs w:val="17"/>
                <w:color w:val="0000EE"/>
              </w:rPr>
            </w:pPr>
            <w:hyperlink w:anchor="page15">
              <w:r>
                <w:rPr>
                  <w:rFonts w:ascii="Arial" w:cs="Arial" w:eastAsia="Arial" w:hAnsi="Arial"/>
                  <w:sz w:val="17"/>
                  <w:szCs w:val="17"/>
                  <w:color w:val="0000EE"/>
                </w:rPr>
                <w:t>Management's Discussion and Analysis of Financial Condition and Results of Operations</w:t>
              </w:r>
            </w:hyperlink>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15-22</w:t>
            </w:r>
          </w:p>
        </w:tc>
      </w:tr>
      <w:tr>
        <w:trPr>
          <w:trHeight w:val="409"/>
        </w:trPr>
        <w:tc>
          <w:tcPr>
            <w:tcW w:w="520" w:type="dxa"/>
            <w:vAlign w:val="bottom"/>
            <w:tcBorders>
              <w:top w:val="single" w:sz="8" w:color="0000EE"/>
            </w:tcBorders>
          </w:tcPr>
          <w:p>
            <w:pPr>
              <w:spacing w:after="0"/>
              <w:rPr>
                <w:rFonts w:ascii="Arial" w:cs="Arial" w:eastAsia="Arial" w:hAnsi="Arial"/>
                <w:sz w:val="17"/>
                <w:szCs w:val="17"/>
                <w:b w:val="1"/>
                <w:bCs w:val="1"/>
                <w:color w:val="0000EE"/>
                <w:w w:val="92"/>
              </w:rPr>
            </w:pPr>
            <w:hyperlink w:anchor="page23">
              <w:r>
                <w:rPr>
                  <w:rFonts w:ascii="Arial" w:cs="Arial" w:eastAsia="Arial" w:hAnsi="Arial"/>
                  <w:sz w:val="17"/>
                  <w:szCs w:val="17"/>
                  <w:b w:val="1"/>
                  <w:bCs w:val="1"/>
                  <w:color w:val="0000EE"/>
                  <w:w w:val="92"/>
                </w:rPr>
                <w:t>Item 3.</w:t>
              </w:r>
            </w:hyperlink>
          </w:p>
        </w:tc>
        <w:tc>
          <w:tcPr>
            <w:tcW w:w="10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6100" w:type="dxa"/>
            <w:vAlign w:val="bottom"/>
            <w:tcBorders>
              <w:top w:val="single" w:sz="8" w:color="0000EE"/>
            </w:tcBorders>
            <w:gridSpan w:val="15"/>
          </w:tcPr>
          <w:p>
            <w:pPr>
              <w:spacing w:after="0"/>
              <w:rPr>
                <w:rFonts w:ascii="Arial" w:cs="Arial" w:eastAsia="Arial" w:hAnsi="Arial"/>
                <w:sz w:val="17"/>
                <w:szCs w:val="17"/>
                <w:color w:val="0000EE"/>
              </w:rPr>
            </w:pPr>
            <w:hyperlink w:anchor="page23">
              <w:r>
                <w:rPr>
                  <w:rFonts w:ascii="Arial" w:cs="Arial" w:eastAsia="Arial" w:hAnsi="Arial"/>
                  <w:sz w:val="17"/>
                  <w:szCs w:val="17"/>
                  <w:color w:val="0000EE"/>
                </w:rPr>
                <w:t>Quantitative and Qualitative Disclosures about Market Risk</w:t>
              </w:r>
            </w:hyperlink>
          </w:p>
        </w:tc>
        <w:tc>
          <w:tcPr>
            <w:tcW w:w="2120" w:type="dxa"/>
            <w:vAlign w:val="bottom"/>
            <w:gridSpan w:val="4"/>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23-24</w:t>
            </w:r>
          </w:p>
        </w:tc>
      </w:tr>
      <w:tr>
        <w:trPr>
          <w:trHeight w:val="369"/>
        </w:trPr>
        <w:tc>
          <w:tcPr>
            <w:tcW w:w="520" w:type="dxa"/>
            <w:vAlign w:val="bottom"/>
            <w:tcBorders>
              <w:top w:val="single" w:sz="8" w:color="0000EE"/>
              <w:bottom w:val="single" w:sz="8" w:color="0000EE"/>
            </w:tcBorders>
          </w:tcPr>
          <w:p>
            <w:pPr>
              <w:spacing w:after="0"/>
              <w:rPr>
                <w:rFonts w:ascii="Arial" w:cs="Arial" w:eastAsia="Arial" w:hAnsi="Arial"/>
                <w:sz w:val="17"/>
                <w:szCs w:val="17"/>
                <w:b w:val="1"/>
                <w:bCs w:val="1"/>
                <w:color w:val="0000EE"/>
                <w:w w:val="92"/>
              </w:rPr>
            </w:pPr>
            <w:hyperlink w:anchor="page24">
              <w:r>
                <w:rPr>
                  <w:rFonts w:ascii="Arial" w:cs="Arial" w:eastAsia="Arial" w:hAnsi="Arial"/>
                  <w:sz w:val="17"/>
                  <w:szCs w:val="17"/>
                  <w:b w:val="1"/>
                  <w:bCs w:val="1"/>
                  <w:color w:val="0000EE"/>
                  <w:w w:val="92"/>
                </w:rPr>
                <w:t>Item 4.</w:t>
              </w:r>
            </w:hyperlink>
          </w:p>
        </w:tc>
        <w:tc>
          <w:tcPr>
            <w:tcW w:w="10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Borders>
              <w:top w:val="single" w:sz="8" w:color="0000EE"/>
              <w:bottom w:val="single" w:sz="8" w:color="0000EE"/>
            </w:tcBorders>
            <w:gridSpan w:val="10"/>
          </w:tcPr>
          <w:p>
            <w:pPr>
              <w:spacing w:after="0"/>
              <w:rPr>
                <w:rFonts w:ascii="Arial" w:cs="Arial" w:eastAsia="Arial" w:hAnsi="Arial"/>
                <w:sz w:val="17"/>
                <w:szCs w:val="17"/>
                <w:color w:val="0000EE"/>
                <w:w w:val="88"/>
              </w:rPr>
            </w:pPr>
            <w:hyperlink w:anchor="page24">
              <w:r>
                <w:rPr>
                  <w:rFonts w:ascii="Arial" w:cs="Arial" w:eastAsia="Arial" w:hAnsi="Arial"/>
                  <w:sz w:val="17"/>
                  <w:szCs w:val="17"/>
                  <w:color w:val="0000EE"/>
                  <w:w w:val="88"/>
                </w:rPr>
                <w:t>Controls and Procedures</w:t>
              </w:r>
            </w:hyperlink>
          </w:p>
        </w:tc>
        <w:tc>
          <w:tcPr>
            <w:tcW w:w="2400" w:type="dxa"/>
            <w:vAlign w:val="bottom"/>
            <w:tcBorders>
              <w:top w:val="single" w:sz="8" w:color="0000EE"/>
            </w:tcBorders>
            <w:gridSpan w:val="2"/>
          </w:tcPr>
          <w:p>
            <w:pPr>
              <w:spacing w:after="0"/>
              <w:rPr>
                <w:sz w:val="24"/>
                <w:szCs w:val="24"/>
                <w:color w:val="auto"/>
              </w:rPr>
            </w:pPr>
          </w:p>
        </w:tc>
        <w:tc>
          <w:tcPr>
            <w:tcW w:w="4140" w:type="dxa"/>
            <w:vAlign w:val="bottom"/>
            <w:gridSpan w:val="7"/>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24</w:t>
            </w:r>
          </w:p>
        </w:tc>
      </w:tr>
      <w:tr>
        <w:trPr>
          <w:trHeight w:val="389"/>
        </w:trPr>
        <w:tc>
          <w:tcPr>
            <w:tcW w:w="1580" w:type="dxa"/>
            <w:vAlign w:val="bottom"/>
            <w:gridSpan w:val="5"/>
          </w:tcPr>
          <w:p>
            <w:pPr>
              <w:spacing w:after="0"/>
              <w:rPr>
                <w:rFonts w:ascii="Arial" w:cs="Arial" w:eastAsia="Arial" w:hAnsi="Arial"/>
                <w:sz w:val="17"/>
                <w:szCs w:val="17"/>
                <w:b w:val="1"/>
                <w:bCs w:val="1"/>
                <w:color w:val="0000EE"/>
              </w:rPr>
            </w:pPr>
            <w:hyperlink w:anchor="page24">
              <w:r>
                <w:rPr>
                  <w:rFonts w:ascii="Arial" w:cs="Arial" w:eastAsia="Arial" w:hAnsi="Arial"/>
                  <w:sz w:val="17"/>
                  <w:szCs w:val="17"/>
                  <w:b w:val="1"/>
                  <w:bCs w:val="1"/>
                  <w:color w:val="0000EE"/>
                </w:rPr>
                <w:t>PART II.</w:t>
              </w:r>
            </w:hyperlink>
          </w:p>
        </w:tc>
        <w:tc>
          <w:tcPr>
            <w:tcW w:w="8520" w:type="dxa"/>
            <w:vAlign w:val="bottom"/>
            <w:gridSpan w:val="20"/>
          </w:tcPr>
          <w:p>
            <w:pPr>
              <w:spacing w:after="0"/>
              <w:rPr>
                <w:rFonts w:ascii="Arial" w:cs="Arial" w:eastAsia="Arial" w:hAnsi="Arial"/>
                <w:sz w:val="17"/>
                <w:szCs w:val="17"/>
                <w:b w:val="1"/>
                <w:bCs w:val="1"/>
                <w:color w:val="0000EE"/>
              </w:rPr>
            </w:pPr>
            <w:hyperlink w:anchor="page24">
              <w:r>
                <w:rPr>
                  <w:rFonts w:ascii="Arial" w:cs="Arial" w:eastAsia="Arial" w:hAnsi="Arial"/>
                  <w:sz w:val="17"/>
                  <w:szCs w:val="17"/>
                  <w:b w:val="1"/>
                  <w:bCs w:val="1"/>
                  <w:color w:val="0000EE"/>
                </w:rPr>
                <w:t>OTHER INFORMATION:</w:t>
              </w:r>
            </w:hyperlink>
          </w:p>
        </w:tc>
        <w:tc>
          <w:tcPr>
            <w:tcW w:w="1320" w:type="dxa"/>
            <w:vAlign w:val="bottom"/>
          </w:tcPr>
          <w:p>
            <w:pPr>
              <w:spacing w:after="0"/>
              <w:rPr>
                <w:sz w:val="24"/>
                <w:szCs w:val="24"/>
                <w:color w:val="auto"/>
              </w:rPr>
            </w:pPr>
          </w:p>
        </w:tc>
      </w:tr>
      <w:tr>
        <w:trPr>
          <w:trHeight w:val="389"/>
        </w:trPr>
        <w:tc>
          <w:tcPr>
            <w:tcW w:w="520" w:type="dxa"/>
            <w:vAlign w:val="bottom"/>
            <w:tcBorders>
              <w:top w:val="single" w:sz="8" w:color="0000EE"/>
            </w:tcBorders>
          </w:tcPr>
          <w:p>
            <w:pPr>
              <w:spacing w:after="0"/>
              <w:rPr>
                <w:rFonts w:ascii="Arial" w:cs="Arial" w:eastAsia="Arial" w:hAnsi="Arial"/>
                <w:sz w:val="17"/>
                <w:szCs w:val="17"/>
                <w:b w:val="1"/>
                <w:bCs w:val="1"/>
                <w:color w:val="0000EE"/>
                <w:w w:val="92"/>
              </w:rPr>
            </w:pPr>
            <w:hyperlink w:anchor="page24">
              <w:r>
                <w:rPr>
                  <w:rFonts w:ascii="Arial" w:cs="Arial" w:eastAsia="Arial" w:hAnsi="Arial"/>
                  <w:sz w:val="17"/>
                  <w:szCs w:val="17"/>
                  <w:b w:val="1"/>
                  <w:bCs w:val="1"/>
                  <w:color w:val="0000EE"/>
                  <w:w w:val="92"/>
                </w:rPr>
                <w:t>Item 1.</w:t>
              </w:r>
            </w:hyperlink>
          </w:p>
        </w:tc>
        <w:tc>
          <w:tcPr>
            <w:tcW w:w="140" w:type="dxa"/>
            <w:vAlign w:val="bottom"/>
            <w:tcBorders>
              <w:top w:val="single" w:sz="8" w:color="0000EE"/>
            </w:tcBorders>
            <w:gridSpan w:val="3"/>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60" w:type="dxa"/>
            <w:vAlign w:val="bottom"/>
            <w:tcBorders>
              <w:top w:val="single" w:sz="8" w:color="0000EE"/>
            </w:tcBorders>
            <w:gridSpan w:val="9"/>
          </w:tcPr>
          <w:p>
            <w:pPr>
              <w:spacing w:after="0"/>
              <w:rPr>
                <w:rFonts w:ascii="Arial" w:cs="Arial" w:eastAsia="Arial" w:hAnsi="Arial"/>
                <w:sz w:val="17"/>
                <w:szCs w:val="17"/>
                <w:color w:val="0000EE"/>
              </w:rPr>
            </w:pPr>
            <w:hyperlink w:anchor="page24">
              <w:r>
                <w:rPr>
                  <w:rFonts w:ascii="Arial" w:cs="Arial" w:eastAsia="Arial" w:hAnsi="Arial"/>
                  <w:sz w:val="17"/>
                  <w:szCs w:val="17"/>
                  <w:color w:val="0000EE"/>
                </w:rPr>
                <w:t>Legal Proceedings</w:t>
              </w:r>
            </w:hyperlink>
          </w:p>
        </w:tc>
        <w:tc>
          <w:tcPr>
            <w:tcW w:w="6560" w:type="dxa"/>
            <w:vAlign w:val="bottom"/>
            <w:gridSpan w:val="10"/>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24-25</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410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89"/>
        </w:trPr>
        <w:tc>
          <w:tcPr>
            <w:tcW w:w="640" w:type="dxa"/>
            <w:vAlign w:val="bottom"/>
            <w:tcBorders>
              <w:bottom w:val="single" w:sz="8" w:color="0000EE"/>
            </w:tcBorders>
            <w:gridSpan w:val="3"/>
          </w:tcPr>
          <w:p>
            <w:pPr>
              <w:spacing w:after="0"/>
              <w:rPr>
                <w:rFonts w:ascii="Arial" w:cs="Arial" w:eastAsia="Arial" w:hAnsi="Arial"/>
                <w:sz w:val="17"/>
                <w:szCs w:val="17"/>
                <w:b w:val="1"/>
                <w:bCs w:val="1"/>
                <w:color w:val="0000EE"/>
                <w:w w:val="93"/>
              </w:rPr>
            </w:pPr>
            <w:hyperlink w:anchor="page25">
              <w:r>
                <w:rPr>
                  <w:rFonts w:ascii="Arial" w:cs="Arial" w:eastAsia="Arial" w:hAnsi="Arial"/>
                  <w:sz w:val="17"/>
                  <w:szCs w:val="17"/>
                  <w:b w:val="1"/>
                  <w:bCs w:val="1"/>
                  <w:color w:val="0000EE"/>
                  <w:w w:val="93"/>
                </w:rPr>
                <w:t>Item 1A.</w:t>
              </w:r>
            </w:hyperlink>
          </w:p>
        </w:tc>
        <w:tc>
          <w:tcPr>
            <w:tcW w:w="94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bottom w:val="single" w:sz="8" w:color="0000EE"/>
            </w:tcBorders>
            <w:gridSpan w:val="6"/>
          </w:tcPr>
          <w:p>
            <w:pPr>
              <w:spacing w:after="0"/>
              <w:rPr>
                <w:rFonts w:ascii="Arial" w:cs="Arial" w:eastAsia="Arial" w:hAnsi="Arial"/>
                <w:sz w:val="17"/>
                <w:szCs w:val="17"/>
                <w:color w:val="0000EE"/>
                <w:w w:val="88"/>
              </w:rPr>
            </w:pPr>
            <w:hyperlink w:anchor="page25">
              <w:r>
                <w:rPr>
                  <w:rFonts w:ascii="Arial" w:cs="Arial" w:eastAsia="Arial" w:hAnsi="Arial"/>
                  <w:sz w:val="17"/>
                  <w:szCs w:val="17"/>
                  <w:color w:val="0000EE"/>
                  <w:w w:val="88"/>
                </w:rPr>
                <w:t>Risk Factors</w:t>
              </w:r>
            </w:hyperlink>
          </w:p>
        </w:tc>
        <w:tc>
          <w:tcPr>
            <w:tcW w:w="7360" w:type="dxa"/>
            <w:vAlign w:val="bottom"/>
            <w:gridSpan w:val="13"/>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25</w:t>
            </w:r>
          </w:p>
        </w:tc>
      </w:tr>
      <w:tr>
        <w:trPr>
          <w:trHeight w:val="409"/>
        </w:trPr>
        <w:tc>
          <w:tcPr>
            <w:tcW w:w="520" w:type="dxa"/>
            <w:vAlign w:val="bottom"/>
          </w:tcPr>
          <w:p>
            <w:pPr>
              <w:spacing w:after="0"/>
              <w:rPr>
                <w:rFonts w:ascii="Arial" w:cs="Arial" w:eastAsia="Arial" w:hAnsi="Arial"/>
                <w:sz w:val="17"/>
                <w:szCs w:val="17"/>
                <w:b w:val="1"/>
                <w:bCs w:val="1"/>
                <w:color w:val="0000EE"/>
                <w:w w:val="92"/>
              </w:rPr>
            </w:pPr>
            <w:hyperlink w:anchor="page26">
              <w:r>
                <w:rPr>
                  <w:rFonts w:ascii="Arial" w:cs="Arial" w:eastAsia="Arial" w:hAnsi="Arial"/>
                  <w:sz w:val="17"/>
                  <w:szCs w:val="17"/>
                  <w:b w:val="1"/>
                  <w:bCs w:val="1"/>
                  <w:color w:val="0000EE"/>
                  <w:w w:val="92"/>
                </w:rPr>
                <w:t>Item 2.</w:t>
              </w:r>
            </w:hyperlink>
          </w:p>
        </w:tc>
        <w:tc>
          <w:tcPr>
            <w:tcW w:w="10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8220" w:type="dxa"/>
            <w:vAlign w:val="bottom"/>
            <w:gridSpan w:val="19"/>
          </w:tcPr>
          <w:p>
            <w:pPr>
              <w:spacing w:after="0"/>
              <w:rPr>
                <w:rFonts w:ascii="Arial" w:cs="Arial" w:eastAsia="Arial" w:hAnsi="Arial"/>
                <w:sz w:val="17"/>
                <w:szCs w:val="17"/>
                <w:color w:val="0000EE"/>
              </w:rPr>
            </w:pPr>
            <w:hyperlink w:anchor="page26">
              <w:r>
                <w:rPr>
                  <w:rFonts w:ascii="Arial" w:cs="Arial" w:eastAsia="Arial" w:hAnsi="Arial"/>
                  <w:sz w:val="17"/>
                  <w:szCs w:val="17"/>
                  <w:color w:val="0000EE"/>
                </w:rPr>
                <w:t>Unregistered Sales of Equity Securities and Use of Proceeds</w:t>
              </w:r>
            </w:hyperlink>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26</w:t>
            </w:r>
          </w:p>
        </w:tc>
      </w:tr>
      <w:tr>
        <w:trPr>
          <w:trHeight w:val="369"/>
        </w:trPr>
        <w:tc>
          <w:tcPr>
            <w:tcW w:w="520" w:type="dxa"/>
            <w:vAlign w:val="bottom"/>
            <w:tcBorders>
              <w:top w:val="single" w:sz="8" w:color="0000EE"/>
              <w:bottom w:val="single" w:sz="8" w:color="0000EE"/>
            </w:tcBorders>
          </w:tcPr>
          <w:p>
            <w:pPr>
              <w:spacing w:after="0"/>
              <w:rPr>
                <w:rFonts w:ascii="Arial" w:cs="Arial" w:eastAsia="Arial" w:hAnsi="Arial"/>
                <w:sz w:val="17"/>
                <w:szCs w:val="17"/>
                <w:b w:val="1"/>
                <w:bCs w:val="1"/>
                <w:color w:val="0000EE"/>
                <w:w w:val="92"/>
              </w:rPr>
            </w:pPr>
            <w:hyperlink w:anchor="page26">
              <w:r>
                <w:rPr>
                  <w:rFonts w:ascii="Arial" w:cs="Arial" w:eastAsia="Arial" w:hAnsi="Arial"/>
                  <w:sz w:val="17"/>
                  <w:szCs w:val="17"/>
                  <w:b w:val="1"/>
                  <w:bCs w:val="1"/>
                  <w:color w:val="0000EE"/>
                  <w:w w:val="92"/>
                </w:rPr>
                <w:t>Item 6.</w:t>
              </w:r>
            </w:hyperlink>
          </w:p>
        </w:tc>
        <w:tc>
          <w:tcPr>
            <w:tcW w:w="10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94"/>
              </w:rPr>
            </w:pPr>
            <w:hyperlink w:anchor="page26">
              <w:r>
                <w:rPr>
                  <w:rFonts w:ascii="Arial" w:cs="Arial" w:eastAsia="Arial" w:hAnsi="Arial"/>
                  <w:sz w:val="17"/>
                  <w:szCs w:val="17"/>
                  <w:color w:val="0000EE"/>
                  <w:w w:val="94"/>
                </w:rPr>
                <w:t>Exhibits</w:t>
              </w:r>
            </w:hyperlink>
          </w:p>
        </w:tc>
        <w:tc>
          <w:tcPr>
            <w:tcW w:w="3540" w:type="dxa"/>
            <w:vAlign w:val="bottom"/>
            <w:tcBorders>
              <w:top w:val="single" w:sz="8" w:color="0000EE"/>
            </w:tcBorders>
            <w:gridSpan w:val="11"/>
          </w:tcPr>
          <w:p>
            <w:pPr>
              <w:spacing w:after="0"/>
              <w:rPr>
                <w:sz w:val="24"/>
                <w:szCs w:val="24"/>
                <w:color w:val="auto"/>
              </w:rPr>
            </w:pPr>
          </w:p>
        </w:tc>
        <w:tc>
          <w:tcPr>
            <w:tcW w:w="4100" w:type="dxa"/>
            <w:vAlign w:val="bottom"/>
            <w:gridSpan w:val="6"/>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26-27</w:t>
            </w:r>
          </w:p>
        </w:tc>
      </w:tr>
      <w:tr>
        <w:trPr>
          <w:trHeight w:val="38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20" w:type="dxa"/>
            <w:vAlign w:val="bottom"/>
            <w:gridSpan w:val="19"/>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Signatures</w:t>
              </w:r>
            </w:hyperlink>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28</w:t>
            </w:r>
          </w:p>
        </w:tc>
      </w:tr>
      <w:tr>
        <w:trPr>
          <w:trHeight w:val="823"/>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Borders>
              <w:top w:val="single" w:sz="8" w:color="0000EE"/>
            </w:tcBorders>
            <w:gridSpan w:val="4"/>
          </w:tcPr>
          <w:p>
            <w:pPr>
              <w:spacing w:after="0"/>
              <w:rPr>
                <w:sz w:val="24"/>
                <w:szCs w:val="24"/>
                <w:color w:val="auto"/>
              </w:rPr>
            </w:pPr>
          </w:p>
        </w:tc>
        <w:tc>
          <w:tcPr>
            <w:tcW w:w="3360" w:type="dxa"/>
            <w:vAlign w:val="bottom"/>
            <w:gridSpan w:val="8"/>
          </w:tcPr>
          <w:p>
            <w:pPr>
              <w:jc w:val="center"/>
              <w:ind w:left="2795"/>
              <w:spacing w:after="0"/>
              <w:rPr>
                <w:sz w:val="20"/>
                <w:szCs w:val="20"/>
                <w:color w:val="auto"/>
              </w:rPr>
            </w:pPr>
            <w:r>
              <w:rPr>
                <w:rFonts w:ascii="Arial" w:cs="Arial" w:eastAsia="Arial" w:hAnsi="Arial"/>
                <w:sz w:val="17"/>
                <w:szCs w:val="17"/>
                <w:color w:val="auto"/>
                <w:w w:val="84"/>
              </w:rPr>
              <w:t>2</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3"/>
        </w:trPr>
        <w:tc>
          <w:tcPr>
            <w:tcW w:w="5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1. FINANCIAL STATEMENTS</w:t>
      </w: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jc w:val="center"/>
        <w:spacing w:after="0"/>
        <w:rPr>
          <w:sz w:val="20"/>
          <w:szCs w:val="20"/>
          <w:color w:val="auto"/>
        </w:rPr>
      </w:pPr>
      <w:r>
        <w:rPr>
          <w:rFonts w:ascii="Arial" w:cs="Arial" w:eastAsia="Arial" w:hAnsi="Arial"/>
          <w:sz w:val="20"/>
          <w:szCs w:val="20"/>
          <w:b w:val="1"/>
          <w:bCs w:val="1"/>
          <w:color w:val="auto"/>
        </w:rPr>
        <w:t>Condensed Consolidated Statements of Earnings (Unaudited)</w:t>
      </w:r>
    </w:p>
    <w:p>
      <w:pPr>
        <w:jc w:val="center"/>
        <w:spacing w:after="0"/>
        <w:rPr>
          <w:sz w:val="20"/>
          <w:szCs w:val="20"/>
          <w:color w:val="auto"/>
        </w:rPr>
      </w:pPr>
      <w:r>
        <w:rPr>
          <w:rFonts w:ascii="Arial" w:cs="Arial" w:eastAsia="Arial" w:hAnsi="Arial"/>
          <w:sz w:val="20"/>
          <w:szCs w:val="20"/>
          <w:b w:val="1"/>
          <w:bCs w:val="1"/>
          <w:color w:val="auto"/>
        </w:rPr>
        <w:t>(Dollars and shares in thousands, except per share data)</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7"/>
                <w:szCs w:val="17"/>
                <w:color w:val="auto"/>
              </w:rPr>
              <w:t>Three Months Ended</w:t>
            </w:r>
          </w:p>
        </w:tc>
      </w:tr>
      <w:tr>
        <w:trPr>
          <w:trHeight w:val="192"/>
        </w:trPr>
        <w:tc>
          <w:tcPr>
            <w:tcW w:w="60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20"/>
              <w:spacing w:after="0" w:line="193" w:lineRule="exact"/>
              <w:rPr>
                <w:sz w:val="20"/>
                <w:szCs w:val="20"/>
                <w:color w:val="auto"/>
              </w:rPr>
            </w:pPr>
            <w:r>
              <w:rPr>
                <w:rFonts w:ascii="Arial" w:cs="Arial" w:eastAsia="Arial" w:hAnsi="Arial"/>
                <w:sz w:val="17"/>
                <w:szCs w:val="17"/>
                <w:color w:val="auto"/>
                <w:w w:val="92"/>
              </w:rPr>
              <w:t>January 30,</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5"/>
              <w:spacing w:after="0" w:line="193" w:lineRule="exact"/>
              <w:rPr>
                <w:sz w:val="20"/>
                <w:szCs w:val="20"/>
                <w:color w:val="auto"/>
              </w:rPr>
            </w:pPr>
            <w:r>
              <w:rPr>
                <w:rFonts w:ascii="Arial" w:cs="Arial" w:eastAsia="Arial" w:hAnsi="Arial"/>
                <w:sz w:val="17"/>
                <w:szCs w:val="17"/>
                <w:color w:val="auto"/>
                <w:w w:val="91"/>
              </w:rPr>
              <w:t>February 1,</w:t>
            </w:r>
          </w:p>
        </w:tc>
        <w:tc>
          <w:tcPr>
            <w:tcW w:w="100" w:type="dxa"/>
            <w:vAlign w:val="bottom"/>
          </w:tcPr>
          <w:p>
            <w:pPr>
              <w:spacing w:after="0"/>
              <w:rPr>
                <w:sz w:val="16"/>
                <w:szCs w:val="16"/>
                <w:color w:val="auto"/>
              </w:rPr>
            </w:pPr>
          </w:p>
        </w:tc>
      </w:tr>
      <w:tr>
        <w:trPr>
          <w:trHeight w:val="223"/>
        </w:trPr>
        <w:tc>
          <w:tcPr>
            <w:tcW w:w="60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r>
      <w:tr>
        <w:trPr>
          <w:trHeight w:val="205"/>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340,172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405,799</w:t>
            </w:r>
          </w:p>
        </w:tc>
      </w:tr>
      <w:tr>
        <w:trPr>
          <w:trHeight w:val="205"/>
        </w:trPr>
        <w:tc>
          <w:tcPr>
            <w:tcW w:w="6040" w:type="dxa"/>
            <w:vAlign w:val="bottom"/>
          </w:tcPr>
          <w:p>
            <w:pPr>
              <w:spacing w:after="0"/>
              <w:rPr>
                <w:sz w:val="20"/>
                <w:szCs w:val="20"/>
                <w:color w:val="auto"/>
              </w:rPr>
            </w:pPr>
            <w:r>
              <w:rPr>
                <w:rFonts w:ascii="Arial" w:cs="Arial" w:eastAsia="Arial" w:hAnsi="Arial"/>
                <w:sz w:val="17"/>
                <w:szCs w:val="17"/>
                <w:color w:val="auto"/>
              </w:rPr>
              <w:t>Cost of sales</w:t>
            </w: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221,912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256,662</w:t>
            </w:r>
          </w:p>
        </w:tc>
      </w:tr>
      <w:tr>
        <w:trPr>
          <w:trHeight w:val="26"/>
        </w:trPr>
        <w:tc>
          <w:tcPr>
            <w:tcW w:w="60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6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Gross profit</w:t>
            </w: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118,260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149,137</w:t>
            </w:r>
          </w:p>
        </w:tc>
      </w:tr>
      <w:tr>
        <w:trPr>
          <w:trHeight w:val="205"/>
        </w:trPr>
        <w:tc>
          <w:tcPr>
            <w:tcW w:w="6040" w:type="dxa"/>
            <w:vAlign w:val="bottom"/>
          </w:tcPr>
          <w:p>
            <w:pPr>
              <w:ind w:left="40"/>
              <w:spacing w:after="0"/>
              <w:rPr>
                <w:sz w:val="20"/>
                <w:szCs w:val="20"/>
                <w:color w:val="auto"/>
              </w:rPr>
            </w:pPr>
            <w:r>
              <w:rPr>
                <w:rFonts w:ascii="Arial" w:cs="Arial" w:eastAsia="Arial" w:hAnsi="Arial"/>
                <w:sz w:val="17"/>
                <w:szCs w:val="17"/>
                <w:color w:val="auto"/>
              </w:rPr>
              <w:t>Selling, general, and administrative expense</w:t>
            </w: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104,559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117,117</w:t>
            </w:r>
          </w:p>
        </w:tc>
      </w:tr>
      <w:tr>
        <w:trPr>
          <w:trHeight w:val="26"/>
        </w:trPr>
        <w:tc>
          <w:tcPr>
            <w:tcW w:w="60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6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Earnings from operations</w:t>
            </w: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32,020</w:t>
            </w:r>
          </w:p>
        </w:tc>
      </w:tr>
      <w:tr>
        <w:trPr>
          <w:trHeight w:val="205"/>
        </w:trPr>
        <w:tc>
          <w:tcPr>
            <w:tcW w:w="6040" w:type="dxa"/>
            <w:vAlign w:val="bottom"/>
          </w:tcPr>
          <w:p>
            <w:pPr>
              <w:spacing w:after="0"/>
              <w:rPr>
                <w:sz w:val="20"/>
                <w:szCs w:val="20"/>
                <w:color w:val="auto"/>
              </w:rPr>
            </w:pPr>
            <w:r>
              <w:rPr>
                <w:rFonts w:ascii="Arial" w:cs="Arial" w:eastAsia="Arial" w:hAnsi="Arial"/>
                <w:sz w:val="17"/>
                <w:szCs w:val="17"/>
                <w:color w:val="auto"/>
              </w:rPr>
              <w:t>Interest expense</w:t>
            </w: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(4,358)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(4,883)</w:t>
            </w:r>
          </w:p>
        </w:tc>
      </w:tr>
      <w:tr>
        <w:trPr>
          <w:trHeight w:val="205"/>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1,698</w:t>
            </w:r>
          </w:p>
        </w:tc>
      </w:tr>
      <w:tr>
        <w:trPr>
          <w:trHeight w:val="26"/>
        </w:trPr>
        <w:tc>
          <w:tcPr>
            <w:tcW w:w="604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40" w:type="dxa"/>
            <w:vAlign w:val="bottom"/>
          </w:tcPr>
          <w:p>
            <w:pPr>
              <w:ind w:left="300"/>
              <w:spacing w:after="0"/>
              <w:rPr>
                <w:sz w:val="20"/>
                <w:szCs w:val="20"/>
                <w:color w:val="auto"/>
              </w:rPr>
            </w:pPr>
            <w:r>
              <w:rPr>
                <w:rFonts w:ascii="Arial" w:cs="Arial" w:eastAsia="Arial" w:hAnsi="Arial"/>
                <w:sz w:val="17"/>
                <w:szCs w:val="17"/>
                <w:color w:val="auto"/>
              </w:rPr>
              <w:t>Earnings before income taxes</w:t>
            </w: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10,153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28,835</w:t>
            </w:r>
          </w:p>
        </w:tc>
      </w:tr>
      <w:tr>
        <w:trPr>
          <w:trHeight w:val="205"/>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10,208</w:t>
            </w:r>
          </w:p>
        </w:tc>
      </w:tr>
      <w:tr>
        <w:trPr>
          <w:trHeight w:val="26"/>
        </w:trPr>
        <w:tc>
          <w:tcPr>
            <w:tcW w:w="604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40" w:type="dxa"/>
            <w:vAlign w:val="bottom"/>
          </w:tcPr>
          <w:p>
            <w:pPr>
              <w:ind w:left="300"/>
              <w:spacing w:after="0"/>
              <w:rPr>
                <w:sz w:val="20"/>
                <w:szCs w:val="20"/>
                <w:color w:val="auto"/>
              </w:rPr>
            </w:pPr>
            <w:r>
              <w:rPr>
                <w:rFonts w:ascii="Arial" w:cs="Arial" w:eastAsia="Arial" w:hAnsi="Arial"/>
                <w:sz w:val="17"/>
                <w:szCs w:val="17"/>
                <w:color w:val="auto"/>
              </w:rPr>
              <w:t>Net earnings</w:t>
            </w:r>
          </w:p>
        </w:tc>
        <w:tc>
          <w:tcPr>
            <w:tcW w:w="2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6,731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18,627</w:t>
            </w:r>
          </w:p>
        </w:tc>
      </w:tr>
      <w:tr>
        <w:trPr>
          <w:trHeight w:val="20"/>
        </w:trPr>
        <w:tc>
          <w:tcPr>
            <w:tcW w:w="60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4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40" w:type="dxa"/>
            <w:vAlign w:val="bottom"/>
          </w:tcPr>
          <w:p>
            <w:pPr>
              <w:spacing w:after="0"/>
              <w:rPr>
                <w:sz w:val="20"/>
                <w:szCs w:val="20"/>
                <w:color w:val="auto"/>
              </w:rPr>
            </w:pPr>
            <w:r>
              <w:rPr>
                <w:rFonts w:ascii="Arial" w:cs="Arial" w:eastAsia="Arial" w:hAnsi="Arial"/>
                <w:sz w:val="17"/>
                <w:szCs w:val="17"/>
                <w:color w:val="auto"/>
              </w:rPr>
              <w:t>Basic net earnings per share of common stock</w:t>
            </w:r>
          </w:p>
        </w:tc>
        <w:tc>
          <w:tcPr>
            <w:tcW w:w="2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0.19</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0.49</w:t>
            </w:r>
          </w:p>
        </w:tc>
      </w:tr>
      <w:tr>
        <w:trPr>
          <w:trHeight w:val="20"/>
        </w:trPr>
        <w:tc>
          <w:tcPr>
            <w:tcW w:w="60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4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40" w:type="dxa"/>
            <w:vAlign w:val="bottom"/>
          </w:tcPr>
          <w:p>
            <w:pPr>
              <w:spacing w:after="0"/>
              <w:rPr>
                <w:sz w:val="20"/>
                <w:szCs w:val="20"/>
                <w:color w:val="auto"/>
              </w:rPr>
            </w:pPr>
            <w:r>
              <w:rPr>
                <w:rFonts w:ascii="Arial" w:cs="Arial" w:eastAsia="Arial" w:hAnsi="Arial"/>
                <w:sz w:val="17"/>
                <w:szCs w:val="17"/>
                <w:color w:val="auto"/>
              </w:rPr>
              <w:t>Diluted net earnings per share of common stock</w:t>
            </w:r>
          </w:p>
        </w:tc>
        <w:tc>
          <w:tcPr>
            <w:tcW w:w="2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0.18</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0.47</w:t>
            </w:r>
          </w:p>
        </w:tc>
      </w:tr>
      <w:tr>
        <w:trPr>
          <w:trHeight w:val="20"/>
        </w:trPr>
        <w:tc>
          <w:tcPr>
            <w:tcW w:w="60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4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number of shares of common</w:t>
            </w: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40" w:type="dxa"/>
            <w:vAlign w:val="bottom"/>
          </w:tcPr>
          <w:p>
            <w:pPr>
              <w:ind w:left="300"/>
              <w:spacing w:after="0"/>
              <w:rPr>
                <w:sz w:val="20"/>
                <w:szCs w:val="20"/>
                <w:color w:val="auto"/>
              </w:rPr>
            </w:pPr>
            <w:r>
              <w:rPr>
                <w:rFonts w:ascii="Arial" w:cs="Arial" w:eastAsia="Arial" w:hAnsi="Arial"/>
                <w:sz w:val="17"/>
                <w:szCs w:val="17"/>
                <w:color w:val="auto"/>
              </w:rPr>
              <w:t>stock outstanding – Basic</w:t>
            </w: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36,366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38,386</w:t>
            </w:r>
          </w:p>
        </w:tc>
      </w:tr>
      <w:tr>
        <w:trPr>
          <w:trHeight w:val="205"/>
        </w:trPr>
        <w:tc>
          <w:tcPr>
            <w:tcW w:w="604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40" w:type="dxa"/>
            <w:vAlign w:val="bottom"/>
          </w:tcPr>
          <w:p>
            <w:pPr>
              <w:spacing w:after="0"/>
              <w:rPr>
                <w:sz w:val="20"/>
                <w:szCs w:val="20"/>
                <w:color w:val="auto"/>
              </w:rPr>
            </w:pPr>
            <w:r>
              <w:rPr>
                <w:rFonts w:ascii="Arial" w:cs="Arial" w:eastAsia="Arial" w:hAnsi="Arial"/>
                <w:sz w:val="17"/>
                <w:szCs w:val="17"/>
                <w:color w:val="auto"/>
              </w:rPr>
              <w:t>Weighted-average number of shares of common</w:t>
            </w: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stock outstanding – Diluted</w:t>
            </w: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36,805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39,395</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jc w:val="center"/>
        <w:spacing w:after="0"/>
        <w:rPr>
          <w:sz w:val="20"/>
          <w:szCs w:val="20"/>
          <w:color w:val="auto"/>
        </w:rPr>
      </w:pPr>
      <w:r>
        <w:rPr>
          <w:rFonts w:ascii="Arial" w:cs="Arial" w:eastAsia="Arial" w:hAnsi="Arial"/>
          <w:sz w:val="20"/>
          <w:szCs w:val="20"/>
          <w:b w:val="1"/>
          <w:bCs w:val="1"/>
          <w:color w:val="auto"/>
        </w:rPr>
        <w:t>(Dollars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7"/>
                <w:szCs w:val="17"/>
                <w:color w:val="auto"/>
                <w:w w:val="92"/>
              </w:rPr>
              <w:t>January 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7"/>
                <w:szCs w:val="17"/>
                <w:color w:val="auto"/>
                <w:w w:val="89"/>
              </w:rPr>
              <w:t>February 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October 31,</w:t>
            </w:r>
          </w:p>
        </w:tc>
      </w:tr>
      <w:tr>
        <w:trPr>
          <w:trHeight w:val="223"/>
        </w:trPr>
        <w:tc>
          <w:tcPr>
            <w:tcW w:w="6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r>
      <w:tr>
        <w:trPr>
          <w:trHeight w:val="201"/>
        </w:trPr>
        <w:tc>
          <w:tcPr>
            <w:tcW w:w="620" w:type="dxa"/>
            <w:vAlign w:val="bottom"/>
            <w:tcBorders>
              <w:bottom w:val="single" w:sz="8" w:color="auto"/>
            </w:tcBorders>
          </w:tcPr>
          <w:p>
            <w:pPr>
              <w:spacing w:after="0" w:line="192" w:lineRule="exact"/>
              <w:rPr>
                <w:sz w:val="20"/>
                <w:szCs w:val="20"/>
                <w:color w:val="auto"/>
              </w:rPr>
            </w:pPr>
            <w:r>
              <w:rPr>
                <w:rFonts w:ascii="Arial" w:cs="Arial" w:eastAsia="Arial" w:hAnsi="Arial"/>
                <w:sz w:val="17"/>
                <w:szCs w:val="17"/>
                <w:color w:val="auto"/>
                <w:w w:val="89"/>
              </w:rPr>
              <w:t>ASSETS</w:t>
            </w:r>
          </w:p>
        </w:tc>
        <w:tc>
          <w:tcPr>
            <w:tcW w:w="68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35,597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29,762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99,359</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Receivables, net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297,962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344,682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256,259</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Inventories, net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238,704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295,923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207,084</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23,813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14,626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27,491</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56,870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53,755</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current assets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651,387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741,863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643,948</w:t>
            </w:r>
          </w:p>
        </w:tc>
      </w:tr>
      <w:tr>
        <w:trPr>
          <w:trHeight w:val="205"/>
        </w:trPr>
        <w:tc>
          <w:tcPr>
            <w:tcW w:w="6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Property, plant, and equipment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526,938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587,423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518,536</w:t>
            </w:r>
          </w:p>
        </w:tc>
      </w:tr>
      <w:tr>
        <w:trPr>
          <w:trHeight w:val="205"/>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Less accumulated depreciation</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359,211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416,854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349,669</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167,727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170,569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168,867</w:t>
            </w:r>
          </w:p>
        </w:tc>
      </w:tr>
      <w:tr>
        <w:trPr>
          <w:trHeight w:val="205"/>
        </w:trPr>
        <w:tc>
          <w:tcPr>
            <w:tcW w:w="6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6,454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6,665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6,476</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7,949</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Goodwill</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86,385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86,064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86,192</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18,548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18,828</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938,187</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1,031,109</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932,260</w:t>
            </w:r>
          </w:p>
        </w:tc>
      </w:tr>
      <w:tr>
        <w:trPr>
          <w:trHeight w:val="20"/>
        </w:trPr>
        <w:tc>
          <w:tcPr>
            <w:tcW w:w="6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66"/>
        </w:trPr>
        <w:tc>
          <w:tcPr>
            <w:tcW w:w="7440" w:type="dxa"/>
            <w:vAlign w:val="bottom"/>
            <w:gridSpan w:val="3"/>
          </w:tcPr>
          <w:p>
            <w:pPr>
              <w:spacing w:after="0" w:line="167" w:lineRule="exact"/>
              <w:rPr>
                <w:sz w:val="20"/>
                <w:szCs w:val="20"/>
                <w:color w:val="auto"/>
              </w:rPr>
            </w:pPr>
            <w:r>
              <w:rPr>
                <w:rFonts w:ascii="Arial" w:cs="Arial" w:eastAsia="Arial" w:hAnsi="Arial"/>
                <w:sz w:val="17"/>
                <w:szCs w:val="17"/>
                <w:color w:val="auto"/>
              </w:rPr>
              <w:t>LIABILITIES AND STOCKHOLDERS' EQUITY</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4"/>
        </w:trPr>
        <w:tc>
          <w:tcPr>
            <w:tcW w:w="620" w:type="dxa"/>
            <w:vAlign w:val="bottom"/>
            <w:tcBorders>
              <w:top w:val="single" w:sz="8" w:color="auto"/>
            </w:tcBorders>
          </w:tcPr>
          <w:p>
            <w:pPr>
              <w:spacing w:after="0"/>
              <w:rPr>
                <w:sz w:val="3"/>
                <w:szCs w:val="3"/>
                <w:color w:val="auto"/>
              </w:rPr>
            </w:pPr>
          </w:p>
        </w:tc>
        <w:tc>
          <w:tcPr>
            <w:tcW w:w="2860" w:type="dxa"/>
            <w:vAlign w:val="bottom"/>
            <w:tcBorders>
              <w:top w:val="single" w:sz="8" w:color="auto"/>
            </w:tcBorders>
          </w:tcPr>
          <w:p>
            <w:pPr>
              <w:spacing w:after="0"/>
              <w:rPr>
                <w:sz w:val="3"/>
                <w:szCs w:val="3"/>
                <w:color w:val="auto"/>
              </w:rPr>
            </w:pPr>
          </w:p>
        </w:tc>
        <w:tc>
          <w:tcPr>
            <w:tcW w:w="3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Current portion of long-term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3,377</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2,241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3,276</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Short-term debt</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25,000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85,800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2,326</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89,561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101,866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92,997</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Accrued liabilities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214,403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241,737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225,852</w:t>
            </w:r>
          </w:p>
        </w:tc>
      </w:tr>
      <w:tr>
        <w:trPr>
          <w:trHeight w:val="26"/>
        </w:trPr>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Total current 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332,341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431,644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324,451</w:t>
            </w:r>
          </w:p>
        </w:tc>
      </w:tr>
      <w:tr>
        <w:trPr>
          <w:trHeight w:val="205"/>
        </w:trPr>
        <w:tc>
          <w:tcPr>
            <w:tcW w:w="620" w:type="dxa"/>
            <w:vAlign w:val="bottom"/>
            <w:tcBorders>
              <w:top w:val="single" w:sz="8" w:color="CCEEFF"/>
            </w:tcBorders>
          </w:tcPr>
          <w:p>
            <w:pPr>
              <w:spacing w:after="0"/>
              <w:rPr>
                <w:sz w:val="17"/>
                <w:szCs w:val="17"/>
                <w:color w:val="auto"/>
              </w:rPr>
            </w:pPr>
          </w:p>
        </w:tc>
        <w:tc>
          <w:tcPr>
            <w:tcW w:w="2860" w:type="dxa"/>
            <w:vAlign w:val="bottom"/>
            <w:tcBorders>
              <w:top w:val="single" w:sz="8" w:color="CCEEFF"/>
            </w:tcBorders>
          </w:tcPr>
          <w:p>
            <w:pPr>
              <w:spacing w:after="0"/>
              <w:rPr>
                <w:sz w:val="17"/>
                <w:szCs w:val="17"/>
                <w:color w:val="auto"/>
              </w:rPr>
            </w:pPr>
          </w:p>
        </w:tc>
        <w:tc>
          <w:tcPr>
            <w:tcW w:w="39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Long-term debt, less current portion</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226,396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228,241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227,515</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Deferred revenue</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8,785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10,193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9,363</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6,893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6,256</w:t>
            </w:r>
          </w:p>
        </w:tc>
      </w:tr>
      <w:tr>
        <w:trPr>
          <w:trHeight w:val="205"/>
        </w:trPr>
        <w:tc>
          <w:tcPr>
            <w:tcW w:w="6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2"/>
        </w:trPr>
        <w:tc>
          <w:tcPr>
            <w:tcW w:w="7440" w:type="dxa"/>
            <w:vAlign w:val="bottom"/>
            <w:gridSpan w:val="3"/>
          </w:tcPr>
          <w:p>
            <w:pPr>
              <w:ind w:left="80"/>
              <w:spacing w:after="0" w:line="193" w:lineRule="exact"/>
              <w:rPr>
                <w:sz w:val="20"/>
                <w:szCs w:val="20"/>
                <w:color w:val="auto"/>
              </w:rPr>
            </w:pPr>
            <w:r>
              <w:rPr>
                <w:rFonts w:ascii="Arial" w:cs="Arial" w:eastAsia="Arial" w:hAnsi="Arial"/>
                <w:sz w:val="17"/>
                <w:szCs w:val="17"/>
                <w:color w:val="auto"/>
              </w:rPr>
              <w:t>Preferred stock, par value $1.00, authorized 1,000,000 voting</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and 850,000 non-voting shares, none issued and outstanding</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3"/>
        </w:trPr>
        <w:tc>
          <w:tcPr>
            <w:tcW w:w="7440" w:type="dxa"/>
            <w:vAlign w:val="bottom"/>
            <w:gridSpan w:val="3"/>
            <w:shd w:val="clear" w:color="auto" w:fill="CCEEFF"/>
          </w:tcPr>
          <w:p>
            <w:pPr>
              <w:ind w:left="80"/>
              <w:spacing w:after="0" w:line="193" w:lineRule="exact"/>
              <w:rPr>
                <w:sz w:val="20"/>
                <w:szCs w:val="20"/>
                <w:color w:val="auto"/>
              </w:rPr>
            </w:pPr>
            <w:r>
              <w:rPr>
                <w:rFonts w:ascii="Arial" w:cs="Arial" w:eastAsia="Arial" w:hAnsi="Arial"/>
                <w:sz w:val="17"/>
                <w:szCs w:val="17"/>
                <w:color w:val="auto"/>
              </w:rPr>
              <w:t>Common stock, par value $1.00, authorized 100,000,000 shares,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5"/>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issued and outstanding 35,804,195 shares as of January 30,</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2009, 37,450,647 shares as of February 1, 2008, and</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35,484,766 shares as of October 31, 2008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35,804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37,451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35,485</w:t>
            </w:r>
          </w:p>
        </w:tc>
      </w:tr>
      <w:tr>
        <w:trPr>
          <w:trHeight w:val="205"/>
        </w:trPr>
        <w:tc>
          <w:tcPr>
            <w:tcW w:w="7440" w:type="dxa"/>
            <w:vAlign w:val="bottom"/>
            <w:gridSpan w:val="3"/>
          </w:tcPr>
          <w:p>
            <w:pPr>
              <w:ind w:left="40"/>
              <w:spacing w:after="0"/>
              <w:rPr>
                <w:sz w:val="20"/>
                <w:szCs w:val="20"/>
                <w:color w:val="auto"/>
              </w:rPr>
            </w:pPr>
            <w:r>
              <w:rPr>
                <w:rFonts w:ascii="Arial" w:cs="Arial" w:eastAsia="Arial" w:hAnsi="Arial"/>
                <w:sz w:val="17"/>
                <w:szCs w:val="17"/>
                <w:color w:val="auto"/>
              </w:rPr>
              <w:t>Retained earnings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342,081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320,074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337,734</w:t>
            </w:r>
          </w:p>
        </w:tc>
      </w:tr>
      <w:tr>
        <w:trPr>
          <w:trHeight w:val="205"/>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Accumulated other comprehensive loss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(13,447)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(8,544)</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stockholders' equity</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364,438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354,138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364,675</w:t>
            </w:r>
          </w:p>
        </w:tc>
      </w:tr>
      <w:tr>
        <w:trPr>
          <w:trHeight w:val="26"/>
        </w:trPr>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938,187</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1,031,109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932,260</w:t>
            </w: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4" w:name="page5"/>
    <w:bookmarkEnd w:id="4"/>
    <w:p>
      <w:pPr>
        <w:jc w:val="center"/>
        <w:ind w:left="320"/>
        <w:spacing w:after="0"/>
        <w:rPr>
          <w:sz w:val="20"/>
          <w:szCs w:val="20"/>
          <w:color w:val="auto"/>
        </w:rPr>
      </w:pPr>
      <w:r>
        <w:rPr>
          <w:rFonts w:ascii="Arial" w:cs="Arial" w:eastAsia="Arial" w:hAnsi="Arial"/>
          <w:sz w:val="20"/>
          <w:szCs w:val="20"/>
          <w:b w:val="1"/>
          <w:bCs w:val="1"/>
          <w:color w:val="auto"/>
        </w:rPr>
        <w:t>THE TORO COMPANY AND SUBSIDIARIES</w:t>
      </w:r>
    </w:p>
    <w:p>
      <w:pPr>
        <w:spacing w:after="0" w:line="22"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Condensed Consolidated Statements of Cash Flows (Unaudited)</w:t>
      </w:r>
    </w:p>
    <w:p>
      <w:pPr>
        <w:jc w:val="center"/>
        <w:ind w:left="320"/>
        <w:spacing w:after="0"/>
        <w:rPr>
          <w:sz w:val="20"/>
          <w:szCs w:val="20"/>
          <w:color w:val="auto"/>
        </w:rPr>
      </w:pPr>
      <w:r>
        <w:rPr>
          <w:rFonts w:ascii="Arial" w:cs="Arial" w:eastAsia="Arial" w:hAnsi="Arial"/>
          <w:sz w:val="20"/>
          <w:szCs w:val="20"/>
          <w:b w:val="1"/>
          <w:bCs w:val="1"/>
          <w:color w:val="auto"/>
        </w:rPr>
        <w:t>(Dollars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7"/>
                <w:szCs w:val="17"/>
                <w:color w:val="auto"/>
              </w:rPr>
              <w:t>Three Months Ended</w:t>
            </w:r>
          </w:p>
        </w:tc>
      </w:tr>
      <w:tr>
        <w:trPr>
          <w:trHeight w:val="192"/>
        </w:trPr>
        <w:tc>
          <w:tcPr>
            <w:tcW w:w="53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20"/>
              <w:spacing w:after="0" w:line="193" w:lineRule="exact"/>
              <w:rPr>
                <w:sz w:val="20"/>
                <w:szCs w:val="20"/>
                <w:color w:val="auto"/>
              </w:rPr>
            </w:pPr>
            <w:r>
              <w:rPr>
                <w:rFonts w:ascii="Arial" w:cs="Arial" w:eastAsia="Arial" w:hAnsi="Arial"/>
                <w:sz w:val="17"/>
                <w:szCs w:val="17"/>
                <w:color w:val="auto"/>
                <w:w w:val="92"/>
              </w:rPr>
              <w:t>January 30,</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5"/>
              <w:spacing w:after="0" w:line="193" w:lineRule="exact"/>
              <w:rPr>
                <w:sz w:val="20"/>
                <w:szCs w:val="20"/>
                <w:color w:val="auto"/>
              </w:rPr>
            </w:pPr>
            <w:r>
              <w:rPr>
                <w:rFonts w:ascii="Arial" w:cs="Arial" w:eastAsia="Arial" w:hAnsi="Arial"/>
                <w:sz w:val="17"/>
                <w:szCs w:val="17"/>
                <w:color w:val="auto"/>
                <w:w w:val="91"/>
              </w:rPr>
              <w:t>February 1,</w:t>
            </w:r>
          </w:p>
        </w:tc>
        <w:tc>
          <w:tcPr>
            <w:tcW w:w="100" w:type="dxa"/>
            <w:vAlign w:val="bottom"/>
          </w:tcPr>
          <w:p>
            <w:pPr>
              <w:spacing w:after="0"/>
              <w:rPr>
                <w:sz w:val="16"/>
                <w:szCs w:val="16"/>
                <w:color w:val="auto"/>
              </w:rPr>
            </w:pPr>
          </w:p>
        </w:tc>
      </w:tr>
      <w:tr>
        <w:trPr>
          <w:trHeight w:val="223"/>
        </w:trPr>
        <w:tc>
          <w:tcPr>
            <w:tcW w:w="53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r>
      <w:tr>
        <w:trPr>
          <w:trHeight w:val="205"/>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3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320" w:type="dxa"/>
            <w:vAlign w:val="bottom"/>
          </w:tcPr>
          <w:p>
            <w:pPr>
              <w:spacing w:after="0"/>
              <w:rPr>
                <w:sz w:val="20"/>
                <w:szCs w:val="20"/>
                <w:color w:val="auto"/>
              </w:rPr>
            </w:pPr>
            <w:r>
              <w:rPr>
                <w:rFonts w:ascii="Arial" w:cs="Arial" w:eastAsia="Arial" w:hAnsi="Arial"/>
                <w:sz w:val="17"/>
                <w:szCs w:val="17"/>
                <w:color w:val="auto"/>
              </w:rPr>
              <w:t>Net earnings</w:t>
            </w:r>
          </w:p>
        </w:tc>
        <w:tc>
          <w:tcPr>
            <w:tcW w:w="3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6,731</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18,627</w:t>
            </w:r>
          </w:p>
        </w:tc>
      </w:tr>
      <w:tr>
        <w:trPr>
          <w:trHeight w:val="205"/>
        </w:trPr>
        <w:tc>
          <w:tcPr>
            <w:tcW w:w="5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Adjustments to reconcile net earnings to net cash</w:t>
            </w:r>
          </w:p>
        </w:tc>
        <w:tc>
          <w:tcPr>
            <w:tcW w:w="3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320" w:type="dxa"/>
            <w:vAlign w:val="bottom"/>
          </w:tcPr>
          <w:p>
            <w:pPr>
              <w:ind w:left="300"/>
              <w:spacing w:after="0"/>
              <w:rPr>
                <w:sz w:val="20"/>
                <w:szCs w:val="20"/>
                <w:color w:val="auto"/>
              </w:rPr>
            </w:pPr>
            <w:r>
              <w:rPr>
                <w:rFonts w:ascii="Arial" w:cs="Arial" w:eastAsia="Arial" w:hAnsi="Arial"/>
                <w:sz w:val="17"/>
                <w:szCs w:val="17"/>
                <w:color w:val="auto"/>
              </w:rPr>
              <w:t>used in operating activities:</w:t>
            </w: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Equity losses from investments</w:t>
            </w:r>
          </w:p>
        </w:tc>
        <w:tc>
          <w:tcPr>
            <w:tcW w:w="3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w:t>
            </w:r>
          </w:p>
        </w:tc>
      </w:tr>
      <w:tr>
        <w:trPr>
          <w:trHeight w:val="205"/>
        </w:trPr>
        <w:tc>
          <w:tcPr>
            <w:tcW w:w="5320" w:type="dxa"/>
            <w:vAlign w:val="bottom"/>
          </w:tcPr>
          <w:p>
            <w:pPr>
              <w:ind w:left="160"/>
              <w:spacing w:after="0"/>
              <w:rPr>
                <w:sz w:val="20"/>
                <w:szCs w:val="20"/>
                <w:color w:val="auto"/>
              </w:rPr>
            </w:pPr>
            <w:r>
              <w:rPr>
                <w:rFonts w:ascii="Arial" w:cs="Arial" w:eastAsia="Arial" w:hAnsi="Arial"/>
                <w:sz w:val="17"/>
                <w:szCs w:val="17"/>
                <w:color w:val="auto"/>
              </w:rPr>
              <w:t>Provision for depreciation and amortization</w:t>
            </w: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10,389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10,986</w:t>
            </w:r>
          </w:p>
        </w:tc>
      </w:tr>
      <w:tr>
        <w:trPr>
          <w:trHeight w:val="205"/>
        </w:trPr>
        <w:tc>
          <w:tcPr>
            <w:tcW w:w="5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Loss (gain) on disposal of property, plant, and equipment</w:t>
            </w:r>
          </w:p>
        </w:tc>
        <w:tc>
          <w:tcPr>
            <w:tcW w:w="3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w:t>
            </w:r>
          </w:p>
        </w:tc>
      </w:tr>
      <w:tr>
        <w:trPr>
          <w:trHeight w:val="205"/>
        </w:trPr>
        <w:tc>
          <w:tcPr>
            <w:tcW w:w="5320" w:type="dxa"/>
            <w:vAlign w:val="bottom"/>
          </w:tcPr>
          <w:p>
            <w:pPr>
              <w:ind w:left="160"/>
              <w:spacing w:after="0"/>
              <w:rPr>
                <w:sz w:val="20"/>
                <w:szCs w:val="20"/>
                <w:color w:val="auto"/>
              </w:rPr>
            </w:pPr>
            <w:r>
              <w:rPr>
                <w:rFonts w:ascii="Arial" w:cs="Arial" w:eastAsia="Arial" w:hAnsi="Arial"/>
                <w:sz w:val="17"/>
                <w:szCs w:val="17"/>
                <w:color w:val="auto"/>
              </w:rPr>
              <w:t>Gain on sale of a business</w:t>
            </w: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(123)</w:t>
            </w:r>
          </w:p>
        </w:tc>
      </w:tr>
      <w:tr>
        <w:trPr>
          <w:trHeight w:val="205"/>
        </w:trPr>
        <w:tc>
          <w:tcPr>
            <w:tcW w:w="5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Stock-based compensation expense</w:t>
            </w:r>
          </w:p>
        </w:tc>
        <w:tc>
          <w:tcPr>
            <w:tcW w:w="3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1,881</w:t>
            </w:r>
          </w:p>
        </w:tc>
      </w:tr>
      <w:tr>
        <w:trPr>
          <w:trHeight w:val="205"/>
        </w:trPr>
        <w:tc>
          <w:tcPr>
            <w:tcW w:w="5320" w:type="dxa"/>
            <w:vAlign w:val="bottom"/>
          </w:tcPr>
          <w:p>
            <w:pPr>
              <w:ind w:left="160"/>
              <w:spacing w:after="0"/>
              <w:rPr>
                <w:sz w:val="20"/>
                <w:szCs w:val="20"/>
                <w:color w:val="auto"/>
              </w:rPr>
            </w:pPr>
            <w:r>
              <w:rPr>
                <w:rFonts w:ascii="Arial" w:cs="Arial" w:eastAsia="Arial" w:hAnsi="Arial"/>
                <w:sz w:val="17"/>
                <w:szCs w:val="17"/>
                <w:color w:val="auto"/>
              </w:rPr>
              <w:t>Decrease (increase) in deferred income taxes</w:t>
            </w: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238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(1,568)</w:t>
            </w:r>
          </w:p>
        </w:tc>
      </w:tr>
      <w:tr>
        <w:trPr>
          <w:trHeight w:val="205"/>
        </w:trPr>
        <w:tc>
          <w:tcPr>
            <w:tcW w:w="5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Changes in operating assets and liabilities:</w:t>
            </w:r>
          </w:p>
        </w:tc>
        <w:tc>
          <w:tcPr>
            <w:tcW w:w="3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320" w:type="dxa"/>
            <w:vAlign w:val="bottom"/>
          </w:tcPr>
          <w:p>
            <w:pPr>
              <w:ind w:left="300"/>
              <w:spacing w:after="0"/>
              <w:rPr>
                <w:sz w:val="20"/>
                <w:szCs w:val="20"/>
                <w:color w:val="auto"/>
              </w:rPr>
            </w:pPr>
            <w:r>
              <w:rPr>
                <w:rFonts w:ascii="Arial" w:cs="Arial" w:eastAsia="Arial" w:hAnsi="Arial"/>
                <w:sz w:val="17"/>
                <w:szCs w:val="17"/>
                <w:color w:val="auto"/>
              </w:rPr>
              <w:t>Receivables, net</w:t>
            </w: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(42,970)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(62,267)</w:t>
            </w:r>
          </w:p>
        </w:tc>
      </w:tr>
      <w:tr>
        <w:trPr>
          <w:trHeight w:val="205"/>
        </w:trPr>
        <w:tc>
          <w:tcPr>
            <w:tcW w:w="53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Inventories, net</w:t>
            </w:r>
          </w:p>
        </w:tc>
        <w:tc>
          <w:tcPr>
            <w:tcW w:w="3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(32,586)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(46,799)</w:t>
            </w:r>
          </w:p>
        </w:tc>
      </w:tr>
      <w:tr>
        <w:trPr>
          <w:trHeight w:val="205"/>
        </w:trPr>
        <w:tc>
          <w:tcPr>
            <w:tcW w:w="5320" w:type="dxa"/>
            <w:vAlign w:val="bottom"/>
          </w:tcPr>
          <w:p>
            <w:pPr>
              <w:ind w:left="300"/>
              <w:spacing w:after="0"/>
              <w:rPr>
                <w:sz w:val="20"/>
                <w:szCs w:val="20"/>
                <w:color w:val="auto"/>
              </w:rPr>
            </w:pPr>
            <w:r>
              <w:rPr>
                <w:rFonts w:ascii="Arial" w:cs="Arial" w:eastAsia="Arial" w:hAnsi="Arial"/>
                <w:sz w:val="17"/>
                <w:szCs w:val="17"/>
                <w:color w:val="auto"/>
              </w:rPr>
              <w:t>Prepaid expenses and other assets</w:t>
            </w: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(4,947)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(3,885)</w:t>
            </w:r>
          </w:p>
        </w:tc>
      </w:tr>
      <w:tr>
        <w:trPr>
          <w:trHeight w:val="192"/>
        </w:trPr>
        <w:tc>
          <w:tcPr>
            <w:tcW w:w="5320" w:type="dxa"/>
            <w:vAlign w:val="bottom"/>
            <w:shd w:val="clear" w:color="auto" w:fill="CCEEFF"/>
          </w:tcPr>
          <w:p>
            <w:pPr>
              <w:ind w:left="300"/>
              <w:spacing w:after="0" w:line="193" w:lineRule="exact"/>
              <w:rPr>
                <w:sz w:val="20"/>
                <w:szCs w:val="20"/>
                <w:color w:val="auto"/>
              </w:rPr>
            </w:pPr>
            <w:r>
              <w:rPr>
                <w:rFonts w:ascii="Arial" w:cs="Arial" w:eastAsia="Arial" w:hAnsi="Arial"/>
                <w:sz w:val="17"/>
                <w:szCs w:val="17"/>
                <w:color w:val="auto"/>
              </w:rPr>
              <w:t>Accounts payable, accrued liabilities, deferred revenue, and other</w:t>
            </w:r>
          </w:p>
        </w:tc>
        <w:tc>
          <w:tcPr>
            <w:tcW w:w="3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53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long-term liabilities</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13,116</w:t>
            </w:r>
          </w:p>
        </w:tc>
      </w:tr>
      <w:tr>
        <w:trPr>
          <w:trHeight w:val="26"/>
        </w:trPr>
        <w:tc>
          <w:tcPr>
            <w:tcW w:w="532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5320" w:type="dxa"/>
            <w:vAlign w:val="bottom"/>
          </w:tcPr>
          <w:p>
            <w:pPr>
              <w:ind w:left="460"/>
              <w:spacing w:after="0"/>
              <w:rPr>
                <w:sz w:val="20"/>
                <w:szCs w:val="20"/>
                <w:color w:val="auto"/>
              </w:rPr>
            </w:pPr>
            <w:r>
              <w:rPr>
                <w:rFonts w:ascii="Arial" w:cs="Arial" w:eastAsia="Arial" w:hAnsi="Arial"/>
                <w:sz w:val="17"/>
                <w:szCs w:val="17"/>
                <w:color w:val="auto"/>
              </w:rPr>
              <w:t>Net cash used in operating activities</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(72,527)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(70,030)</w:t>
            </w:r>
          </w:p>
        </w:tc>
      </w:tr>
      <w:tr>
        <w:trPr>
          <w:trHeight w:val="205"/>
        </w:trPr>
        <w:tc>
          <w:tcPr>
            <w:tcW w:w="532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32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Purchases of property, plant, and equipment</w:t>
            </w:r>
          </w:p>
        </w:tc>
        <w:tc>
          <w:tcPr>
            <w:tcW w:w="3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(9,499)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(11,027)</w:t>
            </w:r>
          </w:p>
        </w:tc>
      </w:tr>
      <w:tr>
        <w:trPr>
          <w:trHeight w:val="205"/>
        </w:trPr>
        <w:tc>
          <w:tcPr>
            <w:tcW w:w="5320" w:type="dxa"/>
            <w:vAlign w:val="bottom"/>
          </w:tcPr>
          <w:p>
            <w:pPr>
              <w:ind w:left="160"/>
              <w:spacing w:after="0"/>
              <w:rPr>
                <w:sz w:val="20"/>
                <w:szCs w:val="20"/>
                <w:color w:val="auto"/>
              </w:rPr>
            </w:pPr>
            <w:r>
              <w:rPr>
                <w:rFonts w:ascii="Arial" w:cs="Arial" w:eastAsia="Arial" w:hAnsi="Arial"/>
                <w:sz w:val="17"/>
                <w:szCs w:val="17"/>
                <w:color w:val="auto"/>
              </w:rPr>
              <w:t>Proceeds from asset disposals</w:t>
            </w: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39</w:t>
            </w:r>
          </w:p>
        </w:tc>
      </w:tr>
      <w:tr>
        <w:trPr>
          <w:trHeight w:val="205"/>
        </w:trPr>
        <w:tc>
          <w:tcPr>
            <w:tcW w:w="5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Increase in investment in affiliates</w:t>
            </w:r>
          </w:p>
        </w:tc>
        <w:tc>
          <w:tcPr>
            <w:tcW w:w="3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(250)</w:t>
            </w:r>
          </w:p>
        </w:tc>
      </w:tr>
      <w:tr>
        <w:trPr>
          <w:trHeight w:val="205"/>
        </w:trPr>
        <w:tc>
          <w:tcPr>
            <w:tcW w:w="5320" w:type="dxa"/>
            <w:vAlign w:val="bottom"/>
          </w:tcPr>
          <w:p>
            <w:pPr>
              <w:ind w:left="160"/>
              <w:spacing w:after="0"/>
              <w:rPr>
                <w:sz w:val="20"/>
                <w:szCs w:val="20"/>
                <w:color w:val="auto"/>
              </w:rPr>
            </w:pPr>
            <w:r>
              <w:rPr>
                <w:rFonts w:ascii="Arial" w:cs="Arial" w:eastAsia="Arial" w:hAnsi="Arial"/>
                <w:sz w:val="17"/>
                <w:szCs w:val="17"/>
                <w:color w:val="auto"/>
              </w:rPr>
              <w:t>(Increase) decrease in other assets</w:t>
            </w: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(567)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133</w:t>
            </w:r>
          </w:p>
        </w:tc>
      </w:tr>
      <w:tr>
        <w:trPr>
          <w:trHeight w:val="205"/>
        </w:trPr>
        <w:tc>
          <w:tcPr>
            <w:tcW w:w="5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sale of a business</w:t>
            </w:r>
          </w:p>
        </w:tc>
        <w:tc>
          <w:tcPr>
            <w:tcW w:w="3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1,152</w:t>
            </w:r>
          </w:p>
        </w:tc>
      </w:tr>
      <w:tr>
        <w:trPr>
          <w:trHeight w:val="205"/>
        </w:trPr>
        <w:tc>
          <w:tcPr>
            <w:tcW w:w="5320" w:type="dxa"/>
            <w:vAlign w:val="bottom"/>
          </w:tcPr>
          <w:p>
            <w:pPr>
              <w:ind w:left="160"/>
              <w:spacing w:after="0"/>
              <w:rPr>
                <w:sz w:val="20"/>
                <w:szCs w:val="20"/>
                <w:color w:val="auto"/>
              </w:rPr>
            </w:pPr>
            <w:r>
              <w:rPr>
                <w:rFonts w:ascii="Arial" w:cs="Arial" w:eastAsia="Arial" w:hAnsi="Arial"/>
                <w:sz w:val="17"/>
                <w:szCs w:val="17"/>
                <w:color w:val="auto"/>
              </w:rPr>
              <w:t>Acquisition, net of cash acquired</w:t>
            </w: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(1,000)</w:t>
            </w:r>
          </w:p>
        </w:tc>
      </w:tr>
      <w:tr>
        <w:trPr>
          <w:trHeight w:val="26"/>
        </w:trPr>
        <w:tc>
          <w:tcPr>
            <w:tcW w:w="5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5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cash used in investing activities</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(10,953)</w:t>
            </w:r>
          </w:p>
        </w:tc>
      </w:tr>
      <w:tr>
        <w:trPr>
          <w:trHeight w:val="205"/>
        </w:trPr>
        <w:tc>
          <w:tcPr>
            <w:tcW w:w="5320" w:type="dxa"/>
            <w:vAlign w:val="bottom"/>
            <w:tcBorders>
              <w:top w:val="single" w:sz="8" w:color="CCEEFF"/>
            </w:tcBorders>
          </w:tcPr>
          <w:p>
            <w:pPr>
              <w:spacing w:after="0"/>
              <w:rPr>
                <w:sz w:val="17"/>
                <w:szCs w:val="17"/>
                <w:color w:val="auto"/>
              </w:rPr>
            </w:pPr>
          </w:p>
        </w:tc>
        <w:tc>
          <w:tcPr>
            <w:tcW w:w="34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3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320" w:type="dxa"/>
            <w:vAlign w:val="bottom"/>
          </w:tcPr>
          <w:p>
            <w:pPr>
              <w:ind w:left="160"/>
              <w:spacing w:after="0"/>
              <w:rPr>
                <w:sz w:val="20"/>
                <w:szCs w:val="20"/>
                <w:color w:val="auto"/>
              </w:rPr>
            </w:pPr>
            <w:r>
              <w:rPr>
                <w:rFonts w:ascii="Arial" w:cs="Arial" w:eastAsia="Arial" w:hAnsi="Arial"/>
                <w:sz w:val="17"/>
                <w:szCs w:val="17"/>
                <w:color w:val="auto"/>
              </w:rPr>
              <w:t>Increase in short-term debt</w:t>
            </w: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22,675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85,428</w:t>
            </w:r>
          </w:p>
        </w:tc>
      </w:tr>
      <w:tr>
        <w:trPr>
          <w:trHeight w:val="205"/>
        </w:trPr>
        <w:tc>
          <w:tcPr>
            <w:tcW w:w="5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Repayments of long-term debt, net of costs</w:t>
            </w:r>
          </w:p>
        </w:tc>
        <w:tc>
          <w:tcPr>
            <w:tcW w:w="3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(374)</w:t>
            </w:r>
          </w:p>
        </w:tc>
      </w:tr>
      <w:tr>
        <w:trPr>
          <w:trHeight w:val="205"/>
        </w:trPr>
        <w:tc>
          <w:tcPr>
            <w:tcW w:w="5320" w:type="dxa"/>
            <w:vAlign w:val="bottom"/>
          </w:tcPr>
          <w:p>
            <w:pPr>
              <w:ind w:left="160"/>
              <w:spacing w:after="0"/>
              <w:rPr>
                <w:sz w:val="20"/>
                <w:szCs w:val="20"/>
                <w:color w:val="auto"/>
              </w:rPr>
            </w:pPr>
            <w:r>
              <w:rPr>
                <w:rFonts w:ascii="Arial" w:cs="Arial" w:eastAsia="Arial" w:hAnsi="Arial"/>
                <w:sz w:val="17"/>
                <w:szCs w:val="17"/>
                <w:color w:val="auto"/>
              </w:rPr>
              <w:t>Excess tax benefits from stock-based awards</w:t>
            </w: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2,023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243</w:t>
            </w:r>
          </w:p>
        </w:tc>
      </w:tr>
      <w:tr>
        <w:trPr>
          <w:trHeight w:val="205"/>
        </w:trPr>
        <w:tc>
          <w:tcPr>
            <w:tcW w:w="5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exercise of stock-based awards</w:t>
            </w:r>
          </w:p>
        </w:tc>
        <w:tc>
          <w:tcPr>
            <w:tcW w:w="3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2,073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1,010</w:t>
            </w:r>
          </w:p>
        </w:tc>
      </w:tr>
      <w:tr>
        <w:trPr>
          <w:trHeight w:val="205"/>
        </w:trPr>
        <w:tc>
          <w:tcPr>
            <w:tcW w:w="5320" w:type="dxa"/>
            <w:vAlign w:val="bottom"/>
          </w:tcPr>
          <w:p>
            <w:pPr>
              <w:ind w:left="160"/>
              <w:spacing w:after="0"/>
              <w:rPr>
                <w:sz w:val="20"/>
                <w:szCs w:val="20"/>
                <w:color w:val="auto"/>
              </w:rPr>
            </w:pPr>
            <w:r>
              <w:rPr>
                <w:rFonts w:ascii="Arial" w:cs="Arial" w:eastAsia="Arial" w:hAnsi="Arial"/>
                <w:sz w:val="17"/>
                <w:szCs w:val="17"/>
                <w:color w:val="auto"/>
              </w:rPr>
              <w:t>Purchases of Toro common stock</w:t>
            </w: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(1,579)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(31,835)</w:t>
            </w:r>
          </w:p>
        </w:tc>
      </w:tr>
      <w:tr>
        <w:trPr>
          <w:trHeight w:val="205"/>
        </w:trPr>
        <w:tc>
          <w:tcPr>
            <w:tcW w:w="5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Dividends paid on Toro common stock</w:t>
            </w:r>
          </w:p>
        </w:tc>
        <w:tc>
          <w:tcPr>
            <w:tcW w:w="3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(5,737)</w:t>
            </w:r>
          </w:p>
        </w:tc>
      </w:tr>
      <w:tr>
        <w:trPr>
          <w:trHeight w:val="26"/>
        </w:trPr>
        <w:tc>
          <w:tcPr>
            <w:tcW w:w="532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5320" w:type="dxa"/>
            <w:vAlign w:val="bottom"/>
          </w:tcPr>
          <w:p>
            <w:pPr>
              <w:ind w:left="460"/>
              <w:spacing w:after="0"/>
              <w:rPr>
                <w:sz w:val="20"/>
                <w:szCs w:val="20"/>
                <w:color w:val="auto"/>
              </w:rPr>
            </w:pPr>
            <w:r>
              <w:rPr>
                <w:rFonts w:ascii="Arial" w:cs="Arial" w:eastAsia="Arial" w:hAnsi="Arial"/>
                <w:sz w:val="17"/>
                <w:szCs w:val="17"/>
                <w:color w:val="auto"/>
              </w:rPr>
              <w:t>Net cash provided by financing activities</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18,731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48,735</w:t>
            </w:r>
          </w:p>
        </w:tc>
      </w:tr>
      <w:tr>
        <w:trPr>
          <w:trHeight w:val="205"/>
        </w:trPr>
        <w:tc>
          <w:tcPr>
            <w:tcW w:w="532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7"/>
                <w:szCs w:val="17"/>
                <w:color w:val="auto"/>
              </w:rPr>
              <w:t>Effect of exchange rates on cash</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(37)</w:t>
            </w:r>
          </w:p>
        </w:tc>
      </w:tr>
      <w:tr>
        <w:trPr>
          <w:trHeight w:val="205"/>
        </w:trPr>
        <w:tc>
          <w:tcPr>
            <w:tcW w:w="532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320" w:type="dxa"/>
            <w:vAlign w:val="bottom"/>
          </w:tcPr>
          <w:p>
            <w:pPr>
              <w:spacing w:after="0"/>
              <w:rPr>
                <w:sz w:val="20"/>
                <w:szCs w:val="20"/>
                <w:color w:val="auto"/>
              </w:rPr>
            </w:pPr>
            <w:r>
              <w:rPr>
                <w:rFonts w:ascii="Arial" w:cs="Arial" w:eastAsia="Arial" w:hAnsi="Arial"/>
                <w:sz w:val="17"/>
                <w:szCs w:val="17"/>
                <w:color w:val="auto"/>
              </w:rPr>
              <w:t>Net decrease in cash and cash equivalents</w:t>
            </w: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(63,762)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(32,285)</w:t>
            </w:r>
          </w:p>
        </w:tc>
      </w:tr>
      <w:tr>
        <w:trPr>
          <w:trHeight w:val="205"/>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3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62,047</w:t>
            </w:r>
          </w:p>
        </w:tc>
      </w:tr>
      <w:tr>
        <w:trPr>
          <w:trHeight w:val="26"/>
        </w:trPr>
        <w:tc>
          <w:tcPr>
            <w:tcW w:w="532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5320" w:type="dxa"/>
            <w:vAlign w:val="bottom"/>
          </w:tcPr>
          <w:p>
            <w:pPr>
              <w:spacing w:after="0"/>
              <w:rPr>
                <w:sz w:val="20"/>
                <w:szCs w:val="20"/>
                <w:color w:val="auto"/>
              </w:rPr>
            </w:pPr>
            <w:r>
              <w:rPr>
                <w:rFonts w:ascii="Arial" w:cs="Arial" w:eastAsia="Arial" w:hAnsi="Arial"/>
                <w:sz w:val="17"/>
                <w:szCs w:val="17"/>
                <w:color w:val="auto"/>
              </w:rPr>
              <w:t>Cash and cash equivalents as of the end of the fiscal period</w:t>
            </w:r>
          </w:p>
        </w:tc>
        <w:tc>
          <w:tcPr>
            <w:tcW w:w="34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35,597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29,762</w:t>
            </w:r>
          </w:p>
        </w:tc>
      </w:tr>
      <w:tr>
        <w:trPr>
          <w:trHeight w:val="20"/>
        </w:trPr>
        <w:tc>
          <w:tcPr>
            <w:tcW w:w="53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2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320" w:type="dxa"/>
            <w:vAlign w:val="bottom"/>
          </w:tcPr>
          <w:p>
            <w:pPr>
              <w:spacing w:after="0"/>
              <w:rPr>
                <w:sz w:val="20"/>
                <w:szCs w:val="20"/>
                <w:color w:val="auto"/>
              </w:rPr>
            </w:pPr>
            <w:r>
              <w:rPr>
                <w:rFonts w:ascii="Arial" w:cs="Arial" w:eastAsia="Arial" w:hAnsi="Arial"/>
                <w:sz w:val="17"/>
                <w:szCs w:val="17"/>
                <w:color w:val="auto"/>
              </w:rPr>
              <w:t>Long-term debt issued in connection with an acquisition</w:t>
            </w:r>
          </w:p>
        </w:tc>
        <w:tc>
          <w:tcPr>
            <w:tcW w:w="3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1,660</w:t>
            </w:r>
          </w:p>
        </w:tc>
      </w:tr>
      <w:tr>
        <w:trPr>
          <w:trHeight w:val="20"/>
        </w:trPr>
        <w:tc>
          <w:tcPr>
            <w:tcW w:w="53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2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7"/>
                <w:szCs w:val="17"/>
                <w:color w:val="auto"/>
                <w:w w:val="95"/>
              </w:rPr>
              <w:t>See accompanying notes to condensed consolidated financial statements.</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63"/>
        </w:trPr>
        <w:tc>
          <w:tcPr>
            <w:tcW w:w="5320" w:type="dxa"/>
            <w:vAlign w:val="bottom"/>
          </w:tcPr>
          <w:p>
            <w:pPr>
              <w:spacing w:after="0"/>
              <w:rPr>
                <w:sz w:val="24"/>
                <w:szCs w:val="24"/>
                <w:color w:val="auto"/>
              </w:rPr>
            </w:pPr>
          </w:p>
        </w:tc>
        <w:tc>
          <w:tcPr>
            <w:tcW w:w="3480" w:type="dxa"/>
            <w:vAlign w:val="bottom"/>
          </w:tcPr>
          <w:p>
            <w:pPr>
              <w:jc w:val="right"/>
              <w:ind w:right="2955"/>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532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sectPr>
      </w:pPr>
    </w:p>
    <w:bookmarkStart w:id="5" w:name="page6"/>
    <w:bookmarkEnd w:id="5"/>
    <w:p>
      <w:pPr>
        <w:jc w:val="center"/>
        <w:ind w:left="440" w:right="2560"/>
        <w:spacing w:after="0" w:line="258" w:lineRule="auto"/>
        <w:rPr>
          <w:sz w:val="20"/>
          <w:szCs w:val="20"/>
          <w:color w:val="auto"/>
        </w:rPr>
      </w:pPr>
      <w:r>
        <w:rPr>
          <w:rFonts w:ascii="Arial" w:cs="Arial" w:eastAsia="Arial" w:hAnsi="Arial"/>
          <w:sz w:val="20"/>
          <w:szCs w:val="20"/>
          <w:b w:val="1"/>
          <w:bCs w:val="1"/>
          <w:color w:val="auto"/>
        </w:rPr>
        <w:t>THE TORO COMPANY AND SUBSIDIARIES Notes to Condensed Consolidated Financial Statements (Unaudited) January 30, 2009</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43"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results of operations. Certain amounts from prior periods’ financial statements have been reclassified to conform to this period’s presentation. Since the company’s business is seasonal, operating results for the three months ended January 30, 2009 cannot be annualized to determine the expected results for the fiscal year ending October 31, 2009. Additional factors that could cause our actual results to differ materially from our expected results, including any forward-looking statements made in this report, are described in our most recently filed Annual Report on Form 10-K (Item 1A) and later in this report under Item 2, Management’s Discussion and Analysis of Financial Condition and Results of Operations– Forward-Looking Information.</w:t>
      </w:r>
    </w:p>
    <w:p>
      <w:pPr>
        <w:spacing w:after="0" w:line="4" w:lineRule="exact"/>
        <w:rPr>
          <w:sz w:val="20"/>
          <w:szCs w:val="20"/>
          <w:color w:val="auto"/>
        </w:rPr>
      </w:pPr>
    </w:p>
    <w:p>
      <w:pPr>
        <w:ind w:right="40" w:firstLine="210"/>
        <w:spacing w:after="0" w:line="251" w:lineRule="auto"/>
        <w:rPr>
          <w:sz w:val="20"/>
          <w:szCs w:val="20"/>
          <w:color w:val="auto"/>
        </w:rPr>
      </w:pPr>
      <w:r>
        <w:rPr>
          <w:rFonts w:ascii="Arial" w:cs="Arial" w:eastAsia="Arial" w:hAnsi="Arial"/>
          <w:sz w:val="17"/>
          <w:szCs w:val="17"/>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 w:lineRule="exact"/>
        <w:rPr>
          <w:sz w:val="20"/>
          <w:szCs w:val="20"/>
          <w:color w:val="auto"/>
        </w:rPr>
      </w:pPr>
    </w:p>
    <w:p>
      <w:pPr>
        <w:ind w:firstLine="213"/>
        <w:spacing w:after="0" w:line="262" w:lineRule="auto"/>
        <w:rPr>
          <w:sz w:val="20"/>
          <w:szCs w:val="20"/>
          <w:color w:val="auto"/>
        </w:rPr>
      </w:pPr>
      <w:r>
        <w:rPr>
          <w:rFonts w:ascii="Arial" w:cs="Arial" w:eastAsia="Arial" w:hAnsi="Arial"/>
          <w:sz w:val="17"/>
          <w:szCs w:val="17"/>
          <w:color w:val="auto"/>
        </w:rPr>
        <w:t>For further information, refer to the consolidated financial statements and notes included in the company’s Annual Report on Form 10-K for the fiscal year ended October 31, 2008. The policies described in that report are used for preparing quarterly reports.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Policies</w:t>
      </w:r>
    </w:p>
    <w:p>
      <w:pPr>
        <w:spacing w:after="0" w:line="24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preparing the consolidated financial statements in conformity with U.S. generally accepted accounting principles,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inventory valuation, warranty reserves, allowance for doubtful accounts, pension and postretirement accruals, useful lives for intangible assets, and future cash flows associated with impairment testing for goodwill and other long-lived assets. These estimates and assumptions are based on management’s best estimates and judgments. Management evaluates its estimates and assumptions on an ongoing basis using historical experience and other factors that management believes to be reasonable under the circumstances, including the current economic environment. We adjust such estimates and assumptions when facts and circumstances dictate. A number of these factors are discussed in our Annual Report on Form 10-K (Item 1A. Risk Factors) for the fiscal year ended October 31, 2008, which include, among others, the continued recessionary economic conditions, tight credit markets, foreign currency, higher commodity costs, and a decline in consumer spending and confidence, all of which have combined to increase the uncertainty inherent in such estimates and assumptions. As future events and their effects cannot be determined with precision, actual amounts could differ significantly from those estimated at the time the consolidated financial statements are prepared. Changes in those estimates resulting from continuing changes in the economic environment will be reflected in the financial statements in future periods. Note 1 to the consolidated financial statements in the company’s most recent Annual Report on Form 10-K provides a summary of the significant accounting policies followed in the preparation of the financial statements. Other notes to the consolidated financial statements in the company’s Annual Report on Form 10-K describe various elements of the financial statements and the assumptions made in determining specific amounts.</w:t>
      </w: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40"/>
          </w:cols>
          <w:pgMar w:left="240" w:top="255" w:right="4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0"/>
        </w:trPr>
        <w:tc>
          <w:tcPr>
            <w:tcW w:w="8800" w:type="dxa"/>
            <w:vAlign w:val="bottom"/>
          </w:tcPr>
          <w:p>
            <w:pPr>
              <w:spacing w:after="0"/>
              <w:rPr>
                <w:sz w:val="20"/>
                <w:szCs w:val="20"/>
                <w:color w:val="auto"/>
              </w:rPr>
            </w:pPr>
            <w:r>
              <w:rPr>
                <w:rFonts w:ascii="Arial" w:cs="Arial" w:eastAsia="Arial" w:hAnsi="Arial"/>
                <w:sz w:val="17"/>
                <w:szCs w:val="17"/>
                <w:b w:val="1"/>
                <w:bCs w:val="1"/>
                <w:color w:val="auto"/>
              </w:rPr>
              <w:t>Comprehensive Income</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5"/>
        </w:trPr>
        <w:tc>
          <w:tcPr>
            <w:tcW w:w="8800" w:type="dxa"/>
            <w:vAlign w:val="bottom"/>
          </w:tcPr>
          <w:p>
            <w:pPr>
              <w:spacing w:after="0"/>
              <w:rPr>
                <w:sz w:val="20"/>
                <w:szCs w:val="20"/>
                <w:color w:val="auto"/>
              </w:rPr>
            </w:pPr>
            <w:r>
              <w:rPr>
                <w:rFonts w:ascii="Arial" w:cs="Arial" w:eastAsia="Arial" w:hAnsi="Arial"/>
                <w:sz w:val="17"/>
                <w:szCs w:val="17"/>
                <w:color w:val="auto"/>
              </w:rPr>
              <w:t>Comprehensive income and the components of other comprehensive income (loss) were as follows: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2"/>
        </w:trPr>
        <w:tc>
          <w:tcPr>
            <w:tcW w:w="8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7"/>
                <w:szCs w:val="17"/>
                <w:color w:val="auto"/>
              </w:rPr>
              <w:t>Three Months Ended</w:t>
            </w:r>
          </w:p>
        </w:tc>
      </w:tr>
      <w:tr>
        <w:trPr>
          <w:trHeight w:val="192"/>
        </w:trPr>
        <w:tc>
          <w:tcPr>
            <w:tcW w:w="880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20"/>
              <w:spacing w:after="0" w:line="193" w:lineRule="exact"/>
              <w:rPr>
                <w:sz w:val="20"/>
                <w:szCs w:val="20"/>
                <w:color w:val="auto"/>
              </w:rPr>
            </w:pPr>
            <w:r>
              <w:rPr>
                <w:rFonts w:ascii="Arial" w:cs="Arial" w:eastAsia="Arial" w:hAnsi="Arial"/>
                <w:sz w:val="17"/>
                <w:szCs w:val="17"/>
                <w:color w:val="auto"/>
                <w:w w:val="92"/>
              </w:rPr>
              <w:t>January 30,</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5"/>
              <w:spacing w:after="0" w:line="193" w:lineRule="exact"/>
              <w:rPr>
                <w:sz w:val="20"/>
                <w:szCs w:val="20"/>
                <w:color w:val="auto"/>
              </w:rPr>
            </w:pPr>
            <w:r>
              <w:rPr>
                <w:rFonts w:ascii="Arial" w:cs="Arial" w:eastAsia="Arial" w:hAnsi="Arial"/>
                <w:sz w:val="17"/>
                <w:szCs w:val="17"/>
                <w:color w:val="auto"/>
                <w:w w:val="91"/>
              </w:rPr>
              <w:t>February 1,</w:t>
            </w:r>
          </w:p>
        </w:tc>
        <w:tc>
          <w:tcPr>
            <w:tcW w:w="100" w:type="dxa"/>
            <w:vAlign w:val="bottom"/>
          </w:tcPr>
          <w:p>
            <w:pPr>
              <w:spacing w:after="0"/>
              <w:rPr>
                <w:sz w:val="16"/>
                <w:szCs w:val="16"/>
                <w:color w:val="auto"/>
              </w:rPr>
            </w:pPr>
          </w:p>
        </w:tc>
      </w:tr>
      <w:tr>
        <w:trPr>
          <w:trHeight w:val="223"/>
        </w:trPr>
        <w:tc>
          <w:tcPr>
            <w:tcW w:w="8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r>
      <w:tr>
        <w:trPr>
          <w:trHeight w:val="205"/>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6,731</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18,627</w:t>
            </w:r>
          </w:p>
        </w:tc>
      </w:tr>
      <w:tr>
        <w:trPr>
          <w:trHeight w:val="205"/>
        </w:trPr>
        <w:tc>
          <w:tcPr>
            <w:tcW w:w="8800" w:type="dxa"/>
            <w:vAlign w:val="bottom"/>
          </w:tcPr>
          <w:p>
            <w:pPr>
              <w:ind w:left="160"/>
              <w:spacing w:after="0"/>
              <w:rPr>
                <w:sz w:val="20"/>
                <w:szCs w:val="20"/>
                <w:color w:val="auto"/>
              </w:rPr>
            </w:pPr>
            <w:r>
              <w:rPr>
                <w:rFonts w:ascii="Arial" w:cs="Arial" w:eastAsia="Arial" w:hAnsi="Arial"/>
                <w:sz w:val="17"/>
                <w:szCs w:val="17"/>
                <w:color w:val="auto"/>
              </w:rPr>
              <w:t>Other comprehensive income (loss):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Cumulative translation adjustments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(1,924)</w:t>
            </w:r>
          </w:p>
        </w:tc>
      </w:tr>
      <w:tr>
        <w:trPr>
          <w:trHeight w:val="205"/>
        </w:trPr>
        <w:tc>
          <w:tcPr>
            <w:tcW w:w="8800" w:type="dxa"/>
            <w:vAlign w:val="bottom"/>
          </w:tcPr>
          <w:p>
            <w:pPr>
              <w:ind w:left="300"/>
              <w:spacing w:after="0"/>
              <w:rPr>
                <w:sz w:val="20"/>
                <w:szCs w:val="20"/>
                <w:color w:val="auto"/>
              </w:rPr>
            </w:pPr>
            <w:r>
              <w:rPr>
                <w:rFonts w:ascii="Arial" w:cs="Arial" w:eastAsia="Arial" w:hAnsi="Arial"/>
                <w:sz w:val="17"/>
                <w:szCs w:val="17"/>
                <w:color w:val="auto"/>
              </w:rPr>
              <w:t>Pension liability adjustment, net of tax</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175</w:t>
            </w:r>
          </w:p>
        </w:tc>
      </w:tr>
      <w:tr>
        <w:trPr>
          <w:trHeight w:val="192"/>
        </w:trPr>
        <w:tc>
          <w:tcPr>
            <w:tcW w:w="8800" w:type="dxa"/>
            <w:vAlign w:val="bottom"/>
            <w:shd w:val="clear" w:color="auto" w:fill="CCEEFF"/>
          </w:tcPr>
          <w:p>
            <w:pPr>
              <w:ind w:left="300"/>
              <w:spacing w:after="0" w:line="193" w:lineRule="exact"/>
              <w:rPr>
                <w:sz w:val="20"/>
                <w:szCs w:val="20"/>
                <w:color w:val="auto"/>
              </w:rPr>
            </w:pPr>
            <w:r>
              <w:rPr>
                <w:rFonts w:ascii="Arial" w:cs="Arial" w:eastAsia="Arial" w:hAnsi="Arial"/>
                <w:sz w:val="17"/>
                <w:szCs w:val="17"/>
                <w:color w:val="auto"/>
              </w:rPr>
              <w:t>Unrealized (loss) gain on derivative</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8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instruments, net of tax</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1,259</w:t>
            </w:r>
          </w:p>
        </w:tc>
      </w:tr>
      <w:tr>
        <w:trPr>
          <w:trHeight w:val="26"/>
        </w:trPr>
        <w:tc>
          <w:tcPr>
            <w:tcW w:w="88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800" w:type="dxa"/>
            <w:vAlign w:val="bottom"/>
          </w:tcPr>
          <w:p>
            <w:pPr>
              <w:ind w:left="160"/>
              <w:spacing w:after="0"/>
              <w:rPr>
                <w:sz w:val="20"/>
                <w:szCs w:val="20"/>
                <w:color w:val="auto"/>
              </w:rPr>
            </w:pPr>
            <w:r>
              <w:rPr>
                <w:rFonts w:ascii="Arial" w:cs="Arial" w:eastAsia="Arial" w:hAnsi="Arial"/>
                <w:sz w:val="17"/>
                <w:szCs w:val="17"/>
                <w:color w:val="auto"/>
              </w:rPr>
              <w:t>Comprehensive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18,137</w:t>
            </w: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43" w:lineRule="exact"/>
        <w:rPr>
          <w:sz w:val="20"/>
          <w:szCs w:val="20"/>
          <w:color w:val="auto"/>
        </w:rPr>
      </w:pPr>
    </w:p>
    <w:p>
      <w:pPr>
        <w:ind w:right="180"/>
        <w:spacing w:after="0" w:line="286" w:lineRule="auto"/>
        <w:rPr>
          <w:sz w:val="20"/>
          <w:szCs w:val="20"/>
          <w:color w:val="auto"/>
        </w:rPr>
      </w:pPr>
      <w:r>
        <w:rPr>
          <w:rFonts w:ascii="Arial" w:cs="Arial" w:eastAsia="Arial" w:hAnsi="Arial"/>
          <w:sz w:val="15"/>
          <w:szCs w:val="15"/>
          <w:color w:val="auto"/>
        </w:rPr>
        <w:t>The company accounts for stock-based compensation awards in accordance with the provisions of Statement of Financial Accounting Standards (SFAS) No. 123 (Revised 2004), “Share-Based Payment.” Option awards are granted with an exercise price equal to the closing price of the company’s common stock on the date of grant, as reported by the New York Stock Exchange. Options are generally granted to directors, officers, and other key employees in the first quarter of the company’s fiscal year. For all options granted during the first quarter of fiscal 2009, the options vest one-third each year over a three-year period and have a ten-year term. Compensation expense equal to the grant date fair value is generally recognized for these awards over the vesting period. However, if a director has served on the company’s Board of Directors for 10 full fiscal years or longer, the fair value of the options granted is fully expensed as of the date of the grant. Similarly, options granted to officers and other key employees are also subject to accelerated expensing if the option holder meets the retirement definition in The Toro Company 2000 Stock Option Plan. In that case, the fair value of the options is expensed in the year of grant because the option holder must be employed as of the end of the fiscal year in which the options are granted. The company also issues performance share awards to officers and other key employees. The company determines the fair value of these performance share awards as of the date of grant and recognizes the expense over the three-year vesting period. Total compensation expense for option and performance share awards for the first quarter of fiscal 2009 and 2008 was $0.9 million and $1.9 million, respectively.</w:t>
      </w:r>
    </w:p>
    <w:p>
      <w:pPr>
        <w:spacing w:after="0" w:line="2" w:lineRule="exact"/>
        <w:rPr>
          <w:sz w:val="20"/>
          <w:szCs w:val="20"/>
          <w:color w:val="auto"/>
        </w:rPr>
      </w:pPr>
    </w:p>
    <w:p>
      <w:pPr>
        <w:ind w:right="160" w:firstLine="210"/>
        <w:spacing w:after="0" w:line="270" w:lineRule="auto"/>
        <w:rPr>
          <w:sz w:val="20"/>
          <w:szCs w:val="20"/>
          <w:color w:val="auto"/>
        </w:rPr>
      </w:pPr>
      <w:r>
        <w:rPr>
          <w:rFonts w:ascii="Arial" w:cs="Arial" w:eastAsia="Arial" w:hAnsi="Arial"/>
          <w:sz w:val="16"/>
          <w:szCs w:val="16"/>
          <w:color w:val="auto"/>
        </w:rPr>
        <w:t>The fair value of each share-based option is estimated on the date of grant using a Black-Scholes valuation method that uses the assumptions noted in the table below. The expected life is a significant assumption as it determines the period for which the risk-free interest rate, volatility, and dividend yield must be applied. The expected life is the average length of time over which the employee groups are expected to exercise their options, which is based on historical experience with similar grants.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dividends paid, expected future cash dividends, and expected changes in the company’s stock price. The following table illustrates the assumptions for options granted in the following fiscal periods.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60" w:type="dxa"/>
            <w:vAlign w:val="bottom"/>
          </w:tcPr>
          <w:p>
            <w:pPr>
              <w:spacing w:after="0"/>
              <w:rPr>
                <w:sz w:val="19"/>
                <w:szCs w:val="19"/>
                <w:color w:val="auto"/>
              </w:rPr>
            </w:pPr>
          </w:p>
        </w:tc>
        <w:tc>
          <w:tcPr>
            <w:tcW w:w="224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Fiscal 2009</w:t>
            </w:r>
          </w:p>
        </w:tc>
        <w:tc>
          <w:tcPr>
            <w:tcW w:w="260" w:type="dxa"/>
            <w:vAlign w:val="bottom"/>
          </w:tcPr>
          <w:p>
            <w:pPr>
              <w:spacing w:after="0"/>
              <w:rPr>
                <w:sz w:val="19"/>
                <w:szCs w:val="19"/>
                <w:color w:val="auto"/>
              </w:rPr>
            </w:pPr>
          </w:p>
        </w:tc>
        <w:tc>
          <w:tcPr>
            <w:tcW w:w="23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91"/>
              </w:rPr>
              <w:t>Fiscal 2008</w:t>
            </w:r>
          </w:p>
        </w:tc>
      </w:tr>
      <w:tr>
        <w:trPr>
          <w:trHeight w:val="192"/>
        </w:trPr>
        <w:tc>
          <w:tcPr>
            <w:tcW w:w="6560" w:type="dxa"/>
            <w:vAlign w:val="bottom"/>
          </w:tcPr>
          <w:p>
            <w:pPr>
              <w:spacing w:after="0" w:line="193" w:lineRule="exact"/>
              <w:rPr>
                <w:sz w:val="20"/>
                <w:szCs w:val="20"/>
                <w:color w:val="auto"/>
              </w:rPr>
            </w:pPr>
            <w:r>
              <w:rPr>
                <w:rFonts w:ascii="Arial" w:cs="Arial" w:eastAsia="Arial" w:hAnsi="Arial"/>
                <w:sz w:val="17"/>
                <w:szCs w:val="17"/>
                <w:color w:val="auto"/>
              </w:rPr>
              <w:t>Expected life of option in years</w:t>
            </w:r>
          </w:p>
        </w:tc>
        <w:tc>
          <w:tcPr>
            <w:tcW w:w="2240" w:type="dxa"/>
            <w:vAlign w:val="bottom"/>
          </w:tcPr>
          <w:p>
            <w:pPr>
              <w:jc w:val="center"/>
              <w:ind w:right="75"/>
              <w:spacing w:after="0" w:line="193" w:lineRule="exact"/>
              <w:rPr>
                <w:sz w:val="20"/>
                <w:szCs w:val="20"/>
                <w:color w:val="auto"/>
              </w:rPr>
            </w:pPr>
            <w:r>
              <w:rPr>
                <w:rFonts w:ascii="Arial" w:cs="Arial" w:eastAsia="Arial" w:hAnsi="Arial"/>
                <w:sz w:val="17"/>
                <w:szCs w:val="17"/>
                <w:color w:val="auto"/>
                <w:w w:val="84"/>
              </w:rPr>
              <w:t>6</w:t>
            </w:r>
          </w:p>
        </w:tc>
        <w:tc>
          <w:tcPr>
            <w:tcW w:w="260" w:type="dxa"/>
            <w:vAlign w:val="bottom"/>
          </w:tcPr>
          <w:p>
            <w:pPr>
              <w:spacing w:after="0"/>
              <w:rPr>
                <w:sz w:val="16"/>
                <w:szCs w:val="16"/>
                <w:color w:val="auto"/>
              </w:rPr>
            </w:pPr>
          </w:p>
        </w:tc>
        <w:tc>
          <w:tcPr>
            <w:tcW w:w="2360" w:type="dxa"/>
            <w:vAlign w:val="bottom"/>
          </w:tcPr>
          <w:p>
            <w:pPr>
              <w:jc w:val="center"/>
              <w:ind w:right="75"/>
              <w:spacing w:after="0" w:line="193" w:lineRule="exact"/>
              <w:rPr>
                <w:sz w:val="20"/>
                <w:szCs w:val="20"/>
                <w:color w:val="auto"/>
              </w:rPr>
            </w:pPr>
            <w:r>
              <w:rPr>
                <w:rFonts w:ascii="Arial" w:cs="Arial" w:eastAsia="Arial" w:hAnsi="Arial"/>
                <w:sz w:val="17"/>
                <w:szCs w:val="17"/>
                <w:color w:val="auto"/>
                <w:w w:val="92"/>
              </w:rPr>
              <w:t>3 – 6.5</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Expected volatility</w:t>
            </w:r>
          </w:p>
        </w:tc>
        <w:tc>
          <w:tcPr>
            <w:tcW w:w="2240" w:type="dxa"/>
            <w:vAlign w:val="bottom"/>
          </w:tcPr>
          <w:p>
            <w:pPr>
              <w:ind w:left="480"/>
              <w:spacing w:after="0"/>
              <w:rPr>
                <w:sz w:val="20"/>
                <w:szCs w:val="20"/>
                <w:color w:val="auto"/>
              </w:rPr>
            </w:pPr>
            <w:r>
              <w:rPr>
                <w:rFonts w:ascii="Arial" w:cs="Arial" w:eastAsia="Arial" w:hAnsi="Arial"/>
                <w:sz w:val="17"/>
                <w:szCs w:val="17"/>
                <w:color w:val="auto"/>
              </w:rPr>
              <w:t>30.57% - 30.60%</w:t>
            </w:r>
          </w:p>
        </w:tc>
        <w:tc>
          <w:tcPr>
            <w:tcW w:w="2620" w:type="dxa"/>
            <w:vAlign w:val="bottom"/>
            <w:gridSpan w:val="2"/>
          </w:tcPr>
          <w:p>
            <w:pPr>
              <w:jc w:val="right"/>
              <w:ind w:right="535"/>
              <w:spacing w:after="0"/>
              <w:rPr>
                <w:sz w:val="20"/>
                <w:szCs w:val="20"/>
                <w:color w:val="auto"/>
              </w:rPr>
            </w:pPr>
            <w:r>
              <w:rPr>
                <w:rFonts w:ascii="Arial" w:cs="Arial" w:eastAsia="Arial" w:hAnsi="Arial"/>
                <w:sz w:val="17"/>
                <w:szCs w:val="17"/>
                <w:color w:val="auto"/>
              </w:rPr>
              <w:t>24.84% - 25.75%</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Weighted-average volatility</w:t>
            </w:r>
          </w:p>
        </w:tc>
        <w:tc>
          <w:tcPr>
            <w:tcW w:w="2240" w:type="dxa"/>
            <w:vAlign w:val="bottom"/>
          </w:tcPr>
          <w:p>
            <w:pPr>
              <w:jc w:val="center"/>
              <w:ind w:right="75"/>
              <w:spacing w:after="0"/>
              <w:rPr>
                <w:sz w:val="20"/>
                <w:szCs w:val="20"/>
                <w:color w:val="auto"/>
              </w:rPr>
            </w:pPr>
            <w:r>
              <w:rPr>
                <w:rFonts w:ascii="Arial" w:cs="Arial" w:eastAsia="Arial" w:hAnsi="Arial"/>
                <w:sz w:val="17"/>
                <w:szCs w:val="17"/>
                <w:color w:val="auto"/>
                <w:w w:val="90"/>
              </w:rPr>
              <w:t>30.60%</w:t>
            </w:r>
          </w:p>
        </w:tc>
        <w:tc>
          <w:tcPr>
            <w:tcW w:w="2620" w:type="dxa"/>
            <w:vAlign w:val="bottom"/>
            <w:gridSpan w:val="2"/>
          </w:tcPr>
          <w:p>
            <w:pPr>
              <w:jc w:val="center"/>
              <w:ind w:left="15"/>
              <w:spacing w:after="0"/>
              <w:rPr>
                <w:sz w:val="20"/>
                <w:szCs w:val="20"/>
                <w:color w:val="auto"/>
              </w:rPr>
            </w:pPr>
            <w:r>
              <w:rPr>
                <w:rFonts w:ascii="Arial" w:cs="Arial" w:eastAsia="Arial" w:hAnsi="Arial"/>
                <w:sz w:val="17"/>
                <w:szCs w:val="17"/>
                <w:color w:val="auto"/>
                <w:w w:val="90"/>
              </w:rPr>
              <w:t>25.26%</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Risk-free interest rate</w:t>
            </w:r>
          </w:p>
        </w:tc>
        <w:tc>
          <w:tcPr>
            <w:tcW w:w="2240" w:type="dxa"/>
            <w:vAlign w:val="bottom"/>
          </w:tcPr>
          <w:p>
            <w:pPr>
              <w:ind w:left="500"/>
              <w:spacing w:after="0"/>
              <w:rPr>
                <w:sz w:val="20"/>
                <w:szCs w:val="20"/>
                <w:color w:val="auto"/>
              </w:rPr>
            </w:pPr>
            <w:r>
              <w:rPr>
                <w:rFonts w:ascii="Arial" w:cs="Arial" w:eastAsia="Arial" w:hAnsi="Arial"/>
                <w:sz w:val="17"/>
                <w:szCs w:val="17"/>
                <w:color w:val="auto"/>
              </w:rPr>
              <w:t>2.26% - 3.155%</w:t>
            </w:r>
          </w:p>
        </w:tc>
        <w:tc>
          <w:tcPr>
            <w:tcW w:w="2620" w:type="dxa"/>
            <w:vAlign w:val="bottom"/>
            <w:gridSpan w:val="2"/>
          </w:tcPr>
          <w:p>
            <w:pPr>
              <w:jc w:val="right"/>
              <w:ind w:right="655"/>
              <w:spacing w:after="0"/>
              <w:rPr>
                <w:sz w:val="20"/>
                <w:szCs w:val="20"/>
                <w:color w:val="auto"/>
              </w:rPr>
            </w:pPr>
            <w:r>
              <w:rPr>
                <w:rFonts w:ascii="Arial" w:cs="Arial" w:eastAsia="Arial" w:hAnsi="Arial"/>
                <w:sz w:val="17"/>
                <w:szCs w:val="17"/>
                <w:color w:val="auto"/>
              </w:rPr>
              <w:t>3.10% - 4.08%</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2240" w:type="dxa"/>
            <w:vAlign w:val="bottom"/>
          </w:tcPr>
          <w:p>
            <w:pPr>
              <w:jc w:val="center"/>
              <w:ind w:right="95"/>
              <w:spacing w:after="0"/>
              <w:rPr>
                <w:sz w:val="20"/>
                <w:szCs w:val="20"/>
                <w:color w:val="auto"/>
              </w:rPr>
            </w:pPr>
            <w:r>
              <w:rPr>
                <w:rFonts w:ascii="Arial" w:cs="Arial" w:eastAsia="Arial" w:hAnsi="Arial"/>
                <w:sz w:val="17"/>
                <w:szCs w:val="17"/>
                <w:color w:val="auto"/>
                <w:w w:val="91"/>
              </w:rPr>
              <w:t>1.53%- 1.81%</w:t>
            </w:r>
          </w:p>
        </w:tc>
        <w:tc>
          <w:tcPr>
            <w:tcW w:w="2620" w:type="dxa"/>
            <w:vAlign w:val="bottom"/>
            <w:gridSpan w:val="2"/>
          </w:tcPr>
          <w:p>
            <w:pPr>
              <w:jc w:val="center"/>
              <w:ind w:left="35"/>
              <w:spacing w:after="0"/>
              <w:rPr>
                <w:sz w:val="20"/>
                <w:szCs w:val="20"/>
                <w:color w:val="auto"/>
              </w:rPr>
            </w:pPr>
            <w:r>
              <w:rPr>
                <w:rFonts w:ascii="Arial" w:cs="Arial" w:eastAsia="Arial" w:hAnsi="Arial"/>
                <w:sz w:val="17"/>
                <w:szCs w:val="17"/>
                <w:color w:val="auto"/>
                <w:w w:val="91"/>
              </w:rPr>
              <w:t>0.92%- 0.95%</w:t>
            </w:r>
          </w:p>
        </w:tc>
      </w:tr>
      <w:tr>
        <w:trPr>
          <w:trHeight w:val="216"/>
        </w:trPr>
        <w:tc>
          <w:tcPr>
            <w:tcW w:w="6560" w:type="dxa"/>
            <w:vAlign w:val="bottom"/>
          </w:tcPr>
          <w:p>
            <w:pPr>
              <w:spacing w:after="0"/>
              <w:rPr>
                <w:sz w:val="20"/>
                <w:szCs w:val="20"/>
                <w:color w:val="auto"/>
              </w:rPr>
            </w:pPr>
            <w:r>
              <w:rPr>
                <w:rFonts w:ascii="Arial" w:cs="Arial" w:eastAsia="Arial" w:hAnsi="Arial"/>
                <w:sz w:val="17"/>
                <w:szCs w:val="17"/>
                <w:color w:val="auto"/>
              </w:rPr>
              <w:t>Weighted-average dividend yield</w:t>
            </w:r>
          </w:p>
        </w:tc>
        <w:tc>
          <w:tcPr>
            <w:tcW w:w="2240" w:type="dxa"/>
            <w:vAlign w:val="bottom"/>
          </w:tcPr>
          <w:p>
            <w:pPr>
              <w:jc w:val="center"/>
              <w:ind w:right="75"/>
              <w:spacing w:after="0"/>
              <w:rPr>
                <w:sz w:val="20"/>
                <w:szCs w:val="20"/>
                <w:color w:val="auto"/>
              </w:rPr>
            </w:pPr>
            <w:r>
              <w:rPr>
                <w:rFonts w:ascii="Arial" w:cs="Arial" w:eastAsia="Arial" w:hAnsi="Arial"/>
                <w:sz w:val="17"/>
                <w:szCs w:val="17"/>
                <w:color w:val="auto"/>
                <w:w w:val="91"/>
              </w:rPr>
              <w:t>1.79%</w:t>
            </w:r>
          </w:p>
        </w:tc>
        <w:tc>
          <w:tcPr>
            <w:tcW w:w="2620" w:type="dxa"/>
            <w:vAlign w:val="bottom"/>
            <w:gridSpan w:val="2"/>
          </w:tcPr>
          <w:p>
            <w:pPr>
              <w:jc w:val="center"/>
              <w:ind w:left="15"/>
              <w:spacing w:after="0"/>
              <w:rPr>
                <w:sz w:val="20"/>
                <w:szCs w:val="20"/>
                <w:color w:val="auto"/>
              </w:rPr>
            </w:pPr>
            <w:r>
              <w:rPr>
                <w:rFonts w:ascii="Arial" w:cs="Arial" w:eastAsia="Arial" w:hAnsi="Arial"/>
                <w:sz w:val="17"/>
                <w:szCs w:val="17"/>
                <w:color w:val="auto"/>
                <w:w w:val="91"/>
              </w:rPr>
              <w:t>0.94%</w:t>
            </w:r>
          </w:p>
        </w:tc>
      </w:tr>
    </w:tbl>
    <w:p>
      <w:pPr>
        <w:spacing w:after="0" w:line="219" w:lineRule="exact"/>
        <w:rPr>
          <w:sz w:val="20"/>
          <w:szCs w:val="20"/>
          <w:color w:val="auto"/>
        </w:rPr>
      </w:pPr>
    </w:p>
    <w:p>
      <w:pPr>
        <w:ind w:right="300"/>
        <w:spacing w:after="0" w:line="308" w:lineRule="auto"/>
        <w:rPr>
          <w:sz w:val="20"/>
          <w:szCs w:val="20"/>
          <w:color w:val="auto"/>
        </w:rPr>
      </w:pPr>
      <w:r>
        <w:rPr>
          <w:rFonts w:ascii="Arial" w:cs="Arial" w:eastAsia="Arial" w:hAnsi="Arial"/>
          <w:sz w:val="16"/>
          <w:szCs w:val="16"/>
          <w:color w:val="auto"/>
        </w:rPr>
        <w:t>The weighted-average fair value of options granted during the first quarter of fiscal 2009 and 2008 was $7.93 per share and $13.90 per share, respectively. The fair value of performance share awards granted during the first quarter of fiscal 2009 and 2008 was $28.62 per share and $58.96 per share, respectively.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Inventories</w:t>
      </w:r>
    </w:p>
    <w:p>
      <w:pPr>
        <w:spacing w:after="0" w:line="243"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Inventories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(Dollars in thousands)</w:t>
            </w:r>
          </w:p>
        </w:tc>
        <w:tc>
          <w:tcPr>
            <w:tcW w:w="120" w:type="dxa"/>
            <w:vAlign w:val="bottom"/>
          </w:tcPr>
          <w:p>
            <w:pPr>
              <w:spacing w:after="0"/>
              <w:rPr>
                <w:sz w:val="17"/>
                <w:szCs w:val="17"/>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7"/>
                <w:szCs w:val="17"/>
                <w:color w:val="auto"/>
                <w:w w:val="92"/>
              </w:rPr>
              <w:t>January 30,</w:t>
            </w:r>
          </w:p>
        </w:tc>
        <w:tc>
          <w:tcPr>
            <w:tcW w:w="12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color w:val="auto"/>
                <w:w w:val="89"/>
              </w:rPr>
              <w:t>February 1,</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October 31,</w:t>
            </w:r>
          </w:p>
        </w:tc>
      </w:tr>
      <w:tr>
        <w:trPr>
          <w:trHeight w:val="223"/>
        </w:trPr>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2008</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89"/>
              </w:rPr>
              <w:t>2008</w:t>
            </w:r>
          </w:p>
        </w:tc>
        <w:tc>
          <w:tcPr>
            <w:tcW w:w="100" w:type="dxa"/>
            <w:vAlign w:val="bottom"/>
          </w:tcPr>
          <w:p>
            <w:pPr>
              <w:spacing w:after="0"/>
              <w:rPr>
                <w:sz w:val="19"/>
                <w:szCs w:val="19"/>
                <w:color w:val="auto"/>
              </w:rPr>
            </w:pP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Raw materials and work in process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66,039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70,676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63,268</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Finished goods and service parts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222,968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268,136</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194,118</w:t>
            </w:r>
          </w:p>
        </w:tc>
      </w:tr>
      <w:tr>
        <w:trPr>
          <w:trHeight w:val="26"/>
        </w:trPr>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4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Total FIFO value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289,007</w:t>
            </w: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338,812</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257,386</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Less: adjustment to LIFO value</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50,303</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42,889</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50,302</w:t>
            </w:r>
          </w:p>
        </w:tc>
      </w:tr>
      <w:tr>
        <w:trPr>
          <w:trHeight w:val="26"/>
        </w:trPr>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238,704</w:t>
            </w:r>
          </w:p>
        </w:tc>
        <w:tc>
          <w:tcPr>
            <w:tcW w:w="2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295,923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207,084</w:t>
            </w:r>
          </w:p>
        </w:tc>
      </w:tr>
      <w:tr>
        <w:trPr>
          <w:trHeight w:val="425"/>
        </w:trPr>
        <w:tc>
          <w:tcPr>
            <w:tcW w:w="7440" w:type="dxa"/>
            <w:vAlign w:val="bottom"/>
            <w:tcBorders>
              <w:top w:val="single" w:sz="8" w:color="CCEEFF"/>
            </w:tcBorders>
            <w:gridSpan w:val="3"/>
          </w:tcPr>
          <w:p>
            <w:pPr>
              <w:spacing w:after="0"/>
              <w:rPr>
                <w:sz w:val="20"/>
                <w:szCs w:val="20"/>
                <w:color w:val="auto"/>
              </w:rPr>
            </w:pPr>
            <w:r>
              <w:rPr>
                <w:rFonts w:ascii="Arial" w:cs="Arial" w:eastAsia="Arial" w:hAnsi="Arial"/>
                <w:sz w:val="17"/>
                <w:szCs w:val="17"/>
                <w:b w:val="1"/>
                <w:bCs w:val="1"/>
                <w:color w:val="auto"/>
              </w:rPr>
              <w:t>Per Share Data</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5"/>
        </w:trPr>
        <w:tc>
          <w:tcPr>
            <w:tcW w:w="7440" w:type="dxa"/>
            <w:vAlign w:val="bottom"/>
            <w:gridSpan w:val="3"/>
          </w:tcPr>
          <w:p>
            <w:pPr>
              <w:spacing w:after="0"/>
              <w:rPr>
                <w:sz w:val="20"/>
                <w:szCs w:val="20"/>
                <w:color w:val="auto"/>
              </w:rPr>
            </w:pPr>
            <w:r>
              <w:rPr>
                <w:rFonts w:ascii="Arial" w:cs="Arial" w:eastAsia="Arial" w:hAnsi="Arial"/>
                <w:sz w:val="17"/>
                <w:szCs w:val="17"/>
                <w:color w:val="auto"/>
                <w:w w:val="92"/>
              </w:rPr>
              <w:t>Reconciliations of basic and diluted weighted-average shares of common stock outstanding are as follows: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2"/>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right"/>
              <w:ind w:right="640"/>
              <w:spacing w:after="0"/>
              <w:rPr>
                <w:sz w:val="20"/>
                <w:szCs w:val="20"/>
                <w:color w:val="auto"/>
              </w:rPr>
            </w:pPr>
            <w:r>
              <w:rPr>
                <w:rFonts w:ascii="Arial" w:cs="Arial" w:eastAsia="Arial" w:hAnsi="Arial"/>
                <w:sz w:val="17"/>
                <w:szCs w:val="17"/>
                <w:color w:val="auto"/>
              </w:rPr>
              <w:t>Three Months Ended</w:t>
            </w:r>
          </w:p>
        </w:tc>
      </w:tr>
      <w:tr>
        <w:trPr>
          <w:trHeight w:val="192"/>
        </w:trPr>
        <w:tc>
          <w:tcPr>
            <w:tcW w:w="7440" w:type="dxa"/>
            <w:vAlign w:val="bottom"/>
            <w:gridSpan w:val="3"/>
          </w:tcPr>
          <w:p>
            <w:pPr>
              <w:spacing w:after="0" w:line="193" w:lineRule="exact"/>
              <w:rPr>
                <w:sz w:val="20"/>
                <w:szCs w:val="20"/>
                <w:color w:val="auto"/>
              </w:rPr>
            </w:pPr>
            <w:r>
              <w:rPr>
                <w:rFonts w:ascii="Arial" w:cs="Arial" w:eastAsia="Arial" w:hAnsi="Arial"/>
                <w:sz w:val="17"/>
                <w:szCs w:val="17"/>
                <w:color w:val="auto"/>
              </w:rPr>
              <w:t>(Shares in thousands)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80"/>
              <w:spacing w:after="0" w:line="193" w:lineRule="exact"/>
              <w:rPr>
                <w:sz w:val="20"/>
                <w:szCs w:val="20"/>
                <w:color w:val="auto"/>
              </w:rPr>
            </w:pPr>
            <w:r>
              <w:rPr>
                <w:rFonts w:ascii="Arial" w:cs="Arial" w:eastAsia="Arial" w:hAnsi="Arial"/>
                <w:sz w:val="17"/>
                <w:szCs w:val="17"/>
                <w:color w:val="auto"/>
                <w:w w:val="90"/>
              </w:rPr>
              <w:t>January 30,</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5"/>
              <w:spacing w:after="0" w:line="193" w:lineRule="exact"/>
              <w:rPr>
                <w:sz w:val="20"/>
                <w:szCs w:val="20"/>
                <w:color w:val="auto"/>
              </w:rPr>
            </w:pPr>
            <w:r>
              <w:rPr>
                <w:rFonts w:ascii="Arial" w:cs="Arial" w:eastAsia="Arial" w:hAnsi="Arial"/>
                <w:sz w:val="17"/>
                <w:szCs w:val="17"/>
                <w:color w:val="auto"/>
                <w:w w:val="89"/>
              </w:rPr>
              <w:t>February 1,</w:t>
            </w:r>
          </w:p>
        </w:tc>
        <w:tc>
          <w:tcPr>
            <w:tcW w:w="100" w:type="dxa"/>
            <w:vAlign w:val="bottom"/>
          </w:tcPr>
          <w:p>
            <w:pPr>
              <w:spacing w:after="0"/>
              <w:rPr>
                <w:sz w:val="16"/>
                <w:szCs w:val="16"/>
                <w:color w:val="auto"/>
              </w:rPr>
            </w:pPr>
          </w:p>
        </w:tc>
      </w:tr>
      <w:tr>
        <w:trPr>
          <w:trHeight w:val="179"/>
        </w:trPr>
        <w:tc>
          <w:tcPr>
            <w:tcW w:w="7440" w:type="dxa"/>
            <w:vAlign w:val="bottom"/>
            <w:gridSpan w:val="3"/>
          </w:tcPr>
          <w:p>
            <w:pPr>
              <w:spacing w:after="0" w:line="179" w:lineRule="exact"/>
              <w:rPr>
                <w:sz w:val="20"/>
                <w:szCs w:val="20"/>
                <w:color w:val="auto"/>
              </w:rPr>
            </w:pPr>
            <w:r>
              <w:rPr>
                <w:rFonts w:ascii="Arial" w:cs="Arial" w:eastAsia="Arial" w:hAnsi="Arial"/>
                <w:sz w:val="17"/>
                <w:szCs w:val="17"/>
                <w:i w:val="1"/>
                <w:iCs w:val="1"/>
                <w:color w:val="auto"/>
              </w:rPr>
              <w:t>Basic</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75"/>
              <w:spacing w:after="0" w:line="179" w:lineRule="exact"/>
              <w:rPr>
                <w:sz w:val="20"/>
                <w:szCs w:val="20"/>
                <w:color w:val="auto"/>
              </w:rPr>
            </w:pPr>
            <w:r>
              <w:rPr>
                <w:rFonts w:ascii="Arial" w:cs="Arial" w:eastAsia="Arial" w:hAnsi="Arial"/>
                <w:sz w:val="17"/>
                <w:szCs w:val="17"/>
                <w:color w:val="auto"/>
                <w:w w:val="89"/>
              </w:rPr>
              <w:t>2009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55"/>
              <w:spacing w:after="0" w:line="179" w:lineRule="exact"/>
              <w:rPr>
                <w:sz w:val="20"/>
                <w:szCs w:val="20"/>
                <w:color w:val="auto"/>
              </w:rPr>
            </w:pPr>
            <w:r>
              <w:rPr>
                <w:rFonts w:ascii="Arial" w:cs="Arial" w:eastAsia="Arial" w:hAnsi="Arial"/>
                <w:sz w:val="17"/>
                <w:szCs w:val="17"/>
                <w:color w:val="auto"/>
                <w:w w:val="89"/>
              </w:rPr>
              <w:t>2008</w:t>
            </w:r>
          </w:p>
        </w:tc>
        <w:tc>
          <w:tcPr>
            <w:tcW w:w="100" w:type="dxa"/>
            <w:vAlign w:val="bottom"/>
          </w:tcPr>
          <w:p>
            <w:pPr>
              <w:spacing w:after="0"/>
              <w:rPr>
                <w:sz w:val="15"/>
                <w:szCs w:val="15"/>
                <w:color w:val="auto"/>
              </w:rPr>
            </w:pPr>
          </w:p>
        </w:tc>
      </w:tr>
      <w:tr>
        <w:trPr>
          <w:trHeight w:val="24"/>
        </w:trPr>
        <w:tc>
          <w:tcPr>
            <w:tcW w:w="3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Weighted-average number of shares of common stock</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36,350</w:t>
            </w: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38,362</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Assumed issuance of contingent shares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24</w:t>
            </w:r>
          </w:p>
        </w:tc>
      </w:tr>
      <w:tr>
        <w:trPr>
          <w:trHeight w:val="26"/>
        </w:trPr>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9"/>
              </w:rPr>
              <w:t>Weighted-average number of shares of common stock and assumed issuance of contingent shares</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36,366</w:t>
            </w:r>
          </w:p>
        </w:tc>
        <w:tc>
          <w:tcPr>
            <w:tcW w:w="2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38,386</w:t>
            </w:r>
          </w:p>
        </w:tc>
      </w:tr>
      <w:tr>
        <w:trPr>
          <w:trHeight w:val="167"/>
        </w:trPr>
        <w:tc>
          <w:tcPr>
            <w:tcW w:w="520" w:type="dxa"/>
            <w:vAlign w:val="bottom"/>
            <w:tcBorders>
              <w:top w:val="single" w:sz="8" w:color="CCEEFF"/>
              <w:bottom w:val="single" w:sz="8" w:color="auto"/>
            </w:tcBorders>
            <w:gridSpan w:val="2"/>
          </w:tcPr>
          <w:p>
            <w:pPr>
              <w:spacing w:after="0" w:line="158" w:lineRule="exact"/>
              <w:rPr>
                <w:sz w:val="20"/>
                <w:szCs w:val="20"/>
                <w:color w:val="auto"/>
              </w:rPr>
            </w:pPr>
            <w:r>
              <w:rPr>
                <w:rFonts w:ascii="Arial" w:cs="Arial" w:eastAsia="Arial" w:hAnsi="Arial"/>
                <w:sz w:val="17"/>
                <w:szCs w:val="17"/>
                <w:i w:val="1"/>
                <w:iCs w:val="1"/>
                <w:color w:val="auto"/>
                <w:w w:val="94"/>
              </w:rPr>
              <w:t>Diluted</w:t>
            </w:r>
          </w:p>
        </w:tc>
        <w:tc>
          <w:tcPr>
            <w:tcW w:w="69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4"/>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9"/>
              </w:rPr>
              <w:t>Weighted-average number of shares of common stock and assumed issuance of contingent shares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36,366</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38,386</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Effect of dilutive securities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1,009</w:t>
            </w:r>
          </w:p>
        </w:tc>
      </w:tr>
      <w:tr>
        <w:trPr>
          <w:trHeight w:val="26"/>
        </w:trPr>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882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7"/>
                <w:szCs w:val="17"/>
                <w:color w:val="auto"/>
                <w:w w:val="91"/>
              </w:rPr>
              <w:t>Weighted-average number of shares of common stock, assumed issuance of contingent shares, and effect of dilutive securities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36,805</w:t>
            </w:r>
          </w:p>
        </w:tc>
        <w:tc>
          <w:tcPr>
            <w:tcW w:w="2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39,395</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80" w:firstLine="213"/>
        <w:spacing w:after="0" w:line="263" w:lineRule="auto"/>
        <w:rPr>
          <w:sz w:val="20"/>
          <w:szCs w:val="20"/>
          <w:color w:val="auto"/>
        </w:rPr>
      </w:pPr>
      <w:r>
        <w:rPr>
          <w:rFonts w:ascii="Arial" w:cs="Arial" w:eastAsia="Arial" w:hAnsi="Arial"/>
          <w:sz w:val="17"/>
          <w:szCs w:val="17"/>
          <w:color w:val="auto"/>
        </w:rPr>
        <w:t>Options to purchase an aggregate of 1,521,421 and 179,930 shares of common stock outstanding as of January 30, 2009 and February 1, 2008, respectively, were excluded from the diluted net earnings per share calculations because their exercise prices were greater than the average market price of the company’s common stock during the same respective periods.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Data</w:t>
      </w:r>
    </w:p>
    <w:p>
      <w:pPr>
        <w:spacing w:after="0" w:line="243" w:lineRule="exact"/>
        <w:rPr>
          <w:sz w:val="20"/>
          <w:szCs w:val="20"/>
          <w:color w:val="auto"/>
        </w:rPr>
      </w:pPr>
    </w:p>
    <w:p>
      <w:pPr>
        <w:jc w:val="both"/>
        <w:ind w:right="280"/>
        <w:spacing w:after="0" w:line="290" w:lineRule="auto"/>
        <w:rPr>
          <w:sz w:val="20"/>
          <w:szCs w:val="20"/>
          <w:color w:val="auto"/>
        </w:rPr>
      </w:pPr>
      <w:r>
        <w:rPr>
          <w:rFonts w:ascii="Arial" w:cs="Arial" w:eastAsia="Arial" w:hAnsi="Arial"/>
          <w:sz w:val="15"/>
          <w:szCs w:val="15"/>
          <w:color w:val="auto"/>
        </w:rPr>
        <w:t>The presentation of segment information reflects the manner in which management organizes segments for making operating decisions and assessing performance. On this basis, the company has determined it has two reportable business segments: Professional and Residential. The Other segment consists of a company-owned distributorship in the United States and corporate activities, including corporate financing activities and elimination of intersegment revenues and expenses.</w:t>
      </w:r>
    </w:p>
    <w:p>
      <w:pPr>
        <w:ind w:left="220"/>
        <w:spacing w:after="0"/>
        <w:rPr>
          <w:sz w:val="20"/>
          <w:szCs w:val="20"/>
          <w:color w:val="auto"/>
        </w:rPr>
      </w:pPr>
      <w:r>
        <w:rPr>
          <w:rFonts w:ascii="Arial" w:cs="Arial" w:eastAsia="Arial" w:hAnsi="Arial"/>
          <w:sz w:val="17"/>
          <w:szCs w:val="17"/>
          <w:color w:val="auto"/>
        </w:rPr>
        <w:t>The following table shows the summarized financial information concerning the company’s reportable segments: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40" w:type="dxa"/>
            <w:vAlign w:val="bottom"/>
            <w:gridSpan w:val="2"/>
          </w:tcPr>
          <w:p>
            <w:pPr>
              <w:spacing w:after="0"/>
              <w:rPr>
                <w:sz w:val="20"/>
                <w:szCs w:val="20"/>
                <w:color w:val="auto"/>
              </w:rPr>
            </w:pPr>
            <w:r>
              <w:rPr>
                <w:rFonts w:ascii="Arial" w:cs="Arial" w:eastAsia="Arial" w:hAnsi="Arial"/>
                <w:sz w:val="17"/>
                <w:szCs w:val="17"/>
                <w:color w:val="auto"/>
              </w:rPr>
              <w:t>(Dollars in thousands)</w:t>
            </w: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9"/>
        </w:trPr>
        <w:tc>
          <w:tcPr>
            <w:tcW w:w="4140" w:type="dxa"/>
            <w:vAlign w:val="bottom"/>
            <w:gridSpan w:val="2"/>
          </w:tcPr>
          <w:p>
            <w:pPr>
              <w:spacing w:after="0" w:line="179" w:lineRule="exact"/>
              <w:rPr>
                <w:sz w:val="20"/>
                <w:szCs w:val="20"/>
                <w:color w:val="auto"/>
              </w:rPr>
            </w:pPr>
            <w:r>
              <w:rPr>
                <w:rFonts w:ascii="Arial" w:cs="Arial" w:eastAsia="Arial" w:hAnsi="Arial"/>
                <w:sz w:val="17"/>
                <w:szCs w:val="17"/>
                <w:color w:val="auto"/>
              </w:rPr>
              <w:t>Three months ended January 30, 2009</w:t>
            </w: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40"/>
              <w:spacing w:after="0" w:line="179" w:lineRule="exact"/>
              <w:rPr>
                <w:sz w:val="20"/>
                <w:szCs w:val="20"/>
                <w:color w:val="auto"/>
              </w:rPr>
            </w:pPr>
            <w:r>
              <w:rPr>
                <w:rFonts w:ascii="Arial" w:cs="Arial" w:eastAsia="Arial" w:hAnsi="Arial"/>
                <w:sz w:val="17"/>
                <w:szCs w:val="17"/>
                <w:color w:val="auto"/>
              </w:rPr>
              <w:t>Professional</w:t>
            </w:r>
          </w:p>
        </w:tc>
        <w:tc>
          <w:tcPr>
            <w:tcW w:w="140" w:type="dxa"/>
            <w:vAlign w:val="bottom"/>
          </w:tcPr>
          <w:p>
            <w:pPr>
              <w:spacing w:after="0"/>
              <w:rPr>
                <w:sz w:val="15"/>
                <w:szCs w:val="15"/>
                <w:color w:val="auto"/>
              </w:rPr>
            </w:pPr>
          </w:p>
        </w:tc>
        <w:tc>
          <w:tcPr>
            <w:tcW w:w="1140" w:type="dxa"/>
            <w:vAlign w:val="bottom"/>
            <w:gridSpan w:val="2"/>
          </w:tcPr>
          <w:p>
            <w:pPr>
              <w:ind w:left="60"/>
              <w:spacing w:after="0" w:line="179" w:lineRule="exact"/>
              <w:rPr>
                <w:sz w:val="20"/>
                <w:szCs w:val="20"/>
                <w:color w:val="auto"/>
              </w:rPr>
            </w:pPr>
            <w:r>
              <w:rPr>
                <w:rFonts w:ascii="Arial" w:cs="Arial" w:eastAsia="Arial" w:hAnsi="Arial"/>
                <w:sz w:val="17"/>
                <w:szCs w:val="17"/>
                <w:color w:val="auto"/>
              </w:rPr>
              <w:t>Residential</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520"/>
              <w:spacing w:after="0" w:line="179" w:lineRule="exact"/>
              <w:rPr>
                <w:sz w:val="20"/>
                <w:szCs w:val="20"/>
                <w:color w:val="auto"/>
              </w:rPr>
            </w:pPr>
            <w:r>
              <w:rPr>
                <w:rFonts w:ascii="Arial" w:cs="Arial" w:eastAsia="Arial" w:hAnsi="Arial"/>
                <w:sz w:val="17"/>
                <w:szCs w:val="17"/>
                <w:color w:val="auto"/>
              </w:rPr>
              <w:t>Other</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480"/>
              <w:spacing w:after="0" w:line="179" w:lineRule="exact"/>
              <w:rPr>
                <w:sz w:val="20"/>
                <w:szCs w:val="20"/>
                <w:color w:val="auto"/>
              </w:rPr>
            </w:pPr>
            <w:r>
              <w:rPr>
                <w:rFonts w:ascii="Arial" w:cs="Arial" w:eastAsia="Arial" w:hAnsi="Arial"/>
                <w:sz w:val="17"/>
                <w:szCs w:val="17"/>
                <w:color w:val="auto"/>
              </w:rPr>
              <w:t>Total</w:t>
            </w:r>
          </w:p>
        </w:tc>
      </w:tr>
      <w:tr>
        <w:trPr>
          <w:trHeight w:val="24"/>
        </w:trPr>
        <w:tc>
          <w:tcPr>
            <w:tcW w:w="2600" w:type="dxa"/>
            <w:vAlign w:val="bottom"/>
            <w:tcBorders>
              <w:top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sales</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229,369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107,024</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3,779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340,172</w:t>
            </w:r>
          </w:p>
        </w:tc>
      </w:tr>
      <w:tr>
        <w:trPr>
          <w:trHeight w:val="205"/>
        </w:trPr>
        <w:tc>
          <w:tcPr>
            <w:tcW w:w="4140" w:type="dxa"/>
            <w:vAlign w:val="bottom"/>
            <w:gridSpan w:val="2"/>
          </w:tcPr>
          <w:p>
            <w:pPr>
              <w:spacing w:after="0"/>
              <w:rPr>
                <w:sz w:val="20"/>
                <w:szCs w:val="20"/>
                <w:color w:val="auto"/>
              </w:rPr>
            </w:pPr>
            <w:r>
              <w:rPr>
                <w:rFonts w:ascii="Arial" w:cs="Arial" w:eastAsia="Arial" w:hAnsi="Arial"/>
                <w:sz w:val="17"/>
                <w:szCs w:val="17"/>
                <w:color w:val="auto"/>
              </w:rPr>
              <w:t>Intersegment gross sales</w:t>
            </w: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1,970</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769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(2,739)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Earnings (loss) before income taxes</w:t>
            </w: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30,129</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(24,816)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10,153</w:t>
            </w:r>
          </w:p>
        </w:tc>
      </w:tr>
      <w:tr>
        <w:trPr>
          <w:trHeight w:val="205"/>
        </w:trPr>
        <w:tc>
          <w:tcPr>
            <w:tcW w:w="414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500,937</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210,398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226,852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938,187</w:t>
            </w:r>
          </w:p>
        </w:tc>
      </w:tr>
      <w:tr>
        <w:trPr>
          <w:trHeight w:val="205"/>
        </w:trPr>
        <w:tc>
          <w:tcPr>
            <w:tcW w:w="26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66"/>
        </w:trPr>
        <w:tc>
          <w:tcPr>
            <w:tcW w:w="4140" w:type="dxa"/>
            <w:vAlign w:val="bottom"/>
            <w:gridSpan w:val="2"/>
          </w:tcPr>
          <w:p>
            <w:pPr>
              <w:spacing w:after="0" w:line="167" w:lineRule="exact"/>
              <w:rPr>
                <w:sz w:val="20"/>
                <w:szCs w:val="20"/>
                <w:color w:val="auto"/>
              </w:rPr>
            </w:pPr>
            <w:r>
              <w:rPr>
                <w:rFonts w:ascii="Arial" w:cs="Arial" w:eastAsia="Arial" w:hAnsi="Arial"/>
                <w:sz w:val="17"/>
                <w:szCs w:val="17"/>
                <w:color w:val="auto"/>
              </w:rPr>
              <w:t>Three months ended February 1, 2008</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40"/>
              <w:spacing w:after="0" w:line="167" w:lineRule="exact"/>
              <w:rPr>
                <w:sz w:val="20"/>
                <w:szCs w:val="20"/>
                <w:color w:val="auto"/>
              </w:rPr>
            </w:pPr>
            <w:r>
              <w:rPr>
                <w:rFonts w:ascii="Arial" w:cs="Arial" w:eastAsia="Arial" w:hAnsi="Arial"/>
                <w:sz w:val="17"/>
                <w:szCs w:val="17"/>
                <w:color w:val="auto"/>
              </w:rPr>
              <w:t>Professional</w:t>
            </w:r>
          </w:p>
        </w:tc>
        <w:tc>
          <w:tcPr>
            <w:tcW w:w="140" w:type="dxa"/>
            <w:vAlign w:val="bottom"/>
          </w:tcPr>
          <w:p>
            <w:pPr>
              <w:spacing w:after="0"/>
              <w:rPr>
                <w:sz w:val="14"/>
                <w:szCs w:val="14"/>
                <w:color w:val="auto"/>
              </w:rPr>
            </w:pPr>
          </w:p>
        </w:tc>
        <w:tc>
          <w:tcPr>
            <w:tcW w:w="1140" w:type="dxa"/>
            <w:vAlign w:val="bottom"/>
            <w:gridSpan w:val="2"/>
          </w:tcPr>
          <w:p>
            <w:pPr>
              <w:ind w:left="60"/>
              <w:spacing w:after="0" w:line="167" w:lineRule="exact"/>
              <w:rPr>
                <w:sz w:val="20"/>
                <w:szCs w:val="20"/>
                <w:color w:val="auto"/>
              </w:rPr>
            </w:pPr>
            <w:r>
              <w:rPr>
                <w:rFonts w:ascii="Arial" w:cs="Arial" w:eastAsia="Arial" w:hAnsi="Arial"/>
                <w:sz w:val="17"/>
                <w:szCs w:val="17"/>
                <w:color w:val="auto"/>
              </w:rPr>
              <w:t>Residential</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520"/>
              <w:spacing w:after="0" w:line="167" w:lineRule="exact"/>
              <w:rPr>
                <w:sz w:val="20"/>
                <w:szCs w:val="20"/>
                <w:color w:val="auto"/>
              </w:rPr>
            </w:pPr>
            <w:r>
              <w:rPr>
                <w:rFonts w:ascii="Arial" w:cs="Arial" w:eastAsia="Arial" w:hAnsi="Arial"/>
                <w:sz w:val="17"/>
                <w:szCs w:val="17"/>
                <w:color w:val="auto"/>
              </w:rPr>
              <w:t>Other</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480"/>
              <w:spacing w:after="0" w:line="167" w:lineRule="exact"/>
              <w:rPr>
                <w:sz w:val="20"/>
                <w:szCs w:val="20"/>
                <w:color w:val="auto"/>
              </w:rPr>
            </w:pPr>
            <w:r>
              <w:rPr>
                <w:rFonts w:ascii="Arial" w:cs="Arial" w:eastAsia="Arial" w:hAnsi="Arial"/>
                <w:sz w:val="17"/>
                <w:szCs w:val="17"/>
                <w:color w:val="auto"/>
              </w:rPr>
              <w:t>Total</w:t>
            </w:r>
          </w:p>
        </w:tc>
      </w:tr>
      <w:tr>
        <w:trPr>
          <w:trHeight w:val="24"/>
        </w:trPr>
        <w:tc>
          <w:tcPr>
            <w:tcW w:w="2600" w:type="dxa"/>
            <w:vAlign w:val="bottom"/>
            <w:tcBorders>
              <w:top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sales</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295,047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106,325</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4,427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405,799</w:t>
            </w:r>
          </w:p>
        </w:tc>
      </w:tr>
      <w:tr>
        <w:trPr>
          <w:trHeight w:val="205"/>
        </w:trPr>
        <w:tc>
          <w:tcPr>
            <w:tcW w:w="4140" w:type="dxa"/>
            <w:vAlign w:val="bottom"/>
            <w:gridSpan w:val="2"/>
          </w:tcPr>
          <w:p>
            <w:pPr>
              <w:spacing w:after="0"/>
              <w:rPr>
                <w:sz w:val="20"/>
                <w:szCs w:val="20"/>
                <w:color w:val="auto"/>
              </w:rPr>
            </w:pPr>
            <w:r>
              <w:rPr>
                <w:rFonts w:ascii="Arial" w:cs="Arial" w:eastAsia="Arial" w:hAnsi="Arial"/>
                <w:sz w:val="17"/>
                <w:szCs w:val="17"/>
                <w:color w:val="auto"/>
              </w:rPr>
              <w:t>Intersegment gross sales</w:t>
            </w: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5,010</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1,751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(6,761)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Earnings (loss) before income taxes</w:t>
            </w: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51,516</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(26,499)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28,835</w:t>
            </w:r>
          </w:p>
        </w:tc>
      </w:tr>
      <w:tr>
        <w:trPr>
          <w:trHeight w:val="216"/>
        </w:trPr>
        <w:tc>
          <w:tcPr>
            <w:tcW w:w="414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562,671</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248,273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220,165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1,031,109</w:t>
            </w:r>
          </w:p>
        </w:tc>
      </w:tr>
      <w:tr>
        <w:trPr>
          <w:trHeight w:val="423"/>
        </w:trPr>
        <w:tc>
          <w:tcPr>
            <w:tcW w:w="2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20" w:type="dxa"/>
            <w:vAlign w:val="bottom"/>
          </w:tcPr>
          <w:p>
            <w:pPr>
              <w:jc w:val="right"/>
              <w:ind w:right="215"/>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26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7440" w:type="dxa"/>
            <w:vAlign w:val="bottom"/>
            <w:gridSpan w:val="5"/>
          </w:tcPr>
          <w:p>
            <w:pPr>
              <w:ind w:left="220"/>
              <w:spacing w:after="0"/>
              <w:rPr>
                <w:sz w:val="20"/>
                <w:szCs w:val="20"/>
                <w:color w:val="auto"/>
              </w:rPr>
            </w:pPr>
            <w:r>
              <w:rPr>
                <w:rFonts w:ascii="Arial" w:cs="Arial" w:eastAsia="Arial" w:hAnsi="Arial"/>
                <w:sz w:val="17"/>
                <w:szCs w:val="17"/>
                <w:color w:val="auto"/>
                <w:w w:val="98"/>
              </w:rPr>
              <w:t>The following table presents the details of the Other segment operating loss before income taxes: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5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right"/>
              <w:ind w:right="640"/>
              <w:spacing w:after="0"/>
              <w:rPr>
                <w:sz w:val="20"/>
                <w:szCs w:val="20"/>
                <w:color w:val="auto"/>
              </w:rPr>
            </w:pPr>
            <w:r>
              <w:rPr>
                <w:rFonts w:ascii="Arial" w:cs="Arial" w:eastAsia="Arial" w:hAnsi="Arial"/>
                <w:sz w:val="17"/>
                <w:szCs w:val="17"/>
                <w:color w:val="auto"/>
              </w:rPr>
              <w:t>Three Months Ended</w:t>
            </w:r>
          </w:p>
        </w:tc>
        <w:tc>
          <w:tcPr>
            <w:tcW w:w="0" w:type="dxa"/>
            <w:vAlign w:val="bottom"/>
          </w:tcPr>
          <w:p>
            <w:pPr>
              <w:spacing w:after="0"/>
              <w:rPr>
                <w:sz w:val="1"/>
                <w:szCs w:val="1"/>
                <w:color w:val="auto"/>
              </w:rPr>
            </w:pPr>
          </w:p>
        </w:tc>
      </w:tr>
      <w:tr>
        <w:trPr>
          <w:trHeight w:val="192"/>
        </w:trPr>
        <w:tc>
          <w:tcPr>
            <w:tcW w:w="528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420"/>
              <w:spacing w:after="0" w:line="193" w:lineRule="exact"/>
              <w:rPr>
                <w:sz w:val="20"/>
                <w:szCs w:val="20"/>
                <w:color w:val="auto"/>
              </w:rPr>
            </w:pPr>
            <w:r>
              <w:rPr>
                <w:rFonts w:ascii="Arial" w:cs="Arial" w:eastAsia="Arial" w:hAnsi="Arial"/>
                <w:sz w:val="17"/>
                <w:szCs w:val="17"/>
                <w:color w:val="auto"/>
                <w:w w:val="92"/>
              </w:rPr>
              <w:t>January 30,</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5"/>
              <w:spacing w:after="0" w:line="193" w:lineRule="exact"/>
              <w:rPr>
                <w:sz w:val="20"/>
                <w:szCs w:val="20"/>
                <w:color w:val="auto"/>
              </w:rPr>
            </w:pPr>
            <w:r>
              <w:rPr>
                <w:rFonts w:ascii="Arial" w:cs="Arial" w:eastAsia="Arial" w:hAnsi="Arial"/>
                <w:sz w:val="17"/>
                <w:szCs w:val="17"/>
                <w:color w:val="auto"/>
                <w:w w:val="89"/>
              </w:rPr>
              <w:t>February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9"/>
              </w:rPr>
              <w:t>2009</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9"/>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Corporate expenses</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(22,378)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(24,493)</w:t>
            </w:r>
          </w:p>
        </w:tc>
        <w:tc>
          <w:tcPr>
            <w:tcW w:w="0" w:type="dxa"/>
            <w:vAlign w:val="bottom"/>
          </w:tcPr>
          <w:p>
            <w:pPr>
              <w:spacing w:after="0"/>
              <w:rPr>
                <w:sz w:val="1"/>
                <w:szCs w:val="1"/>
                <w:color w:val="auto"/>
              </w:rPr>
            </w:pPr>
          </w:p>
        </w:tc>
      </w:tr>
      <w:tr>
        <w:trPr>
          <w:trHeight w:val="205"/>
        </w:trPr>
        <w:tc>
          <w:tcPr>
            <w:tcW w:w="5280" w:type="dxa"/>
            <w:vAlign w:val="bottom"/>
          </w:tcPr>
          <w:p>
            <w:pPr>
              <w:spacing w:after="0"/>
              <w:rPr>
                <w:sz w:val="20"/>
                <w:szCs w:val="20"/>
                <w:color w:val="auto"/>
              </w:rPr>
            </w:pPr>
            <w:r>
              <w:rPr>
                <w:rFonts w:ascii="Arial" w:cs="Arial" w:eastAsia="Arial" w:hAnsi="Arial"/>
                <w:sz w:val="17"/>
                <w:szCs w:val="17"/>
                <w:color w:val="auto"/>
              </w:rPr>
              <w:t>Finance charge revenue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Elimination of corporate financing expense</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1,515</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2,202</w:t>
            </w:r>
          </w:p>
        </w:tc>
        <w:tc>
          <w:tcPr>
            <w:tcW w:w="0" w:type="dxa"/>
            <w:vAlign w:val="bottom"/>
          </w:tcPr>
          <w:p>
            <w:pPr>
              <w:spacing w:after="0"/>
              <w:rPr>
                <w:sz w:val="1"/>
                <w:szCs w:val="1"/>
                <w:color w:val="auto"/>
              </w:rPr>
            </w:pPr>
          </w:p>
        </w:tc>
      </w:tr>
      <w:tr>
        <w:trPr>
          <w:trHeight w:val="205"/>
        </w:trPr>
        <w:tc>
          <w:tcPr>
            <w:tcW w:w="5280" w:type="dxa"/>
            <w:vAlign w:val="bottom"/>
          </w:tcPr>
          <w:p>
            <w:pPr>
              <w:spacing w:after="0"/>
              <w:rPr>
                <w:sz w:val="20"/>
                <w:szCs w:val="20"/>
                <w:color w:val="auto"/>
              </w:rPr>
            </w:pPr>
            <w:r>
              <w:rPr>
                <w:rFonts w:ascii="Arial" w:cs="Arial" w:eastAsia="Arial" w:hAnsi="Arial"/>
                <w:sz w:val="17"/>
                <w:szCs w:val="17"/>
                <w:color w:val="auto"/>
              </w:rPr>
              <w:t>Interest expense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(4,358)</w:t>
            </w: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(4,883)</w:t>
            </w: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6"/>
        </w:trPr>
        <w:tc>
          <w:tcPr>
            <w:tcW w:w="52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280" w:type="dxa"/>
            <w:vAlign w:val="bottom"/>
          </w:tcPr>
          <w:p>
            <w:pPr>
              <w:spacing w:after="0"/>
              <w:rPr>
                <w:sz w:val="20"/>
                <w:szCs w:val="20"/>
                <w:color w:val="auto"/>
              </w:rPr>
            </w:pPr>
            <w:r>
              <w:rPr>
                <w:rFonts w:ascii="Arial" w:cs="Arial" w:eastAsia="Arial" w:hAnsi="Arial"/>
                <w:sz w:val="17"/>
                <w:szCs w:val="17"/>
                <w:color w:val="auto"/>
              </w:rPr>
              <w:t>Total</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(24,816)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(26,499)</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7"/>
                <w:szCs w:val="17"/>
                <w:b w:val="1"/>
                <w:bCs w:val="1"/>
                <w:color w:val="auto"/>
              </w:rPr>
              <w:t>Goodwill</w:t>
            </w: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2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7440" w:type="dxa"/>
            <w:vAlign w:val="bottom"/>
            <w:gridSpan w:val="5"/>
          </w:tcPr>
          <w:p>
            <w:pPr>
              <w:spacing w:after="0"/>
              <w:rPr>
                <w:sz w:val="20"/>
                <w:szCs w:val="20"/>
                <w:color w:val="auto"/>
              </w:rPr>
            </w:pPr>
            <w:r>
              <w:rPr>
                <w:rFonts w:ascii="Arial" w:cs="Arial" w:eastAsia="Arial" w:hAnsi="Arial"/>
                <w:sz w:val="17"/>
                <w:szCs w:val="17"/>
                <w:color w:val="auto"/>
                <w:w w:val="97"/>
              </w:rPr>
              <w:t>The changes in the net carrying amount of goodwill for the first quarter of fiscal 2009 were as follows: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280" w:type="dxa"/>
            <w:vAlign w:val="bottom"/>
          </w:tcPr>
          <w:p>
            <w:pPr>
              <w:spacing w:after="0"/>
              <w:rPr>
                <w:sz w:val="20"/>
                <w:szCs w:val="20"/>
                <w:color w:val="auto"/>
              </w:rPr>
            </w:pPr>
            <w:r>
              <w:rPr>
                <w:rFonts w:ascii="Arial" w:cs="Arial" w:eastAsia="Arial" w:hAnsi="Arial"/>
                <w:sz w:val="17"/>
                <w:szCs w:val="17"/>
                <w:color w:val="auto"/>
              </w:rPr>
              <w:t>(Dollars in thousands)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Professional</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color w:val="auto"/>
                <w:w w:val="92"/>
              </w:rPr>
              <w:t>Residential</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5"/>
              </w:rPr>
              <w:t>Segment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88"/>
              </w:rPr>
              <w:t>Segment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95"/>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Balance as of October 31, 2008</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75,456</w:t>
            </w:r>
          </w:p>
        </w:tc>
        <w:tc>
          <w:tcPr>
            <w:tcW w:w="120" w:type="dxa"/>
            <w:vAlign w:val="bottom"/>
            <w:tcBorders>
              <w:left w:val="single" w:sz="8" w:color="CCEEFF"/>
            </w:tcBorders>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10,736</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86,192</w:t>
            </w:r>
          </w:p>
        </w:tc>
        <w:tc>
          <w:tcPr>
            <w:tcW w:w="0" w:type="dxa"/>
            <w:vAlign w:val="bottom"/>
          </w:tcPr>
          <w:p>
            <w:pPr>
              <w:spacing w:after="0"/>
              <w:rPr>
                <w:sz w:val="1"/>
                <w:szCs w:val="1"/>
                <w:color w:val="auto"/>
              </w:rPr>
            </w:pPr>
          </w:p>
        </w:tc>
      </w:tr>
      <w:tr>
        <w:trPr>
          <w:trHeight w:val="205"/>
        </w:trPr>
        <w:tc>
          <w:tcPr>
            <w:tcW w:w="5280" w:type="dxa"/>
            <w:vAlign w:val="bottom"/>
          </w:tcPr>
          <w:p>
            <w:pPr>
              <w:spacing w:after="0"/>
              <w:rPr>
                <w:sz w:val="20"/>
                <w:szCs w:val="20"/>
                <w:color w:val="auto"/>
              </w:rPr>
            </w:pPr>
            <w:r>
              <w:rPr>
                <w:rFonts w:ascii="Arial" w:cs="Arial" w:eastAsia="Arial" w:hAnsi="Arial"/>
                <w:sz w:val="17"/>
                <w:szCs w:val="17"/>
                <w:color w:val="auto"/>
              </w:rPr>
              <w:t>Translation adjustment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6"/>
        </w:trPr>
        <w:tc>
          <w:tcPr>
            <w:tcW w:w="5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January 30, 2009</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75,528</w:t>
            </w:r>
          </w:p>
        </w:tc>
        <w:tc>
          <w:tcPr>
            <w:tcW w:w="120" w:type="dxa"/>
            <w:vAlign w:val="bottom"/>
            <w:tcBorders>
              <w:left w:val="single" w:sz="8" w:color="CCEEFF"/>
            </w:tcBorders>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10,857</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86,385</w:t>
            </w:r>
          </w:p>
        </w:tc>
        <w:tc>
          <w:tcPr>
            <w:tcW w:w="0" w:type="dxa"/>
            <w:vAlign w:val="bottom"/>
          </w:tcPr>
          <w:p>
            <w:pPr>
              <w:spacing w:after="0"/>
              <w:rPr>
                <w:sz w:val="1"/>
                <w:szCs w:val="1"/>
                <w:color w:val="auto"/>
              </w:rPr>
            </w:pPr>
          </w:p>
        </w:tc>
      </w:tr>
      <w:tr>
        <w:trPr>
          <w:trHeight w:val="425"/>
        </w:trPr>
        <w:tc>
          <w:tcPr>
            <w:tcW w:w="528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Other Intangible Assets</w:t>
            </w:r>
          </w:p>
        </w:tc>
        <w:tc>
          <w:tcPr>
            <w:tcW w:w="6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280" w:type="dxa"/>
            <w:vAlign w:val="bottom"/>
          </w:tcPr>
          <w:p>
            <w:pPr>
              <w:spacing w:after="0"/>
              <w:rPr>
                <w:sz w:val="20"/>
                <w:szCs w:val="20"/>
                <w:color w:val="auto"/>
              </w:rPr>
            </w:pPr>
            <w:r>
              <w:rPr>
                <w:rFonts w:ascii="Arial" w:cs="Arial" w:eastAsia="Arial" w:hAnsi="Arial"/>
                <w:sz w:val="17"/>
                <w:szCs w:val="17"/>
                <w:color w:val="auto"/>
                <w:w w:val="97"/>
              </w:rPr>
              <w:t>The components of other amortizable intangible assets were as follows: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280" w:type="dxa"/>
            <w:vAlign w:val="bottom"/>
          </w:tcPr>
          <w:p>
            <w:pPr>
              <w:spacing w:after="0"/>
              <w:rPr>
                <w:sz w:val="20"/>
                <w:szCs w:val="20"/>
                <w:color w:val="auto"/>
              </w:rPr>
            </w:pPr>
            <w:r>
              <w:rPr>
                <w:rFonts w:ascii="Arial" w:cs="Arial" w:eastAsia="Arial" w:hAnsi="Arial"/>
                <w:sz w:val="17"/>
                <w:szCs w:val="17"/>
                <w:color w:val="auto"/>
              </w:rPr>
              <w:t>(Dollars in thousands)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Estimated</w:t>
            </w:r>
          </w:p>
        </w:tc>
        <w:tc>
          <w:tcPr>
            <w:tcW w:w="1260" w:type="dxa"/>
            <w:vAlign w:val="bottom"/>
            <w:gridSpan w:val="3"/>
          </w:tcPr>
          <w:p>
            <w:pPr>
              <w:jc w:val="center"/>
              <w:ind w:right="100"/>
              <w:spacing w:after="0"/>
              <w:rPr>
                <w:sz w:val="20"/>
                <w:szCs w:val="20"/>
                <w:color w:val="auto"/>
              </w:rPr>
            </w:pPr>
            <w:r>
              <w:rPr>
                <w:rFonts w:ascii="Arial" w:cs="Arial" w:eastAsia="Arial" w:hAnsi="Arial"/>
                <w:sz w:val="17"/>
                <w:szCs w:val="17"/>
                <w:color w:val="auto"/>
                <w:w w:val="90"/>
              </w:rPr>
              <w:t>Gross Carrying</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Accumulated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January 30, 2009</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Life (Years)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95"/>
              </w:rPr>
              <w:t>Amount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Amortization</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90"/>
              </w:rPr>
              <w:t>Net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Patents</w:t>
            </w:r>
          </w:p>
        </w:tc>
        <w:tc>
          <w:tcPr>
            <w:tcW w:w="216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5-13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7,653</w:t>
            </w:r>
          </w:p>
        </w:tc>
        <w:tc>
          <w:tcPr>
            <w:tcW w:w="120" w:type="dxa"/>
            <w:vAlign w:val="bottom"/>
            <w:tcBorders>
              <w:left w:val="single" w:sz="8" w:color="CCEEFF"/>
            </w:tcBorders>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1,218</w:t>
            </w:r>
          </w:p>
        </w:tc>
        <w:tc>
          <w:tcPr>
            <w:tcW w:w="0" w:type="dxa"/>
            <w:vAlign w:val="bottom"/>
          </w:tcPr>
          <w:p>
            <w:pPr>
              <w:spacing w:after="0"/>
              <w:rPr>
                <w:sz w:val="1"/>
                <w:szCs w:val="1"/>
                <w:color w:val="auto"/>
              </w:rPr>
            </w:pPr>
          </w:p>
        </w:tc>
      </w:tr>
      <w:tr>
        <w:trPr>
          <w:trHeight w:val="205"/>
        </w:trPr>
        <w:tc>
          <w:tcPr>
            <w:tcW w:w="5280" w:type="dxa"/>
            <w:vAlign w:val="bottom"/>
          </w:tcPr>
          <w:p>
            <w:pPr>
              <w:spacing w:after="0"/>
              <w:rPr>
                <w:sz w:val="20"/>
                <w:szCs w:val="20"/>
                <w:color w:val="auto"/>
              </w:rPr>
            </w:pPr>
            <w:r>
              <w:rPr>
                <w:rFonts w:ascii="Arial" w:cs="Arial" w:eastAsia="Arial" w:hAnsi="Arial"/>
                <w:sz w:val="17"/>
                <w:szCs w:val="17"/>
                <w:color w:val="auto"/>
              </w:rPr>
              <w:t>Non-compete agreements</w:t>
            </w:r>
          </w:p>
        </w:tc>
        <w:tc>
          <w:tcPr>
            <w:tcW w:w="2160" w:type="dxa"/>
            <w:vAlign w:val="bottom"/>
            <w:gridSpan w:val="4"/>
          </w:tcPr>
          <w:p>
            <w:pPr>
              <w:jc w:val="right"/>
              <w:ind w:right="220"/>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(1,266)</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1,173</w:t>
            </w: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Customer related</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10-13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6,195</w:t>
            </w: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(1,005)</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5,190</w:t>
            </w:r>
          </w:p>
        </w:tc>
        <w:tc>
          <w:tcPr>
            <w:tcW w:w="0" w:type="dxa"/>
            <w:vAlign w:val="bottom"/>
          </w:tcPr>
          <w:p>
            <w:pPr>
              <w:spacing w:after="0"/>
              <w:rPr>
                <w:sz w:val="1"/>
                <w:szCs w:val="1"/>
                <w:color w:val="auto"/>
              </w:rPr>
            </w:pPr>
          </w:p>
        </w:tc>
      </w:tr>
      <w:tr>
        <w:trPr>
          <w:trHeight w:val="205"/>
        </w:trPr>
        <w:tc>
          <w:tcPr>
            <w:tcW w:w="5280" w:type="dxa"/>
            <w:vAlign w:val="bottom"/>
          </w:tcPr>
          <w:p>
            <w:pPr>
              <w:spacing w:after="0"/>
              <w:rPr>
                <w:sz w:val="20"/>
                <w:szCs w:val="20"/>
                <w:color w:val="auto"/>
              </w:rPr>
            </w:pPr>
            <w:r>
              <w:rPr>
                <w:rFonts w:ascii="Arial" w:cs="Arial" w:eastAsia="Arial" w:hAnsi="Arial"/>
                <w:sz w:val="17"/>
                <w:szCs w:val="17"/>
                <w:color w:val="auto"/>
              </w:rPr>
              <w:t>Developed technology</w:t>
            </w:r>
          </w:p>
        </w:tc>
        <w:tc>
          <w:tcPr>
            <w:tcW w:w="2160" w:type="dxa"/>
            <w:vAlign w:val="bottom"/>
            <w:gridSpan w:val="4"/>
          </w:tcPr>
          <w:p>
            <w:pPr>
              <w:jc w:val="right"/>
              <w:ind w:right="220"/>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7,845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(2,456)</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5,389</w:t>
            </w: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(800)</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2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left w:val="single" w:sz="8" w:color="auto"/>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280" w:type="dxa"/>
            <w:vAlign w:val="bottom"/>
          </w:tcPr>
          <w:p>
            <w:pPr>
              <w:ind w:left="120"/>
              <w:spacing w:after="0"/>
              <w:rPr>
                <w:sz w:val="20"/>
                <w:szCs w:val="20"/>
                <w:color w:val="auto"/>
              </w:rPr>
            </w:pPr>
            <w:r>
              <w:rPr>
                <w:rFonts w:ascii="Arial" w:cs="Arial" w:eastAsia="Arial" w:hAnsi="Arial"/>
                <w:sz w:val="17"/>
                <w:szCs w:val="17"/>
                <w:color w:val="auto"/>
              </w:rPr>
              <w:t>Total amortizable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24,932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(11,962)</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12,970</w:t>
            </w: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Non-amortizable - tradename</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5,578</w:t>
            </w: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5,578</w:t>
            </w:r>
          </w:p>
        </w:tc>
        <w:tc>
          <w:tcPr>
            <w:tcW w:w="0" w:type="dxa"/>
            <w:vAlign w:val="bottom"/>
          </w:tcPr>
          <w:p>
            <w:pPr>
              <w:spacing w:after="0"/>
              <w:rPr>
                <w:sz w:val="1"/>
                <w:szCs w:val="1"/>
                <w:color w:val="auto"/>
              </w:rPr>
            </w:pPr>
          </w:p>
        </w:tc>
      </w:tr>
      <w:tr>
        <w:trPr>
          <w:trHeight w:val="26"/>
        </w:trPr>
        <w:tc>
          <w:tcPr>
            <w:tcW w:w="52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left w:val="single" w:sz="8" w:color="auto"/>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280" w:type="dxa"/>
            <w:vAlign w:val="bottom"/>
          </w:tcPr>
          <w:p>
            <w:pPr>
              <w:spacing w:after="0"/>
              <w:rPr>
                <w:sz w:val="20"/>
                <w:szCs w:val="20"/>
                <w:color w:val="auto"/>
              </w:rPr>
            </w:pPr>
            <w:r>
              <w:rPr>
                <w:rFonts w:ascii="Arial" w:cs="Arial" w:eastAsia="Arial" w:hAnsi="Arial"/>
                <w:sz w:val="17"/>
                <w:szCs w:val="17"/>
                <w:color w:val="auto"/>
              </w:rPr>
              <w:t>Total other intangible assets, net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30,510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(11,962)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18,548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5280" w:type="dxa"/>
            <w:vAlign w:val="bottom"/>
          </w:tcPr>
          <w:p>
            <w:pPr>
              <w:spacing w:after="0"/>
              <w:rPr>
                <w:sz w:val="20"/>
                <w:szCs w:val="20"/>
                <w:color w:val="auto"/>
              </w:rPr>
            </w:pPr>
            <w:r>
              <w:rPr>
                <w:rFonts w:ascii="Arial" w:cs="Arial" w:eastAsia="Arial" w:hAnsi="Arial"/>
                <w:sz w:val="17"/>
                <w:szCs w:val="17"/>
                <w:color w:val="auto"/>
              </w:rPr>
              <w:t>(Dollars in thousands)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Estimated</w:t>
            </w:r>
          </w:p>
        </w:tc>
        <w:tc>
          <w:tcPr>
            <w:tcW w:w="1260" w:type="dxa"/>
            <w:vAlign w:val="bottom"/>
            <w:gridSpan w:val="3"/>
          </w:tcPr>
          <w:p>
            <w:pPr>
              <w:jc w:val="center"/>
              <w:ind w:right="100"/>
              <w:spacing w:after="0"/>
              <w:rPr>
                <w:sz w:val="20"/>
                <w:szCs w:val="20"/>
                <w:color w:val="auto"/>
              </w:rPr>
            </w:pPr>
            <w:r>
              <w:rPr>
                <w:rFonts w:ascii="Arial" w:cs="Arial" w:eastAsia="Arial" w:hAnsi="Arial"/>
                <w:sz w:val="17"/>
                <w:szCs w:val="17"/>
                <w:color w:val="auto"/>
                <w:w w:val="90"/>
              </w:rPr>
              <w:t>Gross Carrying</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Accumulated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October 31, 2008</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Life (Years)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95"/>
              </w:rPr>
              <w:t>Amount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Amortization</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90"/>
              </w:rPr>
              <w:t>Net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Patents</w:t>
            </w:r>
          </w:p>
        </w:tc>
        <w:tc>
          <w:tcPr>
            <w:tcW w:w="216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5-13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7,653</w:t>
            </w:r>
          </w:p>
        </w:tc>
        <w:tc>
          <w:tcPr>
            <w:tcW w:w="120" w:type="dxa"/>
            <w:vAlign w:val="bottom"/>
            <w:tcBorders>
              <w:left w:val="single" w:sz="8" w:color="CCEEFF"/>
            </w:tcBorders>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1,333</w:t>
            </w:r>
          </w:p>
        </w:tc>
        <w:tc>
          <w:tcPr>
            <w:tcW w:w="0" w:type="dxa"/>
            <w:vAlign w:val="bottom"/>
          </w:tcPr>
          <w:p>
            <w:pPr>
              <w:spacing w:after="0"/>
              <w:rPr>
                <w:sz w:val="1"/>
                <w:szCs w:val="1"/>
                <w:color w:val="auto"/>
              </w:rPr>
            </w:pPr>
          </w:p>
        </w:tc>
      </w:tr>
      <w:tr>
        <w:trPr>
          <w:trHeight w:val="205"/>
        </w:trPr>
        <w:tc>
          <w:tcPr>
            <w:tcW w:w="5280" w:type="dxa"/>
            <w:vAlign w:val="bottom"/>
          </w:tcPr>
          <w:p>
            <w:pPr>
              <w:spacing w:after="0"/>
              <w:rPr>
                <w:sz w:val="20"/>
                <w:szCs w:val="20"/>
                <w:color w:val="auto"/>
              </w:rPr>
            </w:pPr>
            <w:r>
              <w:rPr>
                <w:rFonts w:ascii="Arial" w:cs="Arial" w:eastAsia="Arial" w:hAnsi="Arial"/>
                <w:sz w:val="17"/>
                <w:szCs w:val="17"/>
                <w:color w:val="auto"/>
              </w:rPr>
              <w:t>Non-compete agreements</w:t>
            </w:r>
          </w:p>
        </w:tc>
        <w:tc>
          <w:tcPr>
            <w:tcW w:w="2160" w:type="dxa"/>
            <w:vAlign w:val="bottom"/>
            <w:gridSpan w:val="4"/>
          </w:tcPr>
          <w:p>
            <w:pPr>
              <w:jc w:val="right"/>
              <w:ind w:right="220"/>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(1,180)</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1,259</w:t>
            </w: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Customer related</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10-13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6,327</w:t>
            </w: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(928)</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5,399</w:t>
            </w:r>
          </w:p>
        </w:tc>
        <w:tc>
          <w:tcPr>
            <w:tcW w:w="0" w:type="dxa"/>
            <w:vAlign w:val="bottom"/>
          </w:tcPr>
          <w:p>
            <w:pPr>
              <w:spacing w:after="0"/>
              <w:rPr>
                <w:sz w:val="1"/>
                <w:szCs w:val="1"/>
                <w:color w:val="auto"/>
              </w:rPr>
            </w:pPr>
          </w:p>
        </w:tc>
      </w:tr>
      <w:tr>
        <w:trPr>
          <w:trHeight w:val="205"/>
        </w:trPr>
        <w:tc>
          <w:tcPr>
            <w:tcW w:w="5280" w:type="dxa"/>
            <w:vAlign w:val="bottom"/>
          </w:tcPr>
          <w:p>
            <w:pPr>
              <w:spacing w:after="0"/>
              <w:rPr>
                <w:sz w:val="20"/>
                <w:szCs w:val="20"/>
                <w:color w:val="auto"/>
              </w:rPr>
            </w:pPr>
            <w:r>
              <w:rPr>
                <w:rFonts w:ascii="Arial" w:cs="Arial" w:eastAsia="Arial" w:hAnsi="Arial"/>
                <w:sz w:val="17"/>
                <w:szCs w:val="17"/>
                <w:color w:val="auto"/>
              </w:rPr>
              <w:t>Developed technology</w:t>
            </w:r>
          </w:p>
        </w:tc>
        <w:tc>
          <w:tcPr>
            <w:tcW w:w="2160" w:type="dxa"/>
            <w:vAlign w:val="bottom"/>
            <w:gridSpan w:val="4"/>
          </w:tcPr>
          <w:p>
            <w:pPr>
              <w:jc w:val="right"/>
              <w:ind w:right="220"/>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(2,327)</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5,259</w:t>
            </w: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(800)</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2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left w:val="single" w:sz="8" w:color="auto"/>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280" w:type="dxa"/>
            <w:vAlign w:val="bottom"/>
          </w:tcPr>
          <w:p>
            <w:pPr>
              <w:ind w:left="120"/>
              <w:spacing w:after="0"/>
              <w:rPr>
                <w:sz w:val="20"/>
                <w:szCs w:val="20"/>
                <w:color w:val="auto"/>
              </w:rPr>
            </w:pPr>
            <w:r>
              <w:rPr>
                <w:rFonts w:ascii="Arial" w:cs="Arial" w:eastAsia="Arial" w:hAnsi="Arial"/>
                <w:sz w:val="17"/>
                <w:szCs w:val="17"/>
                <w:color w:val="auto"/>
              </w:rPr>
              <w:t>Total amortizable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24,805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(11,555)</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13,250</w:t>
            </w: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Non-amortizable - tradename</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5,578</w:t>
            </w: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5,578</w:t>
            </w:r>
          </w:p>
        </w:tc>
        <w:tc>
          <w:tcPr>
            <w:tcW w:w="0" w:type="dxa"/>
            <w:vAlign w:val="bottom"/>
          </w:tcPr>
          <w:p>
            <w:pPr>
              <w:spacing w:after="0"/>
              <w:rPr>
                <w:sz w:val="1"/>
                <w:szCs w:val="1"/>
                <w:color w:val="auto"/>
              </w:rPr>
            </w:pPr>
          </w:p>
        </w:tc>
      </w:tr>
      <w:tr>
        <w:trPr>
          <w:trHeight w:val="26"/>
        </w:trPr>
        <w:tc>
          <w:tcPr>
            <w:tcW w:w="52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left w:val="single" w:sz="8" w:color="auto"/>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280" w:type="dxa"/>
            <w:vAlign w:val="bottom"/>
          </w:tcPr>
          <w:p>
            <w:pPr>
              <w:spacing w:after="0"/>
              <w:rPr>
                <w:sz w:val="20"/>
                <w:szCs w:val="20"/>
                <w:color w:val="auto"/>
              </w:rPr>
            </w:pPr>
            <w:r>
              <w:rPr>
                <w:rFonts w:ascii="Arial" w:cs="Arial" w:eastAsia="Arial" w:hAnsi="Arial"/>
                <w:sz w:val="17"/>
                <w:szCs w:val="17"/>
                <w:color w:val="auto"/>
              </w:rPr>
              <w:t>Total other intangible assets, net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30,383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(11,555)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18,828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80" w:type="dxa"/>
            <w:vAlign w:val="bottom"/>
            <w:vMerge w:val="restart"/>
          </w:tcPr>
          <w:p>
            <w:pPr>
              <w:jc w:val="right"/>
              <w:ind w:right="115"/>
              <w:spacing w:after="0"/>
              <w:rPr>
                <w:sz w:val="20"/>
                <w:szCs w:val="20"/>
                <w:color w:val="auto"/>
              </w:rPr>
            </w:pPr>
            <w:r>
              <w:rPr>
                <w:rFonts w:ascii="Arial" w:cs="Arial" w:eastAsia="Arial" w:hAnsi="Arial"/>
                <w:sz w:val="17"/>
                <w:szCs w:val="17"/>
                <w:color w:val="auto"/>
              </w:rPr>
              <w:t>9</w:t>
            </w: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528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 w:name="page10"/>
    <w:bookmarkEnd w:id="9"/>
    <w:p>
      <w:pPr>
        <w:ind w:right="340" w:firstLine="161"/>
        <w:spacing w:after="0" w:line="263" w:lineRule="auto"/>
        <w:rPr>
          <w:sz w:val="20"/>
          <w:szCs w:val="20"/>
          <w:color w:val="auto"/>
        </w:rPr>
      </w:pPr>
      <w:r>
        <w:rPr>
          <w:rFonts w:ascii="Arial" w:cs="Arial" w:eastAsia="Arial" w:hAnsi="Arial"/>
          <w:sz w:val="17"/>
          <w:szCs w:val="17"/>
          <w:color w:val="auto"/>
        </w:rPr>
        <w:t>Amortization expense for intangible assets during the first quarter of fiscal 2009 was $0.5 million. Estimated amortization expense for the remainder of fiscal 2009 and succeeding fiscal years is as follows: fiscal 2009 (remainder), $1.4 million; fiscal 2010, $1.7 million; fiscal 2011, $1.7 million; fiscal 2012, $1.6 million; fiscal 2013, $1.4 million; fiscal 2014, $1.1 million; and after fiscal 2014, $4.0 million.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Warranty Guarantees</w:t>
      </w:r>
    </w:p>
    <w:p>
      <w:pPr>
        <w:spacing w:after="0" w:line="243" w:lineRule="exact"/>
        <w:rPr>
          <w:sz w:val="20"/>
          <w:szCs w:val="20"/>
          <w:color w:val="auto"/>
        </w:rPr>
      </w:pPr>
    </w:p>
    <w:p>
      <w:pPr>
        <w:ind w:right="140"/>
        <w:spacing w:after="0" w:line="287" w:lineRule="auto"/>
        <w:rPr>
          <w:sz w:val="20"/>
          <w:szCs w:val="20"/>
          <w:color w:val="auto"/>
        </w:rPr>
      </w:pPr>
      <w:r>
        <w:rPr>
          <w:rFonts w:ascii="Arial" w:cs="Arial" w:eastAsia="Arial" w:hAnsi="Arial"/>
          <w:sz w:val="15"/>
          <w:szCs w:val="15"/>
          <w:color w:val="auto"/>
        </w:rPr>
        <w:t>The company’s products are warranted to ensure customer confidence in design, workmanship, and overall quality. Warranty coverage ranges from a period of six months to seven years, and generally covers parts, labor, and other expenses for non-maintenance repairs. Warranty coverage generally does not cover operator abuse or improper use. An authorized Toro distributor or dealer must perform warranty work. Distributors, dealers, and contractors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also sells extended warranty coverage on select products for a prescribed period after the factory warranty period expires.</w:t>
      </w:r>
    </w:p>
    <w:p>
      <w:pPr>
        <w:ind w:left="220"/>
        <w:spacing w:after="0"/>
        <w:rPr>
          <w:sz w:val="20"/>
          <w:szCs w:val="20"/>
          <w:color w:val="auto"/>
        </w:rPr>
      </w:pPr>
      <w:r>
        <w:rPr>
          <w:rFonts w:ascii="Arial" w:cs="Arial" w:eastAsia="Arial" w:hAnsi="Arial"/>
          <w:sz w:val="17"/>
          <w:szCs w:val="17"/>
          <w:color w:val="auto"/>
        </w:rPr>
        <w:t>Warranty provisions, claims, and changes in estimates for the first quarter of fiscal 2009 and 2008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(Dollars in thousands)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92"/>
              </w:rPr>
              <w:t>Beginning</w:t>
            </w: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89"/>
              </w:rPr>
              <w:t>Warranty</w:t>
            </w:r>
          </w:p>
        </w:tc>
        <w:tc>
          <w:tcPr>
            <w:tcW w:w="18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7"/>
                <w:szCs w:val="17"/>
                <w:color w:val="auto"/>
                <w:w w:val="92"/>
              </w:rPr>
              <w:t>Warranty</w:t>
            </w:r>
          </w:p>
        </w:tc>
        <w:tc>
          <w:tcPr>
            <w:tcW w:w="120" w:type="dxa"/>
            <w:vAlign w:val="bottom"/>
          </w:tcPr>
          <w:p>
            <w:pPr>
              <w:spacing w:after="0"/>
              <w:rPr>
                <w:sz w:val="17"/>
                <w:szCs w:val="17"/>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7"/>
                <w:szCs w:val="17"/>
                <w:color w:val="auto"/>
                <w:w w:val="95"/>
              </w:rPr>
              <w:t>Changes in</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Ending</w:t>
            </w:r>
          </w:p>
        </w:tc>
      </w:tr>
      <w:tr>
        <w:trPr>
          <w:trHeight w:val="223"/>
        </w:trPr>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Three Months Ended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7"/>
              </w:rPr>
              <w:t>Balance</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91"/>
              </w:rPr>
              <w:t>Provisions</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92"/>
              </w:rPr>
              <w:t>Claims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Estimates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91"/>
              </w:rPr>
              <w:t>Balance</w:t>
            </w:r>
          </w:p>
        </w:tc>
        <w:tc>
          <w:tcPr>
            <w:tcW w:w="100" w:type="dxa"/>
            <w:vAlign w:val="bottom"/>
          </w:tcPr>
          <w:p>
            <w:pPr>
              <w:spacing w:after="0"/>
              <w:rPr>
                <w:sz w:val="19"/>
                <w:szCs w:val="19"/>
                <w:color w:val="auto"/>
              </w:rPr>
            </w:pPr>
          </w:p>
        </w:tc>
      </w:tr>
      <w:tr>
        <w:trPr>
          <w:trHeight w:val="20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January 30, 2009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58,770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7,502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(8,131)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58,873</w:t>
            </w: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February 1, 2008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62,030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8,940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(9,144)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61,704</w:t>
            </w:r>
          </w:p>
        </w:tc>
      </w:tr>
      <w:tr>
        <w:trPr>
          <w:trHeight w:val="434"/>
        </w:trPr>
        <w:tc>
          <w:tcPr>
            <w:tcW w:w="4580" w:type="dxa"/>
            <w:vAlign w:val="bottom"/>
          </w:tcPr>
          <w:p>
            <w:pPr>
              <w:spacing w:after="0"/>
              <w:rPr>
                <w:sz w:val="20"/>
                <w:szCs w:val="20"/>
                <w:color w:val="auto"/>
              </w:rPr>
            </w:pPr>
            <w:r>
              <w:rPr>
                <w:rFonts w:ascii="Arial" w:cs="Arial" w:eastAsia="Arial" w:hAnsi="Arial"/>
                <w:sz w:val="17"/>
                <w:szCs w:val="17"/>
                <w:b w:val="1"/>
                <w:bCs w:val="1"/>
                <w:color w:val="auto"/>
                <w:w w:val="98"/>
              </w:rPr>
              <w:t>Postretirement Benefit and Deferred Compensation Plans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5"/>
        </w:trPr>
        <w:tc>
          <w:tcPr>
            <w:tcW w:w="8840" w:type="dxa"/>
            <w:vAlign w:val="bottom"/>
            <w:gridSpan w:val="11"/>
          </w:tcPr>
          <w:p>
            <w:pPr>
              <w:spacing w:after="0"/>
              <w:rPr>
                <w:sz w:val="20"/>
                <w:szCs w:val="20"/>
                <w:color w:val="auto"/>
              </w:rPr>
            </w:pPr>
            <w:r>
              <w:rPr>
                <w:rFonts w:ascii="Arial" w:cs="Arial" w:eastAsia="Arial" w:hAnsi="Arial"/>
                <w:sz w:val="17"/>
                <w:szCs w:val="17"/>
                <w:color w:val="auto"/>
                <w:w w:val="98"/>
              </w:rPr>
              <w:t>The following table presents the components of net periodic benefit costs of the postretirement health-care benefit plan: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5"/>
          </w:tcPr>
          <w:p>
            <w:pPr>
              <w:jc w:val="right"/>
              <w:ind w:right="640"/>
              <w:spacing w:after="0"/>
              <w:rPr>
                <w:sz w:val="20"/>
                <w:szCs w:val="20"/>
                <w:color w:val="auto"/>
              </w:rPr>
            </w:pPr>
            <w:r>
              <w:rPr>
                <w:rFonts w:ascii="Arial" w:cs="Arial" w:eastAsia="Arial" w:hAnsi="Arial"/>
                <w:sz w:val="17"/>
                <w:szCs w:val="17"/>
                <w:color w:val="auto"/>
              </w:rPr>
              <w:t>Three Months Ended</w:t>
            </w:r>
          </w:p>
        </w:tc>
      </w:tr>
      <w:tr>
        <w:trPr>
          <w:trHeight w:val="192"/>
        </w:trPr>
        <w:tc>
          <w:tcPr>
            <w:tcW w:w="458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20"/>
              <w:spacing w:after="0" w:line="193" w:lineRule="exact"/>
              <w:rPr>
                <w:sz w:val="20"/>
                <w:szCs w:val="20"/>
                <w:color w:val="auto"/>
              </w:rPr>
            </w:pPr>
            <w:r>
              <w:rPr>
                <w:rFonts w:ascii="Arial" w:cs="Arial" w:eastAsia="Arial" w:hAnsi="Arial"/>
                <w:sz w:val="17"/>
                <w:szCs w:val="17"/>
                <w:color w:val="auto"/>
                <w:w w:val="90"/>
              </w:rPr>
              <w:t>January 30,</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5"/>
              <w:spacing w:after="0" w:line="193" w:lineRule="exact"/>
              <w:rPr>
                <w:sz w:val="20"/>
                <w:szCs w:val="20"/>
                <w:color w:val="auto"/>
              </w:rPr>
            </w:pPr>
            <w:r>
              <w:rPr>
                <w:rFonts w:ascii="Arial" w:cs="Arial" w:eastAsia="Arial" w:hAnsi="Arial"/>
                <w:sz w:val="17"/>
                <w:szCs w:val="17"/>
                <w:color w:val="auto"/>
                <w:w w:val="89"/>
              </w:rPr>
              <w:t>February 1,</w:t>
            </w:r>
          </w:p>
        </w:tc>
        <w:tc>
          <w:tcPr>
            <w:tcW w:w="100" w:type="dxa"/>
            <w:vAlign w:val="bottom"/>
          </w:tcPr>
          <w:p>
            <w:pPr>
              <w:spacing w:after="0"/>
              <w:rPr>
                <w:sz w:val="16"/>
                <w:szCs w:val="16"/>
                <w:color w:val="auto"/>
              </w:rPr>
            </w:pPr>
          </w:p>
        </w:tc>
      </w:t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2009</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9"/>
              </w:rPr>
              <w:t>2008</w:t>
            </w:r>
          </w:p>
        </w:tc>
        <w:tc>
          <w:tcPr>
            <w:tcW w:w="100" w:type="dxa"/>
            <w:vAlign w:val="bottom"/>
          </w:tcPr>
          <w:p>
            <w:pPr>
              <w:spacing w:after="0"/>
              <w:rPr>
                <w:sz w:val="19"/>
                <w:szCs w:val="19"/>
                <w:color w:val="auto"/>
              </w:rPr>
            </w:pPr>
          </w:p>
        </w:tc>
      </w:tr>
      <w:tr>
        <w:trPr>
          <w:trHeight w:val="20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ind w:right="29"/>
              <w:spacing w:after="0"/>
              <w:rPr>
                <w:sz w:val="20"/>
                <w:szCs w:val="20"/>
                <w:color w:val="auto"/>
              </w:rPr>
            </w:pPr>
            <w:r>
              <w:rPr>
                <w:rFonts w:ascii="Arial" w:cs="Arial" w:eastAsia="Arial" w:hAnsi="Arial"/>
                <w:sz w:val="5"/>
                <w:szCs w:val="5"/>
                <w:color w:val="auto"/>
                <w:w w:val="7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w:t>
            </w: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Interest cost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129</w:t>
            </w:r>
          </w:p>
        </w:tc>
      </w:tr>
      <w:tr>
        <w:trPr>
          <w:trHeight w:val="20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Prior service cost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w:t>
            </w: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Amortization of losses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53</w:t>
            </w:r>
          </w:p>
        </w:tc>
      </w:tr>
      <w:tr>
        <w:trPr>
          <w:trHeight w:val="26"/>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Net expense</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ind w:right="29"/>
              <w:spacing w:after="0"/>
              <w:rPr>
                <w:sz w:val="20"/>
                <w:szCs w:val="20"/>
                <w:color w:val="auto"/>
              </w:rPr>
            </w:pPr>
            <w:r>
              <w:rPr>
                <w:rFonts w:ascii="Arial" w:cs="Arial" w:eastAsia="Arial" w:hAnsi="Arial"/>
                <w:sz w:val="5"/>
                <w:szCs w:val="5"/>
                <w:color w:val="auto"/>
                <w:w w:val="7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24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223</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440"/>
        <w:spacing w:after="0" w:line="258" w:lineRule="auto"/>
        <w:rPr>
          <w:sz w:val="20"/>
          <w:szCs w:val="20"/>
          <w:color w:val="auto"/>
        </w:rPr>
      </w:pPr>
      <w:r>
        <w:rPr>
          <w:rFonts w:ascii="Arial" w:cs="Arial" w:eastAsia="Arial" w:hAnsi="Arial"/>
          <w:sz w:val="17"/>
          <w:szCs w:val="17"/>
          <w:color w:val="auto"/>
        </w:rPr>
        <w:t>As of January 30, 2009, the company contributed approximately $0.1 million to its postretirement health-care benefit plan in fiscal 2009. The company presently expects to contribute a total of $0.4 million in fiscal 2009, including contributions made through January 30, 2009.</w:t>
      </w:r>
    </w:p>
    <w:p>
      <w:pPr>
        <w:ind w:right="100" w:firstLine="210"/>
        <w:spacing w:after="0" w:line="251" w:lineRule="auto"/>
        <w:rPr>
          <w:sz w:val="20"/>
          <w:szCs w:val="20"/>
          <w:color w:val="auto"/>
        </w:rPr>
      </w:pPr>
      <w:r>
        <w:rPr>
          <w:rFonts w:ascii="Arial" w:cs="Arial" w:eastAsia="Arial" w:hAnsi="Arial"/>
          <w:sz w:val="17"/>
          <w:szCs w:val="17"/>
          <w:color w:val="auto"/>
        </w:rPr>
        <w:t>The company maintains The Toro Company Investment, Savings and Employee Stock Ownership Plan for eligible employees. The company’s expenses under this plan were $3.8 million for the first quarter of fiscal 2009 and $4.4 million for the first quarter of fiscal 2008.</w:t>
      </w:r>
    </w:p>
    <w:p>
      <w:pPr>
        <w:ind w:firstLine="210"/>
        <w:spacing w:after="0" w:line="256" w:lineRule="auto"/>
        <w:rPr>
          <w:sz w:val="20"/>
          <w:szCs w:val="20"/>
          <w:color w:val="auto"/>
        </w:rPr>
      </w:pPr>
      <w:r>
        <w:rPr>
          <w:rFonts w:ascii="Arial" w:cs="Arial" w:eastAsia="Arial" w:hAnsi="Arial"/>
          <w:sz w:val="17"/>
          <w:szCs w:val="17"/>
          <w:color w:val="auto"/>
        </w:rPr>
        <w:t>The company also offers participants in the company’s deferred compensation plans the option to invest their deferred compensation in multiple investment options. The fair value of the investment in the deferred compensation plans as of January 30, 2009 was $12.5 million, which reduced the company’s deferred compensation liability reflected in accrued liabilities on the consolidated balance sheet.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company is subject to U.S. federal income tax as well as income tax of numerous state and foreign jurisdictions. The company is generally no longer subject to U.S. federal tax examinations for taxable years before fiscal 2005 and with limited exceptions, state and foreign income tax examinations for fiscal years before 2004. The Internal Revenue Service has just begun an examination of the company’s income tax returns for the 2006 and 2007 fiscal years. It is possible that the examination phase of the audit may conclude in the next 12 months, and the related unrecognized tax benefits for tax positions taken may change from those recorded as liabilities for uncertain tax positions in the company’s financial statements as of January 30, 2009.</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0" w:name="page11"/>
    <w:bookmarkEnd w:id="10"/>
    <w:p>
      <w:pPr>
        <w:ind w:right="220"/>
        <w:spacing w:after="0" w:line="258" w:lineRule="auto"/>
        <w:rPr>
          <w:sz w:val="20"/>
          <w:szCs w:val="20"/>
          <w:color w:val="auto"/>
        </w:rPr>
      </w:pPr>
      <w:r>
        <w:rPr>
          <w:rFonts w:ascii="Arial" w:cs="Arial" w:eastAsia="Arial" w:hAnsi="Arial"/>
          <w:sz w:val="17"/>
          <w:szCs w:val="17"/>
          <w:color w:val="auto"/>
        </w:rPr>
        <w:t>Although the outcome of this examination cannot currently be determined, the company believes adequate provisions have been made for any potential unfavorable financial statement impact.</w:t>
      </w:r>
    </w:p>
    <w:p>
      <w:pPr>
        <w:ind w:right="180" w:firstLine="204"/>
        <w:spacing w:after="0" w:line="251" w:lineRule="auto"/>
        <w:rPr>
          <w:sz w:val="20"/>
          <w:szCs w:val="20"/>
          <w:color w:val="auto"/>
        </w:rPr>
      </w:pPr>
      <w:r>
        <w:rPr>
          <w:rFonts w:ascii="Arial" w:cs="Arial" w:eastAsia="Arial" w:hAnsi="Arial"/>
          <w:sz w:val="17"/>
          <w:szCs w:val="17"/>
          <w:color w:val="auto"/>
        </w:rPr>
        <w:t>As of January 30, 2009 and February 1, 2008, the company had $5.5 million and $5.8 million, respectively, of liabilities recorded related to unrecognized tax benefits. Accrued interest and penalties on these unrecognized tax benefits were $0.8 million and $1.0 million as of January 30, 2009 and February 1, 2008, respectively. The company recognizes potential accrued interest and penalties related to unrecognized tax benefits as a component of the provision for income taxes. To the extent interest and penalties are not assessed with respect to uncertain tax positions, the amounts accrued will be revised and reflected as an adjustment to the provision for income taxes. Included in the liability balances as of January 30, 2009 are approximately $3.0 million of unrecognized tax benefits that, if recognized, will affect the company’s effective tax rate.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does not anticipate that total unrecognized tax benefits will change significantly during the next 12 months.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 and Hedging Activities</w:t>
      </w:r>
    </w:p>
    <w:p>
      <w:pPr>
        <w:spacing w:after="0" w:line="24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 the normal course of business, the company actively manages the exposure of its foreign currency market risk by entering into various hedging instruments, authorized under company policies that place controls on these activities, with counterparties that are highly rated financial institutions. The company’s hedging activities involve the primary use of forward currency contracts. The company uses derivative instruments only in an attempt to limit underlying exposure from currency exchange rate fluctuations and to minimize earnings and cash flow volatility associated with foreign exchange rate changes, and not for trading purposes. The company is exposed to foreign currency exchange rate risk arising from transactions in the normal course of business, such as sales to third party customers, sales and loans to wholly owned foreign subsidiaries, foreign plant operations, and purchases from suppliers. Because the company’s products are manufactured or sourced primarily from the United States and Mexico, a stronger U.S. dollar and Mexican Peso generally has a negative impact on results from operations, while a weaker dollar and peso generally has a positive effect. The company’s primary currency exchange rate exposures are with the Euro, the Australian dollar, the Canadian dollar, the British pound, the Mexican peso, and the Japanese yen against the U.S. dollar.</w:t>
      </w:r>
    </w:p>
    <w:p>
      <w:pPr>
        <w:spacing w:after="0" w:line="4" w:lineRule="exact"/>
        <w:rPr>
          <w:sz w:val="20"/>
          <w:szCs w:val="20"/>
          <w:color w:val="auto"/>
        </w:rPr>
      </w:pPr>
    </w:p>
    <w:p>
      <w:pPr>
        <w:ind w:right="100" w:firstLine="213"/>
        <w:spacing w:after="0" w:line="284" w:lineRule="auto"/>
        <w:rPr>
          <w:sz w:val="20"/>
          <w:szCs w:val="20"/>
          <w:color w:val="auto"/>
        </w:rPr>
      </w:pPr>
      <w:r>
        <w:rPr>
          <w:rFonts w:ascii="Arial" w:cs="Arial" w:eastAsia="Arial" w:hAnsi="Arial"/>
          <w:sz w:val="15"/>
          <w:szCs w:val="15"/>
          <w:color w:val="auto"/>
        </w:rPr>
        <w:t>SFAS No. 133, “Accounting for Derivative Instruments and Hedging Activities” requires companies to recognize all derivative instruments as either assets or liabilities at fair value in the statement of financial position. In accordance to SFAS No. 133, for derivative instruments that are designated and qualify as a cash flow hedge, the effective portion of the gain or loss on the derivative is reported as a component of other comprehensive income (OCI)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 In March 2008, the Financial Accounting Standards Board (FASB) issued SFAS No. 161, “Disclosures about Derivative Instruments and Hedging Activities, an amendment of FASB Statement No. 133.” SFAS No. 161 amends and expands the disclosure requirements of SFAS No. 133 with the intent to provide users of financial statements with an enhanced understanding of: (i) how and why an entity uses derivative instruments; (ii) how derivative instruments and related hedged items are accounted for under SFAS No. 133 and its related interpretations; and</w:t>
      </w:r>
    </w:p>
    <w:p>
      <w:pPr>
        <w:spacing w:after="0" w:line="5" w:lineRule="exact"/>
        <w:rPr>
          <w:sz w:val="20"/>
          <w:szCs w:val="20"/>
          <w:color w:val="auto"/>
        </w:rPr>
      </w:pPr>
    </w:p>
    <w:p>
      <w:pPr>
        <w:ind w:right="560" w:firstLine="2"/>
        <w:spacing w:after="0" w:line="251" w:lineRule="auto"/>
        <w:tabs>
          <w:tab w:leader="none" w:pos="298" w:val="left"/>
        </w:tabs>
        <w:numPr>
          <w:ilvl w:val="0"/>
          <w:numId w:val="1"/>
        </w:numPr>
        <w:rPr>
          <w:rFonts w:ascii="Arial" w:cs="Arial" w:eastAsia="Arial" w:hAnsi="Arial"/>
          <w:sz w:val="17"/>
          <w:szCs w:val="17"/>
          <w:color w:val="auto"/>
        </w:rPr>
      </w:pPr>
      <w:r>
        <w:rPr>
          <w:rFonts w:ascii="Arial" w:cs="Arial" w:eastAsia="Arial" w:hAnsi="Arial"/>
          <w:sz w:val="17"/>
          <w:szCs w:val="17"/>
          <w:color w:val="auto"/>
        </w:rPr>
        <w:t>how derivative instruments and related hedged items affect an entity’s financial position, financial performance, and cash flows. The company adopted the disclosure requirements of this statement for its first fiscal quarter ended January 30, 2009.</w:t>
      </w:r>
    </w:p>
    <w:p>
      <w:pPr>
        <w:ind w:right="60" w:firstLine="210"/>
        <w:spacing w:after="0" w:line="253" w:lineRule="auto"/>
        <w:rPr>
          <w:rFonts w:ascii="Arial" w:cs="Arial" w:eastAsia="Arial" w:hAnsi="Arial"/>
          <w:sz w:val="17"/>
          <w:szCs w:val="17"/>
          <w:color w:val="auto"/>
        </w:rPr>
      </w:pPr>
      <w:r>
        <w:rPr>
          <w:rFonts w:ascii="Arial" w:cs="Arial" w:eastAsia="Arial" w:hAnsi="Arial"/>
          <w:sz w:val="17"/>
          <w:szCs w:val="17"/>
          <w:color w:val="auto"/>
        </w:rPr>
        <w:t>The company enters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Management assesses, both at the hedge’s inception and on an ongoing basis, whether the derivative instruments designated as hedging instruments are effective in offsetting changes in cash flows of the hedged item.</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11" w:name="page12"/>
    <w:bookmarkEnd w:id="11"/>
    <w:p>
      <w:pPr>
        <w:ind w:left="420"/>
        <w:spacing w:after="0"/>
        <w:rPr>
          <w:sz w:val="20"/>
          <w:szCs w:val="20"/>
          <w:color w:val="auto"/>
        </w:rPr>
      </w:pPr>
      <w:r>
        <w:rPr>
          <w:rFonts w:ascii="Arial" w:cs="Arial" w:eastAsia="Arial" w:hAnsi="Arial"/>
          <w:sz w:val="15"/>
          <w:szCs w:val="15"/>
          <w:color w:val="auto"/>
        </w:rPr>
        <w:t>The following table presents the fair value of the company’s derivatives and consolidated balance sheet location.</w:t>
      </w:r>
    </w:p>
    <w:p>
      <w:pPr>
        <w:sectPr>
          <w:pgSz w:w="11900" w:h="16838" w:orient="portrait"/>
          <w:cols w:equalWidth="0" w:num="1">
            <w:col w:w="11420"/>
          </w:cols>
          <w:pgMar w:left="240" w:top="498"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3940"/>
        <w:spacing w:after="0"/>
        <w:rPr>
          <w:sz w:val="20"/>
          <w:szCs w:val="20"/>
          <w:color w:val="auto"/>
        </w:rPr>
      </w:pPr>
      <w:r>
        <w:rPr>
          <w:rFonts w:ascii="Arial" w:cs="Arial" w:eastAsia="Arial" w:hAnsi="Arial"/>
          <w:sz w:val="17"/>
          <w:szCs w:val="17"/>
          <w:b w:val="1"/>
          <w:bCs w:val="1"/>
          <w:color w:val="auto"/>
        </w:rPr>
        <w:t>Asset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1544955</wp:posOffset>
            </wp:positionH>
            <wp:positionV relativeFrom="paragraph">
              <wp:posOffset>-121285</wp:posOffset>
            </wp:positionV>
            <wp:extent cx="27133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13355" cy="8255"/>
                    </a:xfrm>
                    <a:prstGeom prst="rect">
                      <a:avLst/>
                    </a:prstGeom>
                    <a:noFill/>
                  </pic:spPr>
                </pic:pic>
              </a:graphicData>
            </a:graphic>
          </wp:anchor>
        </w:drawing>
        <w:drawing>
          <wp:anchor simplePos="0" relativeHeight="251657728" behindDoc="1" locked="0" layoutInCell="0" allowOverlap="1">
            <wp:simplePos x="0" y="0"/>
            <wp:positionH relativeFrom="column">
              <wp:posOffset>1544955</wp:posOffset>
            </wp:positionH>
            <wp:positionV relativeFrom="paragraph">
              <wp:posOffset>16510</wp:posOffset>
            </wp:positionV>
            <wp:extent cx="271335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13355" cy="16510"/>
                    </a:xfrm>
                    <a:prstGeom prst="rect">
                      <a:avLst/>
                    </a:prstGeom>
                    <a:noFill/>
                  </pic:spPr>
                </pic:pic>
              </a:graphicData>
            </a:graphic>
          </wp:anchor>
        </w:drawing>
      </w:r>
    </w:p>
    <w:p>
      <w:pPr>
        <w:spacing w:after="0" w:line="15" w:lineRule="exact"/>
        <w:rPr>
          <w:sz w:val="20"/>
          <w:szCs w:val="20"/>
          <w:color w:val="auto"/>
        </w:rPr>
      </w:pPr>
    </w:p>
    <w:p>
      <w:pPr>
        <w:ind w:left="2960"/>
        <w:spacing w:after="0"/>
        <w:tabs>
          <w:tab w:leader="none" w:pos="5080" w:val="left"/>
        </w:tabs>
        <w:rPr>
          <w:sz w:val="20"/>
          <w:szCs w:val="20"/>
          <w:color w:val="auto"/>
        </w:rPr>
      </w:pPr>
      <w:r>
        <w:rPr>
          <w:rFonts w:ascii="Arial" w:cs="Arial" w:eastAsia="Arial" w:hAnsi="Arial"/>
          <w:sz w:val="17"/>
          <w:szCs w:val="17"/>
          <w:b w:val="1"/>
          <w:bCs w:val="1"/>
          <w:color w:val="auto"/>
        </w:rPr>
        <w:t>January 30, 2009</w:t>
      </w:r>
      <w:r>
        <w:rPr>
          <w:sz w:val="20"/>
          <w:szCs w:val="20"/>
          <w:color w:val="auto"/>
        </w:rPr>
        <w:tab/>
      </w:r>
      <w:r>
        <w:rPr>
          <w:rFonts w:ascii="Arial" w:cs="Arial" w:eastAsia="Arial" w:hAnsi="Arial"/>
          <w:sz w:val="15"/>
          <w:szCs w:val="15"/>
          <w:b w:val="1"/>
          <w:bCs w:val="1"/>
          <w:color w:val="auto"/>
        </w:rPr>
        <w:t>February 1,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Liability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-121285</wp:posOffset>
            </wp:positionV>
            <wp:extent cx="29324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32430" cy="8255"/>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16510</wp:posOffset>
            </wp:positionV>
            <wp:extent cx="293243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32430" cy="16510"/>
                    </a:xfrm>
                    <a:prstGeom prst="rect">
                      <a:avLst/>
                    </a:prstGeom>
                    <a:noFill/>
                  </pic:spPr>
                </pic:pic>
              </a:graphicData>
            </a:graphic>
          </wp:anchor>
        </w:drawing>
      </w:r>
    </w:p>
    <w:p>
      <w:pPr>
        <w:spacing w:after="0" w:line="15" w:lineRule="exact"/>
        <w:rPr>
          <w:sz w:val="20"/>
          <w:szCs w:val="20"/>
          <w:color w:val="auto"/>
        </w:rPr>
      </w:pPr>
    </w:p>
    <w:p>
      <w:pPr>
        <w:spacing w:after="0"/>
        <w:tabs>
          <w:tab w:leader="none" w:pos="2280" w:val="left"/>
        </w:tabs>
        <w:rPr>
          <w:sz w:val="20"/>
          <w:szCs w:val="20"/>
          <w:color w:val="auto"/>
        </w:rPr>
      </w:pPr>
      <w:r>
        <w:rPr>
          <w:rFonts w:ascii="Arial" w:cs="Arial" w:eastAsia="Arial" w:hAnsi="Arial"/>
          <w:sz w:val="17"/>
          <w:szCs w:val="17"/>
          <w:b w:val="1"/>
          <w:bCs w:val="1"/>
          <w:color w:val="auto"/>
        </w:rPr>
        <w:t>January 30, 2009</w:t>
      </w:r>
      <w:r>
        <w:rPr>
          <w:sz w:val="20"/>
          <w:szCs w:val="20"/>
          <w:color w:val="auto"/>
        </w:rPr>
        <w:tab/>
      </w:r>
      <w:r>
        <w:rPr>
          <w:rFonts w:ascii="Arial" w:cs="Arial" w:eastAsia="Arial" w:hAnsi="Arial"/>
          <w:sz w:val="15"/>
          <w:szCs w:val="15"/>
          <w:b w:val="1"/>
          <w:bCs w:val="1"/>
          <w:color w:val="auto"/>
        </w:rPr>
        <w:t>February 1, 2008</w:t>
      </w:r>
    </w:p>
    <w:p>
      <w:pPr>
        <w:spacing w:after="0" w:line="24" w:lineRule="exact"/>
        <w:rPr>
          <w:sz w:val="20"/>
          <w:szCs w:val="20"/>
          <w:color w:val="auto"/>
        </w:rPr>
      </w:pPr>
    </w:p>
    <w:p>
      <w:pPr>
        <w:sectPr>
          <w:pgSz w:w="11900" w:h="16838" w:orient="portrait"/>
          <w:cols w:equalWidth="0" w:num="2">
            <w:col w:w="6560" w:space="720"/>
            <w:col w:w="4140"/>
          </w:cols>
          <w:pgMar w:left="240" w:top="498" w:right="23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7"/>
              </w:rPr>
              <w:t>Balance</w:t>
            </w:r>
          </w:p>
        </w:tc>
        <w:tc>
          <w:tcPr>
            <w:tcW w:w="2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left="75"/>
              <w:spacing w:after="0"/>
              <w:rPr>
                <w:sz w:val="20"/>
                <w:szCs w:val="20"/>
                <w:color w:val="auto"/>
              </w:rPr>
            </w:pPr>
            <w:r>
              <w:rPr>
                <w:rFonts w:ascii="Arial" w:cs="Arial" w:eastAsia="Arial" w:hAnsi="Arial"/>
                <w:sz w:val="17"/>
                <w:szCs w:val="17"/>
                <w:color w:val="auto"/>
                <w:w w:val="91"/>
              </w:rPr>
              <w:t>Balance</w:t>
            </w:r>
          </w:p>
        </w:tc>
        <w:tc>
          <w:tcPr>
            <w:tcW w:w="1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top w:val="single" w:sz="8" w:color="auto"/>
            </w:tcBorders>
          </w:tcPr>
          <w:p>
            <w:pPr>
              <w:jc w:val="center"/>
              <w:ind w:left="155"/>
              <w:spacing w:after="0"/>
              <w:rPr>
                <w:sz w:val="20"/>
                <w:szCs w:val="20"/>
                <w:color w:val="auto"/>
              </w:rPr>
            </w:pPr>
            <w:r>
              <w:rPr>
                <w:rFonts w:ascii="Arial" w:cs="Arial" w:eastAsia="Arial" w:hAnsi="Arial"/>
                <w:sz w:val="17"/>
                <w:szCs w:val="17"/>
                <w:color w:val="auto"/>
                <w:w w:val="87"/>
              </w:rPr>
              <w:t>Balance</w:t>
            </w: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7"/>
              </w:rPr>
              <w:t>Balance</w:t>
            </w:r>
          </w:p>
        </w:tc>
        <w:tc>
          <w:tcPr>
            <w:tcW w:w="2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85"/>
              </w:rPr>
              <w:t>Sheet</w:t>
            </w:r>
          </w:p>
        </w:tc>
        <w:tc>
          <w:tcPr>
            <w:tcW w:w="220" w:type="dxa"/>
            <w:vAlign w:val="bottom"/>
          </w:tcPr>
          <w:p>
            <w:pPr>
              <w:spacing w:after="0"/>
              <w:rPr>
                <w:sz w:val="17"/>
                <w:szCs w:val="17"/>
                <w:color w:val="auto"/>
              </w:rPr>
            </w:pPr>
          </w:p>
        </w:tc>
        <w:tc>
          <w:tcPr>
            <w:tcW w:w="580" w:type="dxa"/>
            <w:vAlign w:val="bottom"/>
          </w:tcPr>
          <w:p>
            <w:pPr>
              <w:jc w:val="right"/>
              <w:ind w:right="175"/>
              <w:spacing w:after="0"/>
              <w:rPr>
                <w:sz w:val="20"/>
                <w:szCs w:val="20"/>
                <w:color w:val="auto"/>
              </w:rPr>
            </w:pPr>
            <w:r>
              <w:rPr>
                <w:rFonts w:ascii="Arial" w:cs="Arial" w:eastAsia="Arial" w:hAnsi="Arial"/>
                <w:sz w:val="17"/>
                <w:szCs w:val="17"/>
                <w:color w:val="auto"/>
              </w:rPr>
              <w:t>Fair</w:t>
            </w:r>
          </w:p>
        </w:tc>
        <w:tc>
          <w:tcPr>
            <w:tcW w:w="1360" w:type="dxa"/>
            <w:vAlign w:val="bottom"/>
          </w:tcPr>
          <w:p>
            <w:pPr>
              <w:jc w:val="center"/>
              <w:ind w:left="95"/>
              <w:spacing w:after="0"/>
              <w:rPr>
                <w:sz w:val="20"/>
                <w:szCs w:val="20"/>
                <w:color w:val="auto"/>
              </w:rPr>
            </w:pPr>
            <w:r>
              <w:rPr>
                <w:rFonts w:ascii="Arial" w:cs="Arial" w:eastAsia="Arial" w:hAnsi="Arial"/>
                <w:sz w:val="17"/>
                <w:szCs w:val="17"/>
                <w:color w:val="auto"/>
                <w:w w:val="85"/>
              </w:rPr>
              <w:t>Sheet</w:t>
            </w:r>
          </w:p>
        </w:tc>
        <w:tc>
          <w:tcPr>
            <w:tcW w:w="160" w:type="dxa"/>
            <w:vAlign w:val="bottom"/>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7"/>
                <w:szCs w:val="17"/>
                <w:color w:val="auto"/>
                <w:w w:val="95"/>
              </w:rPr>
              <w:t>Fair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ind w:left="155"/>
              <w:spacing w:after="0"/>
              <w:rPr>
                <w:sz w:val="20"/>
                <w:szCs w:val="20"/>
                <w:color w:val="auto"/>
              </w:rPr>
            </w:pPr>
            <w:r>
              <w:rPr>
                <w:rFonts w:ascii="Arial" w:cs="Arial" w:eastAsia="Arial" w:hAnsi="Arial"/>
                <w:sz w:val="17"/>
                <w:szCs w:val="17"/>
                <w:color w:val="auto"/>
                <w:w w:val="85"/>
              </w:rPr>
              <w:t>Sheet</w:t>
            </w:r>
          </w:p>
        </w:tc>
        <w:tc>
          <w:tcPr>
            <w:tcW w:w="240" w:type="dxa"/>
            <w:vAlign w:val="bottom"/>
          </w:tcPr>
          <w:p>
            <w:pPr>
              <w:spacing w:after="0"/>
              <w:rPr>
                <w:sz w:val="17"/>
                <w:szCs w:val="17"/>
                <w:color w:val="auto"/>
              </w:rPr>
            </w:pPr>
          </w:p>
        </w:tc>
        <w:tc>
          <w:tcPr>
            <w:tcW w:w="360" w:type="dxa"/>
            <w:vAlign w:val="bottom"/>
          </w:tcPr>
          <w:p>
            <w:pPr>
              <w:ind w:left="80"/>
              <w:spacing w:after="0"/>
              <w:rPr>
                <w:sz w:val="20"/>
                <w:szCs w:val="20"/>
                <w:color w:val="auto"/>
              </w:rPr>
            </w:pPr>
            <w:r>
              <w:rPr>
                <w:rFonts w:ascii="Arial" w:cs="Arial" w:eastAsia="Arial" w:hAnsi="Arial"/>
                <w:sz w:val="17"/>
                <w:szCs w:val="17"/>
                <w:color w:val="auto"/>
                <w:w w:val="88"/>
              </w:rPr>
              <w:t>Fair</w:t>
            </w: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85"/>
              </w:rPr>
              <w:t>Sheet</w:t>
            </w:r>
          </w:p>
        </w:tc>
        <w:tc>
          <w:tcPr>
            <w:tcW w:w="720" w:type="dxa"/>
            <w:vAlign w:val="bottom"/>
            <w:gridSpan w:val="3"/>
          </w:tcPr>
          <w:p>
            <w:pPr>
              <w:ind w:left="220"/>
              <w:spacing w:after="0"/>
              <w:rPr>
                <w:sz w:val="20"/>
                <w:szCs w:val="20"/>
                <w:color w:val="auto"/>
              </w:rPr>
            </w:pPr>
            <w:r>
              <w:rPr>
                <w:rFonts w:ascii="Arial" w:cs="Arial" w:eastAsia="Arial" w:hAnsi="Arial"/>
                <w:sz w:val="17"/>
                <w:szCs w:val="17"/>
                <w:color w:val="auto"/>
              </w:rPr>
              <w:t>Fair</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Arial" w:cs="Arial" w:eastAsia="Arial" w:hAnsi="Arial"/>
                <w:sz w:val="17"/>
                <w:szCs w:val="17"/>
                <w:color w:val="auto"/>
              </w:rPr>
              <w:t>(Dollars in thousands)</w:t>
            </w:r>
          </w:p>
        </w:tc>
        <w:tc>
          <w:tcPr>
            <w:tcW w:w="24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6"/>
              </w:rPr>
              <w:t>Location</w:t>
            </w:r>
          </w:p>
        </w:tc>
        <w:tc>
          <w:tcPr>
            <w:tcW w:w="220" w:type="dxa"/>
            <w:vAlign w:val="bottom"/>
          </w:tcPr>
          <w:p>
            <w:pPr>
              <w:spacing w:after="0"/>
              <w:rPr>
                <w:sz w:val="19"/>
                <w:szCs w:val="19"/>
                <w:color w:val="auto"/>
              </w:rPr>
            </w:pPr>
          </w:p>
        </w:tc>
        <w:tc>
          <w:tcPr>
            <w:tcW w:w="580" w:type="dxa"/>
            <w:vAlign w:val="bottom"/>
          </w:tcPr>
          <w:p>
            <w:pPr>
              <w:jc w:val="right"/>
              <w:ind w:right="115"/>
              <w:spacing w:after="0"/>
              <w:rPr>
                <w:sz w:val="20"/>
                <w:szCs w:val="20"/>
                <w:color w:val="auto"/>
              </w:rPr>
            </w:pPr>
            <w:r>
              <w:rPr>
                <w:rFonts w:ascii="Arial" w:cs="Arial" w:eastAsia="Arial" w:hAnsi="Arial"/>
                <w:sz w:val="17"/>
                <w:szCs w:val="17"/>
                <w:color w:val="auto"/>
                <w:w w:val="82"/>
              </w:rPr>
              <w:t>Value</w:t>
            </w:r>
          </w:p>
        </w:tc>
        <w:tc>
          <w:tcPr>
            <w:tcW w:w="1360" w:type="dxa"/>
            <w:vAlign w:val="bottom"/>
          </w:tcPr>
          <w:p>
            <w:pPr>
              <w:jc w:val="center"/>
              <w:ind w:left="75"/>
              <w:spacing w:after="0"/>
              <w:rPr>
                <w:sz w:val="20"/>
                <w:szCs w:val="20"/>
                <w:color w:val="auto"/>
              </w:rPr>
            </w:pPr>
            <w:r>
              <w:rPr>
                <w:rFonts w:ascii="Arial" w:cs="Arial" w:eastAsia="Arial" w:hAnsi="Arial"/>
                <w:sz w:val="17"/>
                <w:szCs w:val="17"/>
                <w:color w:val="auto"/>
                <w:w w:val="93"/>
              </w:rPr>
              <w:t>Location</w:t>
            </w:r>
          </w:p>
        </w:tc>
        <w:tc>
          <w:tcPr>
            <w:tcW w:w="16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7"/>
                <w:szCs w:val="17"/>
                <w:color w:val="auto"/>
                <w:w w:val="91"/>
              </w:rPr>
              <w:t>Value</w:t>
            </w:r>
          </w:p>
        </w:tc>
        <w:tc>
          <w:tcPr>
            <w:tcW w:w="100" w:type="dxa"/>
            <w:vAlign w:val="bottom"/>
          </w:tcPr>
          <w:p>
            <w:pPr>
              <w:spacing w:after="0"/>
              <w:rPr>
                <w:sz w:val="19"/>
                <w:szCs w:val="19"/>
                <w:color w:val="auto"/>
              </w:rPr>
            </w:pPr>
          </w:p>
        </w:tc>
        <w:tc>
          <w:tcPr>
            <w:tcW w:w="1500" w:type="dxa"/>
            <w:vAlign w:val="bottom"/>
          </w:tcPr>
          <w:p>
            <w:pPr>
              <w:jc w:val="center"/>
              <w:ind w:left="155"/>
              <w:spacing w:after="0"/>
              <w:rPr>
                <w:sz w:val="20"/>
                <w:szCs w:val="20"/>
                <w:color w:val="auto"/>
              </w:rPr>
            </w:pPr>
            <w:r>
              <w:rPr>
                <w:rFonts w:ascii="Arial" w:cs="Arial" w:eastAsia="Arial" w:hAnsi="Arial"/>
                <w:sz w:val="17"/>
                <w:szCs w:val="17"/>
                <w:color w:val="auto"/>
                <w:w w:val="96"/>
              </w:rPr>
              <w:t>Location</w:t>
            </w:r>
          </w:p>
        </w:tc>
        <w:tc>
          <w:tcPr>
            <w:tcW w:w="24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7"/>
                <w:szCs w:val="17"/>
                <w:color w:val="auto"/>
                <w:w w:val="91"/>
              </w:rPr>
              <w:t>Value</w:t>
            </w:r>
          </w:p>
        </w:tc>
        <w:tc>
          <w:tcPr>
            <w:tcW w:w="1740" w:type="dxa"/>
            <w:vAlign w:val="bottom"/>
          </w:tcPr>
          <w:p>
            <w:pPr>
              <w:jc w:val="center"/>
              <w:spacing w:after="0"/>
              <w:rPr>
                <w:sz w:val="20"/>
                <w:szCs w:val="20"/>
                <w:color w:val="auto"/>
              </w:rPr>
            </w:pPr>
            <w:r>
              <w:rPr>
                <w:rFonts w:ascii="Arial" w:cs="Arial" w:eastAsia="Arial" w:hAnsi="Arial"/>
                <w:sz w:val="17"/>
                <w:szCs w:val="17"/>
                <w:color w:val="auto"/>
                <w:w w:val="96"/>
              </w:rPr>
              <w:t>Location</w:t>
            </w:r>
          </w:p>
        </w:tc>
        <w:tc>
          <w:tcPr>
            <w:tcW w:w="720" w:type="dxa"/>
            <w:vAlign w:val="bottom"/>
            <w:gridSpan w:val="3"/>
          </w:tcPr>
          <w:p>
            <w:pPr>
              <w:ind w:left="160"/>
              <w:spacing w:after="0"/>
              <w:rPr>
                <w:sz w:val="20"/>
                <w:szCs w:val="20"/>
                <w:color w:val="auto"/>
              </w:rPr>
            </w:pPr>
            <w:r>
              <w:rPr>
                <w:rFonts w:ascii="Arial" w:cs="Arial" w:eastAsia="Arial" w:hAnsi="Arial"/>
                <w:sz w:val="17"/>
                <w:szCs w:val="17"/>
                <w:color w:val="auto"/>
              </w:rPr>
              <w:t>Value</w:t>
            </w:r>
          </w:p>
        </w:tc>
        <w:tc>
          <w:tcPr>
            <w:tcW w:w="0" w:type="dxa"/>
            <w:vAlign w:val="bottom"/>
          </w:tcPr>
          <w:p>
            <w:pPr>
              <w:spacing w:after="0"/>
              <w:rPr>
                <w:sz w:val="1"/>
                <w:szCs w:val="1"/>
                <w:color w:val="auto"/>
              </w:rPr>
            </w:pPr>
          </w:p>
        </w:tc>
      </w:tr>
      <w:tr>
        <w:trPr>
          <w:trHeight w:val="205"/>
        </w:trPr>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Derivatives Designated as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00" w:type="dxa"/>
            <w:vAlign w:val="bottom"/>
          </w:tcPr>
          <w:p>
            <w:pPr>
              <w:spacing w:after="0"/>
              <w:rPr>
                <w:sz w:val="20"/>
                <w:szCs w:val="20"/>
                <w:color w:val="auto"/>
              </w:rPr>
            </w:pPr>
            <w:r>
              <w:rPr>
                <w:rFonts w:ascii="Arial" w:cs="Arial" w:eastAsia="Arial" w:hAnsi="Arial"/>
                <w:sz w:val="17"/>
                <w:szCs w:val="17"/>
                <w:b w:val="1"/>
                <w:bCs w:val="1"/>
                <w:color w:val="auto"/>
              </w:rPr>
              <w:t>Hedging Instruments</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gridSpan w:val="2"/>
          </w:tcPr>
          <w:p>
            <w:pPr>
              <w:ind w:left="200"/>
              <w:spacing w:after="0" w:line="19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0" w:type="dxa"/>
            <w:vAlign w:val="bottom"/>
            <w:gridSpan w:val="2"/>
          </w:tcPr>
          <w:p>
            <w:pPr>
              <w:ind w:left="280"/>
              <w:spacing w:after="0" w:line="19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200" w:type="dxa"/>
            <w:vAlign w:val="bottom"/>
          </w:tcPr>
          <w:p>
            <w:pPr>
              <w:spacing w:after="0"/>
              <w:rPr>
                <w:sz w:val="20"/>
                <w:szCs w:val="20"/>
                <w:color w:val="auto"/>
              </w:rPr>
            </w:pPr>
            <w:r>
              <w:rPr>
                <w:rFonts w:ascii="Arial" w:cs="Arial" w:eastAsia="Arial" w:hAnsi="Arial"/>
                <w:sz w:val="17"/>
                <w:szCs w:val="17"/>
                <w:color w:val="auto"/>
              </w:rPr>
              <w:t>Foreign exchange contracts</w:t>
            </w:r>
          </w:p>
        </w:tc>
        <w:tc>
          <w:tcPr>
            <w:tcW w:w="1740" w:type="dxa"/>
            <w:vAlign w:val="bottom"/>
            <w:gridSpan w:val="2"/>
          </w:tcPr>
          <w:p>
            <w:pPr>
              <w:ind w:left="240"/>
              <w:spacing w:after="0"/>
              <w:rPr>
                <w:sz w:val="20"/>
                <w:szCs w:val="20"/>
                <w:color w:val="auto"/>
              </w:rPr>
            </w:pPr>
            <w:r>
              <w:rPr>
                <w:rFonts w:ascii="Arial" w:cs="Arial" w:eastAsia="Arial" w:hAnsi="Arial"/>
                <w:sz w:val="17"/>
                <w:szCs w:val="17"/>
                <w:color w:val="auto"/>
              </w:rPr>
              <w:t>Prepaid expenses</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6,020</w:t>
            </w:r>
          </w:p>
        </w:tc>
        <w:tc>
          <w:tcPr>
            <w:tcW w:w="1360" w:type="dxa"/>
            <w:vAlign w:val="bottom"/>
          </w:tcPr>
          <w:p>
            <w:pPr>
              <w:spacing w:after="0"/>
              <w:rPr>
                <w:sz w:val="20"/>
                <w:szCs w:val="20"/>
                <w:color w:val="auto"/>
              </w:rPr>
            </w:pPr>
            <w:r>
              <w:rPr>
                <w:rFonts w:ascii="Arial" w:cs="Arial" w:eastAsia="Arial" w:hAnsi="Arial"/>
                <w:sz w:val="17"/>
                <w:szCs w:val="17"/>
                <w:color w:val="auto"/>
                <w:w w:val="98"/>
              </w:rPr>
              <w:t>Prepaid expenses</w:t>
            </w:r>
          </w:p>
        </w:tc>
        <w:tc>
          <w:tcPr>
            <w:tcW w:w="540" w:type="dxa"/>
            <w:vAlign w:val="bottom"/>
            <w:gridSpan w:val="2"/>
          </w:tcPr>
          <w:p>
            <w:pPr>
              <w:jc w:val="right"/>
              <w:ind w:right="235"/>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7"/>
                <w:szCs w:val="17"/>
                <w:color w:val="auto"/>
              </w:rPr>
              <w:t>Accrued liabilities</w:t>
            </w:r>
          </w:p>
        </w:tc>
        <w:tc>
          <w:tcPr>
            <w:tcW w:w="600" w:type="dxa"/>
            <w:vAlign w:val="bottom"/>
            <w:gridSpan w:val="2"/>
          </w:tcPr>
          <w:p>
            <w:pPr>
              <w:jc w:val="right"/>
              <w:ind w:right="215"/>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Accrued liabilities</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w w:val="93"/>
              </w:rPr>
              <w:t>3,294</w:t>
            </w:r>
          </w:p>
        </w:tc>
        <w:tc>
          <w:tcPr>
            <w:tcW w:w="0" w:type="dxa"/>
            <w:vAlign w:val="bottom"/>
          </w:tcPr>
          <w:p>
            <w:pPr>
              <w:spacing w:after="0"/>
              <w:rPr>
                <w:sz w:val="1"/>
                <w:szCs w:val="1"/>
                <w:color w:val="auto"/>
              </w:rPr>
            </w:pPr>
          </w:p>
        </w:tc>
      </w:tr>
      <w:tr>
        <w:trPr>
          <w:trHeight w:val="205"/>
        </w:trPr>
        <w:tc>
          <w:tcPr>
            <w:tcW w:w="2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00" w:type="dxa"/>
            <w:vAlign w:val="bottom"/>
          </w:tcPr>
          <w:p>
            <w:pPr>
              <w:spacing w:after="0"/>
              <w:rPr>
                <w:sz w:val="20"/>
                <w:szCs w:val="20"/>
                <w:color w:val="auto"/>
              </w:rPr>
            </w:pPr>
            <w:r>
              <w:rPr>
                <w:rFonts w:ascii="Arial" w:cs="Arial" w:eastAsia="Arial" w:hAnsi="Arial"/>
                <w:sz w:val="17"/>
                <w:szCs w:val="17"/>
                <w:b w:val="1"/>
                <w:bCs w:val="1"/>
                <w:color w:val="auto"/>
                <w:w w:val="99"/>
              </w:rPr>
              <w:t>Derivatives Not Designated</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 Hedging Instruments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contracts</w:t>
            </w:r>
          </w:p>
        </w:tc>
        <w:tc>
          <w:tcPr>
            <w:tcW w:w="17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Prepaid expenses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4,009</w:t>
            </w:r>
          </w:p>
        </w:tc>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w w:val="98"/>
              </w:rPr>
              <w:t>Prepaid expenses</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Accrued liabilities</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-Accrued liabilities</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2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200" w:type="dxa"/>
            <w:vAlign w:val="bottom"/>
            <w:tcBorders>
              <w:bottom w:val="single" w:sz="8" w:color="CCEEFF"/>
            </w:tcBorders>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Total Derivatives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w w:val="92"/>
              </w:rPr>
              <w:t>10,029</w:t>
            </w:r>
          </w:p>
        </w:tc>
        <w:tc>
          <w:tcPr>
            <w:tcW w:w="1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40"/>
              <w:spacing w:after="0" w:line="185" w:lineRule="exact"/>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40"/>
              <w:spacing w:after="0" w:line="185"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74"/>
              </w:rPr>
              <w:t>-</w:t>
            </w:r>
          </w:p>
        </w:tc>
        <w:tc>
          <w:tcPr>
            <w:tcW w:w="1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160"/>
              <w:spacing w:after="0" w:line="185"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w w:val="93"/>
              </w:rPr>
              <w:t>3,861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right="220" w:firstLine="210"/>
        <w:spacing w:after="0" w:line="253" w:lineRule="auto"/>
        <w:rPr>
          <w:sz w:val="20"/>
          <w:szCs w:val="20"/>
          <w:color w:val="auto"/>
        </w:rPr>
      </w:pPr>
      <w:r>
        <w:rPr>
          <w:rFonts w:ascii="Arial" w:cs="Arial" w:eastAsia="Arial" w:hAnsi="Arial"/>
          <w:sz w:val="17"/>
          <w:szCs w:val="17"/>
          <w:color w:val="auto"/>
        </w:rPr>
        <w:t>The company enters into foreign currency exchange contracts to hedge the risk from forecasted settlement in local currencies of trade sales and purchases. These contracts are designated as cash flow hedges with the fair value recorded in accumulated other comprehensive income (AOCI) and as a hedge asset or liability in prepaid expenses or accrued liabilities, as applicable. Once the forecasted transaction has been recognized as a sale or inventory purchase and a related asset or liability recorded in the balance sheet, the related fair value of the derivative hedge contract is reclassified from AOCI to net sales or cost of sales. There were immaterial gains on contracts reclassified into earnings as a result of the discontinuance of cash flow hedges. The maximum amount of time the company hedges its exposure to the variability in future cash flows for forecasted trade sales and purchases is two years. As of January 30, 2009, the notional amount of such contracts outstanding was $90.5 million.</w:t>
      </w:r>
    </w:p>
    <w:p>
      <w:pPr>
        <w:spacing w:after="0" w:line="2" w:lineRule="exact"/>
        <w:rPr>
          <w:sz w:val="20"/>
          <w:szCs w:val="20"/>
          <w:color w:val="auto"/>
        </w:rPr>
      </w:pPr>
    </w:p>
    <w:p>
      <w:pPr>
        <w:ind w:right="360" w:firstLine="210"/>
        <w:spacing w:after="0" w:line="262" w:lineRule="auto"/>
        <w:rPr>
          <w:sz w:val="20"/>
          <w:szCs w:val="20"/>
          <w:color w:val="auto"/>
        </w:rPr>
      </w:pPr>
      <w:r>
        <w:rPr>
          <w:rFonts w:ascii="Arial" w:cs="Arial" w:eastAsia="Arial" w:hAnsi="Arial"/>
          <w:sz w:val="17"/>
          <w:szCs w:val="17"/>
          <w:color w:val="auto"/>
        </w:rPr>
        <w:t>The following table presents the impact of derivative instruments on the consolidated statement of earnings for the company’s derivatives in cash flow hedging relationships for the three months ended January 30, 2009 and February 1, 2008, respectively.</w:t>
      </w:r>
    </w:p>
    <w:p>
      <w:pPr>
        <w:spacing w:after="0" w:line="200" w:lineRule="exact"/>
        <w:rPr>
          <w:sz w:val="20"/>
          <w:szCs w:val="20"/>
          <w:color w:val="auto"/>
        </w:rPr>
      </w:pP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93"/>
              </w:rPr>
              <w:t>Location of Gain</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93"/>
              </w:rPr>
              <w:t>(Loss)</w:t>
            </w:r>
          </w:p>
        </w:tc>
        <w:tc>
          <w:tcPr>
            <w:tcW w:w="4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Arial" w:cs="Arial" w:eastAsia="Arial" w:hAnsi="Arial"/>
                <w:sz w:val="17"/>
                <w:szCs w:val="17"/>
                <w:color w:val="auto"/>
                <w:w w:val="94"/>
              </w:rPr>
              <w:t>Amount of Gain (Loss)</w:t>
            </w:r>
          </w:p>
        </w:tc>
      </w:tr>
      <w:tr>
        <w:trPr>
          <w:trHeight w:val="205"/>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90"/>
              </w:rPr>
              <w:t>Recognized in</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3"/>
              </w:rPr>
              <w:t>Location of Gain</w:t>
            </w: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93"/>
              </w:rPr>
              <w:t>Income</w:t>
            </w:r>
          </w:p>
        </w:tc>
        <w:tc>
          <w:tcPr>
            <w:tcW w:w="4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Arial" w:cs="Arial" w:eastAsia="Arial" w:hAnsi="Arial"/>
                <w:sz w:val="17"/>
                <w:szCs w:val="17"/>
                <w:color w:val="auto"/>
                <w:w w:val="91"/>
              </w:rPr>
              <w:t>Recognized in Income</w:t>
            </w:r>
          </w:p>
        </w:tc>
      </w:tr>
      <w:tr>
        <w:trPr>
          <w:trHeight w:val="205"/>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920" w:type="dxa"/>
            <w:vAlign w:val="bottom"/>
            <w:gridSpan w:val="4"/>
          </w:tcPr>
          <w:p>
            <w:pPr>
              <w:jc w:val="center"/>
              <w:spacing w:after="0"/>
              <w:rPr>
                <w:sz w:val="20"/>
                <w:szCs w:val="20"/>
                <w:color w:val="auto"/>
              </w:rPr>
            </w:pPr>
            <w:r>
              <w:rPr>
                <w:rFonts w:ascii="Arial" w:cs="Arial" w:eastAsia="Arial" w:hAnsi="Arial"/>
                <w:sz w:val="17"/>
                <w:szCs w:val="17"/>
                <w:color w:val="auto"/>
                <w:w w:val="92"/>
              </w:rPr>
              <w:t>Amount of Gain (Loss)</w:t>
            </w: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1"/>
              </w:rPr>
              <w:t>(Loss) Reclassified</w:t>
            </w:r>
          </w:p>
        </w:tc>
        <w:tc>
          <w:tcPr>
            <w:tcW w:w="1940" w:type="dxa"/>
            <w:vAlign w:val="bottom"/>
            <w:gridSpan w:val="4"/>
          </w:tcPr>
          <w:p>
            <w:pPr>
              <w:jc w:val="right"/>
              <w:ind w:right="95"/>
              <w:spacing w:after="0"/>
              <w:rPr>
                <w:sz w:val="20"/>
                <w:szCs w:val="20"/>
                <w:color w:val="auto"/>
              </w:rPr>
            </w:pPr>
            <w:r>
              <w:rPr>
                <w:rFonts w:ascii="Arial" w:cs="Arial" w:eastAsia="Arial" w:hAnsi="Arial"/>
                <w:sz w:val="17"/>
                <w:szCs w:val="17"/>
                <w:color w:val="auto"/>
              </w:rPr>
              <w:t>Amount of Gain (Loss)</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92"/>
              </w:rPr>
              <w:t>on Derivatives</w:t>
            </w:r>
          </w:p>
        </w:tc>
        <w:tc>
          <w:tcPr>
            <w:tcW w:w="4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Arial" w:cs="Arial" w:eastAsia="Arial" w:hAnsi="Arial"/>
                <w:sz w:val="17"/>
                <w:szCs w:val="17"/>
                <w:color w:val="auto"/>
                <w:w w:val="92"/>
              </w:rPr>
              <w:t>on Derivatives</w:t>
            </w:r>
          </w:p>
        </w:tc>
      </w:tr>
      <w:tr>
        <w:trPr>
          <w:trHeight w:val="205"/>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94"/>
              </w:rPr>
              <w:t>(Ineffective Portion</w:t>
            </w:r>
          </w:p>
        </w:tc>
        <w:tc>
          <w:tcPr>
            <w:tcW w:w="4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Arial" w:cs="Arial" w:eastAsia="Arial" w:hAnsi="Arial"/>
                <w:sz w:val="17"/>
                <w:szCs w:val="17"/>
                <w:color w:val="auto"/>
                <w:w w:val="94"/>
              </w:rPr>
              <w:t>(Ineffective Portion</w:t>
            </w:r>
          </w:p>
        </w:tc>
      </w:tr>
      <w:tr>
        <w:trPr>
          <w:trHeight w:val="205"/>
        </w:trPr>
        <w:tc>
          <w:tcPr>
            <w:tcW w:w="2420" w:type="dxa"/>
            <w:vAlign w:val="bottom"/>
            <w:gridSpan w:val="2"/>
          </w:tcPr>
          <w:p>
            <w:pPr>
              <w:spacing w:after="0"/>
              <w:rPr>
                <w:sz w:val="20"/>
                <w:szCs w:val="20"/>
                <w:color w:val="auto"/>
              </w:rPr>
            </w:pPr>
            <w:r>
              <w:rPr>
                <w:rFonts w:ascii="Arial" w:cs="Arial" w:eastAsia="Arial" w:hAnsi="Arial"/>
                <w:sz w:val="17"/>
                <w:szCs w:val="17"/>
                <w:color w:val="auto"/>
              </w:rPr>
              <w:t>Derivatives in Cash Flow</w:t>
            </w:r>
          </w:p>
        </w:tc>
        <w:tc>
          <w:tcPr>
            <w:tcW w:w="1920" w:type="dxa"/>
            <w:vAlign w:val="bottom"/>
            <w:gridSpan w:val="4"/>
          </w:tcPr>
          <w:p>
            <w:pPr>
              <w:jc w:val="center"/>
              <w:spacing w:after="0"/>
              <w:rPr>
                <w:sz w:val="20"/>
                <w:szCs w:val="20"/>
                <w:color w:val="auto"/>
              </w:rPr>
            </w:pPr>
            <w:r>
              <w:rPr>
                <w:rFonts w:ascii="Arial" w:cs="Arial" w:eastAsia="Arial" w:hAnsi="Arial"/>
                <w:sz w:val="17"/>
                <w:szCs w:val="17"/>
                <w:color w:val="auto"/>
                <w:w w:val="92"/>
              </w:rPr>
              <w:t>Recognized in OCI on</w:t>
            </w: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9"/>
              </w:rPr>
              <w:t>from AOCI</w:t>
            </w:r>
          </w:p>
        </w:tc>
        <w:tc>
          <w:tcPr>
            <w:tcW w:w="1940" w:type="dxa"/>
            <w:vAlign w:val="bottom"/>
            <w:gridSpan w:val="4"/>
          </w:tcPr>
          <w:p>
            <w:pPr>
              <w:jc w:val="right"/>
              <w:ind w:right="255"/>
              <w:spacing w:after="0"/>
              <w:rPr>
                <w:sz w:val="20"/>
                <w:szCs w:val="20"/>
                <w:color w:val="auto"/>
              </w:rPr>
            </w:pPr>
            <w:r>
              <w:rPr>
                <w:rFonts w:ascii="Arial" w:cs="Arial" w:eastAsia="Arial" w:hAnsi="Arial"/>
                <w:sz w:val="17"/>
                <w:szCs w:val="17"/>
                <w:color w:val="auto"/>
              </w:rPr>
              <w:t>Reclassificed from</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84"/>
              </w:rPr>
              <w:t>and</w:t>
            </w:r>
          </w:p>
        </w:tc>
        <w:tc>
          <w:tcPr>
            <w:tcW w:w="40" w:type="dxa"/>
            <w:vAlign w:val="bottom"/>
          </w:tcPr>
          <w:p>
            <w:pPr>
              <w:spacing w:after="0"/>
              <w:rPr>
                <w:sz w:val="17"/>
                <w:szCs w:val="17"/>
                <w:color w:val="auto"/>
              </w:rPr>
            </w:pPr>
          </w:p>
        </w:tc>
        <w:tc>
          <w:tcPr>
            <w:tcW w:w="1080" w:type="dxa"/>
            <w:vAlign w:val="bottom"/>
          </w:tcPr>
          <w:p>
            <w:pPr>
              <w:jc w:val="center"/>
              <w:ind w:left="475"/>
              <w:spacing w:after="0"/>
              <w:rPr>
                <w:sz w:val="20"/>
                <w:szCs w:val="20"/>
                <w:color w:val="auto"/>
              </w:rPr>
            </w:pPr>
            <w:r>
              <w:rPr>
                <w:rFonts w:ascii="Arial" w:cs="Arial" w:eastAsia="Arial" w:hAnsi="Arial"/>
                <w:sz w:val="17"/>
                <w:szCs w:val="17"/>
                <w:color w:val="auto"/>
                <w:w w:val="84"/>
              </w:rPr>
              <w:t>and</w:t>
            </w:r>
          </w:p>
        </w:tc>
        <w:tc>
          <w:tcPr>
            <w:tcW w:w="5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93"/>
              </w:rPr>
              <w:t>Amount Excluded</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5"/>
        </w:trPr>
        <w:tc>
          <w:tcPr>
            <w:tcW w:w="2420" w:type="dxa"/>
            <w:vAlign w:val="bottom"/>
            <w:gridSpan w:val="2"/>
          </w:tcPr>
          <w:p>
            <w:pPr>
              <w:spacing w:after="0"/>
              <w:rPr>
                <w:sz w:val="20"/>
                <w:szCs w:val="20"/>
                <w:color w:val="auto"/>
              </w:rPr>
            </w:pPr>
            <w:r>
              <w:rPr>
                <w:rFonts w:ascii="Arial" w:cs="Arial" w:eastAsia="Arial" w:hAnsi="Arial"/>
                <w:sz w:val="17"/>
                <w:szCs w:val="17"/>
                <w:color w:val="auto"/>
              </w:rPr>
              <w:t>Hedging Relationships</w:t>
            </w:r>
          </w:p>
        </w:tc>
        <w:tc>
          <w:tcPr>
            <w:tcW w:w="48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92"/>
              </w:rPr>
              <w:t>Derivatives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3"/>
              </w:rPr>
              <w:t>into Income</w:t>
            </w:r>
          </w:p>
        </w:tc>
        <w:tc>
          <w:tcPr>
            <w:tcW w:w="1940" w:type="dxa"/>
            <w:vAlign w:val="bottom"/>
            <w:gridSpan w:val="4"/>
          </w:tcPr>
          <w:p>
            <w:pPr>
              <w:jc w:val="right"/>
              <w:ind w:right="255"/>
              <w:spacing w:after="0"/>
              <w:rPr>
                <w:sz w:val="20"/>
                <w:szCs w:val="20"/>
                <w:color w:val="auto"/>
              </w:rPr>
            </w:pPr>
            <w:r>
              <w:rPr>
                <w:rFonts w:ascii="Arial" w:cs="Arial" w:eastAsia="Arial" w:hAnsi="Arial"/>
                <w:sz w:val="17"/>
                <w:szCs w:val="17"/>
                <w:color w:val="auto"/>
              </w:rPr>
              <w:t>AOCI into Income</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99"/>
              </w:rPr>
              <w:t>from</w:t>
            </w:r>
          </w:p>
        </w:tc>
        <w:tc>
          <w:tcPr>
            <w:tcW w:w="1680" w:type="dxa"/>
            <w:vAlign w:val="bottom"/>
            <w:gridSpan w:val="3"/>
          </w:tcPr>
          <w:p>
            <w:pPr>
              <w:jc w:val="center"/>
              <w:spacing w:after="0"/>
              <w:rPr>
                <w:sz w:val="20"/>
                <w:szCs w:val="20"/>
                <w:color w:val="auto"/>
              </w:rPr>
            </w:pPr>
            <w:r>
              <w:rPr>
                <w:rFonts w:ascii="Arial" w:cs="Arial" w:eastAsia="Arial" w:hAnsi="Arial"/>
                <w:sz w:val="17"/>
                <w:szCs w:val="17"/>
                <w:color w:val="auto"/>
                <w:w w:val="94"/>
              </w:rPr>
              <w:t>Amount Excluded from</w:t>
            </w:r>
          </w:p>
        </w:tc>
      </w:tr>
      <w:tr>
        <w:trPr>
          <w:trHeight w:val="205"/>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90"/>
              </w:rPr>
              <w:t>Effectiveness</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3"/>
        </w:trPr>
        <w:tc>
          <w:tcPr>
            <w:tcW w:w="2420" w:type="dxa"/>
            <w:vAlign w:val="bottom"/>
            <w:gridSpan w:val="2"/>
          </w:tcPr>
          <w:p>
            <w:pPr>
              <w:spacing w:after="0"/>
              <w:rPr>
                <w:sz w:val="20"/>
                <w:szCs w:val="20"/>
                <w:color w:val="auto"/>
              </w:rPr>
            </w:pPr>
            <w:r>
              <w:rPr>
                <w:rFonts w:ascii="Arial" w:cs="Arial" w:eastAsia="Arial" w:hAnsi="Arial"/>
                <w:sz w:val="17"/>
                <w:szCs w:val="17"/>
                <w:color w:val="auto"/>
              </w:rPr>
              <w:t>(Dollars in thousands)</w:t>
            </w: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94"/>
              </w:rPr>
              <w:t>(Effective Portion)</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(Effective Portion)</w:t>
            </w:r>
          </w:p>
        </w:tc>
        <w:tc>
          <w:tcPr>
            <w:tcW w:w="194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7"/>
                <w:szCs w:val="17"/>
                <w:color w:val="auto"/>
              </w:rPr>
              <w:t>(Effective Portion)</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Testing)</w:t>
            </w:r>
          </w:p>
        </w:tc>
        <w:tc>
          <w:tcPr>
            <w:tcW w:w="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0"/>
              </w:rPr>
              <w:t>Effectiveness Testing)</w:t>
            </w: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2009</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2009</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gridSpan w:val="2"/>
          </w:tcPr>
          <w:p>
            <w:pPr>
              <w:jc w:val="right"/>
              <w:ind w:right="75"/>
              <w:spacing w:after="0"/>
              <w:rPr>
                <w:sz w:val="20"/>
                <w:szCs w:val="20"/>
                <w:color w:val="auto"/>
              </w:rPr>
            </w:pPr>
            <w:r>
              <w:rPr>
                <w:rFonts w:ascii="Arial" w:cs="Arial" w:eastAsia="Arial" w:hAnsi="Arial"/>
                <w:sz w:val="17"/>
                <w:szCs w:val="17"/>
                <w:color w:val="auto"/>
              </w:rPr>
              <w:t>2009</w:t>
            </w:r>
          </w:p>
        </w:tc>
        <w:tc>
          <w:tcPr>
            <w:tcW w:w="560" w:type="dxa"/>
            <w:vAlign w:val="bottom"/>
          </w:tcPr>
          <w:p>
            <w:pPr>
              <w:jc w:val="right"/>
              <w:spacing w:after="0"/>
              <w:rPr>
                <w:sz w:val="20"/>
                <w:szCs w:val="20"/>
                <w:color w:val="auto"/>
              </w:rPr>
            </w:pPr>
            <w:r>
              <w:rPr>
                <w:rFonts w:ascii="Arial" w:cs="Arial" w:eastAsia="Arial" w:hAnsi="Arial"/>
                <w:sz w:val="17"/>
                <w:szCs w:val="17"/>
                <w:color w:val="auto"/>
              </w:rPr>
              <w:t>2008</w:t>
            </w:r>
          </w:p>
        </w:tc>
      </w:tr>
      <w:tr>
        <w:trPr>
          <w:trHeight w:val="205"/>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r>
      <w:tr>
        <w:trPr>
          <w:trHeight w:val="245"/>
        </w:trPr>
        <w:tc>
          <w:tcPr>
            <w:tcW w:w="20" w:type="dxa"/>
            <w:vAlign w:val="bottom"/>
          </w:tcPr>
          <w:p>
            <w:pPr>
              <w:spacing w:after="0"/>
              <w:rPr>
                <w:sz w:val="21"/>
                <w:szCs w:val="21"/>
                <w:color w:val="auto"/>
              </w:rPr>
            </w:pPr>
          </w:p>
        </w:tc>
        <w:tc>
          <w:tcPr>
            <w:tcW w:w="24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Foreign exchange contracts</w:t>
            </w:r>
          </w:p>
        </w:tc>
        <w:tc>
          <w:tcPr>
            <w:tcW w:w="48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35"/>
              <w:spacing w:after="0" w:line="185" w:lineRule="exact"/>
              <w:rPr>
                <w:sz w:val="20"/>
                <w:szCs w:val="20"/>
                <w:color w:val="auto"/>
              </w:rPr>
            </w:pPr>
            <w:r>
              <w:rPr>
                <w:rFonts w:ascii="Arial" w:cs="Arial" w:eastAsia="Arial" w:hAnsi="Arial"/>
                <w:sz w:val="17"/>
                <w:szCs w:val="17"/>
                <w:color w:val="auto"/>
                <w:w w:val="96"/>
              </w:rPr>
              <w:t>15,697</w:t>
            </w:r>
          </w:p>
        </w:tc>
        <w:tc>
          <w:tcPr>
            <w:tcW w:w="2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96"/>
              </w:rPr>
              <w:t>(6,020)</w:t>
            </w:r>
          </w:p>
        </w:tc>
        <w:tc>
          <w:tcPr>
            <w:tcW w:w="1820" w:type="dxa"/>
            <w:vAlign w:val="bottom"/>
            <w:gridSpan w:val="2"/>
            <w:shd w:val="clear" w:color="auto" w:fill="CCEEFF"/>
          </w:tcPr>
          <w:p>
            <w:pPr>
              <w:ind w:left="100"/>
              <w:spacing w:after="0" w:line="185" w:lineRule="exact"/>
              <w:rPr>
                <w:sz w:val="20"/>
                <w:szCs w:val="20"/>
                <w:color w:val="auto"/>
              </w:rPr>
            </w:pPr>
            <w:r>
              <w:rPr>
                <w:rFonts w:ascii="Arial" w:cs="Arial" w:eastAsia="Arial" w:hAnsi="Arial"/>
                <w:sz w:val="17"/>
                <w:szCs w:val="17"/>
                <w:color w:val="auto"/>
              </w:rPr>
              <w:t>Net sales</w:t>
            </w:r>
          </w:p>
        </w:tc>
        <w:tc>
          <w:tcPr>
            <w:tcW w:w="6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35"/>
              <w:spacing w:after="0" w:line="185" w:lineRule="exact"/>
              <w:rPr>
                <w:sz w:val="20"/>
                <w:szCs w:val="20"/>
                <w:color w:val="auto"/>
              </w:rPr>
            </w:pPr>
            <w:r>
              <w:rPr>
                <w:rFonts w:ascii="Arial" w:cs="Arial" w:eastAsia="Arial" w:hAnsi="Arial"/>
                <w:sz w:val="17"/>
                <w:szCs w:val="17"/>
                <w:color w:val="auto"/>
                <w:w w:val="93"/>
              </w:rPr>
              <w:t>2,741</w:t>
            </w:r>
          </w:p>
        </w:tc>
        <w:tc>
          <w:tcPr>
            <w:tcW w:w="2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96"/>
              </w:rPr>
              <w:t>(1,940)</w:t>
            </w:r>
          </w:p>
        </w:tc>
        <w:tc>
          <w:tcPr>
            <w:tcW w:w="1540" w:type="dxa"/>
            <w:vAlign w:val="bottom"/>
            <w:gridSpan w:val="2"/>
            <w:shd w:val="clear" w:color="auto" w:fill="CCEEFF"/>
          </w:tcPr>
          <w:p>
            <w:pPr>
              <w:ind w:left="80"/>
              <w:spacing w:after="0" w:line="185" w:lineRule="exact"/>
              <w:rPr>
                <w:sz w:val="20"/>
                <w:szCs w:val="20"/>
                <w:color w:val="auto"/>
              </w:rPr>
            </w:pPr>
            <w:r>
              <w:rPr>
                <w:rFonts w:ascii="Arial" w:cs="Arial" w:eastAsia="Arial" w:hAnsi="Arial"/>
                <w:sz w:val="17"/>
                <w:szCs w:val="17"/>
                <w:color w:val="auto"/>
              </w:rPr>
              <w:t>Other income, net</w:t>
            </w:r>
          </w:p>
        </w:tc>
        <w:tc>
          <w:tcPr>
            <w:tcW w:w="1120" w:type="dxa"/>
            <w:vAlign w:val="bottom"/>
            <w:gridSpan w:val="2"/>
            <w:shd w:val="clear" w:color="auto" w:fill="CCEEFF"/>
          </w:tcPr>
          <w:p>
            <w:pPr>
              <w:jc w:val="right"/>
              <w:ind w:right="75"/>
              <w:spacing w:after="0" w:line="185" w:lineRule="exact"/>
              <w:rPr>
                <w:sz w:val="20"/>
                <w:szCs w:val="20"/>
                <w:color w:val="auto"/>
              </w:rPr>
            </w:pPr>
            <w:r>
              <w:rPr>
                <w:rFonts w:ascii="Arial" w:cs="Arial" w:eastAsia="Arial" w:hAnsi="Arial"/>
                <w:sz w:val="17"/>
                <w:szCs w:val="17"/>
                <w:color w:val="auto"/>
              </w:rPr>
              <w:t>$ (1,228)</w:t>
            </w:r>
          </w:p>
        </w:tc>
        <w:tc>
          <w:tcPr>
            <w:tcW w:w="5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$ 332</w:t>
            </w:r>
          </w:p>
        </w:tc>
      </w:tr>
      <w:tr>
        <w:trPr>
          <w:trHeight w:val="201"/>
        </w:trPr>
        <w:tc>
          <w:tcPr>
            <w:tcW w:w="20" w:type="dxa"/>
            <w:vAlign w:val="bottom"/>
          </w:tcPr>
          <w:p>
            <w:pPr>
              <w:spacing w:after="0"/>
              <w:rPr>
                <w:sz w:val="17"/>
                <w:szCs w:val="17"/>
                <w:color w:val="auto"/>
              </w:rPr>
            </w:pPr>
          </w:p>
        </w:tc>
        <w:tc>
          <w:tcPr>
            <w:tcW w:w="24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Foreign exchange contracts</w:t>
            </w:r>
          </w:p>
        </w:tc>
        <w:tc>
          <w:tcPr>
            <w:tcW w:w="480" w:type="dxa"/>
            <w:vAlign w:val="bottom"/>
            <w:tcBorders>
              <w:top w:val="single" w:sz="8" w:color="CCEEFF"/>
              <w:bottom w:val="single" w:sz="8" w:color="auto"/>
            </w:tcBorders>
          </w:tcPr>
          <w:p>
            <w:pPr>
              <w:spacing w:after="0"/>
              <w:rPr>
                <w:sz w:val="17"/>
                <w:szCs w:val="17"/>
                <w:color w:val="auto"/>
              </w:rPr>
            </w:pPr>
          </w:p>
        </w:tc>
        <w:tc>
          <w:tcPr>
            <w:tcW w:w="640" w:type="dxa"/>
            <w:vAlign w:val="bottom"/>
            <w:tcBorders>
              <w:top w:val="single" w:sz="8" w:color="CCEEFF"/>
              <w:bottom w:val="single" w:sz="8" w:color="auto"/>
            </w:tcBorders>
          </w:tcPr>
          <w:p>
            <w:pPr>
              <w:jc w:val="right"/>
              <w:ind w:right="35"/>
              <w:spacing w:after="0"/>
              <w:rPr>
                <w:sz w:val="20"/>
                <w:szCs w:val="20"/>
                <w:color w:val="auto"/>
              </w:rPr>
            </w:pPr>
            <w:r>
              <w:rPr>
                <w:rFonts w:ascii="Arial" w:cs="Arial" w:eastAsia="Arial" w:hAnsi="Arial"/>
                <w:sz w:val="17"/>
                <w:szCs w:val="17"/>
                <w:color w:val="auto"/>
                <w:w w:val="92"/>
              </w:rPr>
              <w:t>(5,226)</w:t>
            </w:r>
          </w:p>
        </w:tc>
        <w:tc>
          <w:tcPr>
            <w:tcW w:w="260" w:type="dxa"/>
            <w:vAlign w:val="bottom"/>
            <w:tcBorders>
              <w:top w:val="single" w:sz="8" w:color="CCEEFF"/>
              <w:bottom w:val="single" w:sz="8" w:color="auto"/>
            </w:tcBorders>
          </w:tcPr>
          <w:p>
            <w:pPr>
              <w:spacing w:after="0"/>
              <w:rPr>
                <w:sz w:val="17"/>
                <w:szCs w:val="17"/>
                <w:color w:val="auto"/>
              </w:rPr>
            </w:pPr>
          </w:p>
        </w:tc>
        <w:tc>
          <w:tcPr>
            <w:tcW w:w="5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7"/>
                <w:szCs w:val="17"/>
                <w:color w:val="auto"/>
              </w:rPr>
              <w:t>154</w:t>
            </w:r>
          </w:p>
        </w:tc>
        <w:tc>
          <w:tcPr>
            <w:tcW w:w="1820" w:type="dxa"/>
            <w:vAlign w:val="bottom"/>
            <w:tcBorders>
              <w:top w:val="single" w:sz="8" w:color="CCEEFF"/>
            </w:tcBorders>
            <w:gridSpan w:val="2"/>
          </w:tcPr>
          <w:p>
            <w:pPr>
              <w:ind w:left="100"/>
              <w:spacing w:after="0"/>
              <w:rPr>
                <w:sz w:val="20"/>
                <w:szCs w:val="20"/>
                <w:color w:val="auto"/>
              </w:rPr>
            </w:pPr>
            <w:r>
              <w:rPr>
                <w:rFonts w:ascii="Arial" w:cs="Arial" w:eastAsia="Arial" w:hAnsi="Arial"/>
                <w:sz w:val="17"/>
                <w:szCs w:val="17"/>
                <w:color w:val="auto"/>
              </w:rPr>
              <w:t>Cost of sales</w:t>
            </w:r>
          </w:p>
        </w:tc>
        <w:tc>
          <w:tcPr>
            <w:tcW w:w="600" w:type="dxa"/>
            <w:vAlign w:val="bottom"/>
            <w:tcBorders>
              <w:top w:val="single" w:sz="8" w:color="CCEEFF"/>
              <w:bottom w:val="single" w:sz="8" w:color="auto"/>
            </w:tcBorders>
          </w:tcPr>
          <w:p>
            <w:pPr>
              <w:spacing w:after="0"/>
              <w:rPr>
                <w:sz w:val="17"/>
                <w:szCs w:val="17"/>
                <w:color w:val="auto"/>
              </w:rPr>
            </w:pPr>
          </w:p>
        </w:tc>
        <w:tc>
          <w:tcPr>
            <w:tcW w:w="540" w:type="dxa"/>
            <w:vAlign w:val="bottom"/>
            <w:tcBorders>
              <w:top w:val="single" w:sz="8" w:color="CCEEFF"/>
              <w:bottom w:val="single" w:sz="8" w:color="auto"/>
            </w:tcBorders>
          </w:tcPr>
          <w:p>
            <w:pPr>
              <w:jc w:val="right"/>
              <w:ind w:right="35"/>
              <w:spacing w:after="0"/>
              <w:rPr>
                <w:sz w:val="20"/>
                <w:szCs w:val="20"/>
                <w:color w:val="auto"/>
              </w:rPr>
            </w:pPr>
            <w:r>
              <w:rPr>
                <w:rFonts w:ascii="Arial" w:cs="Arial" w:eastAsia="Arial" w:hAnsi="Arial"/>
                <w:sz w:val="17"/>
                <w:szCs w:val="17"/>
                <w:color w:val="auto"/>
              </w:rPr>
              <w:t>(910)</w:t>
            </w:r>
          </w:p>
        </w:tc>
        <w:tc>
          <w:tcPr>
            <w:tcW w:w="240" w:type="dxa"/>
            <w:vAlign w:val="bottom"/>
            <w:tcBorders>
              <w:top w:val="single" w:sz="8" w:color="CCEEFF"/>
              <w:bottom w:val="single" w:sz="8" w:color="auto"/>
            </w:tcBorders>
          </w:tcPr>
          <w:p>
            <w:pPr>
              <w:spacing w:after="0"/>
              <w:rPr>
                <w:sz w:val="17"/>
                <w:szCs w:val="17"/>
                <w:color w:val="auto"/>
              </w:rPr>
            </w:pPr>
          </w:p>
        </w:tc>
        <w:tc>
          <w:tcPr>
            <w:tcW w:w="5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r>
      <w:tr>
        <w:trPr>
          <w:trHeight w:val="245"/>
        </w:trPr>
        <w:tc>
          <w:tcPr>
            <w:tcW w:w="2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spacing w:after="0" w:line="185" w:lineRule="exact"/>
              <w:rPr>
                <w:sz w:val="20"/>
                <w:szCs w:val="20"/>
                <w:color w:val="auto"/>
              </w:rPr>
            </w:pPr>
            <w:r>
              <w:rPr>
                <w:rFonts w:ascii="Arial" w:cs="Arial" w:eastAsia="Arial" w:hAnsi="Arial"/>
                <w:sz w:val="17"/>
                <w:szCs w:val="17"/>
                <w:color w:val="auto"/>
              </w:rPr>
              <w:t>Total</w:t>
            </w:r>
          </w:p>
        </w:tc>
        <w:tc>
          <w:tcPr>
            <w:tcW w:w="48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ind w:right="35"/>
              <w:spacing w:after="0" w:line="185" w:lineRule="exact"/>
              <w:rPr>
                <w:sz w:val="20"/>
                <w:szCs w:val="20"/>
                <w:color w:val="auto"/>
              </w:rPr>
            </w:pPr>
            <w:r>
              <w:rPr>
                <w:rFonts w:ascii="Arial" w:cs="Arial" w:eastAsia="Arial" w:hAnsi="Arial"/>
                <w:sz w:val="17"/>
                <w:szCs w:val="17"/>
                <w:color w:val="auto"/>
                <w:w w:val="96"/>
              </w:rPr>
              <w:t>10,471</w:t>
            </w:r>
          </w:p>
        </w:tc>
        <w:tc>
          <w:tcPr>
            <w:tcW w:w="26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w w:val="96"/>
              </w:rPr>
              <w:t>(5,866)</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ind w:right="35"/>
              <w:spacing w:after="0" w:line="185" w:lineRule="exact"/>
              <w:rPr>
                <w:sz w:val="20"/>
                <w:szCs w:val="20"/>
                <w:color w:val="auto"/>
              </w:rPr>
            </w:pPr>
            <w:r>
              <w:rPr>
                <w:rFonts w:ascii="Arial" w:cs="Arial" w:eastAsia="Arial" w:hAnsi="Arial"/>
                <w:sz w:val="17"/>
                <w:szCs w:val="17"/>
                <w:color w:val="auto"/>
                <w:w w:val="93"/>
              </w:rPr>
              <w:t>1,831</w:t>
            </w:r>
          </w:p>
        </w:tc>
        <w:tc>
          <w:tcPr>
            <w:tcW w:w="24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w w:val="96"/>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of January 30, 2009, the company anticipates to reclassify approximately $7.3 million of gains from AOCI to earnings during the next twelve months.</w:t>
      </w:r>
    </w:p>
    <w:p>
      <w:pPr>
        <w:spacing w:after="0" w:line="32" w:lineRule="exact"/>
        <w:rPr>
          <w:sz w:val="20"/>
          <w:szCs w:val="20"/>
          <w:color w:val="auto"/>
        </w:rPr>
      </w:pPr>
    </w:p>
    <w:p>
      <w:pPr>
        <w:ind w:right="180" w:firstLine="210"/>
        <w:spacing w:after="0" w:line="293" w:lineRule="auto"/>
        <w:rPr>
          <w:sz w:val="20"/>
          <w:szCs w:val="20"/>
          <w:color w:val="auto"/>
        </w:rPr>
      </w:pPr>
      <w:r>
        <w:rPr>
          <w:rFonts w:ascii="Arial" w:cs="Arial" w:eastAsia="Arial" w:hAnsi="Arial"/>
          <w:sz w:val="15"/>
          <w:szCs w:val="15"/>
          <w:color w:val="auto"/>
        </w:rPr>
        <w:t>The company also enters into other foreign currency exchange contracts that are considered derivatives not designated as hedging instruments; therefore, changes in fair value of these instruments are recorded in other income, net. The objective for holding these contracts relates to transaction exposure (an economic exposure) related to currency risk. The company has various monetary items, such as cash, receivables, payables, intercompany notes, and other various contractual claims to pay or receive foreign currencies other than the functional currency. From the time the transactions are recorded to the time the transactions are settled, the company has a contractual risk affected by changes in the foreign currency exchange rate. To mitigate this risk, the company enters into foreign currency exchange contracts, primarily forward contracts, to offset the change in the underlying transaction due to changes in the foreign currency exchange rate.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type w:val="continuous"/>
        </w:sectPr>
      </w:pPr>
    </w:p>
    <w:bookmarkStart w:id="12" w:name="page13"/>
    <w:bookmarkEnd w:id="12"/>
    <w:p>
      <w:pPr>
        <w:ind w:right="600" w:firstLine="210"/>
        <w:spacing w:after="0" w:line="276" w:lineRule="auto"/>
        <w:rPr>
          <w:sz w:val="20"/>
          <w:szCs w:val="20"/>
          <w:color w:val="auto"/>
        </w:rPr>
      </w:pPr>
      <w:r>
        <w:rPr>
          <w:rFonts w:ascii="Arial" w:cs="Arial" w:eastAsia="Arial" w:hAnsi="Arial"/>
          <w:sz w:val="17"/>
          <w:szCs w:val="17"/>
          <w:color w:val="auto"/>
        </w:rPr>
        <w:t>The following table presents the impact of derivative instruments on the consolidated statement of earnings for the company’s derivatives not designated as hedging instruments.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58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Amount of Gain (Loss) Recognized</w:t>
            </w:r>
          </w:p>
        </w:tc>
        <w:tc>
          <w:tcPr>
            <w:tcW w:w="0" w:type="dxa"/>
            <w:vAlign w:val="bottom"/>
          </w:tcPr>
          <w:p>
            <w:pPr>
              <w:spacing w:after="0"/>
              <w:rPr>
                <w:sz w:val="1"/>
                <w:szCs w:val="1"/>
                <w:color w:val="auto"/>
              </w:rPr>
            </w:pPr>
          </w:p>
        </w:tc>
      </w:tr>
      <w:tr>
        <w:trPr>
          <w:trHeight w:val="205"/>
        </w:trPr>
        <w:tc>
          <w:tcPr>
            <w:tcW w:w="2300" w:type="dxa"/>
            <w:vAlign w:val="bottom"/>
          </w:tcPr>
          <w:p>
            <w:pPr>
              <w:spacing w:after="0"/>
              <w:rPr>
                <w:sz w:val="20"/>
                <w:szCs w:val="20"/>
                <w:color w:val="auto"/>
              </w:rPr>
            </w:pPr>
            <w:r>
              <w:rPr>
                <w:rFonts w:ascii="Arial" w:cs="Arial" w:eastAsia="Arial" w:hAnsi="Arial"/>
                <w:sz w:val="17"/>
                <w:szCs w:val="17"/>
                <w:color w:val="auto"/>
              </w:rPr>
              <w:t>Derivatives Not Designated</w:t>
            </w:r>
          </w:p>
        </w:tc>
        <w:tc>
          <w:tcPr>
            <w:tcW w:w="2340" w:type="dxa"/>
            <w:vAlign w:val="bottom"/>
          </w:tcPr>
          <w:p>
            <w:pPr>
              <w:jc w:val="center"/>
              <w:spacing w:after="0"/>
              <w:rPr>
                <w:sz w:val="20"/>
                <w:szCs w:val="20"/>
                <w:color w:val="auto"/>
              </w:rPr>
            </w:pPr>
            <w:r>
              <w:rPr>
                <w:rFonts w:ascii="Arial" w:cs="Arial" w:eastAsia="Arial" w:hAnsi="Arial"/>
                <w:sz w:val="17"/>
                <w:szCs w:val="17"/>
                <w:color w:val="auto"/>
                <w:w w:val="93"/>
              </w:rPr>
              <w:t>Location of Gain (Loss)</w:t>
            </w:r>
          </w:p>
        </w:tc>
        <w:tc>
          <w:tcPr>
            <w:tcW w:w="258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in Income on Derivatives</w:t>
            </w:r>
          </w:p>
        </w:tc>
        <w:tc>
          <w:tcPr>
            <w:tcW w:w="0" w:type="dxa"/>
            <w:vAlign w:val="bottom"/>
          </w:tcPr>
          <w:p>
            <w:pPr>
              <w:spacing w:after="0"/>
              <w:rPr>
                <w:sz w:val="1"/>
                <w:szCs w:val="1"/>
                <w:color w:val="auto"/>
              </w:rPr>
            </w:pPr>
          </w:p>
        </w:tc>
      </w:tr>
      <w:tr>
        <w:trPr>
          <w:trHeight w:val="205"/>
        </w:trPr>
        <w:tc>
          <w:tcPr>
            <w:tcW w:w="230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Arial" w:cs="Arial" w:eastAsia="Arial" w:hAnsi="Arial"/>
                <w:sz w:val="17"/>
                <w:szCs w:val="17"/>
                <w:color w:val="auto"/>
                <w:w w:val="90"/>
              </w:rPr>
              <w:t>Recognized in Income on</w:t>
            </w:r>
          </w:p>
        </w:tc>
        <w:tc>
          <w:tcPr>
            <w:tcW w:w="258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0"/>
              </w:rPr>
              <w:t>Three Months Ended,</w:t>
            </w:r>
          </w:p>
        </w:tc>
        <w:tc>
          <w:tcPr>
            <w:tcW w:w="0" w:type="dxa"/>
            <w:vAlign w:val="bottom"/>
          </w:tcPr>
          <w:p>
            <w:pPr>
              <w:spacing w:after="0"/>
              <w:rPr>
                <w:sz w:val="1"/>
                <w:szCs w:val="1"/>
                <w:color w:val="auto"/>
              </w:rPr>
            </w:pPr>
          </w:p>
        </w:tc>
      </w:tr>
      <w:tr>
        <w:trPr>
          <w:trHeight w:val="197"/>
        </w:trPr>
        <w:tc>
          <w:tcPr>
            <w:tcW w:w="2300" w:type="dxa"/>
            <w:vAlign w:val="bottom"/>
          </w:tcPr>
          <w:p>
            <w:pPr>
              <w:spacing w:after="0" w:line="192" w:lineRule="exact"/>
              <w:rPr>
                <w:sz w:val="20"/>
                <w:szCs w:val="20"/>
                <w:color w:val="auto"/>
              </w:rPr>
            </w:pPr>
            <w:r>
              <w:rPr>
                <w:rFonts w:ascii="Arial" w:cs="Arial" w:eastAsia="Arial" w:hAnsi="Arial"/>
                <w:sz w:val="17"/>
                <w:szCs w:val="17"/>
                <w:color w:val="auto"/>
              </w:rPr>
              <w:t>as Hedging Instruments</w:t>
            </w:r>
          </w:p>
        </w:tc>
        <w:tc>
          <w:tcPr>
            <w:tcW w:w="2340" w:type="dxa"/>
            <w:vAlign w:val="bottom"/>
          </w:tcPr>
          <w:p>
            <w:pPr>
              <w:jc w:val="center"/>
              <w:spacing w:after="0" w:line="192" w:lineRule="exact"/>
              <w:rPr>
                <w:sz w:val="20"/>
                <w:szCs w:val="20"/>
                <w:color w:val="auto"/>
              </w:rPr>
            </w:pPr>
            <w:r>
              <w:rPr>
                <w:rFonts w:ascii="Arial" w:cs="Arial" w:eastAsia="Arial" w:hAnsi="Arial"/>
                <w:sz w:val="17"/>
                <w:szCs w:val="17"/>
                <w:color w:val="auto"/>
                <w:w w:val="92"/>
              </w:rPr>
              <w:t>Derivatives</w:t>
            </w:r>
          </w:p>
        </w:tc>
        <w:tc>
          <w:tcPr>
            <w:tcW w:w="25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60" w:type="dxa"/>
            <w:vAlign w:val="bottom"/>
            <w:tcBorders>
              <w:top w:val="single" w:sz="8" w:color="auto"/>
            </w:tcBorders>
          </w:tcPr>
          <w:p>
            <w:pPr>
              <w:jc w:val="right"/>
              <w:ind w:right="195"/>
              <w:spacing w:after="0" w:line="193" w:lineRule="exact"/>
              <w:rPr>
                <w:sz w:val="20"/>
                <w:szCs w:val="20"/>
                <w:color w:val="auto"/>
              </w:rPr>
            </w:pPr>
            <w:r>
              <w:rPr>
                <w:rFonts w:ascii="Arial" w:cs="Arial" w:eastAsia="Arial" w:hAnsi="Arial"/>
                <w:sz w:val="17"/>
                <w:szCs w:val="17"/>
                <w:color w:val="auto"/>
              </w:rPr>
              <w:t>January</w:t>
            </w:r>
          </w:p>
        </w:tc>
        <w:tc>
          <w:tcPr>
            <w:tcW w:w="11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February 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20"/>
                <w:szCs w:val="20"/>
                <w:color w:val="auto"/>
              </w:rPr>
            </w:pPr>
            <w:r>
              <w:rPr>
                <w:rFonts w:ascii="Arial" w:cs="Arial" w:eastAsia="Arial" w:hAnsi="Arial"/>
                <w:sz w:val="17"/>
                <w:szCs w:val="17"/>
                <w:color w:val="auto"/>
              </w:rPr>
              <w:t>(Dollars in thousands)</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Income (Effective Portion)</w:t>
            </w:r>
          </w:p>
        </w:tc>
        <w:tc>
          <w:tcPr>
            <w:tcW w:w="14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30, 2009</w:t>
            </w: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3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300" w:type="dxa"/>
            <w:vAlign w:val="bottom"/>
            <w:tcBorders>
              <w:bottom w:val="single" w:sz="8" w:color="CCEEFF"/>
            </w:tcBorders>
            <w:shd w:val="clear" w:color="auto" w:fill="CCEEFF"/>
          </w:tcPr>
          <w:p>
            <w:pPr>
              <w:spacing w:after="0" w:line="185" w:lineRule="exact"/>
              <w:rPr>
                <w:sz w:val="20"/>
                <w:szCs w:val="20"/>
                <w:color w:val="auto"/>
              </w:rPr>
            </w:pPr>
            <w:r>
              <w:rPr>
                <w:rFonts w:ascii="Arial" w:cs="Arial" w:eastAsia="Arial" w:hAnsi="Arial"/>
                <w:sz w:val="17"/>
                <w:szCs w:val="17"/>
                <w:color w:val="auto"/>
              </w:rPr>
              <w:t>Foreign exchange contracts</w:t>
            </w:r>
          </w:p>
        </w:tc>
        <w:tc>
          <w:tcPr>
            <w:tcW w:w="2340" w:type="dxa"/>
            <w:vAlign w:val="bottom"/>
            <w:tcBorders>
              <w:bottom w:val="single" w:sz="8" w:color="CCEEFF"/>
            </w:tcBorders>
            <w:shd w:val="clear" w:color="auto" w:fill="CCEEFF"/>
          </w:tcPr>
          <w:p>
            <w:pPr>
              <w:spacing w:after="0" w:line="185" w:lineRule="exact"/>
              <w:rPr>
                <w:sz w:val="20"/>
                <w:szCs w:val="20"/>
                <w:color w:val="auto"/>
              </w:rPr>
            </w:pPr>
            <w:r>
              <w:rPr>
                <w:rFonts w:ascii="Arial" w:cs="Arial" w:eastAsia="Arial" w:hAnsi="Arial"/>
                <w:sz w:val="17"/>
                <w:szCs w:val="17"/>
                <w:color w:val="auto"/>
              </w:rPr>
              <w:t>Other income, net</w:t>
            </w:r>
          </w:p>
        </w:tc>
        <w:tc>
          <w:tcPr>
            <w:tcW w:w="1460" w:type="dxa"/>
            <w:vAlign w:val="bottom"/>
            <w:tcBorders>
              <w:bottom w:val="single" w:sz="8" w:color="auto"/>
            </w:tcBorders>
            <w:shd w:val="clear" w:color="auto" w:fill="CCEEFF"/>
          </w:tcPr>
          <w:p>
            <w:pPr>
              <w:jc w:val="right"/>
              <w:ind w:right="135"/>
              <w:spacing w:after="0" w:line="185" w:lineRule="exact"/>
              <w:rPr>
                <w:sz w:val="20"/>
                <w:szCs w:val="20"/>
                <w:color w:val="auto"/>
              </w:rPr>
            </w:pPr>
            <w:r>
              <w:rPr>
                <w:rFonts w:ascii="Arial" w:cs="Arial" w:eastAsia="Arial" w:hAnsi="Arial"/>
                <w:sz w:val="17"/>
                <w:szCs w:val="17"/>
                <w:color w:val="auto"/>
              </w:rPr>
              <w:t>$ 3,729</w:t>
            </w:r>
          </w:p>
        </w:tc>
        <w:tc>
          <w:tcPr>
            <w:tcW w:w="110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 (27)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243"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In September 2006, the FASB issued SFAS No. 157 “Fair Value Measurements.” SFAS No. 157 introduces a framework for measuring fair value and expands required disclosures about fair value measurements of assets and liabilities. The company adopted the standard for financial assets and liabilities and nonfinancial assets and liabilities measured at fair value on a recurring basis as of November 1, 2008, and there was no financial statement impact resulting from the adoption. We will adopt the provisions of SFAS No. 157 for nonfinancial assets and liabilities that are not required or permitted to be measured on a recurring basis during the first quarter of fiscal 2010, as required.</w:t>
      </w:r>
    </w:p>
    <w:p>
      <w:pPr>
        <w:ind w:right="380" w:firstLine="213"/>
        <w:spacing w:after="0" w:line="251" w:lineRule="auto"/>
        <w:rPr>
          <w:sz w:val="20"/>
          <w:szCs w:val="20"/>
          <w:color w:val="auto"/>
        </w:rPr>
      </w:pPr>
      <w:r>
        <w:rPr>
          <w:rFonts w:ascii="Arial" w:cs="Arial" w:eastAsia="Arial" w:hAnsi="Arial"/>
          <w:sz w:val="17"/>
          <w:szCs w:val="17"/>
          <w:color w:val="auto"/>
        </w:rPr>
        <w:t>SFAS No. 157 defines fair value as the exchange price that would be received for an asset or paid to transfer a liability (an exit price) in the principal or most advantageous market for the asset or liability in an orderly transaction between market participants on the measurement date. SFAS No. 157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Level 1 — Quoted prices in active markets for identical assets or liabilities.</w:t>
      </w:r>
    </w:p>
    <w:p>
      <w:pPr>
        <w:spacing w:after="0" w:line="9" w:lineRule="exact"/>
        <w:rPr>
          <w:sz w:val="20"/>
          <w:szCs w:val="20"/>
          <w:color w:val="auto"/>
        </w:rPr>
      </w:pPr>
    </w:p>
    <w:p>
      <w:pPr>
        <w:ind w:right="300" w:firstLine="128"/>
        <w:spacing w:after="0" w:line="251" w:lineRule="auto"/>
        <w:rPr>
          <w:sz w:val="20"/>
          <w:szCs w:val="20"/>
          <w:color w:val="auto"/>
        </w:rPr>
      </w:pPr>
      <w:r>
        <w:rPr>
          <w:rFonts w:ascii="Arial" w:cs="Arial" w:eastAsia="Arial" w:hAnsi="Arial"/>
          <w:sz w:val="17"/>
          <w:szCs w:val="17"/>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ind w:left="14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9" w:lineRule="exact"/>
        <w:rPr>
          <w:sz w:val="20"/>
          <w:szCs w:val="20"/>
          <w:color w:val="auto"/>
        </w:rPr>
      </w:pPr>
    </w:p>
    <w:p>
      <w:pPr>
        <w:ind w:right="500" w:firstLine="210"/>
        <w:spacing w:after="0" w:line="251" w:lineRule="auto"/>
        <w:rPr>
          <w:sz w:val="20"/>
          <w:szCs w:val="20"/>
          <w:color w:val="auto"/>
        </w:rPr>
      </w:pPr>
      <w:r>
        <w:rPr>
          <w:rFonts w:ascii="Arial" w:cs="Arial" w:eastAsia="Arial" w:hAnsi="Arial"/>
          <w:sz w:val="17"/>
          <w:szCs w:val="17"/>
          <w:color w:val="auto"/>
        </w:rPr>
        <w:t>The company utilizes the income approach to measure the fair value of its foreign currency contracts. The income approach uses significant other observable inputs to value derivative instruments that hedge foreign currency transactions.</w:t>
      </w:r>
    </w:p>
    <w:p>
      <w:pPr>
        <w:ind w:left="200"/>
        <w:spacing w:after="0"/>
        <w:rPr>
          <w:sz w:val="20"/>
          <w:szCs w:val="20"/>
          <w:color w:val="auto"/>
        </w:rPr>
      </w:pPr>
      <w:r>
        <w:rPr>
          <w:rFonts w:ascii="Arial" w:cs="Arial" w:eastAsia="Arial" w:hAnsi="Arial"/>
          <w:sz w:val="17"/>
          <w:szCs w:val="17"/>
          <w:color w:val="auto"/>
        </w:rPr>
        <w:t>Assets and liabilities measured at fair value on a recurring basis, as of January 30, 2009, are summarized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20"/>
                <w:szCs w:val="20"/>
                <w:color w:val="auto"/>
              </w:rPr>
            </w:pPr>
            <w:r>
              <w:rPr>
                <w:rFonts w:ascii="Arial" w:cs="Arial" w:eastAsia="Arial" w:hAnsi="Arial"/>
                <w:sz w:val="17"/>
                <w:szCs w:val="17"/>
                <w:color w:val="auto"/>
              </w:rPr>
              <w:t>(Dollars in thousands)</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Level 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Level 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Level 3</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9"/>
                <w:szCs w:val="19"/>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contracts, net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10,029</w:t>
            </w:r>
          </w:p>
        </w:tc>
      </w:tr>
      <w:tr>
        <w:trPr>
          <w:trHeight w:val="26"/>
        </w:trPr>
        <w:tc>
          <w:tcPr>
            <w:tcW w:w="6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60" w:type="dxa"/>
            <w:vAlign w:val="bottom"/>
          </w:tcPr>
          <w:p>
            <w:pPr>
              <w:ind w:left="1720"/>
              <w:spacing w:after="0"/>
              <w:rPr>
                <w:sz w:val="20"/>
                <w:szCs w:val="20"/>
                <w:color w:val="auto"/>
              </w:rPr>
            </w:pPr>
            <w:r>
              <w:rPr>
                <w:rFonts w:ascii="Arial" w:cs="Arial" w:eastAsia="Arial" w:hAnsi="Arial"/>
                <w:sz w:val="17"/>
                <w:szCs w:val="17"/>
                <w:color w:val="auto"/>
              </w:rPr>
              <w:t>Total</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10,029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10,029</w:t>
            </w:r>
          </w:p>
        </w:tc>
      </w:tr>
      <w:tr>
        <w:trPr>
          <w:trHeight w:val="20"/>
        </w:trPr>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243" w:lineRule="exact"/>
        <w:rPr>
          <w:sz w:val="20"/>
          <w:szCs w:val="20"/>
          <w:color w:val="auto"/>
        </w:rPr>
      </w:pPr>
    </w:p>
    <w:p>
      <w:pPr>
        <w:jc w:val="both"/>
        <w:ind w:right="160"/>
        <w:spacing w:after="0" w:line="290" w:lineRule="auto"/>
        <w:rPr>
          <w:sz w:val="20"/>
          <w:szCs w:val="20"/>
          <w:color w:val="auto"/>
        </w:rPr>
      </w:pPr>
      <w:r>
        <w:rPr>
          <w:rFonts w:ascii="Arial" w:cs="Arial" w:eastAsia="Arial" w:hAnsi="Arial"/>
          <w:sz w:val="15"/>
          <w:szCs w:val="15"/>
          <w:b w:val="1"/>
          <w:bCs w:val="1"/>
          <w:i w:val="1"/>
          <w:iCs w:val="1"/>
          <w:color w:val="auto"/>
        </w:rPr>
        <w:t xml:space="preserve">General. </w:t>
      </w:r>
      <w:r>
        <w:rPr>
          <w:rFonts w:ascii="Arial" w:cs="Arial" w:eastAsia="Arial" w:hAnsi="Arial"/>
          <w:sz w:val="15"/>
          <w:szCs w:val="15"/>
          <w:color w:val="auto"/>
        </w:rPr>
        <w:t>The company is party to litigation in the ordinary course of business. Litigation occasionally involves claims for punitive as well as compensatory damages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arising out of use of the company’s products. Although the company is self-insured to some extent, the company maintains insurance against certain product liability losses. The company is also subject to administrative proceedings with respect to claims involving the discharge of hazardous substances into the environment.</w:t>
      </w:r>
    </w:p>
    <w:p>
      <w:pPr>
        <w:ind w:right="160"/>
        <w:spacing w:after="0" w:line="253" w:lineRule="auto"/>
        <w:rPr>
          <w:sz w:val="20"/>
          <w:szCs w:val="20"/>
          <w:color w:val="auto"/>
        </w:rPr>
      </w:pPr>
      <w:r>
        <w:rPr>
          <w:rFonts w:ascii="Arial" w:cs="Arial" w:eastAsia="Arial" w:hAnsi="Arial"/>
          <w:sz w:val="17"/>
          <w:szCs w:val="17"/>
          <w:color w:val="auto"/>
        </w:rPr>
        <w:t>Some of these claims assert damages and liability for remedial investigations and clean up costs. The company is also typically involved in commercial disputes, employment disputes, and patent litigation cases in the ordinary course of business.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 The company is currently involved in patent litigation cases, both where it is asserting patents and where it is defending against charges of infringement.</w:t>
      </w:r>
    </w:p>
    <w:p>
      <w:pPr>
        <w:spacing w:after="0" w:line="200" w:lineRule="exact"/>
        <w:rPr>
          <w:sz w:val="20"/>
          <w:szCs w:val="20"/>
          <w:color w:val="auto"/>
        </w:rPr>
      </w:pPr>
    </w:p>
    <w:p>
      <w:pPr>
        <w:spacing w:after="0" w:line="241"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b w:val="1"/>
          <w:bCs w:val="1"/>
          <w:i w:val="1"/>
          <w:iCs w:val="1"/>
          <w:color w:val="auto"/>
        </w:rPr>
        <w:t xml:space="preserve">Lawnmower Engine Horsepower Marketing and Sales Practices Litigation. </w:t>
      </w:r>
      <w:r>
        <w:rPr>
          <w:rFonts w:ascii="Arial" w:cs="Arial" w:eastAsia="Arial" w:hAnsi="Arial"/>
          <w:sz w:val="17"/>
          <w:szCs w:val="17"/>
          <w:color w:val="auto"/>
        </w:rPr>
        <w:t>In June 2004, individuals who claim to have purchased lawnmowers in Illinois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Minnesota filed a class action lawsuit in Illinois state court against the company and other defendants alleging that the horsepower labels on the products the plaintiffs purchased were inaccurate. Those individuals later amended their complaint to add additional plaintiffs and an additional defendant. The plaintiffs asserted violations of the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3" w:name="page14"/>
    <w:bookmarkEnd w:id="13"/>
    <w:p>
      <w:pPr>
        <w:ind w:right="20"/>
        <w:spacing w:after="0" w:line="254" w:lineRule="auto"/>
        <w:rPr>
          <w:sz w:val="20"/>
          <w:szCs w:val="20"/>
          <w:color w:val="auto"/>
        </w:rPr>
      </w:pPr>
      <w:r>
        <w:rPr>
          <w:rFonts w:ascii="Arial" w:cs="Arial" w:eastAsia="Arial" w:hAnsi="Arial"/>
          <w:sz w:val="17"/>
          <w:szCs w:val="17"/>
          <w:color w:val="auto"/>
        </w:rPr>
        <w:t>federal Racketeer Influenced and Corrupt Organizations Act (“RICO”) and state statutory and common law claims. The plaintiffs sought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also sought an injunction, unspecified compensatory and punitive damages, treble damages under RICO, and attorneys’ fees.</w:t>
      </w:r>
    </w:p>
    <w:p>
      <w:pPr>
        <w:spacing w:after="0" w:line="2" w:lineRule="exact"/>
        <w:rPr>
          <w:sz w:val="20"/>
          <w:szCs w:val="20"/>
          <w:color w:val="auto"/>
        </w:rPr>
      </w:pPr>
    </w:p>
    <w:p>
      <w:pPr>
        <w:ind w:firstLine="213"/>
        <w:spacing w:after="0" w:line="251" w:lineRule="auto"/>
        <w:rPr>
          <w:sz w:val="20"/>
          <w:szCs w:val="20"/>
          <w:color w:val="auto"/>
        </w:rPr>
      </w:pPr>
      <w:r>
        <w:rPr>
          <w:rFonts w:ascii="Arial" w:cs="Arial" w:eastAsia="Arial" w:hAnsi="Arial"/>
          <w:sz w:val="17"/>
          <w:szCs w:val="17"/>
          <w:color w:val="auto"/>
        </w:rPr>
        <w:t>In May 2006, the case was removed to federal court in the Southern District of Illinois. In August 2006, the company, together with the other defendants other than MTD Products Inc. (“MTD”), filed a motion to dismiss the amended complaint. Also in August 2006, the plaintiffs filed a motion for preliminary approval of a settlement agreement with MTD and certification of a settlement class. In December 2006, another defendant, American Honda Motor Company (“Honda”), notified the company that it had reached a settlement agreement with the plaintiffs.</w:t>
      </w:r>
    </w:p>
    <w:p>
      <w:pPr>
        <w:spacing w:after="0" w:line="1" w:lineRule="exact"/>
        <w:rPr>
          <w:sz w:val="20"/>
          <w:szCs w:val="20"/>
          <w:color w:val="auto"/>
        </w:rPr>
      </w:pPr>
    </w:p>
    <w:p>
      <w:pPr>
        <w:ind w:right="120" w:firstLine="213"/>
        <w:spacing w:after="0" w:line="251" w:lineRule="auto"/>
        <w:rPr>
          <w:sz w:val="20"/>
          <w:szCs w:val="20"/>
          <w:color w:val="auto"/>
        </w:rPr>
      </w:pPr>
      <w:r>
        <w:rPr>
          <w:rFonts w:ascii="Arial" w:cs="Arial" w:eastAsia="Arial" w:hAnsi="Arial"/>
          <w:sz w:val="17"/>
          <w:szCs w:val="17"/>
          <w:color w:val="auto"/>
        </w:rPr>
        <w:t>In May 2008, the court issued a memorandum and order that (i) dismissed the RICO claim in its entirety with prejudice; (ii) dismissed all non-Illinois state-law claims without prejudice and with instructions that such claims must be filed in local courts; and (iii) rejected the proposed settlement with MTD. The proposed Honda settlement was not under consideration by the court and was not addressed in the memorandum and order. Also in May 2008, the plaintiffs (i) re-filed the Illinois claims with the court; and (ii) filed non-Illinois claims in federal courts in the District of New Jersey and the Northern District of California with essentially the same state law claims.</w:t>
      </w:r>
    </w:p>
    <w:p>
      <w:pPr>
        <w:spacing w:after="0" w:line="1" w:lineRule="exact"/>
        <w:rPr>
          <w:sz w:val="20"/>
          <w:szCs w:val="20"/>
          <w:color w:val="auto"/>
        </w:rPr>
      </w:pPr>
    </w:p>
    <w:p>
      <w:pPr>
        <w:ind w:right="80" w:firstLine="213"/>
        <w:spacing w:after="0" w:line="251" w:lineRule="auto"/>
        <w:rPr>
          <w:sz w:val="20"/>
          <w:szCs w:val="20"/>
          <w:color w:val="auto"/>
        </w:rPr>
      </w:pPr>
      <w:r>
        <w:rPr>
          <w:rFonts w:ascii="Arial" w:cs="Arial" w:eastAsia="Arial" w:hAnsi="Arial"/>
          <w:sz w:val="17"/>
          <w:szCs w:val="17"/>
          <w:color w:val="auto"/>
        </w:rPr>
        <w:t>In June 2008, the plaintiffs filed a motion with the United States Judicial Panel on Multidistrict Litigation (the “MDL Panel”) that (i) stated their intent to file lawsuits in all 50 states and the District of Columbia; and (ii) sought to have all of the cases transferred for coordinated pretrial proceedings. In August 2008, the MDL Panel issued an order denying the transfer request. New lawsuits, some of which include new plaintiffs, were filed in various federal and state courts asserting essentially the same state law claims.</w:t>
      </w:r>
    </w:p>
    <w:p>
      <w:pPr>
        <w:spacing w:after="0" w:line="1" w:lineRule="exact"/>
        <w:rPr>
          <w:sz w:val="20"/>
          <w:szCs w:val="20"/>
          <w:color w:val="auto"/>
        </w:rPr>
      </w:pPr>
    </w:p>
    <w:p>
      <w:pPr>
        <w:jc w:val="both"/>
        <w:ind w:firstLine="213"/>
        <w:spacing w:after="0" w:line="266" w:lineRule="auto"/>
        <w:rPr>
          <w:sz w:val="20"/>
          <w:szCs w:val="20"/>
          <w:color w:val="auto"/>
        </w:rPr>
      </w:pPr>
      <w:r>
        <w:rPr>
          <w:rFonts w:ascii="Arial" w:cs="Arial" w:eastAsia="Arial" w:hAnsi="Arial"/>
          <w:sz w:val="16"/>
          <w:szCs w:val="16"/>
          <w:color w:val="auto"/>
        </w:rPr>
        <w:t>In September 2008, the company and other defendants filed a new motion with the MDL Panel that sought to transfer the multiple actions for coordinated pretrial proceedings. In early December 2008, the MDL Panel issued an order that (i) transferred 23 lawsuits, which collectively assert claims under the laws of 16 states, for coordinated or consolidated pretrial proceedings, (ii) selected the United States District Court for the Eastern District of Wisconsin as the transferee district, and (iii) provided that additional lawsuits will be treated as “tag-along” actions in accordance with its rules.</w:t>
      </w:r>
    </w:p>
    <w:p>
      <w:pPr>
        <w:spacing w:after="0" w:line="3" w:lineRule="exact"/>
        <w:rPr>
          <w:sz w:val="20"/>
          <w:szCs w:val="20"/>
          <w:color w:val="auto"/>
        </w:rPr>
      </w:pPr>
    </w:p>
    <w:p>
      <w:pPr>
        <w:ind w:right="200" w:firstLine="204"/>
        <w:spacing w:after="0" w:line="251" w:lineRule="auto"/>
        <w:rPr>
          <w:sz w:val="20"/>
          <w:szCs w:val="20"/>
          <w:color w:val="auto"/>
        </w:rPr>
      </w:pPr>
      <w:r>
        <w:rPr>
          <w:rFonts w:ascii="Arial" w:cs="Arial" w:eastAsia="Arial" w:hAnsi="Arial"/>
          <w:sz w:val="17"/>
          <w:szCs w:val="17"/>
          <w:color w:val="auto"/>
        </w:rPr>
        <w:t>An initial hearing was held in the United States District Court for the Eastern District of Wisconsin on January 27, 2009. At the initial hearing, the Court (i) appointed lead plaintiffs’ counsel, and (ii) entered a stay of all litigation for 120 days so that the parties may explore mediation. The Court set May 28, 2009 as the next date on which the parties will report on the status of the cases. To date, more than 60 lawsuits have been filed in various federal and state courts, which collectively assert claims under the laws of approximately 48 states.</w:t>
      </w:r>
    </w:p>
    <w:p>
      <w:pPr>
        <w:spacing w:after="0" w:line="1" w:lineRule="exact"/>
        <w:rPr>
          <w:sz w:val="20"/>
          <w:szCs w:val="20"/>
          <w:color w:val="auto"/>
        </w:rPr>
      </w:pPr>
    </w:p>
    <w:p>
      <w:pPr>
        <w:ind w:right="100" w:firstLine="213"/>
        <w:spacing w:after="0" w:line="275" w:lineRule="auto"/>
        <w:rPr>
          <w:sz w:val="20"/>
          <w:szCs w:val="20"/>
          <w:color w:val="auto"/>
        </w:rPr>
      </w:pPr>
      <w:r>
        <w:rPr>
          <w:rFonts w:ascii="Arial" w:cs="Arial" w:eastAsia="Arial" w:hAnsi="Arial"/>
          <w:sz w:val="16"/>
          <w:szCs w:val="16"/>
          <w:color w:val="auto"/>
        </w:rPr>
        <w:t>Management continues to evaluate these lawsuits and is unable to reasonably estimate the likelihood of loss or the amount or range of potential loss that could result from the litigation. Therefore, no accrual has been established for potential loss in connection with these lawsuits. Management is also unable to assess at this time whether these lawsuits will have a material adverse effect on the company’s annual consolidated operating results or financial condition, although an unfavorable resolution could be material to the company’s consolidated operating results for a particular period.</w:t>
      </w:r>
    </w:p>
    <w:p>
      <w:pPr>
        <w:spacing w:after="0" w:line="194"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b w:val="1"/>
          <w:bCs w:val="1"/>
          <w:i w:val="1"/>
          <w:iCs w:val="1"/>
          <w:color w:val="auto"/>
        </w:rPr>
        <w:t xml:space="preserve">Textron Innovations Inc. v. The Toro Company; The Toro Company v. Textron Inc. and Jacobsen. </w:t>
      </w:r>
      <w:r>
        <w:rPr>
          <w:rFonts w:ascii="Arial" w:cs="Arial" w:eastAsia="Arial" w:hAnsi="Arial"/>
          <w:sz w:val="17"/>
          <w:szCs w:val="17"/>
          <w:color w:val="auto"/>
        </w:rPr>
        <w:t>In July 2005, Textron Innovations Inc., the patent holding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of Textron, Inc., filed a lawsuit in Delaware Federal District Court against the company for patent infringement. Textron alleges that the company willfully infringed certain claims of three Textron patents by selling our Groundsmaster® commercial mowers. Textron seeks damages for the company’s past sales and an injunction against future infringement. In August and November 2005, management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management filed with the USPTO to have Textron’s patents reexamined. The reexamination proceedings are pending in the USPTO, and all of the claims asserted against the company in all three patents stand rejected. In April 2007, the Court granted our motion to stay the litigation and, in June 2007, denied Textron’s motion for reconsideration of the Court’s order staying the proceedings.</w:t>
      </w:r>
    </w:p>
    <w:p>
      <w:pPr>
        <w:spacing w:after="0" w:line="6" w:lineRule="exact"/>
        <w:rPr>
          <w:sz w:val="20"/>
          <w:szCs w:val="20"/>
          <w:color w:val="auto"/>
        </w:rPr>
      </w:pPr>
    </w:p>
    <w:p>
      <w:pPr>
        <w:jc w:val="both"/>
        <w:ind w:right="200" w:firstLine="213"/>
        <w:spacing w:after="0" w:line="255" w:lineRule="auto"/>
        <w:rPr>
          <w:sz w:val="20"/>
          <w:szCs w:val="20"/>
          <w:color w:val="auto"/>
        </w:rPr>
      </w:pPr>
      <w:r>
        <w:rPr>
          <w:rFonts w:ascii="Arial" w:cs="Arial" w:eastAsia="Arial" w:hAnsi="Arial"/>
          <w:sz w:val="17"/>
          <w:szCs w:val="17"/>
          <w:color w:val="auto"/>
        </w:rPr>
        <w:t>Management continues to evaluate these lawsuits and is unable to reasonably estimate the likelihood of loss or the amount or range of potential loss that could result from the litigation. Therefore, no accrual has been established for potential loss in connection with these lawsuits. While management does not believe that these lawsuits will have a material adverse effect on the company’s consolidated financial condition, an unfavorable resolution could be material to the company’s consolidated operating results.</w:t>
      </w:r>
    </w:p>
    <w:p>
      <w:pPr>
        <w:spacing w:after="0" w:line="200" w:lineRule="exact"/>
        <w:rPr>
          <w:sz w:val="20"/>
          <w:szCs w:val="20"/>
          <w:color w:val="auto"/>
        </w:rPr>
      </w:pP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80"/>
          </w:cols>
          <w:pgMar w:left="240" w:top="498" w:right="379" w:bottom="1440" w:gutter="0" w:footer="0" w:header="0"/>
        </w:sectPr>
      </w:pPr>
    </w:p>
    <w:bookmarkStart w:id="14" w:name="page15"/>
    <w:bookmarkEnd w:id="14"/>
    <w:p>
      <w:pPr>
        <w:jc w:val="center"/>
        <w:ind w:right="140"/>
        <w:spacing w:after="0"/>
        <w:rPr>
          <w:sz w:val="20"/>
          <w:szCs w:val="20"/>
          <w:color w:val="auto"/>
        </w:rPr>
      </w:pPr>
      <w:r>
        <w:rPr>
          <w:rFonts w:ascii="Arial" w:cs="Arial" w:eastAsia="Arial" w:hAnsi="Arial"/>
          <w:sz w:val="20"/>
          <w:szCs w:val="20"/>
          <w:b w:val="1"/>
          <w:bCs w:val="1"/>
          <w:color w:val="auto"/>
        </w:rPr>
        <w:t>Item 2. MANAGEMENT'S DISCUSSION AND ANALYSIS OF FINANCIAL CONDITION</w:t>
      </w:r>
    </w:p>
    <w:p>
      <w:pPr>
        <w:spacing w:after="0" w:line="22"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Nature of Operations</w:t>
      </w:r>
    </w:p>
    <w:p>
      <w:pPr>
        <w:spacing w:after="0" w:line="243"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and services, turf and agricultural micro-irrigation systems, landscaping equipment, and residential yard and irrigation products worldwide. We sell our products through a network of distributors, dealers, hardware retailers, home centers, mass retailers, and over the Internet. Our businesses are organized into two reportable business segments: professional and residential. A third segment called “other” consists of a company-owned domestic distributorship and corporate activities, including corporate financing activities. Our emphasis is to provide innovative, well-built, and dependable products supported by an extensive service network. A significant portion of our revenues has historically been, and we expect it to continue to be, attributable to new and enhanced products.</w:t>
      </w:r>
    </w:p>
    <w:p>
      <w:pPr>
        <w:spacing w:after="0" w:line="2" w:lineRule="exact"/>
        <w:rPr>
          <w:sz w:val="20"/>
          <w:szCs w:val="20"/>
          <w:color w:val="auto"/>
        </w:rPr>
      </w:pPr>
    </w:p>
    <w:p>
      <w:pPr>
        <w:ind w:right="560" w:firstLine="210"/>
        <w:spacing w:after="0" w:line="262" w:lineRule="auto"/>
        <w:rPr>
          <w:sz w:val="20"/>
          <w:szCs w:val="20"/>
          <w:color w:val="auto"/>
        </w:rPr>
      </w:pPr>
      <w:r>
        <w:rPr>
          <w:rFonts w:ascii="Arial" w:cs="Arial" w:eastAsia="Arial" w:hAnsi="Arial"/>
          <w:sz w:val="17"/>
          <w:szCs w:val="17"/>
          <w:color w:val="auto"/>
        </w:rPr>
        <w:t>The Management’s Discussion and Analysis of Financial Condition and Results of Operations (MD&amp;A) for the first quarter of fiscal 2009 should be read in conjunction with the MD&amp;A included in our Annual Report on Form 10-K for the fiscal year ended October 31, 2008.</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For the first quarter of fiscal 2009, our net sales were down 16.2 percent, as compared to the first quarter of fiscal 2008. Shipments of most professional segment products were down due to decreased demand and customers’ reluctance to place orders as a result of the global recessionary conditions. International sales were also down 17.7 percent, as compared to the first quarter of fiscal 2008, due also to the recessionary conditions affecting key international markets, as well as a stronger U.S. dollar that negatively impacted net sales by approximately $12 million. Partially offsetting the sales decline was a slight increase in residential segment sales of 0.7 percent for the quarter comparison, led by strong demand of snow thrower products and additional product placement for a new line of walk power mowers. Our net earnings declined 63.9 percent for the first quarter of fiscal 2009 to $6.7 million, compared to the first quarter of fiscal 2008. This decrease was primarily the result of lower sales volumes and lower gross margin due to production cuts, unfavorable product mix, and higher commodity costs in the first quarter of fiscal 2009 compared to the same period last fiscal year.</w:t>
      </w:r>
    </w:p>
    <w:p>
      <w:pPr>
        <w:jc w:val="both"/>
        <w:ind w:right="440" w:firstLine="213"/>
        <w:spacing w:after="0" w:line="284" w:lineRule="auto"/>
        <w:rPr>
          <w:sz w:val="20"/>
          <w:szCs w:val="20"/>
          <w:color w:val="auto"/>
        </w:rPr>
      </w:pPr>
      <w:r>
        <w:rPr>
          <w:rFonts w:ascii="Arial" w:cs="Arial" w:eastAsia="Arial" w:hAnsi="Arial"/>
          <w:sz w:val="15"/>
          <w:szCs w:val="15"/>
          <w:color w:val="auto"/>
        </w:rPr>
        <w:t>During this tough economic environment, we have been reducing expenses and continuing efforts to reduce working capital. As a result of these actions, our selling, general, and administrative (SG&amp;A) expenses were down 10.7 percent and our inventory levels decreased 19.3 percent for the first quarter of fiscal 2009 compared to the first quarter of fiscal 2008, which also contributed to a decline in short-term debt of $60.8 million as of the end of the first quarter of fiscal 2009 compared to the end of the first quarter of fiscal 2008. We also declared a cash dividend of $0.15 per share during the first quarter of fiscal 2009.</w:t>
      </w:r>
    </w:p>
    <w:p>
      <w:pPr>
        <w:spacing w:after="0" w:line="2" w:lineRule="exact"/>
        <w:rPr>
          <w:sz w:val="20"/>
          <w:szCs w:val="20"/>
          <w:color w:val="auto"/>
        </w:rPr>
      </w:pPr>
    </w:p>
    <w:p>
      <w:pPr>
        <w:ind w:right="20" w:firstLine="210"/>
        <w:spacing w:after="0" w:line="266" w:lineRule="auto"/>
        <w:rPr>
          <w:sz w:val="20"/>
          <w:szCs w:val="20"/>
          <w:color w:val="auto"/>
        </w:rPr>
      </w:pPr>
      <w:r>
        <w:rPr>
          <w:rFonts w:ascii="Arial" w:cs="Arial" w:eastAsia="Arial" w:hAnsi="Arial"/>
          <w:sz w:val="16"/>
          <w:szCs w:val="16"/>
          <w:color w:val="auto"/>
        </w:rPr>
        <w:t>We expect the global recession to continue for at least the remainder of our fiscal year and, given the ongoing deteriorating economic conditions, our financial results for the remainder of the fiscal year are particularly uncertain. However, we believe we are well positioned to manage through this challenging environment because of actions we have taken to improve operating efficiency and asset utilization, as well as reducing expenses. On February 11, 2009, we announced the reduction of our worldwide salaried and office workforce by approximately 100 employees, suspension of regularly scheduled salary increases, a reduction of officers’ salaries, changes in our vacation policy, and four furlough days – all for the remainder of fiscal 2009.</w:t>
      </w:r>
    </w:p>
    <w:p>
      <w:pPr>
        <w:spacing w:after="0" w:line="4" w:lineRule="exact"/>
        <w:rPr>
          <w:sz w:val="20"/>
          <w:szCs w:val="20"/>
          <w:color w:val="auto"/>
        </w:rPr>
      </w:pPr>
    </w:p>
    <w:p>
      <w:pPr>
        <w:ind w:right="140" w:firstLine="213"/>
        <w:spacing w:after="0" w:line="254" w:lineRule="auto"/>
        <w:rPr>
          <w:sz w:val="20"/>
          <w:szCs w:val="20"/>
          <w:color w:val="auto"/>
        </w:rPr>
      </w:pPr>
      <w:r>
        <w:rPr>
          <w:rFonts w:ascii="Arial" w:cs="Arial" w:eastAsia="Arial" w:hAnsi="Arial"/>
          <w:sz w:val="17"/>
          <w:szCs w:val="17"/>
          <w:color w:val="auto"/>
        </w:rPr>
        <w:t>Our net sales and earnings for the first quarter of our fiscal year are typically lower than other quarters; therefore, the results of our first quarter are not necessarily an indicator of spring season sales trends. Our focus as we enter our peak selling season is on generating customer demand for our innovative new products, while keeping production closely aligned with expected shipment volumes. We will continue to keep a cautionary eye on the global economies, retail demand, field inventory levels, commodity prices, weather, competitive actions, and other factors identified below under the heading “Forward-Looking Information,” which could cause our actual results to differ from our outlook.</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Net Earnings</w:t>
      </w:r>
    </w:p>
    <w:p>
      <w:pPr>
        <w:spacing w:after="0" w:line="243" w:lineRule="exact"/>
        <w:rPr>
          <w:sz w:val="20"/>
          <w:szCs w:val="20"/>
          <w:color w:val="auto"/>
        </w:rPr>
      </w:pPr>
    </w:p>
    <w:p>
      <w:pPr>
        <w:jc w:val="both"/>
        <w:ind w:right="540"/>
        <w:spacing w:after="0" w:line="271" w:lineRule="auto"/>
        <w:rPr>
          <w:sz w:val="20"/>
          <w:szCs w:val="20"/>
          <w:color w:val="auto"/>
        </w:rPr>
      </w:pPr>
      <w:r>
        <w:rPr>
          <w:rFonts w:ascii="Arial" w:cs="Arial" w:eastAsia="Arial" w:hAnsi="Arial"/>
          <w:sz w:val="16"/>
          <w:szCs w:val="16"/>
          <w:color w:val="auto"/>
        </w:rPr>
        <w:t>Net earnings for the first quarter of fiscal 2009 were $6.7 million, or $0.18 per diluted share, compared to $18.6 million, or $0.47 per diluted share, for the first quarter of fiscal 2008, net earnings per diluted share decrease of 61.7 percent. The primary factors contributing to this decrease were lower sales volumes and a decline in gross profit, somewhat offset by a decrease in SG&amp;A expense and a lower effective tax rate.</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the major operating costs and other income as a percentage of net sales: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60" w:type="dxa"/>
            <w:vAlign w:val="bottom"/>
          </w:tcPr>
          <w:p>
            <w:pPr>
              <w:spacing w:after="0"/>
              <w:rPr>
                <w:sz w:val="19"/>
                <w:szCs w:val="19"/>
                <w:color w:val="auto"/>
              </w:rPr>
            </w:pPr>
          </w:p>
        </w:tc>
        <w:tc>
          <w:tcPr>
            <w:tcW w:w="2660" w:type="dxa"/>
            <w:vAlign w:val="bottom"/>
            <w:gridSpan w:val="4"/>
          </w:tcPr>
          <w:p>
            <w:pPr>
              <w:jc w:val="right"/>
              <w:ind w:right="680"/>
              <w:spacing w:after="0"/>
              <w:rPr>
                <w:sz w:val="20"/>
                <w:szCs w:val="20"/>
                <w:color w:val="auto"/>
              </w:rPr>
            </w:pPr>
            <w:r>
              <w:rPr>
                <w:rFonts w:ascii="Arial" w:cs="Arial" w:eastAsia="Arial" w:hAnsi="Arial"/>
                <w:sz w:val="17"/>
                <w:szCs w:val="17"/>
                <w:color w:val="auto"/>
              </w:rPr>
              <w:t>Three Months Ended</w:t>
            </w:r>
          </w:p>
        </w:tc>
      </w:tr>
      <w:tr>
        <w:trPr>
          <w:trHeight w:val="192"/>
        </w:trPr>
        <w:tc>
          <w:tcPr>
            <w:tcW w:w="876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20"/>
              <w:spacing w:after="0" w:line="193" w:lineRule="exact"/>
              <w:rPr>
                <w:sz w:val="20"/>
                <w:szCs w:val="20"/>
                <w:color w:val="auto"/>
              </w:rPr>
            </w:pPr>
            <w:r>
              <w:rPr>
                <w:rFonts w:ascii="Arial" w:cs="Arial" w:eastAsia="Arial" w:hAnsi="Arial"/>
                <w:sz w:val="17"/>
                <w:szCs w:val="17"/>
                <w:color w:val="auto"/>
              </w:rPr>
              <w:t>January 30,</w:t>
            </w:r>
          </w:p>
        </w:tc>
        <w:tc>
          <w:tcPr>
            <w:tcW w:w="1140" w:type="dxa"/>
            <w:vAlign w:val="bottom"/>
            <w:tcBorders>
              <w:top w:val="single" w:sz="8" w:color="auto"/>
            </w:tcBorders>
          </w:tcPr>
          <w:p>
            <w:pPr>
              <w:jc w:val="right"/>
              <w:ind w:right="95"/>
              <w:spacing w:after="0" w:line="193" w:lineRule="exact"/>
              <w:rPr>
                <w:sz w:val="20"/>
                <w:szCs w:val="20"/>
                <w:color w:val="auto"/>
              </w:rPr>
            </w:pPr>
            <w:r>
              <w:rPr>
                <w:rFonts w:ascii="Arial" w:cs="Arial" w:eastAsia="Arial" w:hAnsi="Arial"/>
                <w:sz w:val="17"/>
                <w:szCs w:val="17"/>
                <w:color w:val="auto"/>
              </w:rPr>
              <w:t>February 1,</w:t>
            </w:r>
          </w:p>
        </w:tc>
        <w:tc>
          <w:tcPr>
            <w:tcW w:w="140" w:type="dxa"/>
            <w:vAlign w:val="bottom"/>
          </w:tcPr>
          <w:p>
            <w:pPr>
              <w:spacing w:after="0"/>
              <w:rPr>
                <w:sz w:val="16"/>
                <w:szCs w:val="16"/>
                <w:color w:val="auto"/>
              </w:rPr>
            </w:pPr>
          </w:p>
        </w:tc>
      </w:tr>
      <w:tr>
        <w:trPr>
          <w:trHeight w:val="223"/>
        </w:trPr>
        <w:tc>
          <w:tcPr>
            <w:tcW w:w="8760" w:type="dxa"/>
            <w:vAlign w:val="bottom"/>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9"/>
                <w:szCs w:val="19"/>
                <w:color w:val="auto"/>
              </w:rPr>
            </w:pP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10"/>
        </w:trPr>
        <w:tc>
          <w:tcPr>
            <w:tcW w:w="8760" w:type="dxa"/>
            <w:vAlign w:val="bottom"/>
          </w:tcPr>
          <w:p>
            <w:pPr>
              <w:spacing w:after="0"/>
              <w:rPr>
                <w:sz w:val="20"/>
                <w:szCs w:val="20"/>
                <w:color w:val="auto"/>
              </w:rPr>
            </w:pPr>
            <w:r>
              <w:rPr>
                <w:rFonts w:ascii="Arial" w:cs="Arial" w:eastAsia="Arial" w:hAnsi="Arial"/>
                <w:sz w:val="17"/>
                <w:szCs w:val="17"/>
                <w:color w:val="auto"/>
              </w:rPr>
              <w:t>Cost of sales</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(65.2)</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(63.2)</w:t>
            </w: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24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140" w:type="dxa"/>
            <w:vAlign w:val="bottom"/>
            <w:shd w:val="clear" w:color="auto" w:fill="CCEEFF"/>
          </w:tcPr>
          <w:p>
            <w:pPr>
              <w:spacing w:after="0"/>
              <w:rPr>
                <w:sz w:val="17"/>
                <w:szCs w:val="17"/>
                <w:color w:val="auto"/>
              </w:rPr>
            </w:pPr>
          </w:p>
        </w:tc>
      </w:tr>
      <w:tr>
        <w:trPr>
          <w:trHeight w:val="192"/>
        </w:trPr>
        <w:tc>
          <w:tcPr>
            <w:tcW w:w="8760" w:type="dxa"/>
            <w:vAlign w:val="bottom"/>
          </w:tcPr>
          <w:p>
            <w:pPr>
              <w:spacing w:after="0" w:line="193" w:lineRule="exact"/>
              <w:rPr>
                <w:sz w:val="20"/>
                <w:szCs w:val="20"/>
                <w:color w:val="auto"/>
              </w:rPr>
            </w:pPr>
            <w:r>
              <w:rPr>
                <w:rFonts w:ascii="Arial" w:cs="Arial" w:eastAsia="Arial" w:hAnsi="Arial"/>
                <w:sz w:val="17"/>
                <w:szCs w:val="17"/>
                <w:color w:val="auto"/>
              </w:rPr>
              <w:t>Selling, general, and administrative</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7"/>
        </w:trPr>
        <w:tc>
          <w:tcPr>
            <w:tcW w:w="8760" w:type="dxa"/>
            <w:vAlign w:val="bottom"/>
          </w:tcPr>
          <w:p>
            <w:pPr>
              <w:ind w:left="80"/>
              <w:spacing w:after="0"/>
              <w:rPr>
                <w:sz w:val="20"/>
                <w:szCs w:val="20"/>
                <w:color w:val="auto"/>
              </w:rPr>
            </w:pPr>
            <w:r>
              <w:rPr>
                <w:rFonts w:ascii="Arial" w:cs="Arial" w:eastAsia="Arial" w:hAnsi="Arial"/>
                <w:sz w:val="17"/>
                <w:szCs w:val="17"/>
                <w:color w:val="auto"/>
              </w:rPr>
              <w:t>expense</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(30.7)</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(28.9)</w:t>
            </w: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r>
      <w:tr>
        <w:trPr>
          <w:trHeight w:val="205"/>
        </w:trPr>
        <w:tc>
          <w:tcPr>
            <w:tcW w:w="8760" w:type="dxa"/>
            <w:vAlign w:val="bottom"/>
          </w:tcPr>
          <w:p>
            <w:pPr>
              <w:spacing w:after="0"/>
              <w:rPr>
                <w:sz w:val="20"/>
                <w:szCs w:val="20"/>
                <w:color w:val="auto"/>
              </w:rPr>
            </w:pPr>
            <w:r>
              <w:rPr>
                <w:rFonts w:ascii="Arial" w:cs="Arial" w:eastAsia="Arial" w:hAnsi="Arial"/>
                <w:sz w:val="17"/>
                <w:szCs w:val="17"/>
                <w:color w:val="auto"/>
              </w:rPr>
              <w:t>Other income, net</w:t>
            </w:r>
          </w:p>
        </w:tc>
        <w:tc>
          <w:tcPr>
            <w:tcW w:w="1140" w:type="dxa"/>
            <w:vAlign w:val="bottom"/>
          </w:tcPr>
          <w:p>
            <w:pPr>
              <w:jc w:val="right"/>
              <w:spacing w:after="0"/>
              <w:rPr>
                <w:sz w:val="20"/>
                <w:szCs w:val="20"/>
                <w:color w:val="auto"/>
              </w:rPr>
            </w:pPr>
            <w:r>
              <w:rPr>
                <w:rFonts w:ascii="Arial" w:cs="Arial" w:eastAsia="Arial" w:hAnsi="Arial"/>
                <w:sz w:val="17"/>
                <w:szCs w:val="17"/>
                <w:color w:val="auto"/>
              </w:rPr>
              <w:t>0.2</w:t>
            </w:r>
          </w:p>
        </w:tc>
        <w:tc>
          <w:tcPr>
            <w:tcW w:w="2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0.4</w:t>
            </w: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w:t>
            </w:r>
          </w:p>
        </w:tc>
      </w:tr>
      <w:tr>
        <w:trPr>
          <w:trHeight w:val="26"/>
        </w:trPr>
        <w:tc>
          <w:tcPr>
            <w:tcW w:w="87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5"/>
        </w:trPr>
        <w:tc>
          <w:tcPr>
            <w:tcW w:w="8760" w:type="dxa"/>
            <w:vAlign w:val="bottom"/>
          </w:tcPr>
          <w:p>
            <w:pPr>
              <w:spacing w:after="0"/>
              <w:rPr>
                <w:sz w:val="20"/>
                <w:szCs w:val="20"/>
                <w:color w:val="auto"/>
              </w:rPr>
            </w:pPr>
            <w:r>
              <w:rPr>
                <w:rFonts w:ascii="Arial" w:cs="Arial" w:eastAsia="Arial" w:hAnsi="Arial"/>
                <w:sz w:val="17"/>
                <w:szCs w:val="17"/>
                <w:color w:val="auto"/>
              </w:rPr>
              <w:t>Net earnings</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4.6%</w:t>
            </w:r>
          </w:p>
        </w:tc>
      </w:tr>
      <w:tr>
        <w:trPr>
          <w:trHeight w:val="20"/>
        </w:trPr>
        <w:tc>
          <w:tcPr>
            <w:tcW w:w="8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243"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Worldwide consolidated net sales for the first quarter of fiscal 2009 were $340.2 million compared to $405.8 million in the first quarter of fiscal 2008, a decrease of 16.2 percent. Worldwide professional segment net sales were down 22.3 percent as shipments for most product categories were hampered by decreased demand resulting from the global economic recession. Worldwide sales of golf maintenance equipment and irrigation systems were down significantly, as well as sales of professionally installed residential/commercial irrigation products and landscape contractor equipment. Residential segment net sales were slightly up by 0.7 percent for the first quarter of fiscal 2009 compared to the first quarter of fiscal 2008. This increase was led by strong demand for snow thrower products in North America as a result of heavy snow falls during the winter season of 2008/2009. In addition, improved product placement for a new and broader line of walk power mowers benefited residential segment net sales, which was offset by a decline in shipments of riding products due mainly to our customers’ efforts to reduce field inventory levels by ordering product closer to retail demand. International sales were down 17.7 percent, as compared to the first quarter of fiscal 2008, due also to the recessionary conditions affecting key international markets, as well as a stronger U.S. dollar compared to other currencies in which we transact business that accounted for approximately $12 million of our sales decline for the quarter.</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243"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As a percentage of net sales, gross profit for the first quarter of fiscal 2009 decreased to 34.8 percent compared to 36.8 percent in the first quarter of fiscal 2008. This decline was due to the following factors: (i) higher manufacturing costs from lower plant utilization as we cut production in an effort to lower inventory levels, combined with a decline in sales volumes; (ii) significantly lower sales of our higher-margin professional segment products; (iii) higher average commodity costs in the first quarter of fiscal 2009 compared to the first quarter of fiscal 2008; and (iv) a stronger U.S. dollar compared to other currencies in which we transact business. Somewhat offsetting those negative factors were price increases introduced on most products and a decrease in freight expense.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w:t>
      </w:r>
    </w:p>
    <w:p>
      <w:pPr>
        <w:spacing w:after="0" w:line="243"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Selling, general, and administrative expense for the first quarter of fiscal 2009 decreased $12.6 million, or 10.7 percent, compared to the same period last fiscal year. However, SG&amp;A expense as a percentage of net sales increased to 30.7 percent in the first quarter of fiscal 2009 compared to 28.9 percent in the first quarter of fiscal 2008 due to fixed SG&amp;A costs spread over lower sales volumes. The decline in SG&amp;A expense was primarily attributable to overall reduced spending in response to the continuing worldwide recessionary economic conditions and lower profit sharing and incentive compensation expense. Somewhat offsetting those declines were increased costs incurred for workforce adjustments and higher bad debt expense.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Interest Expense</w:t>
      </w:r>
    </w:p>
    <w:p>
      <w:pPr>
        <w:spacing w:after="0" w:line="243"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Interest expense for the first quarter of fiscal 2009 decreased 10.8 percent compared to the first quarter of fiscal 2008 due to lower average debt levels and a decline in average interest rates.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Net</w:t>
      </w:r>
    </w:p>
    <w:p>
      <w:pPr>
        <w:spacing w:after="0" w:line="243"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color w:val="auto"/>
        </w:rPr>
        <w:t>Other income, net for the first quarter of fiscal 2009 was $0.8 million compared to $1.7 million for the same period last fiscal year, a decrease of $0.9 million. The decrease was due primarily to lower currency exchange rate gains, a decline in financing revenue, and lower interest income in the first quarter of fiscal 2009 compared to the first quarter of fiscal 2008.</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243" w:lineRule="exact"/>
        <w:rPr>
          <w:sz w:val="20"/>
          <w:szCs w:val="20"/>
          <w:color w:val="auto"/>
        </w:rPr>
      </w:pPr>
    </w:p>
    <w:p>
      <w:pPr>
        <w:ind w:right="400"/>
        <w:spacing w:after="0" w:line="345" w:lineRule="auto"/>
        <w:rPr>
          <w:sz w:val="20"/>
          <w:szCs w:val="20"/>
          <w:color w:val="auto"/>
        </w:rPr>
      </w:pPr>
      <w:r>
        <w:rPr>
          <w:rFonts w:ascii="Arial" w:cs="Arial" w:eastAsia="Arial" w:hAnsi="Arial"/>
          <w:sz w:val="15"/>
          <w:szCs w:val="15"/>
          <w:color w:val="auto"/>
        </w:rPr>
        <w:t>The effective tax rate for the first quarter of fiscal 2009 was 33.7 percent compared to 35.4 percent in the first quarter of fiscal 2008. The decrease in the effective tax rate was primarily the result of the reinstatement of the domestic research tax credit and the tax impact of foreign currency exchange rate fluctuations.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SEGMENTS</w:t>
      </w:r>
    </w:p>
    <w:p>
      <w:pPr>
        <w:spacing w:after="0" w:line="243"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operate in two reportable business segments: professional and residential. A third reportable segment called “other” consists of a company-owned distributorship in the United States, corporate activities, and financing functions. Segment earnings for each of our two business segments is defined as earnings from operations plus other income, net. Operating loss for the “other” segment includes earnings (loss) from a company-owned domestic distributorship, corporate activities, including corporate financing activities, other income, and interest expense.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20"/>
                <w:szCs w:val="20"/>
                <w:color w:val="auto"/>
              </w:rPr>
            </w:pPr>
            <w:r>
              <w:rPr>
                <w:rFonts w:ascii="Arial" w:cs="Arial" w:eastAsia="Arial" w:hAnsi="Arial"/>
                <w:sz w:val="17"/>
                <w:szCs w:val="17"/>
                <w:color w:val="auto"/>
              </w:rPr>
              <w:t>The following table summarizes net sales by segment: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5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7"/>
                <w:szCs w:val="17"/>
                <w:color w:val="auto"/>
              </w:rPr>
              <w:t>Three Months Ended</w:t>
            </w:r>
          </w:p>
        </w:tc>
        <w:tc>
          <w:tcPr>
            <w:tcW w:w="1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48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60"/>
              <w:spacing w:after="0" w:line="193" w:lineRule="exact"/>
              <w:rPr>
                <w:sz w:val="20"/>
                <w:szCs w:val="20"/>
                <w:color w:val="auto"/>
              </w:rPr>
            </w:pPr>
            <w:r>
              <w:rPr>
                <w:rFonts w:ascii="Arial" w:cs="Arial" w:eastAsia="Arial" w:hAnsi="Arial"/>
                <w:sz w:val="17"/>
                <w:szCs w:val="17"/>
                <w:color w:val="auto"/>
                <w:w w:val="90"/>
              </w:rPr>
              <w:t>January 30,</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3" w:lineRule="exact"/>
              <w:rPr>
                <w:sz w:val="20"/>
                <w:szCs w:val="20"/>
                <w:color w:val="auto"/>
              </w:rPr>
            </w:pPr>
            <w:r>
              <w:rPr>
                <w:rFonts w:ascii="Arial" w:cs="Arial" w:eastAsia="Arial" w:hAnsi="Arial"/>
                <w:sz w:val="17"/>
                <w:szCs w:val="17"/>
                <w:color w:val="auto"/>
                <w:w w:val="91"/>
              </w:rPr>
              <w:t>February 1,</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2009</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9"/>
              </w:rPr>
              <w:t>2008</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7"/>
              </w:rPr>
              <w:t>$ Change</w:t>
            </w:r>
          </w:p>
        </w:tc>
        <w:tc>
          <w:tcPr>
            <w:tcW w:w="200" w:type="dxa"/>
            <w:vAlign w:val="bottom"/>
          </w:tcPr>
          <w:p>
            <w:pPr>
              <w:spacing w:after="0"/>
              <w:rPr>
                <w:sz w:val="19"/>
                <w:szCs w:val="19"/>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 Change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Professional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229,369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295,047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(65,678)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20"/>
                <w:szCs w:val="20"/>
                <w:color w:val="auto"/>
              </w:rPr>
            </w:pPr>
            <w:r>
              <w:rPr>
                <w:rFonts w:ascii="Arial" w:cs="Arial" w:eastAsia="Arial" w:hAnsi="Arial"/>
                <w:sz w:val="17"/>
                <w:szCs w:val="17"/>
                <w:color w:val="auto"/>
              </w:rPr>
              <w:t>Residential</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107,024</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106,325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699</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6"/>
        </w:trPr>
        <w:tc>
          <w:tcPr>
            <w:tcW w:w="54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480" w:type="dxa"/>
            <w:vAlign w:val="bottom"/>
          </w:tcPr>
          <w:p>
            <w:pPr>
              <w:ind w:left="160"/>
              <w:spacing w:after="0"/>
              <w:rPr>
                <w:sz w:val="20"/>
                <w:szCs w:val="20"/>
                <w:color w:val="auto"/>
              </w:rPr>
            </w:pPr>
            <w:r>
              <w:rPr>
                <w:rFonts w:ascii="Arial" w:cs="Arial" w:eastAsia="Arial" w:hAnsi="Arial"/>
                <w:sz w:val="17"/>
                <w:szCs w:val="17"/>
                <w:color w:val="auto"/>
              </w:rPr>
              <w:t>Total*</w:t>
            </w:r>
          </w:p>
        </w:tc>
        <w:tc>
          <w:tcPr>
            <w:tcW w:w="5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340,172</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405,799</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(65,627)</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80" w:type="dxa"/>
            <w:vAlign w:val="bottom"/>
          </w:tcPr>
          <w:p>
            <w:pPr>
              <w:spacing w:after="0"/>
              <w:rPr>
                <w:sz w:val="20"/>
                <w:szCs w:val="20"/>
                <w:color w:val="auto"/>
              </w:rPr>
            </w:pPr>
            <w:r>
              <w:rPr>
                <w:rFonts w:ascii="Arial" w:cs="Arial" w:eastAsia="Arial" w:hAnsi="Arial"/>
                <w:sz w:val="17"/>
                <w:szCs w:val="17"/>
                <w:color w:val="auto"/>
              </w:rPr>
              <w:t>* Includes international sales of:</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130,391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158,457</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(28,066)</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7"/>
                <w:szCs w:val="17"/>
                <w:color w:val="auto"/>
                <w:w w:val="93"/>
              </w:rPr>
              <w:t>The following table summarizes segment earnings (loss) before income taxes:</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4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5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7"/>
                <w:szCs w:val="17"/>
                <w:color w:val="auto"/>
              </w:rPr>
              <w:t>Three Months Ended</w:t>
            </w:r>
          </w:p>
        </w:tc>
        <w:tc>
          <w:tcPr>
            <w:tcW w:w="1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48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60"/>
              <w:spacing w:after="0" w:line="193" w:lineRule="exact"/>
              <w:rPr>
                <w:sz w:val="20"/>
                <w:szCs w:val="20"/>
                <w:color w:val="auto"/>
              </w:rPr>
            </w:pPr>
            <w:r>
              <w:rPr>
                <w:rFonts w:ascii="Arial" w:cs="Arial" w:eastAsia="Arial" w:hAnsi="Arial"/>
                <w:sz w:val="17"/>
                <w:szCs w:val="17"/>
                <w:color w:val="auto"/>
                <w:w w:val="90"/>
              </w:rPr>
              <w:t>January 30,</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3" w:lineRule="exact"/>
              <w:rPr>
                <w:sz w:val="20"/>
                <w:szCs w:val="20"/>
                <w:color w:val="auto"/>
              </w:rPr>
            </w:pPr>
            <w:r>
              <w:rPr>
                <w:rFonts w:ascii="Arial" w:cs="Arial" w:eastAsia="Arial" w:hAnsi="Arial"/>
                <w:sz w:val="17"/>
                <w:szCs w:val="17"/>
                <w:color w:val="auto"/>
                <w:w w:val="91"/>
              </w:rPr>
              <w:t>February 1,</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2009</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9"/>
              </w:rPr>
              <w:t>2008</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7"/>
              </w:rPr>
              <w:t>$ Change</w:t>
            </w:r>
          </w:p>
        </w:tc>
        <w:tc>
          <w:tcPr>
            <w:tcW w:w="200" w:type="dxa"/>
            <w:vAlign w:val="bottom"/>
          </w:tcPr>
          <w:p>
            <w:pPr>
              <w:spacing w:after="0"/>
              <w:rPr>
                <w:sz w:val="19"/>
                <w:szCs w:val="19"/>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 Change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Professional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30,129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51,516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(21,387)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20"/>
                <w:szCs w:val="20"/>
                <w:color w:val="auto"/>
              </w:rPr>
            </w:pPr>
            <w:r>
              <w:rPr>
                <w:rFonts w:ascii="Arial" w:cs="Arial" w:eastAsia="Arial" w:hAnsi="Arial"/>
                <w:sz w:val="17"/>
                <w:szCs w:val="17"/>
                <w:color w:val="auto"/>
              </w:rPr>
              <w:t>Residential</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4,840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3,818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1,022</w:t>
            </w:r>
          </w:p>
        </w:tc>
        <w:tc>
          <w:tcPr>
            <w:tcW w:w="2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(24,816)</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(26,499)</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1,683</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6"/>
        </w:trPr>
        <w:tc>
          <w:tcPr>
            <w:tcW w:w="54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480" w:type="dxa"/>
            <w:vAlign w:val="bottom"/>
          </w:tcPr>
          <w:p>
            <w:pPr>
              <w:ind w:left="160"/>
              <w:spacing w:after="0"/>
              <w:rPr>
                <w:sz w:val="20"/>
                <w:szCs w:val="20"/>
                <w:color w:val="auto"/>
              </w:rPr>
            </w:pPr>
            <w:r>
              <w:rPr>
                <w:rFonts w:ascii="Arial" w:cs="Arial" w:eastAsia="Arial" w:hAnsi="Arial"/>
                <w:sz w:val="17"/>
                <w:szCs w:val="17"/>
                <w:color w:val="auto"/>
              </w:rPr>
              <w:t>Total</w:t>
            </w:r>
          </w:p>
        </w:tc>
        <w:tc>
          <w:tcPr>
            <w:tcW w:w="5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10,153</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28,835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(18,682)</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(64.8)%</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580" w:type="dxa"/>
            <w:vAlign w:val="bottom"/>
            <w:vMerge w:val="restart"/>
          </w:tcPr>
          <w:p>
            <w:pPr>
              <w:jc w:val="right"/>
              <w:ind w:right="175"/>
              <w:spacing w:after="0"/>
              <w:rPr>
                <w:sz w:val="20"/>
                <w:szCs w:val="20"/>
                <w:color w:val="auto"/>
              </w:rPr>
            </w:pPr>
            <w:r>
              <w:rPr>
                <w:rFonts w:ascii="Arial" w:cs="Arial" w:eastAsia="Arial" w:hAnsi="Arial"/>
                <w:sz w:val="17"/>
                <w:szCs w:val="17"/>
                <w:color w:val="auto"/>
              </w:rPr>
              <w:t>17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548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4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Professional</w:t>
      </w:r>
    </w:p>
    <w:p>
      <w:pPr>
        <w:spacing w:after="0" w:line="24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professional segment in the first quarter of fiscal 2009 were down 22.3 percent compared to the first quarter of fiscal 2008.</w:t>
      </w:r>
      <w:r>
        <w:rPr>
          <w:rFonts w:ascii="Arial" w:cs="Arial" w:eastAsia="Arial" w:hAnsi="Arial"/>
          <w:sz w:val="17"/>
          <w:szCs w:val="17"/>
          <w:i w:val="1"/>
          <w:iCs w:val="1"/>
          <w:color w:val="auto"/>
        </w:rPr>
        <w:t xml:space="preserve"> </w:t>
      </w:r>
      <w:r>
        <w:rPr>
          <w:rFonts w:ascii="Arial" w:cs="Arial" w:eastAsia="Arial" w:hAnsi="Arial"/>
          <w:sz w:val="17"/>
          <w:szCs w:val="17"/>
          <w:color w:val="auto"/>
        </w:rPr>
        <w:t>Shipments declined for most domestic and international product categories due to decreased demand and customers’ reluctance to place orders as a result of the continued worldwide recessionary economic conditions, which has resulted in lower field inventory levels for our domestic businesses. Worldwide sales of golf maintenance equipment and irrigation systems were significantly down for the first quarter comparison as customers delayed investments in new equipment at existing golf courses and new golf course construction slowed. In addition, sales of professionally installed residential/commercial irrigation systems were down due to ongoing weakness in the housing and commercial construction markets. Sales of landscape contractor equipment were also down for the first quarter comparison due mainly to timing of production for new products.</w:t>
      </w:r>
    </w:p>
    <w:p>
      <w:pPr>
        <w:spacing w:after="0" w:line="209"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i w:val="1"/>
          <w:iCs w:val="1"/>
          <w:u w:val="single" w:color="auto"/>
          <w:color w:val="auto"/>
        </w:rPr>
        <w:t>Operating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earnings for the professional segment were $30.1 million in the first quarter of fiscal 2009 compared to $51.5 million in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fiscal 2008, a decrease of 41.5 percent. Expressed as a percentage of net sales, professional segment operating margins decreased to 13.1 percent compared to 17.5 percent in the first quarter of fiscal 2008. These profit declines were primarily attributable to lower gross margins due to the same factors discussed previously in the Gross Profit section. Higher SG&amp;A expense as a percentage of net sales also adversely affected operating earnings, which was due mainly to fixed SG&amp;A costs spread over lower sales volumes.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Residential</w:t>
      </w:r>
    </w:p>
    <w:p>
      <w:pPr>
        <w:spacing w:after="0" w:line="243"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color w:val="auto"/>
        </w:rPr>
        <w:t>. Worldwide net sales for the residential segment in the first quarter of fiscal 2009 were up slightly by 0.7 percent compared to the first quarter of fiscal 2008.</w:t>
      </w:r>
      <w:r>
        <w:rPr>
          <w:rFonts w:ascii="Arial" w:cs="Arial" w:eastAsia="Arial" w:hAnsi="Arial"/>
          <w:sz w:val="16"/>
          <w:szCs w:val="16"/>
          <w:i w:val="1"/>
          <w:iCs w:val="1"/>
          <w:color w:val="auto"/>
        </w:rPr>
        <w:t xml:space="preserve"> </w:t>
      </w:r>
      <w:r>
        <w:rPr>
          <w:rFonts w:ascii="Arial" w:cs="Arial" w:eastAsia="Arial" w:hAnsi="Arial"/>
          <w:sz w:val="16"/>
          <w:szCs w:val="16"/>
          <w:color w:val="auto"/>
        </w:rPr>
        <w:t>This increase was led by strong demand for snow throwers in North America as a result of heavy snow falls during the winter season of 2008/2009. In addition, improved product placement for a new and broader line of walk power mowers benefited residential segment net sales, which was offset by a decline in shipments of riding products due mainly to our customers’ efforts to reduce field inventory levels by ordering product closer to retail demand.</w:t>
      </w:r>
    </w:p>
    <w:p>
      <w:pPr>
        <w:spacing w:after="0" w:line="190"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residential segment increased $1.0 million, or 26.8 percent, in the first quarter of fiscal 2009 compared to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fiscal 2008. Expressed as a percentage of net sales, residential segment operating margins increased to 4.5 percent compared to 3.6 percent in the first quarter of fiscal 2008. This increase was due to lower SG&amp;A expense as a percent of net sales from a decline in spending for marketing, warehousing, and engineering as a result of budget reductions, as well as a slight increase in gross margins primarily from lower freight expense.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243" w:lineRule="exact"/>
        <w:rPr>
          <w:sz w:val="20"/>
          <w:szCs w:val="20"/>
          <w:color w:val="auto"/>
        </w:rPr>
      </w:pPr>
    </w:p>
    <w:p>
      <w:pPr>
        <w:ind w:right="200"/>
        <w:spacing w:after="0" w:line="304" w:lineRule="auto"/>
        <w:rPr>
          <w:sz w:val="20"/>
          <w:szCs w:val="20"/>
          <w:color w:val="auto"/>
        </w:rPr>
      </w:pPr>
      <w:r>
        <w:rPr>
          <w:rFonts w:ascii="Arial" w:cs="Arial" w:eastAsia="Arial" w:hAnsi="Arial"/>
          <w:sz w:val="15"/>
          <w:szCs w:val="15"/>
          <w:i w:val="1"/>
          <w:iCs w:val="1"/>
          <w:u w:val="single" w:color="auto"/>
          <w:color w:val="auto"/>
        </w:rPr>
        <w:t>Net Sales</w:t>
      </w:r>
      <w:r>
        <w:rPr>
          <w:rFonts w:ascii="Arial" w:cs="Arial" w:eastAsia="Arial" w:hAnsi="Arial"/>
          <w:sz w:val="15"/>
          <w:szCs w:val="15"/>
          <w:i w:val="1"/>
          <w:iCs w:val="1"/>
          <w:color w:val="auto"/>
        </w:rPr>
        <w:t xml:space="preserve">. </w:t>
      </w:r>
      <w:r>
        <w:rPr>
          <w:rFonts w:ascii="Arial" w:cs="Arial" w:eastAsia="Arial" w:hAnsi="Arial"/>
          <w:sz w:val="15"/>
          <w:szCs w:val="15"/>
          <w:color w:val="auto"/>
        </w:rPr>
        <w:t>Net sales for the other segment include sales from our company-owned domestic distributorship less sales from the professional and residential segments</w:t>
      </w:r>
      <w:r>
        <w:rPr>
          <w:rFonts w:ascii="Arial" w:cs="Arial" w:eastAsia="Arial" w:hAnsi="Arial"/>
          <w:sz w:val="15"/>
          <w:szCs w:val="15"/>
          <w:i w:val="1"/>
          <w:iCs w:val="1"/>
          <w:color w:val="auto"/>
        </w:rPr>
        <w:t xml:space="preserve"> </w:t>
      </w:r>
      <w:r>
        <w:rPr>
          <w:rFonts w:ascii="Arial" w:cs="Arial" w:eastAsia="Arial" w:hAnsi="Arial"/>
          <w:sz w:val="15"/>
          <w:szCs w:val="15"/>
          <w:color w:val="auto"/>
        </w:rPr>
        <w:t>to that distribution company. In addition, elimination of the professional and residential segments’ floor plan interest costs from Toro Credit Company are also included in this segment. The other segment net sales decreased $0.6 million, or 14.6 percent, in the first quarter of fiscal 2009 compared to the first quarter of fiscal 2008, due mainly to a reduction in the elimination of floor plan interest costs as a result of lower receivables with Toro Credit Company and a reduction in rates.</w:t>
      </w:r>
    </w:p>
    <w:p>
      <w:pPr>
        <w:spacing w:after="0" w:line="175" w:lineRule="exact"/>
        <w:rPr>
          <w:sz w:val="20"/>
          <w:szCs w:val="20"/>
          <w:color w:val="auto"/>
        </w:rPr>
      </w:pPr>
    </w:p>
    <w:p>
      <w:pPr>
        <w:jc w:val="both"/>
        <w:ind w:right="360"/>
        <w:spacing w:after="0" w:line="263" w:lineRule="auto"/>
        <w:rPr>
          <w:sz w:val="20"/>
          <w:szCs w:val="20"/>
          <w:color w:val="auto"/>
        </w:rPr>
      </w:pPr>
      <w:r>
        <w:rPr>
          <w:rFonts w:ascii="Arial" w:cs="Arial" w:eastAsia="Arial" w:hAnsi="Arial"/>
          <w:sz w:val="17"/>
          <w:szCs w:val="17"/>
          <w:i w:val="1"/>
          <w:iCs w:val="1"/>
          <w:u w:val="single" w:color="auto"/>
          <w:color w:val="auto"/>
        </w:rPr>
        <w:t>Operating Losses</w:t>
      </w:r>
      <w:r>
        <w:rPr>
          <w:rFonts w:ascii="Arial" w:cs="Arial" w:eastAsia="Arial" w:hAnsi="Arial"/>
          <w:sz w:val="17"/>
          <w:szCs w:val="17"/>
          <w:color w:val="auto"/>
        </w:rPr>
        <w:t>. Operating losses for the other segment were down $1.7 million or 6.4 percent for the first quarter of fiscal 2009 compared to the first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2008. This loss decrease was primarily attributable to a decline in profit sharing and incentive compensation expense, somewhat offset by costs incurred for workforce adjustments and higher bad debt expense.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POSITION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243"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We have taken proactive measures to help us manage through the tough economic environment that continued to persist through the first quarter of fiscal 2009, including adjusting production plans, controlling costs, and managing our assets. As such, our financial condition remains strong. We are continuing to place additional emphasis on asset management with our GrowLean initiative, with a focus on: (i) ensuring strong profitability of our products and services all the way through the supply chain; (ii) minimizing the amount of working capital in the supply chain; and (iii) maintaining or improving order replenishment and service levels to end users.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8" w:name="page19"/>
    <w:bookmarkEnd w:id="18"/>
    <w:p>
      <w:pPr>
        <w:jc w:val="both"/>
        <w:ind w:right="120" w:firstLine="213"/>
        <w:spacing w:after="0" w:line="304" w:lineRule="auto"/>
        <w:rPr>
          <w:sz w:val="20"/>
          <w:szCs w:val="20"/>
          <w:color w:val="auto"/>
        </w:rPr>
      </w:pPr>
      <w:r>
        <w:rPr>
          <w:rFonts w:ascii="Arial" w:cs="Arial" w:eastAsia="Arial" w:hAnsi="Arial"/>
          <w:sz w:val="15"/>
          <w:szCs w:val="15"/>
          <w:color w:val="auto"/>
        </w:rPr>
        <w:t>Receivables as of the end of the first quarter of fiscal 2009 were down 13.6 percent compared to the end of the first quarter of fiscal 2008. Our average days sales outstanding for receivables improved to 68 days based on sales for the last twelve months ended January 30, 2009, compared to 71 days for the twelve months ended February 1, 2008. Inventory was also down as of the end of the first quarter of fiscal 2009 by 19.3 percent compared to the end of the first quarter of fiscal 2008, and average inventory turnover improved 5.9 percent for the twelve months ended January 30, 2009 compared to the twelve months ended February 1, 2008.</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Our businesses are seasonally working capital intensive and require funding for purchases of raw materials used in production, replacement parts inventory, capital expenditures, expansion and upgrading of existing facilities, as well as for financing receivables from customers. We believe that cash generated from operations, together with our fixed rate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debt repayments, quarterly cash dividend payments, and stock repurchases for at least the next twelve months.</w:t>
      </w:r>
    </w:p>
    <w:p>
      <w:pPr>
        <w:spacing w:after="0" w:line="207"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i w:val="1"/>
          <w:iCs w:val="1"/>
          <w:u w:val="single" w:color="auto"/>
          <w:color w:val="auto"/>
        </w:rPr>
        <w:t>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Our first fiscal quarter historically uses more operating cash than other fiscal quarters due to the seasonality of our business. Cash used in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for the first three months of fiscal 2009 was $2.5 million higher than the first three months of fiscal 2008 due primarily to a decline in accounts payable and accrued liabilities, as well as lower net earnings. Somewhat offsetting those unfavorable factors was a lower increase in receivables and inventory levels for the first three months of fiscal 2009 compared to the first three months of fiscal 2008. Cash used in investing activities was lower by $0.9 million compared to the first quarter of fiscal 2008, due to a decrease in purchases of property, plant, and equipment in the first quarter of fiscal 2009 compared to the first quarter of fiscal 2008. Cash provided by financing activities was also lower by $30.0 million compared to the first quarter of fiscal 2008, due to a substantial decline in short-term debt for the first quarter of fiscal 2009 compared to the first quarter of fiscal 2008, somewhat offset by lower levels of repurchases of our common stock for the first quarter comparison.</w:t>
      </w:r>
    </w:p>
    <w:p>
      <w:pPr>
        <w:spacing w:after="0" w:line="213" w:lineRule="exact"/>
        <w:rPr>
          <w:sz w:val="20"/>
          <w:szCs w:val="20"/>
          <w:color w:val="auto"/>
        </w:rPr>
      </w:pPr>
    </w:p>
    <w:p>
      <w:pPr>
        <w:spacing w:after="0" w:line="286" w:lineRule="auto"/>
        <w:rPr>
          <w:sz w:val="20"/>
          <w:szCs w:val="20"/>
          <w:color w:val="auto"/>
        </w:rPr>
      </w:pPr>
      <w:r>
        <w:rPr>
          <w:rFonts w:ascii="Arial" w:cs="Arial" w:eastAsia="Arial" w:hAnsi="Arial"/>
          <w:sz w:val="15"/>
          <w:szCs w:val="15"/>
          <w:i w:val="1"/>
          <w:iCs w:val="1"/>
          <w:u w:val="single" w:color="auto"/>
          <w:color w:val="auto"/>
        </w:rPr>
        <w:t>Credit Lines and Other Capital Resources</w:t>
      </w:r>
      <w:r>
        <w:rPr>
          <w:rFonts w:ascii="Arial" w:cs="Arial" w:eastAsia="Arial" w:hAnsi="Arial"/>
          <w:sz w:val="15"/>
          <w:szCs w:val="15"/>
          <w:u w:val="single" w:color="auto"/>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Our businesses are seasonal, with accounts receivable balances historically increasing between January and April, as a</w:t>
      </w:r>
      <w:r>
        <w:rPr>
          <w:rFonts w:ascii="Arial" w:cs="Arial" w:eastAsia="Arial" w:hAnsi="Arial"/>
          <w:sz w:val="15"/>
          <w:szCs w:val="15"/>
          <w:i w:val="1"/>
          <w:iCs w:val="1"/>
          <w:color w:val="auto"/>
        </w:rPr>
        <w:t xml:space="preserve"> </w:t>
      </w:r>
      <w:r>
        <w:rPr>
          <w:rFonts w:ascii="Arial" w:cs="Arial" w:eastAsia="Arial" w:hAnsi="Arial"/>
          <w:sz w:val="15"/>
          <w:szCs w:val="15"/>
          <w:color w:val="auto"/>
        </w:rPr>
        <w:t>result of higher sales volumes and payment terms made available to our customers and decreasing between May and December when payments are received. The seasonality of production and shipments causes our working capital requirements to fluctuate during the year. Our peak borrowing usually occurs between January and April. Seasonal cash requirements are financed from operations and with short-term financing arrangements, including a $225.0 million unsecured senior five-year revolving credit facility that expires in January 2012. Interest expense on this credit line is determined based on a LIBOR rate plus a basis point spread defined in the credit agreement. In addition, our non-U.S. operations maintain unsecured short-term lines of credit of approximately $16 million. These facilities bear interest at various rates depending on the rates in their respective countries of operation. We also have a letter of credit subfacility as part of our credit agreement. Average short-term debt was $12.0 million in the first quarter of fiscal 2009 compared to $55.2 million in the first quarter of fiscal 2008, a decrease of 78.2 percent. This decline was due mainly to a decrease in working capital needs in the first quarter of fiscal 2009 compared to the first quarter of fiscal 2008 as a result of lower levels of accounts receivable and inventory, as previously discussed, as well as lower levels of repurchases of our common stock during the first quarter of fiscal 2009 compared to the same period last fiscal year. As of January 30, 2009, we had $215.8 million of unutilized availability under our credit agreements.</w:t>
      </w:r>
    </w:p>
    <w:p>
      <w:pPr>
        <w:spacing w:after="0" w:line="2" w:lineRule="exact"/>
        <w:rPr>
          <w:sz w:val="20"/>
          <w:szCs w:val="20"/>
          <w:color w:val="auto"/>
        </w:rPr>
      </w:pPr>
    </w:p>
    <w:p>
      <w:pPr>
        <w:ind w:firstLine="213"/>
        <w:spacing w:after="0" w:line="293" w:lineRule="auto"/>
        <w:rPr>
          <w:sz w:val="20"/>
          <w:szCs w:val="20"/>
          <w:color w:val="auto"/>
        </w:rPr>
      </w:pPr>
      <w:r>
        <w:rPr>
          <w:rFonts w:ascii="Arial" w:cs="Arial" w:eastAsia="Arial" w:hAnsi="Arial"/>
          <w:sz w:val="16"/>
          <w:szCs w:val="16"/>
          <w:color w:val="auto"/>
        </w:rPr>
        <w:t>Significant financial covenants in our credit agreement include interest coverage and debt-to-capitalization ratios. We were in compliance with all covenants related to our credit agreements as of January 30, 2009, and expect to be in compliance with all covenants during the remainder of fiscal 2009.</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 and Contractual Obligations</w:t>
      </w:r>
    </w:p>
    <w:p>
      <w:pPr>
        <w:spacing w:after="0" w:line="243"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Our off-balance sheet arrangements generally relate to customer financing activities, inventory purchase commitments, deferred compensation arrangements, and operating lease commitments. Third party financing companies purchased $43.5 million of receivables from us during the first three months of fiscal 2009, and $68.6 million was outstanding as of January 30, 2009. See our most recently filed Annual Report on Form 10-K for further details regarding our off-balance sheet arrangements and contractual obligations. No material change in this information occurred during the first three months of fiscal 2009.</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Inflation</w:t>
      </w:r>
    </w:p>
    <w:p>
      <w:pPr>
        <w:spacing w:after="0" w:line="243"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We are subject to the effects of inflation and changing prices. In the first quarter of fiscal 2009, average prices paid for commodities we purchase, namely steel and steel components, were higher compared to the first quarter of fiscal 2008, which hampered our gross margin rate in the first quarter of fiscal 2009 compared to the first quarter of fiscal 2008. Somewhat offsetting those higher costs was a decline in average prices paid for fuel and petroleum-based resins. We will continue to closely follow the commodities that affect our product lines, and we anticipate average prices paid for commodities in fiscal 2009 to be equal to or slightly higher than the average prices paid in fiscal 2008, if commodity costs continue to trend similar to the first quarter of fiscal 2009. We plan to attempt to mitigate the impact of inflationary pressures by engaging in proactive vendor negotiations, reviewing alternative sourcing options, and internal cost reduction efforts.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Accounting Policies and Estimates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See our most recent Annual Report on Form 10-K for the fiscal year ended October 31, 2008 for a discussion of our critical accounting policies.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 to be Adopted</w:t>
      </w:r>
    </w:p>
    <w:p>
      <w:pPr>
        <w:spacing w:after="0" w:line="243"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In April 2008, the Financial Accounting Standards Board (FASB) finalized Staff Position No. 142-3, “Determination of the Useful Life of Intangible Assets” (FSP 142-3). This position amends the factors that should be considered in developing renewal or extension assumptions used to determine the useful life of a recognized intangible asset under Statement of Financial Accounting Standards (SFAS) No. 142, “Goodwill and Other Intangible Assets.” FSP 142-3 applies to intangible assets that are acquired individually or with a group of other assets and both intangible assets acquired in business combinations and asset acquisitions. We will adopt the provisions of FSP 142-3 on November 1, 2009, as required.</w:t>
      </w:r>
    </w:p>
    <w:p>
      <w:pPr>
        <w:ind w:right="140" w:firstLine="213"/>
        <w:spacing w:after="0" w:line="251" w:lineRule="auto"/>
        <w:rPr>
          <w:sz w:val="20"/>
          <w:szCs w:val="20"/>
          <w:color w:val="auto"/>
        </w:rPr>
      </w:pPr>
      <w:r>
        <w:rPr>
          <w:rFonts w:ascii="Arial" w:cs="Arial" w:eastAsia="Arial" w:hAnsi="Arial"/>
          <w:sz w:val="17"/>
          <w:szCs w:val="17"/>
          <w:color w:val="auto"/>
        </w:rPr>
        <w:t>In December 2007, the FASB issued SFAS No. 141 (Revised 2007), “Business Combinations.” SFAS No. 141R applies to all business combinations and requires most identifiable assets, liabilities, noncontrolling interests, and goodwill acquired to be recorded at “full fair value.” This statement also establishes disclosure requirements that will enable users to evaluate the nature and financial effects of the business combination. We will adopt the provisions of SFAS No. 141R to any business combination occurring on or after November 1, 2009, as required.</w:t>
      </w:r>
    </w:p>
    <w:p>
      <w:pPr>
        <w:spacing w:after="0" w:line="1" w:lineRule="exact"/>
        <w:rPr>
          <w:sz w:val="20"/>
          <w:szCs w:val="20"/>
          <w:color w:val="auto"/>
        </w:rPr>
      </w:pPr>
    </w:p>
    <w:p>
      <w:pPr>
        <w:ind w:firstLine="213"/>
        <w:spacing w:after="0" w:line="251" w:lineRule="auto"/>
        <w:rPr>
          <w:sz w:val="20"/>
          <w:szCs w:val="20"/>
          <w:color w:val="auto"/>
        </w:rPr>
      </w:pPr>
      <w:r>
        <w:rPr>
          <w:rFonts w:ascii="Arial" w:cs="Arial" w:eastAsia="Arial" w:hAnsi="Arial"/>
          <w:sz w:val="17"/>
          <w:szCs w:val="17"/>
          <w:color w:val="auto"/>
        </w:rPr>
        <w:t>In September 2006, the FASB issued SFAS No. 157, “Fair Value Measurements.” SFAS No. 157 defines fair value, establishes a framework for measuring fair value, and expands disclosures concerning fair value. We adopted the provisions of SFAS No. 157 for financial assets and liabilities and nonfinancial assets and liabilities measured at fair value on a recurring basis during the first quarter of fiscal 2009, as required. We will adopt the provisions of SFAS No. 157 for nonfinancial assets and liabilities that are not required or permitted to be measured on a recurring basis during the first quarter of fiscal 2010, as required. We are currently evaluating the requirements of SFAS No. 157 and, we do not expect the unadopted requirements of this new pronouncement will have a material impact on our consolidated financial condition or results of operations.</w:t>
      </w:r>
    </w:p>
    <w:p>
      <w:pPr>
        <w:spacing w:after="0" w:line="1" w:lineRule="exact"/>
        <w:rPr>
          <w:sz w:val="20"/>
          <w:szCs w:val="20"/>
          <w:color w:val="auto"/>
        </w:rPr>
      </w:pPr>
    </w:p>
    <w:p>
      <w:pPr>
        <w:ind w:right="320" w:firstLine="213"/>
        <w:spacing w:after="0" w:line="262" w:lineRule="auto"/>
        <w:rPr>
          <w:sz w:val="20"/>
          <w:szCs w:val="20"/>
          <w:color w:val="auto"/>
        </w:rPr>
      </w:pPr>
      <w:r>
        <w:rPr>
          <w:rFonts w:ascii="Arial" w:cs="Arial" w:eastAsia="Arial" w:hAnsi="Arial"/>
          <w:sz w:val="17"/>
          <w:szCs w:val="17"/>
          <w:color w:val="auto"/>
        </w:rPr>
        <w:t>No other new accounting pronouncement that has been issued but not yet effective for us during the first quarter of fiscal 2009 has had or is expected to have a material impact on our consolidated financial statements.</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60"/>
          </w:cols>
          <w:pgMar w:left="240" w:top="724" w:right="29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Forward-Looking Information</w:t>
      </w:r>
    </w:p>
    <w:p>
      <w:pPr>
        <w:spacing w:after="0" w:line="243"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elsewhere by using words such as “expect,” “strive,” “looking ahead,” “outlook,” “optimistic,” “plan,” “anticipate,” “estimate,” “believe,” “could,” “should,” ”would,” “may,” “possible,” “intend,” and similar expressions. Our forward-looking statements generally relate to our future performance, including our anticipated operating results and liquidity requirements, our business strategies and goals, and the effect of laws, rules, regulations, and new accounting pronouncements and outstanding litigation, on our business, operating results, and financial condition.</w:t>
      </w:r>
    </w:p>
    <w:p>
      <w:pPr>
        <w:spacing w:after="0" w:line="183" w:lineRule="exact"/>
        <w:rPr>
          <w:sz w:val="20"/>
          <w:szCs w:val="20"/>
          <w:color w:val="auto"/>
        </w:rPr>
      </w:pPr>
    </w:p>
    <w:p>
      <w:pPr>
        <w:jc w:val="both"/>
        <w:ind w:right="60"/>
        <w:spacing w:after="0" w:line="255" w:lineRule="auto"/>
        <w:rPr>
          <w:sz w:val="20"/>
          <w:szCs w:val="20"/>
          <w:color w:val="auto"/>
        </w:rPr>
      </w:pPr>
      <w:r>
        <w:rPr>
          <w:rFonts w:ascii="Arial" w:cs="Arial" w:eastAsia="Arial" w:hAnsi="Arial"/>
          <w:sz w:val="17"/>
          <w:szCs w:val="17"/>
          <w:color w:val="auto"/>
        </w:rPr>
        <w:t>Forward-looking statements involve risks and uncertainties.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2" w:lineRule="exact"/>
        <w:rPr>
          <w:sz w:val="20"/>
          <w:szCs w:val="20"/>
          <w:color w:val="auto"/>
        </w:rPr>
      </w:pPr>
    </w:p>
    <w:p>
      <w:pPr>
        <w:ind w:left="620" w:right="20" w:hanging="618"/>
        <w:spacing w:after="0" w:line="266"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economic conditions and outlook in the United States and around the world, including but not limited to continuation or worsening of the recessionary conditions in the U.S. and other regions around the world and worldwide slow or negative economic growth rates; slow downs or reductions in home ownership, construction, and home sales; reduced consumer spending levels; reduced credit availability or unfavorable credit terms for our distributors, dealers, and end-user customers; increased unemployment rates; interest rates; inflation; reduced consumer confidence; and general economic and political conditions and expectations in the United States and the foreign countries in which we conduct business.</w:t>
      </w:r>
    </w:p>
    <w:p>
      <w:pPr>
        <w:spacing w:after="0" w:line="3" w:lineRule="exact"/>
        <w:rPr>
          <w:rFonts w:ascii="Arial" w:cs="Arial" w:eastAsia="Arial" w:hAnsi="Arial"/>
          <w:sz w:val="16"/>
          <w:szCs w:val="16"/>
          <w:color w:val="auto"/>
        </w:rPr>
      </w:pPr>
    </w:p>
    <w:p>
      <w:pPr>
        <w:ind w:left="620" w:right="680" w:hanging="618"/>
        <w:spacing w:after="0" w:line="251"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Increases in the cost and availability of raw materials and components that we purchase and increases in our other costs of doing business, including transportation costs, may adversely affect our profit margins and business.</w:t>
      </w:r>
    </w:p>
    <w:p>
      <w:pPr>
        <w:ind w:left="620" w:hanging="618"/>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Weather conditions may reduce demand for some of our products and adversely affect our net sales.</w:t>
      </w:r>
    </w:p>
    <w:p>
      <w:pPr>
        <w:spacing w:after="0" w:line="9" w:lineRule="exact"/>
        <w:rPr>
          <w:rFonts w:ascii="Arial" w:cs="Arial" w:eastAsia="Arial" w:hAnsi="Arial"/>
          <w:sz w:val="17"/>
          <w:szCs w:val="17"/>
          <w:color w:val="auto"/>
        </w:rPr>
      </w:pPr>
    </w:p>
    <w:p>
      <w:pPr>
        <w:ind w:left="620" w:right="140" w:hanging="618"/>
        <w:spacing w:after="0" w:line="284" w:lineRule="auto"/>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professional segment net sales are dependent upon the level of growth in the residential and commercial construction markets, the level of homeowners who outsource lawn care, the amount of investment in golf course renovations and improvements, new golf course development, golf course closures, availability of credit on acceptable credit terms to finance product purchases, and the amount of government spending for grounds maintenance equipment.</w:t>
      </w:r>
    </w:p>
    <w:p>
      <w:pPr>
        <w:spacing w:after="0" w:line="1" w:lineRule="exact"/>
        <w:rPr>
          <w:rFonts w:ascii="Arial" w:cs="Arial" w:eastAsia="Arial" w:hAnsi="Arial"/>
          <w:sz w:val="15"/>
          <w:szCs w:val="15"/>
          <w:color w:val="auto"/>
        </w:rPr>
      </w:pPr>
    </w:p>
    <w:p>
      <w:pPr>
        <w:ind w:left="620" w:right="260" w:hanging="618"/>
        <w:spacing w:after="0" w:line="251"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residential segment net sales are dependent upon consumer spending levels, the amount of product placement at retailers, changing buying patterns of customers, and The Home Depot, Inc. as a major customer.</w:t>
      </w:r>
    </w:p>
    <w:p>
      <w:pPr>
        <w:ind w:left="620" w:hanging="618"/>
        <w:spacing w:after="0" w:line="251"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and usage of new and existing products, we may experience a decrease in demand for our products, and our business could suffer.</w:t>
      </w:r>
    </w:p>
    <w:p>
      <w:pPr>
        <w:ind w:left="620" w:right="300" w:hanging="618"/>
        <w:spacing w:after="0" w:line="284" w:lineRule="auto"/>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face intense competition in all of our product lines with numerous manufacturers, including from some competitors that have greater operations and financial resources than us. We may not be able to compete effectively against competitors’ actions, which could harm our business and operating results.</w:t>
      </w:r>
    </w:p>
    <w:p>
      <w:pPr>
        <w:spacing w:after="0" w:line="1" w:lineRule="exact"/>
        <w:rPr>
          <w:rFonts w:ascii="Arial" w:cs="Arial" w:eastAsia="Arial" w:hAnsi="Arial"/>
          <w:sz w:val="15"/>
          <w:szCs w:val="15"/>
          <w:color w:val="auto"/>
        </w:rPr>
      </w:pPr>
    </w:p>
    <w:p>
      <w:pPr>
        <w:ind w:left="620" w:right="80" w:hanging="618"/>
        <w:spacing w:after="0" w:line="266"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is generated outside of the United States, and we intend to continue to expand our international operations. Our international operations require significant management attention and financial resources; expose us to difficulties presented by international economic, political, legal, accounting, and business factors; and may not be successful or produce desired levels of net sales.</w:t>
      </w:r>
    </w:p>
    <w:p>
      <w:pPr>
        <w:spacing w:after="0" w:line="2" w:lineRule="exact"/>
        <w:rPr>
          <w:rFonts w:ascii="Arial" w:cs="Arial" w:eastAsia="Arial" w:hAnsi="Arial"/>
          <w:sz w:val="16"/>
          <w:szCs w:val="16"/>
          <w:color w:val="auto"/>
        </w:rPr>
      </w:pPr>
    </w:p>
    <w:p>
      <w:pPr>
        <w:ind w:left="620" w:hanging="618"/>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Fluctuations in foreign currency exchange rates could result in declines in our reported net sales and net earnings.</w:t>
      </w:r>
    </w:p>
    <w:p>
      <w:pPr>
        <w:spacing w:after="0" w:line="9" w:lineRule="exact"/>
        <w:rPr>
          <w:rFonts w:ascii="Arial" w:cs="Arial" w:eastAsia="Arial" w:hAnsi="Arial"/>
          <w:sz w:val="17"/>
          <w:szCs w:val="17"/>
          <w:color w:val="auto"/>
        </w:rPr>
      </w:pPr>
    </w:p>
    <w:p>
      <w:pPr>
        <w:ind w:left="620" w:right="60" w:hanging="618"/>
        <w:spacing w:after="0" w:line="251"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manufacture our products at and distribute our products from several locations in the United States and internationally. Any disruption at any of these facilities or our inability to cost-effectively expand existing and/or move production between manufacturing facilities could adversely affect our business and operating results.</w:t>
      </w:r>
    </w:p>
    <w:p>
      <w:pPr>
        <w:ind w:left="620" w:right="160" w:hanging="618"/>
        <w:spacing w:after="0" w:line="266"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intend to grow our business in part through additional acquisitions and alliances, stronger customer relations, and new partnerships, which are risky and could harm our business, particularly if we are not able to successfully integrate such acquisitions, alliances, and partnerships.</w:t>
      </w:r>
    </w:p>
    <w:p>
      <w:pPr>
        <w:spacing w:after="0" w:line="1" w:lineRule="exact"/>
        <w:rPr>
          <w:rFonts w:ascii="Arial" w:cs="Arial" w:eastAsia="Arial" w:hAnsi="Arial"/>
          <w:sz w:val="16"/>
          <w:szCs w:val="16"/>
          <w:color w:val="auto"/>
        </w:rPr>
      </w:pPr>
    </w:p>
    <w:p>
      <w:pPr>
        <w:ind w:left="620" w:right="180" w:hanging="618"/>
        <w:spacing w:after="0" w:line="329" w:lineRule="auto"/>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724" w:right="259" w:bottom="1440" w:gutter="0" w:footer="0" w:header="0"/>
        </w:sectPr>
      </w:pPr>
    </w:p>
    <w:bookmarkStart w:id="21" w:name="page22"/>
    <w:bookmarkEnd w:id="21"/>
    <w:p>
      <w:pPr>
        <w:ind w:left="620" w:right="80" w:hanging="618"/>
        <w:spacing w:after="0" w:line="254"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significant portion of our net sales are financed by third parties. Some Toro dealers and Exmark distributors and dealers finance their inventories with third party financing sources. The termination of our agreements with these third parties, any material change to the terms of our agreements with these third parties or in the availability or terms of credit offered to our customers by these third parties, or any delay in securing replacement credit sources, could adversely affect our sales and operating results.</w:t>
      </w:r>
    </w:p>
    <w:p>
      <w:pPr>
        <w:spacing w:after="0" w:line="2" w:lineRule="exact"/>
        <w:rPr>
          <w:rFonts w:ascii="Arial" w:cs="Arial" w:eastAsia="Arial" w:hAnsi="Arial"/>
          <w:sz w:val="17"/>
          <w:szCs w:val="17"/>
          <w:color w:val="auto"/>
        </w:rPr>
      </w:pPr>
    </w:p>
    <w:p>
      <w:pPr>
        <w:ind w:left="620" w:right="600" w:hanging="618"/>
        <w:spacing w:after="0" w:line="25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ind w:left="620" w:right="480" w:hanging="618"/>
        <w:spacing w:after="0" w:line="25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properties, and products are subject to governmental regulation with which compliance may require us to incur expenses or modify our products or operations and non-compliance may expose us to penalties. Governmental regulation may also adversely affect the demand for some of our products and our operating results.</w:t>
      </w:r>
    </w:p>
    <w:p>
      <w:pPr>
        <w:ind w:left="620" w:right="40" w:hanging="618"/>
        <w:spacing w:after="0" w:line="25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product liability claims, product quality issues, and other litigation from time to time that could adversely affect our operating results or financial condition, including without limitation the pending litigation against us and other defendants that challenges the horsepower ratings of lawnmowers, of which we are currently unable to assess whether such litigation would have a material adverse effect on our consolidated operating results or financial condition, although an adverse result might be material to our operating results in a particular period.</w:t>
      </w:r>
    </w:p>
    <w:p>
      <w:pPr>
        <w:ind w:left="620" w:hanging="618"/>
        <w:spacing w:after="0" w:line="25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unable to retain our key employees, and attract and retain other qualified personnel, we may not be able to meet strategic objectives and our business could suffer.</w:t>
      </w:r>
    </w:p>
    <w:p>
      <w:pPr>
        <w:ind w:left="620" w:right="300" w:hanging="618"/>
        <w:spacing w:after="0" w:line="25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terms of our credit arrangements and the indentures governing our senior notes and debentures could limit our ability to conduct our business, take advantage of business opportunities, and respond to changing business, market, and economic conditions. In addition, if we are unable to comply with the terms of our credit arrangements and indentures, especially the financial covenants, our credit arrangements could be terminated and our senior notes and debentures could become due and payable.</w:t>
      </w:r>
    </w:p>
    <w:p>
      <w:pPr>
        <w:jc w:val="both"/>
        <w:ind w:left="620" w:right="200" w:hanging="618"/>
        <w:spacing w:after="0" w:line="284" w:lineRule="auto"/>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business is subject to a number of other factors that may adversely affect our operating results, financial condition, or business, such as natural or man-made disasters that may result in shortages of raw materials, higher fuel costs, and an increase in insurance premiums; financial viability of our distributors and dealers, changes in distributor ownership, changes in channel distribution of our products, relationships with our distribution channel partners, our</w:t>
      </w:r>
    </w:p>
    <w:p>
      <w:pPr>
        <w:spacing w:after="0" w:line="2" w:lineRule="exact"/>
        <w:rPr>
          <w:sz w:val="20"/>
          <w:szCs w:val="20"/>
          <w:color w:val="auto"/>
        </w:rPr>
      </w:pPr>
    </w:p>
    <w:p>
      <w:pPr>
        <w:ind w:left="620" w:right="220"/>
        <w:spacing w:after="0" w:line="251" w:lineRule="auto"/>
        <w:rPr>
          <w:sz w:val="20"/>
          <w:szCs w:val="20"/>
          <w:color w:val="auto"/>
        </w:rPr>
      </w:pPr>
      <w:r>
        <w:rPr>
          <w:rFonts w:ascii="Arial" w:cs="Arial" w:eastAsia="Arial" w:hAnsi="Arial"/>
          <w:sz w:val="17"/>
          <w:szCs w:val="17"/>
          <w:color w:val="auto"/>
        </w:rPr>
        <w:t>success in partnering with new dealers, and our customers’ ability to pay amounts owed to us; ability of management to adapt to unplanned events; and continued threat of terrorist acts and war that may result in heightened security and higher costs for import and export shipments of components or finished goods, reduced leisure travel, and contraction of the U.S. and world economies.</w:t>
      </w:r>
    </w:p>
    <w:p>
      <w:pPr>
        <w:spacing w:after="0" w:line="1"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 filed Annual Report on Form 10-K.</w:t>
      </w:r>
    </w:p>
    <w:p>
      <w:pPr>
        <w:spacing w:after="0" w:line="1" w:lineRule="exact"/>
        <w:rPr>
          <w:sz w:val="20"/>
          <w:szCs w:val="20"/>
          <w:color w:val="auto"/>
        </w:rPr>
      </w:pPr>
    </w:p>
    <w:p>
      <w:pPr>
        <w:ind w:right="20" w:firstLine="210"/>
        <w:spacing w:after="0" w:line="291" w:lineRule="auto"/>
        <w:rPr>
          <w:sz w:val="20"/>
          <w:szCs w:val="20"/>
          <w:color w:val="auto"/>
        </w:rPr>
      </w:pPr>
      <w:r>
        <w:rPr>
          <w:rFonts w:ascii="Arial" w:cs="Arial" w:eastAsia="Arial" w:hAnsi="Arial"/>
          <w:sz w:val="15"/>
          <w:szCs w:val="15"/>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4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are exposed to market risk stemming from changes in foreign currency exchange rates, interest rates, and commodity prices. Changes in these factors could cause fluctuations in our net earnings and cash flows. See further discussions on these market risks below. We are also exposed to equity market risk pertaining to the trading price of our common stock.</w:t>
      </w:r>
    </w:p>
    <w:p>
      <w:pPr>
        <w:spacing w:after="0" w:line="202"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i w:val="1"/>
          <w:iCs w:val="1"/>
          <w:u w:val="single" w:color="auto"/>
          <w:color w:val="auto"/>
        </w:rPr>
        <w:t>Foreign Currency Exchange Rate Risk.</w:t>
      </w:r>
      <w:r>
        <w:rPr>
          <w:rFonts w:ascii="Arial" w:cs="Arial" w:eastAsia="Arial" w:hAnsi="Arial"/>
          <w:sz w:val="16"/>
          <w:szCs w:val="16"/>
          <w:i w:val="1"/>
          <w:iCs w:val="1"/>
          <w:color w:val="auto"/>
        </w:rPr>
        <w:t xml:space="preserve"> </w:t>
      </w:r>
      <w:r>
        <w:rPr>
          <w:rFonts w:ascii="Arial" w:cs="Arial" w:eastAsia="Arial" w:hAnsi="Arial"/>
          <w:sz w:val="16"/>
          <w:szCs w:val="16"/>
          <w:color w:val="auto"/>
        </w:rPr>
        <w:t>In the normal course of business, we actively manage the exposure of our foreign currency market risk by entering into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hedging instruments, authorized under company policies that place controls on these activities, with counterparties that are highly rated financial institutions. Our hedging activities involve the primary use of forward currency contracts. We use derivative instruments only in an attempt to limit underlying exposure from currency exchange rate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United States and Mexico, a stronger U.S. dollar and Mexican Peso generally has a negative impact on results from operations, while a weaker dollar and peso generally has a positive effect. Our primary currency exchange rate exposures are with the Euro, the Australian dollar, the Canadian dollar, the British pound, the Mexican peso, and the Japanese yen against the U.S. dollar.</w:t>
      </w:r>
    </w:p>
    <w:p>
      <w:pPr>
        <w:spacing w:after="0" w:line="4" w:lineRule="exact"/>
        <w:rPr>
          <w:sz w:val="20"/>
          <w:szCs w:val="20"/>
          <w:color w:val="auto"/>
        </w:rPr>
      </w:pPr>
    </w:p>
    <w:p>
      <w:pPr>
        <w:ind w:right="100" w:firstLine="210"/>
        <w:spacing w:after="0" w:line="266" w:lineRule="auto"/>
        <w:rPr>
          <w:sz w:val="20"/>
          <w:szCs w:val="20"/>
          <w:color w:val="auto"/>
        </w:rPr>
      </w:pPr>
      <w:r>
        <w:rPr>
          <w:rFonts w:ascii="Arial" w:cs="Arial" w:eastAsia="Arial" w:hAnsi="Arial"/>
          <w:sz w:val="16"/>
          <w:szCs w:val="16"/>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the three months ended January 30, 2009, the amount of gains reclassified to earnings for such cash flow hedges was $1.8 million. For the three months ended January 30, 2009, the gains treated as an increase to net sales for contracts to hedge trade sales were $2.7 million and the losses treated as an increase to cost of sales for contracts to hedge inventory purchases were $0.9 million.</w:t>
      </w:r>
    </w:p>
    <w:p>
      <w:pPr>
        <w:spacing w:after="0" w:line="6" w:lineRule="exact"/>
        <w:rPr>
          <w:sz w:val="20"/>
          <w:szCs w:val="20"/>
          <w:color w:val="auto"/>
        </w:rPr>
      </w:pPr>
    </w:p>
    <w:p>
      <w:pPr>
        <w:ind w:right="60" w:firstLine="210"/>
        <w:spacing w:after="0" w:line="254" w:lineRule="auto"/>
        <w:rPr>
          <w:sz w:val="20"/>
          <w:szCs w:val="20"/>
          <w:color w:val="auto"/>
        </w:rPr>
      </w:pPr>
      <w:r>
        <w:rPr>
          <w:rFonts w:ascii="Arial" w:cs="Arial" w:eastAsia="Arial" w:hAnsi="Arial"/>
          <w:sz w:val="17"/>
          <w:szCs w:val="17"/>
          <w:color w:val="auto"/>
        </w:rPr>
        <w:t>The following foreign currency exchange rate contracts held by us have maturity dates in fiscal 2009 and 2010. All items are non-trading and stated in U.S. dollars. Some derivative instruments we enter into do not meet the hedging criteria of SFAS No. 133, “Accounting for Derivative Instruments and Hedging Activities;” therefore, changes in their fair value are recorded in other income, net. The average contracted rate, notional amount, pre-tax value of derivative instruments in accumulated other comprehensive loss, and fair value impact of derivative instruments in other income, net for the three months ended January 30, 2009 were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Value 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Accumulated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Average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6"/>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3"/>
              </w:rPr>
              <w:t>Fair Value</w:t>
            </w:r>
          </w:p>
        </w:tc>
      </w:tr>
      <w:tr>
        <w:trPr>
          <w:trHeight w:val="205"/>
        </w:trPr>
        <w:tc>
          <w:tcPr>
            <w:tcW w:w="5960" w:type="dxa"/>
            <w:vAlign w:val="bottom"/>
          </w:tcPr>
          <w:p>
            <w:pPr>
              <w:spacing w:after="0"/>
              <w:rPr>
                <w:sz w:val="20"/>
                <w:szCs w:val="20"/>
                <w:color w:val="auto"/>
              </w:rPr>
            </w:pPr>
            <w:r>
              <w:rPr>
                <w:rFonts w:ascii="Arial" w:cs="Arial" w:eastAsia="Arial" w:hAnsi="Arial"/>
                <w:sz w:val="17"/>
                <w:szCs w:val="17"/>
                <w:b w:val="1"/>
                <w:bCs w:val="1"/>
                <w:color w:val="auto"/>
              </w:rPr>
              <w:t>Dollars in thousands</w:t>
            </w: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Contracted</w:t>
            </w:r>
          </w:p>
        </w:tc>
        <w:tc>
          <w:tcPr>
            <w:tcW w:w="1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7"/>
                <w:szCs w:val="17"/>
                <w:b w:val="1"/>
                <w:bCs w:val="1"/>
                <w:color w:val="auto"/>
              </w:rPr>
              <w:t>Notional</w:t>
            </w:r>
          </w:p>
        </w:tc>
        <w:tc>
          <w:tcPr>
            <w:tcW w:w="10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9"/>
              </w:rPr>
              <w:t>Comprehensive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4"/>
              </w:rPr>
              <w:t>Impact</w:t>
            </w:r>
          </w:p>
        </w:tc>
      </w:tr>
      <w:tr>
        <w:trPr>
          <w:trHeight w:val="227"/>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(except average contracted rate)</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Rate</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8"/>
              </w:rPr>
              <w:t>Income (Loss)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Gain (Loss)</w:t>
            </w:r>
          </w:p>
        </w:tc>
        <w:tc>
          <w:tcPr>
            <w:tcW w:w="100" w:type="dxa"/>
            <w:vAlign w:val="bottom"/>
          </w:tcPr>
          <w:p>
            <w:pPr>
              <w:spacing w:after="0"/>
              <w:rPr>
                <w:sz w:val="19"/>
                <w:szCs w:val="19"/>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Buy US dollar/Sell Australian dollar</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0.7568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37,574.3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4,958.6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1,404.7</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Buy US dollar/Sell Canadian dollar</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0.9696</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6,302.6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889.7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270.7</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Buy US dollar/Sell Euro</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1.4397</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97,755.4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7,107.7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3,897.0</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Buy US dollar/Sell British pound</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1.4194</w:t>
            </w: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11,355.2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(10.8)</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Buy British pound/Sell US dollar</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1.4446</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(41.8)</w:t>
            </w: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Buy Mexican peso/Sell US dollar</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12.3307</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29,803.8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(4,316.2)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(906.8)</w:t>
            </w:r>
          </w:p>
        </w:tc>
      </w:tr>
    </w:tbl>
    <w:p>
      <w:pPr>
        <w:spacing w:after="0" w:line="207" w:lineRule="exact"/>
        <w:rPr>
          <w:sz w:val="20"/>
          <w:szCs w:val="20"/>
          <w:color w:val="auto"/>
        </w:rPr>
      </w:pPr>
    </w:p>
    <w:p>
      <w:pPr>
        <w:jc w:val="both"/>
        <w:ind w:firstLine="213"/>
        <w:spacing w:after="0" w:line="308"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i w:val="1"/>
          <w:iCs w:val="1"/>
          <w:u w:val="single" w:color="auto"/>
          <w:color w:val="auto"/>
        </w:rPr>
        <w:t>Interest Rate Risk.</w:t>
      </w:r>
      <w:r>
        <w:rPr>
          <w:rFonts w:ascii="Arial" w:cs="Arial" w:eastAsia="Arial" w:hAnsi="Arial"/>
          <w:sz w:val="17"/>
          <w:szCs w:val="17"/>
          <w:i w:val="1"/>
          <w:iCs w:val="1"/>
          <w:color w:val="auto"/>
        </w:rPr>
        <w:t xml:space="preserve"> </w:t>
      </w:r>
      <w:r>
        <w:rPr>
          <w:rFonts w:ascii="Arial" w:cs="Arial" w:eastAsia="Arial" w:hAnsi="Arial"/>
          <w:sz w:val="17"/>
          <w:szCs w:val="17"/>
          <w:color w:val="auto"/>
        </w:rPr>
        <w:t>Our market risk on interest rates relates primarily to LIBOR-based short-term debt from commercial banks, as well as the potential increase in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long-term debt resulting from a potential decrease in interest rates. However, we do not have a cash flow or earnings exposure due to market risks on long-term debt. We generally do not use interest rate swaps to mitigate the impact of fluctuations in interest rates. See our most recently filed Annual Report on Form 10-K (Item 7A). There has been no material change in this information.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23" w:name="page24"/>
    <w:bookmarkEnd w:id="23"/>
    <w:p>
      <w:pPr>
        <w:spacing w:after="0" w:line="254"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The primary commodity price exposures are with steel,</w:t>
      </w:r>
      <w:r>
        <w:rPr>
          <w:rFonts w:ascii="Arial" w:cs="Arial" w:eastAsia="Arial" w:hAnsi="Arial"/>
          <w:sz w:val="17"/>
          <w:szCs w:val="17"/>
          <w:i w:val="1"/>
          <w:iCs w:val="1"/>
          <w:color w:val="auto"/>
        </w:rPr>
        <w:t xml:space="preserve"> </w:t>
      </w:r>
      <w:r>
        <w:rPr>
          <w:rFonts w:ascii="Arial" w:cs="Arial" w:eastAsia="Arial" w:hAnsi="Arial"/>
          <w:sz w:val="17"/>
          <w:szCs w:val="17"/>
          <w:color w:val="auto"/>
        </w:rPr>
        <w:t>aluminum, fuel, petroleum-based resin, and linerboard. In addition, we are a purchaser of components and parts containing various commodities, including steel, aluminum, copper, lead, rubber, and others which are integrated into our end products. Further information regarding rising prices for commodities is presented in Item 2 of this Quarterly Report on Form 10-Q, in the section entitled “Inflation.”</w:t>
      </w:r>
    </w:p>
    <w:p>
      <w:pPr>
        <w:spacing w:after="0" w:line="2" w:lineRule="exact"/>
        <w:rPr>
          <w:sz w:val="20"/>
          <w:szCs w:val="20"/>
          <w:color w:val="auto"/>
        </w:rPr>
      </w:pPr>
    </w:p>
    <w:p>
      <w:pPr>
        <w:ind w:right="520" w:firstLine="210"/>
        <w:spacing w:after="0" w:line="329" w:lineRule="auto"/>
        <w:rPr>
          <w:sz w:val="20"/>
          <w:szCs w:val="20"/>
          <w:color w:val="auto"/>
        </w:rPr>
      </w:pPr>
      <w:r>
        <w:rPr>
          <w:rFonts w:ascii="Arial" w:cs="Arial" w:eastAsia="Arial" w:hAnsi="Arial"/>
          <w:sz w:val="15"/>
          <w:szCs w:val="15"/>
          <w:color w:val="auto"/>
        </w:rPr>
        <w:t>We enter into fixed-price contracts for future purchases of natural gas in the normal course of operations as a means to manage natural gas price risks. These contracts meet the definition of “normal purchases and normal sales” and, therefore, are not considered derivative instruments for accounting purposes.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4. CONTROLS AND PROCEDURES</w:t>
      </w:r>
    </w:p>
    <w:p>
      <w:pPr>
        <w:spacing w:after="0" w:line="243" w:lineRule="exact"/>
        <w:rPr>
          <w:sz w:val="20"/>
          <w:szCs w:val="20"/>
          <w:color w:val="auto"/>
        </w:rPr>
      </w:pPr>
    </w:p>
    <w:p>
      <w:pPr>
        <w:ind w:right="140"/>
        <w:spacing w:after="0" w:line="289" w:lineRule="auto"/>
        <w:rPr>
          <w:sz w:val="20"/>
          <w:szCs w:val="20"/>
          <w:color w:val="auto"/>
        </w:rPr>
      </w:pPr>
      <w:r>
        <w:rPr>
          <w:rFonts w:ascii="Arial" w:cs="Arial" w:eastAsia="Arial" w:hAnsi="Arial"/>
          <w:sz w:val="15"/>
          <w:szCs w:val="15"/>
          <w:color w:val="auto"/>
        </w:rPr>
        <w:t>We maintain disclosure controls and procedures (as defined in Exchange Act Rules 13a-15(e) and 15d-15(e)) that are designed to reasonably ensure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material information relating to our company and our consolidated subsidiaries is made known to management, including our Chief Executive Officer and Chief Financial Officer, particularly during the period when our periodic reports are being prepared. There was no change in our internal control over financial reporting that occurred during our fiscal first quarter ended January 30, 2009 that has materially affected, or is reasonably likely to materially affect, our internal control over financial reporting.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 OTHER INFORMATION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1. LEGAL PROCEEDINGS</w:t>
      </w:r>
    </w:p>
    <w:p>
      <w:pPr>
        <w:spacing w:after="0" w:line="221" w:lineRule="exact"/>
        <w:rPr>
          <w:sz w:val="20"/>
          <w:szCs w:val="20"/>
          <w:color w:val="auto"/>
        </w:rPr>
      </w:pPr>
    </w:p>
    <w:p>
      <w:pPr>
        <w:jc w:val="both"/>
        <w:ind w:right="140"/>
        <w:spacing w:after="0" w:line="290" w:lineRule="auto"/>
        <w:rPr>
          <w:sz w:val="20"/>
          <w:szCs w:val="20"/>
          <w:color w:val="auto"/>
        </w:rPr>
      </w:pPr>
      <w:r>
        <w:rPr>
          <w:rFonts w:ascii="Arial" w:cs="Arial" w:eastAsia="Arial" w:hAnsi="Arial"/>
          <w:sz w:val="15"/>
          <w:szCs w:val="15"/>
          <w:b w:val="1"/>
          <w:bCs w:val="1"/>
          <w:i w:val="1"/>
          <w:iCs w:val="1"/>
          <w:color w:val="auto"/>
        </w:rPr>
        <w:t xml:space="preserve">General. </w:t>
      </w:r>
      <w:r>
        <w:rPr>
          <w:rFonts w:ascii="Arial" w:cs="Arial" w:eastAsia="Arial" w:hAnsi="Arial"/>
          <w:sz w:val="15"/>
          <w:szCs w:val="15"/>
          <w:color w:val="auto"/>
        </w:rPr>
        <w:t>The company is party to litigation in the ordinary course of business. Litigation occasionally involves claims for punitive as well as compensatory damages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arising out of use of the company’s products. Although the company is self-insured to some extent, the company maintains insurance against certain product liability losses. The company is also subject to administrative proceedings with respect to claims involving the discharge of hazardous substances into the environment.</w:t>
      </w:r>
    </w:p>
    <w:p>
      <w:pPr>
        <w:ind w:right="140"/>
        <w:spacing w:after="0" w:line="253" w:lineRule="auto"/>
        <w:rPr>
          <w:sz w:val="20"/>
          <w:szCs w:val="20"/>
          <w:color w:val="auto"/>
        </w:rPr>
      </w:pPr>
      <w:r>
        <w:rPr>
          <w:rFonts w:ascii="Arial" w:cs="Arial" w:eastAsia="Arial" w:hAnsi="Arial"/>
          <w:sz w:val="17"/>
          <w:szCs w:val="17"/>
          <w:color w:val="auto"/>
        </w:rPr>
        <w:t>Some of these claims assert damages and liability for remedial investigations and clean up costs. The company is also typically involved in commercial disputes, employment disputes, and patent litigation cases in the ordinary course of business.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 The company is currently involved in patent litigation cases, both where it is asserting patents and where it is defending against charges of infringement.</w:t>
      </w:r>
    </w:p>
    <w:p>
      <w:pPr>
        <w:spacing w:after="0" w:line="211"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b w:val="1"/>
          <w:bCs w:val="1"/>
          <w:i w:val="1"/>
          <w:iCs w:val="1"/>
          <w:color w:val="auto"/>
        </w:rPr>
        <w:t xml:space="preserve">Lawnmower Engine Horsepower Marketing and Sales Practices Litigation. </w:t>
      </w:r>
      <w:r>
        <w:rPr>
          <w:rFonts w:ascii="Arial" w:cs="Arial" w:eastAsia="Arial" w:hAnsi="Arial"/>
          <w:sz w:val="16"/>
          <w:szCs w:val="16"/>
          <w:color w:val="auto"/>
        </w:rPr>
        <w:t>In June 2004, individuals who claim to have purchased lawnmowers in Illinois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Minnesota filed a class action lawsuit in Illinois state court against the company and other defendants alleging that the horsepower labels on the products the plaintiffs purchased were inaccurate. Those individuals later amended their complaint to add additional plaintiffs and an additional defendant. The plaintiffs asserted violations of the federal Racketeer Influenced and Corrupt Organizations Act (“RICO”) and state statutory and common law claims. The plaintiffs sought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also sought an injunction, unspecified compensatory and punitive damages, treble damages under RICO, and attorneys’ fees.</w:t>
      </w:r>
    </w:p>
    <w:p>
      <w:pPr>
        <w:ind w:right="180" w:firstLine="213"/>
        <w:spacing w:after="0" w:line="256" w:lineRule="auto"/>
        <w:rPr>
          <w:sz w:val="20"/>
          <w:szCs w:val="20"/>
          <w:color w:val="auto"/>
        </w:rPr>
      </w:pPr>
      <w:r>
        <w:rPr>
          <w:rFonts w:ascii="Arial" w:cs="Arial" w:eastAsia="Arial" w:hAnsi="Arial"/>
          <w:sz w:val="17"/>
          <w:szCs w:val="17"/>
          <w:color w:val="auto"/>
        </w:rPr>
        <w:t>In May 2006, the case was removed to federal court in the Southern District of Illinois. In August 2006, the company, together with the other defendants other than MTD Products Inc. (“MTD”), filed a motion to dismiss the amended complaint. Also in August 2006, the plaintiffs filed a motion for preliminary approval of a settlement agreement with MTD and</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24" w:name="page25"/>
    <w:bookmarkEnd w:id="24"/>
    <w:p>
      <w:pPr>
        <w:ind w:right="360"/>
        <w:spacing w:after="0" w:line="258" w:lineRule="auto"/>
        <w:rPr>
          <w:sz w:val="20"/>
          <w:szCs w:val="20"/>
          <w:color w:val="auto"/>
        </w:rPr>
      </w:pPr>
      <w:r>
        <w:rPr>
          <w:rFonts w:ascii="Arial" w:cs="Arial" w:eastAsia="Arial" w:hAnsi="Arial"/>
          <w:sz w:val="17"/>
          <w:szCs w:val="17"/>
          <w:color w:val="auto"/>
        </w:rPr>
        <w:t>certification of a settlement class. In December 2006, another defendant, American Honda Motor Company (“Honda”), notified the company that it had reached a settlement agreement with the plaintiffs.</w:t>
      </w:r>
    </w:p>
    <w:p>
      <w:pPr>
        <w:ind w:right="260" w:firstLine="213"/>
        <w:spacing w:after="0" w:line="251" w:lineRule="auto"/>
        <w:rPr>
          <w:sz w:val="20"/>
          <w:szCs w:val="20"/>
          <w:color w:val="auto"/>
        </w:rPr>
      </w:pPr>
      <w:r>
        <w:rPr>
          <w:rFonts w:ascii="Arial" w:cs="Arial" w:eastAsia="Arial" w:hAnsi="Arial"/>
          <w:sz w:val="17"/>
          <w:szCs w:val="17"/>
          <w:color w:val="auto"/>
        </w:rPr>
        <w:t>In May 2008, the court issued a memorandum and order that (i) dismissed the RICO claim in its entirety with prejudice; (ii) dismissed all non-Illinois state-law claims without prejudice and with instructions that such claims must be filed in local courts; and (iii) rejected the proposed settlement with MTD. The proposed Honda settlement was not under consideration by the court and was not addressed in the memorandum and order. Also in May 2008, the plaintiffs (i) re-filed the Illinois claims with the court; and (ii) filed non-Illinois claims in federal courts in the District of New Jersey and the Northern District of California with essentially the same state law claims.</w:t>
      </w:r>
    </w:p>
    <w:p>
      <w:pPr>
        <w:spacing w:after="0" w:line="1" w:lineRule="exact"/>
        <w:rPr>
          <w:sz w:val="20"/>
          <w:szCs w:val="20"/>
          <w:color w:val="auto"/>
        </w:rPr>
      </w:pPr>
    </w:p>
    <w:p>
      <w:pPr>
        <w:ind w:right="220" w:firstLine="213"/>
        <w:spacing w:after="0" w:line="251" w:lineRule="auto"/>
        <w:rPr>
          <w:sz w:val="20"/>
          <w:szCs w:val="20"/>
          <w:color w:val="auto"/>
        </w:rPr>
      </w:pPr>
      <w:r>
        <w:rPr>
          <w:rFonts w:ascii="Arial" w:cs="Arial" w:eastAsia="Arial" w:hAnsi="Arial"/>
          <w:sz w:val="17"/>
          <w:szCs w:val="17"/>
          <w:color w:val="auto"/>
        </w:rPr>
        <w:t>In June 2008, the plaintiffs filed a motion with the United States Judicial Panel on Multidistrict Litigation (the “MDL Panel”) that (i) stated their intent to file lawsuits in all 50 states and the District of Columbia; and (ii) sought to have all of the cases transferred for coordinated pretrial proceedings. In August 2008, the MDL Panel issued an order denying the transfer request. New lawsuits, some of which include new plaintiffs, were filed in various federal and state courts asserting essentially the same state law claims.</w:t>
      </w:r>
    </w:p>
    <w:p>
      <w:pPr>
        <w:spacing w:after="0" w:line="1" w:lineRule="exact"/>
        <w:rPr>
          <w:sz w:val="20"/>
          <w:szCs w:val="20"/>
          <w:color w:val="auto"/>
        </w:rPr>
      </w:pPr>
    </w:p>
    <w:p>
      <w:pPr>
        <w:jc w:val="both"/>
        <w:ind w:right="140" w:firstLine="213"/>
        <w:spacing w:after="0" w:line="251" w:lineRule="auto"/>
        <w:rPr>
          <w:sz w:val="20"/>
          <w:szCs w:val="20"/>
          <w:color w:val="auto"/>
        </w:rPr>
      </w:pPr>
      <w:r>
        <w:rPr>
          <w:rFonts w:ascii="Arial" w:cs="Arial" w:eastAsia="Arial" w:hAnsi="Arial"/>
          <w:sz w:val="17"/>
          <w:szCs w:val="17"/>
          <w:color w:val="auto"/>
        </w:rPr>
        <w:t>In September 2008, the company and other defendants filed a new motion with the MDL Panel that sought to transfer the multiple actions for coordinated pretrial proceedings. In early December 2008, the MDL Panel issued an order that (i) transferred 23 lawsuits, which collectively assert claims under the laws of 16 states, for coordinated or consolidated pretrial proceedings, (ii) selected the United States District Court for the Eastern District of Wisconsin as the transferee district, and (iii) provided that additional lawsuits will be treated as “tag-along” actions in accordance with its rules. An initial hearing was held in the United States District Court for the Eastern District of Wisconsin on January 27, 2009.</w:t>
      </w:r>
    </w:p>
    <w:p>
      <w:pPr>
        <w:spacing w:after="0" w:line="1" w:lineRule="exact"/>
        <w:rPr>
          <w:sz w:val="20"/>
          <w:szCs w:val="20"/>
          <w:color w:val="auto"/>
        </w:rPr>
      </w:pPr>
    </w:p>
    <w:p>
      <w:pPr>
        <w:ind w:right="280" w:firstLine="204"/>
        <w:spacing w:after="0" w:line="251" w:lineRule="auto"/>
        <w:rPr>
          <w:sz w:val="20"/>
          <w:szCs w:val="20"/>
          <w:color w:val="auto"/>
        </w:rPr>
      </w:pPr>
      <w:r>
        <w:rPr>
          <w:rFonts w:ascii="Arial" w:cs="Arial" w:eastAsia="Arial" w:hAnsi="Arial"/>
          <w:sz w:val="17"/>
          <w:szCs w:val="17"/>
          <w:color w:val="auto"/>
        </w:rPr>
        <w:t>At the initial hearing, the Court (i) appointed lead plaintiffs’ counsel, and (ii) entered a stay of all litigation for 120 days so that the parties may explore mediation. The Court set May 28, 2009 as the next date on which the parties will report on the status of the cases. To date, more than 60 lawsuits have been filed in various federal and state courts, which collectively assert claims under the laws of approximately 48 states.</w:t>
      </w:r>
    </w:p>
    <w:p>
      <w:pPr>
        <w:spacing w:after="0" w:line="1" w:lineRule="exact"/>
        <w:rPr>
          <w:sz w:val="20"/>
          <w:szCs w:val="20"/>
          <w:color w:val="auto"/>
        </w:rPr>
      </w:pPr>
    </w:p>
    <w:p>
      <w:pPr>
        <w:ind w:right="240" w:firstLine="213"/>
        <w:spacing w:after="0" w:line="275" w:lineRule="auto"/>
        <w:rPr>
          <w:sz w:val="20"/>
          <w:szCs w:val="20"/>
          <w:color w:val="auto"/>
        </w:rPr>
      </w:pPr>
      <w:r>
        <w:rPr>
          <w:rFonts w:ascii="Arial" w:cs="Arial" w:eastAsia="Arial" w:hAnsi="Arial"/>
          <w:sz w:val="16"/>
          <w:szCs w:val="16"/>
          <w:color w:val="auto"/>
        </w:rPr>
        <w:t>Management continues to evaluate these lawsuits and is unable to reasonably estimate the likelihood of loss or the amount or range of potential loss that could result from the litigation. Therefore, no accrual has been established for potential loss in connection with these lawsuits. Management is also unable to assess at this time whether these lawsuits will have a material adverse effect on the company’s annual consolidated operating results or financial condition, although an unfavorable resolution could be material to the company’s consolidated operating results for a particular period.</w:t>
      </w:r>
    </w:p>
    <w:p>
      <w:pPr>
        <w:spacing w:after="0" w:line="194"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b w:val="1"/>
          <w:bCs w:val="1"/>
          <w:i w:val="1"/>
          <w:iCs w:val="1"/>
          <w:color w:val="auto"/>
        </w:rPr>
        <w:t xml:space="preserve">Textron Innovations Inc. v. The Toro Company; The Toro Company v. Textron Inc. and Jacobsen. </w:t>
      </w:r>
      <w:r>
        <w:rPr>
          <w:rFonts w:ascii="Arial" w:cs="Arial" w:eastAsia="Arial" w:hAnsi="Arial"/>
          <w:sz w:val="17"/>
          <w:szCs w:val="17"/>
          <w:color w:val="auto"/>
        </w:rPr>
        <w:t>In July 2005, Textron Innovations Inc., the patent holding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of Textron, Inc., filed a lawsuit in Delaware Federal District Court against the company for patent infringement. Textron alleges that the company willfully infringed certain claims of three Textron patents by selling our Groundsmaster® commercial mowers. Textron seeks damages for the company’s past sales and an injunction against future infringement. In August and November 2005, management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management filed with the USPTO to have Textron’s patents reexamined. The reexamination proceedings are pending in the USPTO, and all of the claims asserted against the company in all three patents stand rejected. In April 2007, the Court granted our motion to stay the litigation and, in June 2007, denied Textron’s motion for reconsideration of the Court’s order staying the proceedings.</w:t>
      </w:r>
    </w:p>
    <w:p>
      <w:pPr>
        <w:spacing w:after="0" w:line="6" w:lineRule="exact"/>
        <w:rPr>
          <w:sz w:val="20"/>
          <w:szCs w:val="20"/>
          <w:color w:val="auto"/>
        </w:rPr>
      </w:pPr>
    </w:p>
    <w:p>
      <w:pPr>
        <w:jc w:val="both"/>
        <w:ind w:right="340" w:firstLine="213"/>
        <w:spacing w:after="0" w:line="255" w:lineRule="auto"/>
        <w:rPr>
          <w:sz w:val="20"/>
          <w:szCs w:val="20"/>
          <w:color w:val="auto"/>
        </w:rPr>
      </w:pPr>
      <w:r>
        <w:rPr>
          <w:rFonts w:ascii="Arial" w:cs="Arial" w:eastAsia="Arial" w:hAnsi="Arial"/>
          <w:sz w:val="17"/>
          <w:szCs w:val="17"/>
          <w:color w:val="auto"/>
        </w:rPr>
        <w:t>Management continues to evaluate these lawsuits and is unable to reasonably estimate the likelihood of loss or the amount or range of potential loss that could result from the litigation. Therefore, no accrual has been established for potential loss in connection with these lawsuits. While management does not believe that these lawsuits will have a material adverse effect on the company’s consolidated financial condition, an unfavorable resolution could be material to the company’s consolidated operating results.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1A. RISK FACTORS</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There has been no material change in those risk factors.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20"/>
                <w:szCs w:val="20"/>
                <w:color w:val="auto"/>
              </w:rPr>
            </w:pPr>
            <w:r>
              <w:rPr>
                <w:rFonts w:ascii="Arial" w:cs="Arial" w:eastAsia="Arial" w:hAnsi="Arial"/>
                <w:sz w:val="17"/>
                <w:szCs w:val="17"/>
                <w:color w:val="auto"/>
                <w:w w:val="93"/>
              </w:rPr>
              <w:t>The following table shows our first quarter of fiscal 2009 stock repurchase activity:</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4"/>
        </w:trPr>
        <w:tc>
          <w:tcPr>
            <w:tcW w:w="5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97"/>
              </w:rPr>
              <w:t>Maximum</w:t>
            </w:r>
          </w:p>
        </w:tc>
      </w:tr>
      <w:tr>
        <w:trPr>
          <w:trHeight w:val="205"/>
        </w:trPr>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Number</w:t>
            </w:r>
          </w:p>
        </w:tc>
      </w:tr>
      <w:tr>
        <w:trPr>
          <w:trHeight w:val="205"/>
        </w:trPr>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of Shares (or</w:t>
            </w:r>
          </w:p>
        </w:tc>
      </w:tr>
      <w:tr>
        <w:trPr>
          <w:trHeight w:val="205"/>
        </w:trPr>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7"/>
                <w:szCs w:val="17"/>
                <w:color w:val="auto"/>
                <w:w w:val="91"/>
              </w:rPr>
              <w:t>Total Number of</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Units) that May</w:t>
            </w:r>
          </w:p>
        </w:tc>
      </w:tr>
      <w:tr>
        <w:trPr>
          <w:trHeight w:val="205"/>
        </w:trPr>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7"/>
                <w:szCs w:val="17"/>
                <w:color w:val="auto"/>
              </w:rPr>
              <w:t>Total</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Shares (or Units)</w:t>
            </w:r>
          </w:p>
        </w:tc>
        <w:tc>
          <w:tcPr>
            <w:tcW w:w="1220" w:type="dxa"/>
            <w:vAlign w:val="bottom"/>
            <w:gridSpan w:val="2"/>
          </w:tcPr>
          <w:p>
            <w:pPr>
              <w:jc w:val="center"/>
              <w:ind w:right="80"/>
              <w:spacing w:after="0"/>
              <w:rPr>
                <w:sz w:val="20"/>
                <w:szCs w:val="20"/>
                <w:color w:val="auto"/>
              </w:rPr>
            </w:pPr>
            <w:r>
              <w:rPr>
                <w:rFonts w:ascii="Arial" w:cs="Arial" w:eastAsia="Arial" w:hAnsi="Arial"/>
                <w:sz w:val="17"/>
                <w:szCs w:val="17"/>
                <w:color w:val="auto"/>
                <w:w w:val="90"/>
              </w:rPr>
              <w:t>Yet Be</w:t>
            </w:r>
          </w:p>
        </w:tc>
      </w:tr>
      <w:tr>
        <w:trPr>
          <w:trHeight w:val="205"/>
        </w:trPr>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color w:val="auto"/>
                <w:w w:val="93"/>
              </w:rPr>
              <w:t>Number of</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7"/>
                <w:szCs w:val="17"/>
                <w:color w:val="auto"/>
                <w:w w:val="86"/>
              </w:rPr>
              <w:t>Purchased</w:t>
            </w:r>
          </w:p>
        </w:tc>
        <w:tc>
          <w:tcPr>
            <w:tcW w:w="1220" w:type="dxa"/>
            <w:vAlign w:val="bottom"/>
            <w:gridSpan w:val="2"/>
          </w:tcPr>
          <w:p>
            <w:pPr>
              <w:jc w:val="center"/>
              <w:ind w:right="80"/>
              <w:spacing w:after="0"/>
              <w:rPr>
                <w:sz w:val="20"/>
                <w:szCs w:val="20"/>
                <w:color w:val="auto"/>
              </w:rPr>
            </w:pPr>
            <w:r>
              <w:rPr>
                <w:rFonts w:ascii="Arial" w:cs="Arial" w:eastAsia="Arial" w:hAnsi="Arial"/>
                <w:sz w:val="17"/>
                <w:szCs w:val="17"/>
                <w:color w:val="auto"/>
                <w:w w:val="86"/>
              </w:rPr>
              <w:t>Purchased</w:t>
            </w:r>
          </w:p>
        </w:tc>
      </w:tr>
      <w:tr>
        <w:trPr>
          <w:trHeight w:val="205"/>
        </w:trPr>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color w:val="auto"/>
                <w:w w:val="88"/>
              </w:rPr>
              <w:t>Shares (or</w:t>
            </w:r>
          </w:p>
        </w:tc>
        <w:tc>
          <w:tcPr>
            <w:tcW w:w="1300" w:type="dxa"/>
            <w:vAlign w:val="bottom"/>
            <w:gridSpan w:val="3"/>
          </w:tcPr>
          <w:p>
            <w:pPr>
              <w:jc w:val="center"/>
              <w:ind w:right="200"/>
              <w:spacing w:after="0"/>
              <w:rPr>
                <w:sz w:val="20"/>
                <w:szCs w:val="20"/>
                <w:color w:val="auto"/>
              </w:rPr>
            </w:pPr>
            <w:r>
              <w:rPr>
                <w:rFonts w:ascii="Arial" w:cs="Arial" w:eastAsia="Arial" w:hAnsi="Arial"/>
                <w:sz w:val="17"/>
                <w:szCs w:val="17"/>
                <w:color w:val="auto"/>
                <w:w w:val="88"/>
              </w:rPr>
              <w:t>Average Price</w:t>
            </w:r>
          </w:p>
        </w:tc>
        <w:tc>
          <w:tcPr>
            <w:tcW w:w="1560" w:type="dxa"/>
            <w:vAlign w:val="bottom"/>
            <w:gridSpan w:val="2"/>
          </w:tcPr>
          <w:p>
            <w:pPr>
              <w:jc w:val="center"/>
              <w:ind w:right="180"/>
              <w:spacing w:after="0"/>
              <w:rPr>
                <w:sz w:val="20"/>
                <w:szCs w:val="20"/>
                <w:color w:val="auto"/>
              </w:rPr>
            </w:pPr>
            <w:r>
              <w:rPr>
                <w:rFonts w:ascii="Arial" w:cs="Arial" w:eastAsia="Arial" w:hAnsi="Arial"/>
                <w:sz w:val="17"/>
                <w:szCs w:val="17"/>
                <w:color w:val="auto"/>
                <w:w w:val="94"/>
              </w:rPr>
              <w:t>As Part of Publicly</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Under the Plans</w:t>
            </w:r>
          </w:p>
        </w:tc>
      </w:tr>
      <w:tr>
        <w:trPr>
          <w:trHeight w:val="205"/>
        </w:trPr>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7"/>
                <w:szCs w:val="17"/>
                <w:color w:val="auto"/>
                <w:w w:val="99"/>
              </w:rPr>
              <w:t>Units)</w:t>
            </w:r>
          </w:p>
        </w:tc>
        <w:tc>
          <w:tcPr>
            <w:tcW w:w="1300" w:type="dxa"/>
            <w:vAlign w:val="bottom"/>
            <w:gridSpan w:val="3"/>
          </w:tcPr>
          <w:p>
            <w:pPr>
              <w:jc w:val="center"/>
              <w:ind w:right="200"/>
              <w:spacing w:after="0"/>
              <w:rPr>
                <w:sz w:val="20"/>
                <w:szCs w:val="20"/>
                <w:color w:val="auto"/>
              </w:rPr>
            </w:pPr>
            <w:r>
              <w:rPr>
                <w:rFonts w:ascii="Arial" w:cs="Arial" w:eastAsia="Arial" w:hAnsi="Arial"/>
                <w:sz w:val="17"/>
                <w:szCs w:val="17"/>
                <w:color w:val="auto"/>
                <w:w w:val="86"/>
              </w:rPr>
              <w:t>Paid per Share</w:t>
            </w:r>
          </w:p>
        </w:tc>
        <w:tc>
          <w:tcPr>
            <w:tcW w:w="156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Announced Plans</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rPr>
              <w:t>or</w:t>
            </w:r>
          </w:p>
        </w:tc>
      </w:tr>
      <w:tr>
        <w:trPr>
          <w:trHeight w:val="223"/>
        </w:trPr>
        <w:tc>
          <w:tcPr>
            <w:tcW w:w="5800" w:type="dxa"/>
            <w:vAlign w:val="bottom"/>
          </w:tcPr>
          <w:p>
            <w:pPr>
              <w:spacing w:after="0"/>
              <w:rPr>
                <w:sz w:val="20"/>
                <w:szCs w:val="20"/>
                <w:color w:val="auto"/>
              </w:rPr>
            </w:pPr>
            <w:r>
              <w:rPr>
                <w:rFonts w:ascii="Arial" w:cs="Arial" w:eastAsia="Arial" w:hAnsi="Arial"/>
                <w:sz w:val="17"/>
                <w:szCs w:val="17"/>
                <w:color w:val="auto"/>
              </w:rPr>
              <w:t>Period</w:t>
            </w:r>
          </w:p>
        </w:tc>
        <w:tc>
          <w:tcPr>
            <w:tcW w:w="10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color w:val="auto"/>
                <w:w w:val="88"/>
              </w:rPr>
              <w:t>Purchased (1)</w:t>
            </w:r>
          </w:p>
        </w:tc>
        <w:tc>
          <w:tcPr>
            <w:tcW w:w="160" w:type="dxa"/>
            <w:vAlign w:val="bottom"/>
          </w:tcPr>
          <w:p>
            <w:pPr>
              <w:spacing w:after="0"/>
              <w:rPr>
                <w:sz w:val="19"/>
                <w:szCs w:val="19"/>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7"/>
                <w:szCs w:val="17"/>
                <w:color w:val="auto"/>
                <w:w w:val="97"/>
              </w:rPr>
              <w:t>(or Unit)</w:t>
            </w:r>
          </w:p>
        </w:tc>
        <w:tc>
          <w:tcPr>
            <w:tcW w:w="156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or Programs</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Programs (1)</w:t>
            </w:r>
          </w:p>
        </w:tc>
      </w:tr>
      <w:tr>
        <w:trPr>
          <w:trHeight w:val="205"/>
        </w:trPr>
        <w:tc>
          <w:tcPr>
            <w:tcW w:w="5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58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November 1, 2008 through</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November 28, 2008</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5,938</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30.31</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5,938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2,318,310</w:t>
            </w:r>
          </w:p>
        </w:tc>
      </w:tr>
      <w:tr>
        <w:trPr>
          <w:trHeight w:val="205"/>
        </w:trPr>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58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November 29, 2008 through</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January 2, 2009</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48,072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28.60</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48,072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2,270,238</w:t>
            </w:r>
          </w:p>
        </w:tc>
      </w:tr>
      <w:tr>
        <w:trPr>
          <w:trHeight w:val="205"/>
        </w:trPr>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58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January 3, 2009 through</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3"/>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January 30, 2009</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4,134(2)</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35.57</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686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2,269,552</w:t>
            </w:r>
          </w:p>
        </w:tc>
      </w:tr>
      <w:tr>
        <w:trPr>
          <w:trHeight w:val="205"/>
        </w:trPr>
        <w:tc>
          <w:tcPr>
            <w:tcW w:w="58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25"/>
        </w:trPr>
        <w:tc>
          <w:tcPr>
            <w:tcW w:w="58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line="185" w:lineRule="exact"/>
              <w:rPr>
                <w:sz w:val="20"/>
                <w:szCs w:val="20"/>
                <w:color w:val="auto"/>
              </w:rPr>
            </w:pPr>
            <w:r>
              <w:rPr>
                <w:rFonts w:ascii="Arial" w:cs="Arial" w:eastAsia="Arial" w:hAnsi="Arial"/>
                <w:sz w:val="17"/>
                <w:szCs w:val="17"/>
                <w:color w:val="auto"/>
              </w:rPr>
              <w:t>58,144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line="185" w:lineRule="exact"/>
              <w:rPr>
                <w:sz w:val="20"/>
                <w:szCs w:val="20"/>
                <w:color w:val="auto"/>
              </w:rPr>
            </w:pPr>
            <w:r>
              <w:rPr>
                <w:rFonts w:ascii="Arial" w:cs="Arial" w:eastAsia="Arial" w:hAnsi="Arial"/>
                <w:sz w:val="17"/>
                <w:szCs w:val="17"/>
                <w:color w:val="auto"/>
              </w:rPr>
              <w:t>29.27</w:t>
            </w:r>
          </w:p>
        </w:tc>
        <w:tc>
          <w:tcPr>
            <w:tcW w:w="1560" w:type="dxa"/>
            <w:vAlign w:val="bottom"/>
            <w:gridSpan w:val="2"/>
            <w:shd w:val="clear" w:color="auto" w:fill="CCEEFF"/>
          </w:tcPr>
          <w:p>
            <w:pPr>
              <w:jc w:val="right"/>
              <w:ind w:right="200"/>
              <w:spacing w:after="0" w:line="185" w:lineRule="exact"/>
              <w:rPr>
                <w:sz w:val="20"/>
                <w:szCs w:val="20"/>
                <w:color w:val="auto"/>
              </w:rPr>
            </w:pPr>
            <w:r>
              <w:rPr>
                <w:rFonts w:ascii="Arial" w:cs="Arial" w:eastAsia="Arial" w:hAnsi="Arial"/>
                <w:sz w:val="17"/>
                <w:szCs w:val="17"/>
                <w:color w:val="auto"/>
              </w:rPr>
              <w:t>54,696</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5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240" w:right="60" w:hanging="238"/>
        <w:spacing w:after="0" w:line="308" w:lineRule="auto"/>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May 21, 2008, the company’s Board of Directors authorized the repurchase of 4,000,000 shares of the company’s common stock in open-market or in privately negotiated transactions. This program has no expiration date but may be terminated by the company’s Board of Directors at any time.</w:t>
      </w:r>
    </w:p>
    <w:p>
      <w:pPr>
        <w:spacing w:after="0" w:line="167" w:lineRule="exact"/>
        <w:rPr>
          <w:rFonts w:ascii="Arial" w:cs="Arial" w:eastAsia="Arial" w:hAnsi="Arial"/>
          <w:sz w:val="16"/>
          <w:szCs w:val="16"/>
          <w:color w:val="auto"/>
        </w:rPr>
      </w:pPr>
    </w:p>
    <w:p>
      <w:pPr>
        <w:ind w:left="240" w:right="220" w:hanging="238"/>
        <w:spacing w:after="0" w:line="263" w:lineRule="auto"/>
        <w:tabs>
          <w:tab w:leader="none" w:pos="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Includes 3,448 units (shares) of the company’s common stock purchased in open-market transactions at an average price of $35.59 per share on behalf of a rabbi trust formed to pay benefit obligations of the company to participants in deferred compensation plans. These 3,448 shares were not repurchased under the company’s repurchase program described in footnote (1) above.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860" w:type="dxa"/>
            <w:vAlign w:val="bottom"/>
          </w:tcPr>
          <w:p>
            <w:pPr>
              <w:ind w:left="3320"/>
              <w:spacing w:after="0"/>
              <w:rPr>
                <w:sz w:val="20"/>
                <w:szCs w:val="20"/>
                <w:color w:val="auto"/>
              </w:rPr>
            </w:pPr>
            <w:r>
              <w:rPr>
                <w:rFonts w:ascii="Arial" w:cs="Arial" w:eastAsia="Arial" w:hAnsi="Arial"/>
                <w:sz w:val="20"/>
                <w:szCs w:val="20"/>
                <w:b w:val="1"/>
                <w:bCs w:val="1"/>
                <w:color w:val="auto"/>
              </w:rPr>
              <w:t>Item 6. EXHIBITS</w:t>
            </w:r>
          </w:p>
        </w:tc>
      </w:tr>
      <w:tr>
        <w:trPr>
          <w:trHeight w:val="425"/>
        </w:trPr>
        <w:tc>
          <w:tcPr>
            <w:tcW w:w="320" w:type="dxa"/>
            <w:vAlign w:val="bottom"/>
          </w:tcPr>
          <w:p>
            <w:pPr>
              <w:spacing w:after="0"/>
              <w:rPr>
                <w:sz w:val="20"/>
                <w:szCs w:val="20"/>
                <w:color w:val="auto"/>
              </w:rPr>
            </w:pPr>
            <w:r>
              <w:rPr>
                <w:rFonts w:ascii="Arial" w:cs="Arial" w:eastAsia="Arial" w:hAnsi="Arial"/>
                <w:sz w:val="17"/>
                <w:szCs w:val="17"/>
                <w:color w:val="auto"/>
              </w:rPr>
              <w:t>(a)</w:t>
            </w:r>
          </w:p>
        </w:tc>
        <w:tc>
          <w:tcPr>
            <w:tcW w:w="1220" w:type="dxa"/>
            <w:vAlign w:val="bottom"/>
          </w:tcPr>
          <w:p>
            <w:pPr>
              <w:ind w:left="140"/>
              <w:spacing w:after="0"/>
              <w:rPr>
                <w:sz w:val="20"/>
                <w:szCs w:val="20"/>
                <w:color w:val="auto"/>
              </w:rPr>
            </w:pPr>
            <w:r>
              <w:rPr>
                <w:rFonts w:ascii="Arial" w:cs="Arial" w:eastAsia="Arial" w:hAnsi="Arial"/>
                <w:sz w:val="17"/>
                <w:szCs w:val="17"/>
                <w:color w:val="auto"/>
              </w:rPr>
              <w:t>Exhibits</w:t>
            </w:r>
          </w:p>
        </w:tc>
        <w:tc>
          <w:tcPr>
            <w:tcW w:w="9860" w:type="dxa"/>
            <w:vAlign w:val="bottom"/>
          </w:tcPr>
          <w:p>
            <w:pPr>
              <w:spacing w:after="0"/>
              <w:rPr>
                <w:sz w:val="24"/>
                <w:szCs w:val="24"/>
                <w:color w:val="auto"/>
              </w:rPr>
            </w:pP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3.1 and 4.1</w:t>
            </w:r>
          </w:p>
        </w:tc>
        <w:tc>
          <w:tcPr>
            <w:tcW w:w="9860" w:type="dxa"/>
            <w:vAlign w:val="bottom"/>
          </w:tcPr>
          <w:p>
            <w:pPr>
              <w:ind w:left="340"/>
              <w:spacing w:after="0"/>
              <w:rPr>
                <w:sz w:val="20"/>
                <w:szCs w:val="20"/>
                <w:color w:val="auto"/>
              </w:rPr>
            </w:pPr>
            <w:r>
              <w:rPr>
                <w:rFonts w:ascii="Arial" w:cs="Arial" w:eastAsia="Arial" w:hAnsi="Arial"/>
                <w:sz w:val="17"/>
                <w:szCs w:val="17"/>
                <w:color w:val="auto"/>
                <w:w w:val="94"/>
              </w:rPr>
              <w:t>Restated Certificate of Incorporation of The Toro Company (incorporated by reference to Exhibit 3.1 to Registrant’s Current Report on</w:t>
            </w: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Form 8-K dated June 17, 2008, Commission File No. 1-8649).</w:t>
            </w: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3.2 and 4.2</w:t>
            </w:r>
          </w:p>
        </w:tc>
        <w:tc>
          <w:tcPr>
            <w:tcW w:w="9860" w:type="dxa"/>
            <w:vAlign w:val="bottom"/>
          </w:tcPr>
          <w:p>
            <w:pPr>
              <w:ind w:left="340"/>
              <w:spacing w:after="0"/>
              <w:rPr>
                <w:sz w:val="20"/>
                <w:szCs w:val="20"/>
                <w:color w:val="auto"/>
              </w:rPr>
            </w:pPr>
            <w:r>
              <w:rPr>
                <w:rFonts w:ascii="Arial" w:cs="Arial" w:eastAsia="Arial" w:hAnsi="Arial"/>
                <w:sz w:val="17"/>
                <w:szCs w:val="17"/>
                <w:color w:val="auto"/>
                <w:w w:val="91"/>
              </w:rPr>
              <w:t>Amended and Restated Bylaws of The Toro Company (incorporated by reference to Exhibit 3.2 to Registrant’s Current Report on Form 8-</w:t>
            </w: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K dated June 17, 2008, Commission File No. 1-8649).</w:t>
            </w: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4.3</w:t>
            </w:r>
          </w:p>
        </w:tc>
        <w:tc>
          <w:tcPr>
            <w:tcW w:w="9860" w:type="dxa"/>
            <w:vAlign w:val="bottom"/>
          </w:tcPr>
          <w:p>
            <w:pPr>
              <w:ind w:left="340"/>
              <w:spacing w:after="0"/>
              <w:rPr>
                <w:sz w:val="20"/>
                <w:szCs w:val="20"/>
                <w:color w:val="auto"/>
              </w:rPr>
            </w:pPr>
            <w:r>
              <w:rPr>
                <w:rFonts w:ascii="Arial" w:cs="Arial" w:eastAsia="Arial" w:hAnsi="Arial"/>
                <w:sz w:val="17"/>
                <w:szCs w:val="17"/>
                <w:color w:val="auto"/>
                <w:w w:val="91"/>
              </w:rPr>
              <w:t>Specimen Form of Common Stock Certificate (incorporated by reference to Exhibit 4(c) to Registrant’s Quarterly Report on Form 10-Q for</w:t>
            </w: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the fiscal quarter ended August 1, 2008).</w:t>
            </w: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4.4</w:t>
            </w:r>
          </w:p>
        </w:tc>
        <w:tc>
          <w:tcPr>
            <w:tcW w:w="9860" w:type="dxa"/>
            <w:vAlign w:val="bottom"/>
          </w:tcPr>
          <w:p>
            <w:pPr>
              <w:ind w:left="340"/>
              <w:spacing w:after="0"/>
              <w:rPr>
                <w:sz w:val="20"/>
                <w:szCs w:val="20"/>
                <w:color w:val="auto"/>
              </w:rPr>
            </w:pPr>
            <w:r>
              <w:rPr>
                <w:rFonts w:ascii="Arial" w:cs="Arial" w:eastAsia="Arial" w:hAnsi="Arial"/>
                <w:sz w:val="17"/>
                <w:szCs w:val="17"/>
                <w:color w:val="auto"/>
                <w:w w:val="97"/>
              </w:rPr>
              <w:t>Indenture dated as of January 31, 1997, between Registrant and First National Trust Association, as Trustee, relating to The Toro</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93"/>
              </w:rPr>
              <w:t>Company’s 7.80% Debentures due June 15, 2027 (incorporated by reference to Exhibit 4(a) to Registrant’s Current Report on Form 8-K</w:t>
            </w: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dated June 24, 1997, Commission File No. 1-8649).</w:t>
            </w: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4.5</w:t>
            </w:r>
          </w:p>
        </w:tc>
        <w:tc>
          <w:tcPr>
            <w:tcW w:w="9860" w:type="dxa"/>
            <w:vAlign w:val="bottom"/>
          </w:tcPr>
          <w:p>
            <w:pPr>
              <w:ind w:left="340"/>
              <w:spacing w:after="0"/>
              <w:rPr>
                <w:sz w:val="20"/>
                <w:szCs w:val="20"/>
                <w:color w:val="auto"/>
              </w:rPr>
            </w:pPr>
            <w:r>
              <w:rPr>
                <w:rFonts w:ascii="Arial" w:cs="Arial" w:eastAsia="Arial" w:hAnsi="Arial"/>
                <w:sz w:val="17"/>
                <w:szCs w:val="17"/>
                <w:color w:val="auto"/>
                <w:w w:val="90"/>
              </w:rPr>
              <w:t>Indenture dated as of April 20, 2007, between Registrant and The Bank of New York Trust Company, N.A., as Trustee, relating to The Toro</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92"/>
              </w:rPr>
              <w:t>Company’s 6.625% Notes due May 1, 2037 (incorporated by reference to Exhibit 4.3 to Registrant’s Registration Statement on Form S-3</w:t>
            </w: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filed with the Securities and Exchange Commission on April 23, 2007, Registration No. 333-142282).</w:t>
            </w: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4.6</w:t>
            </w:r>
          </w:p>
        </w:tc>
        <w:tc>
          <w:tcPr>
            <w:tcW w:w="9860" w:type="dxa"/>
            <w:vAlign w:val="bottom"/>
          </w:tcPr>
          <w:p>
            <w:pPr>
              <w:ind w:left="340"/>
              <w:spacing w:after="0"/>
              <w:rPr>
                <w:sz w:val="20"/>
                <w:szCs w:val="20"/>
                <w:color w:val="auto"/>
              </w:rPr>
            </w:pPr>
            <w:r>
              <w:rPr>
                <w:rFonts w:ascii="Arial" w:cs="Arial" w:eastAsia="Arial" w:hAnsi="Arial"/>
                <w:sz w:val="17"/>
                <w:szCs w:val="17"/>
                <w:color w:val="auto"/>
                <w:w w:val="91"/>
              </w:rPr>
              <w:t>First Supplemental Indenture dated as of April 26, 2007, between Registrant and The Bank of New York Trust Company, N.A., as Trustee,</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91"/>
              </w:rPr>
              <w:t>relating to The Toro Company’s 6.625% Notes due May 1, 2037 (incorporated by reference to Exhibit 4.1 to Registrant’s Current Report on</w:t>
            </w: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Form 8-K dated April 23, 2007, Commission File No. 1-8649).</w:t>
            </w:r>
          </w:p>
        </w:tc>
      </w:tr>
    </w:tbl>
    <w:p>
      <w:pPr>
        <w:sectPr>
          <w:pgSz w:w="11900" w:h="16838" w:orient="portrait"/>
          <w:cols w:equalWidth="0" w:num="1">
            <w:col w:w="11420"/>
          </w:cols>
          <w:pgMar w:left="240" w:top="715"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83820</wp:posOffset>
            </wp:positionV>
            <wp:extent cx="725868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9019"/>
          </w:cols>
          <w:pgMar w:left="1440" w:top="1278"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5"/>
        </w:trPr>
        <w:tc>
          <w:tcPr>
            <w:tcW w:w="860" w:type="dxa"/>
            <w:vAlign w:val="bottom"/>
          </w:tcPr>
          <w:p>
            <w:pPr>
              <w:spacing w:after="0"/>
              <w:rPr>
                <w:sz w:val="20"/>
                <w:szCs w:val="20"/>
                <w:color w:val="auto"/>
              </w:rPr>
            </w:pPr>
            <w:r>
              <w:rPr>
                <w:rFonts w:ascii="Arial" w:cs="Arial" w:eastAsia="Arial" w:hAnsi="Arial"/>
                <w:sz w:val="17"/>
                <w:szCs w:val="17"/>
                <w:color w:val="auto"/>
              </w:rPr>
              <w:t>4.7</w:t>
            </w:r>
          </w:p>
        </w:tc>
        <w:tc>
          <w:tcPr>
            <w:tcW w:w="10060" w:type="dxa"/>
            <w:vAlign w:val="bottom"/>
          </w:tcPr>
          <w:p>
            <w:pPr>
              <w:ind w:left="560"/>
              <w:spacing w:after="0"/>
              <w:rPr>
                <w:sz w:val="20"/>
                <w:szCs w:val="20"/>
                <w:color w:val="auto"/>
              </w:rPr>
            </w:pPr>
            <w:r>
              <w:rPr>
                <w:rFonts w:ascii="Arial" w:cs="Arial" w:eastAsia="Arial" w:hAnsi="Arial"/>
                <w:sz w:val="17"/>
                <w:szCs w:val="17"/>
                <w:color w:val="auto"/>
                <w:w w:val="94"/>
              </w:rPr>
              <w:t>Form of The Toro Company 6.625% Note due May 1, 2037 (incorporated by reference to Exhibit 4.2 to Registrant’s Current Report on</w:t>
            </w:r>
          </w:p>
        </w:tc>
      </w:tr>
      <w:tr>
        <w:trPr>
          <w:trHeight w:val="216"/>
        </w:trPr>
        <w:tc>
          <w:tcPr>
            <w:tcW w:w="860" w:type="dxa"/>
            <w:vAlign w:val="bottom"/>
          </w:tcPr>
          <w:p>
            <w:pPr>
              <w:spacing w:after="0"/>
              <w:rPr>
                <w:sz w:val="18"/>
                <w:szCs w:val="18"/>
                <w:color w:val="auto"/>
              </w:rPr>
            </w:pPr>
          </w:p>
        </w:tc>
        <w:tc>
          <w:tcPr>
            <w:tcW w:w="10060" w:type="dxa"/>
            <w:vAlign w:val="bottom"/>
          </w:tcPr>
          <w:p>
            <w:pPr>
              <w:ind w:left="560"/>
              <w:spacing w:after="0"/>
              <w:rPr>
                <w:sz w:val="20"/>
                <w:szCs w:val="20"/>
                <w:color w:val="auto"/>
              </w:rPr>
            </w:pPr>
            <w:r>
              <w:rPr>
                <w:rFonts w:ascii="Arial" w:cs="Arial" w:eastAsia="Arial" w:hAnsi="Arial"/>
                <w:sz w:val="17"/>
                <w:szCs w:val="17"/>
                <w:color w:val="auto"/>
              </w:rPr>
              <w:t>Form 8-K dated April 23, 2007, Commission File No. 1-8649).</w:t>
            </w:r>
          </w:p>
        </w:tc>
      </w:tr>
      <w:tr>
        <w:trPr>
          <w:trHeight w:val="409"/>
        </w:trPr>
        <w:tc>
          <w:tcPr>
            <w:tcW w:w="860" w:type="dxa"/>
            <w:vAlign w:val="bottom"/>
          </w:tcPr>
          <w:p>
            <w:pPr>
              <w:spacing w:after="0"/>
              <w:rPr>
                <w:sz w:val="20"/>
                <w:szCs w:val="20"/>
                <w:color w:val="auto"/>
              </w:rPr>
            </w:pPr>
            <w:r>
              <w:rPr>
                <w:rFonts w:ascii="Arial" w:cs="Arial" w:eastAsia="Arial" w:hAnsi="Arial"/>
                <w:sz w:val="17"/>
                <w:szCs w:val="17"/>
                <w:color w:val="auto"/>
              </w:rPr>
              <w:t>10.1</w:t>
            </w:r>
          </w:p>
        </w:tc>
        <w:tc>
          <w:tcPr>
            <w:tcW w:w="10060" w:type="dxa"/>
            <w:vAlign w:val="bottom"/>
          </w:tcPr>
          <w:p>
            <w:pPr>
              <w:ind w:left="560"/>
              <w:spacing w:after="0"/>
              <w:rPr>
                <w:sz w:val="20"/>
                <w:szCs w:val="20"/>
                <w:color w:val="auto"/>
              </w:rPr>
            </w:pPr>
            <w:r>
              <w:rPr>
                <w:rFonts w:ascii="Arial" w:cs="Arial" w:eastAsia="Arial" w:hAnsi="Arial"/>
                <w:sz w:val="17"/>
                <w:szCs w:val="17"/>
                <w:color w:val="auto"/>
              </w:rPr>
              <w:t>The Toro Company First Amendment to Employment Agreement (filed herewith).</w:t>
            </w:r>
          </w:p>
        </w:tc>
      </w:tr>
      <w:tr>
        <w:trPr>
          <w:trHeight w:val="409"/>
        </w:trPr>
        <w:tc>
          <w:tcPr>
            <w:tcW w:w="860" w:type="dxa"/>
            <w:vAlign w:val="bottom"/>
          </w:tcPr>
          <w:p>
            <w:pPr>
              <w:spacing w:after="0"/>
              <w:rPr>
                <w:sz w:val="20"/>
                <w:szCs w:val="20"/>
                <w:color w:val="auto"/>
              </w:rPr>
            </w:pPr>
            <w:r>
              <w:rPr>
                <w:rFonts w:ascii="Arial" w:cs="Arial" w:eastAsia="Arial" w:hAnsi="Arial"/>
                <w:sz w:val="17"/>
                <w:szCs w:val="17"/>
                <w:color w:val="auto"/>
              </w:rPr>
              <w:t>10.2</w:t>
            </w:r>
          </w:p>
        </w:tc>
        <w:tc>
          <w:tcPr>
            <w:tcW w:w="10060" w:type="dxa"/>
            <w:vAlign w:val="bottom"/>
          </w:tcPr>
          <w:p>
            <w:pPr>
              <w:ind w:left="560"/>
              <w:spacing w:after="0"/>
              <w:rPr>
                <w:sz w:val="20"/>
                <w:szCs w:val="20"/>
                <w:color w:val="auto"/>
              </w:rPr>
            </w:pPr>
            <w:r>
              <w:rPr>
                <w:rFonts w:ascii="Arial" w:cs="Arial" w:eastAsia="Arial" w:hAnsi="Arial"/>
                <w:sz w:val="17"/>
                <w:szCs w:val="17"/>
                <w:color w:val="auto"/>
              </w:rPr>
              <w:t>The Toro Company 2000 Directors Stock Plan (As Amended January 20, 2009) (filed herewith).</w:t>
            </w:r>
          </w:p>
        </w:tc>
      </w:tr>
      <w:tr>
        <w:trPr>
          <w:trHeight w:val="398"/>
        </w:trPr>
        <w:tc>
          <w:tcPr>
            <w:tcW w:w="860" w:type="dxa"/>
            <w:vAlign w:val="bottom"/>
          </w:tcPr>
          <w:p>
            <w:pPr>
              <w:spacing w:after="0"/>
              <w:rPr>
                <w:sz w:val="20"/>
                <w:szCs w:val="20"/>
                <w:color w:val="auto"/>
              </w:rPr>
            </w:pPr>
            <w:r>
              <w:rPr>
                <w:rFonts w:ascii="Arial" w:cs="Arial" w:eastAsia="Arial" w:hAnsi="Arial"/>
                <w:sz w:val="17"/>
                <w:szCs w:val="17"/>
                <w:color w:val="auto"/>
              </w:rPr>
              <w:t>10.3</w:t>
            </w:r>
          </w:p>
        </w:tc>
        <w:tc>
          <w:tcPr>
            <w:tcW w:w="10060" w:type="dxa"/>
            <w:vAlign w:val="bottom"/>
          </w:tcPr>
          <w:p>
            <w:pPr>
              <w:ind w:left="560"/>
              <w:spacing w:after="0"/>
              <w:rPr>
                <w:sz w:val="20"/>
                <w:szCs w:val="20"/>
                <w:color w:val="auto"/>
              </w:rPr>
            </w:pPr>
            <w:r>
              <w:rPr>
                <w:rFonts w:ascii="Arial" w:cs="Arial" w:eastAsia="Arial" w:hAnsi="Arial"/>
                <w:sz w:val="17"/>
                <w:szCs w:val="17"/>
                <w:color w:val="auto"/>
                <w:w w:val="93"/>
              </w:rPr>
              <w:t>The Toro Company 2000 Stock Option Plan (As Amended December 3, 2008) (incorporated by reference to Exhibit 10.5 to Registrant’s</w:t>
            </w:r>
          </w:p>
        </w:tc>
      </w:tr>
      <w:tr>
        <w:trPr>
          <w:trHeight w:val="216"/>
        </w:trPr>
        <w:tc>
          <w:tcPr>
            <w:tcW w:w="860" w:type="dxa"/>
            <w:vAlign w:val="bottom"/>
          </w:tcPr>
          <w:p>
            <w:pPr>
              <w:spacing w:after="0"/>
              <w:rPr>
                <w:sz w:val="18"/>
                <w:szCs w:val="18"/>
                <w:color w:val="auto"/>
              </w:rPr>
            </w:pPr>
          </w:p>
        </w:tc>
        <w:tc>
          <w:tcPr>
            <w:tcW w:w="10060" w:type="dxa"/>
            <w:vAlign w:val="bottom"/>
          </w:tcPr>
          <w:p>
            <w:pPr>
              <w:ind w:left="560"/>
              <w:spacing w:after="0"/>
              <w:rPr>
                <w:sz w:val="20"/>
                <w:szCs w:val="20"/>
                <w:color w:val="auto"/>
              </w:rPr>
            </w:pPr>
            <w:r>
              <w:rPr>
                <w:rFonts w:ascii="Arial" w:cs="Arial" w:eastAsia="Arial" w:hAnsi="Arial"/>
                <w:sz w:val="17"/>
                <w:szCs w:val="17"/>
                <w:color w:val="auto"/>
              </w:rPr>
              <w:t>Annual Report on Form 10-K for the fiscal year ended October 31, 2008).</w:t>
            </w:r>
          </w:p>
        </w:tc>
      </w:tr>
      <w:tr>
        <w:trPr>
          <w:trHeight w:val="398"/>
        </w:trPr>
        <w:tc>
          <w:tcPr>
            <w:tcW w:w="860" w:type="dxa"/>
            <w:vAlign w:val="bottom"/>
          </w:tcPr>
          <w:p>
            <w:pPr>
              <w:spacing w:after="0"/>
              <w:rPr>
                <w:sz w:val="20"/>
                <w:szCs w:val="20"/>
                <w:color w:val="auto"/>
              </w:rPr>
            </w:pPr>
            <w:r>
              <w:rPr>
                <w:rFonts w:ascii="Arial" w:cs="Arial" w:eastAsia="Arial" w:hAnsi="Arial"/>
                <w:sz w:val="17"/>
                <w:szCs w:val="17"/>
                <w:color w:val="auto"/>
              </w:rPr>
              <w:t>10.4</w:t>
            </w:r>
          </w:p>
        </w:tc>
        <w:tc>
          <w:tcPr>
            <w:tcW w:w="10060" w:type="dxa"/>
            <w:vAlign w:val="bottom"/>
          </w:tcPr>
          <w:p>
            <w:pPr>
              <w:ind w:left="560"/>
              <w:spacing w:after="0"/>
              <w:rPr>
                <w:sz w:val="20"/>
                <w:szCs w:val="20"/>
                <w:color w:val="auto"/>
              </w:rPr>
            </w:pPr>
            <w:r>
              <w:rPr>
                <w:rFonts w:ascii="Arial" w:cs="Arial" w:eastAsia="Arial" w:hAnsi="Arial"/>
                <w:sz w:val="17"/>
                <w:szCs w:val="17"/>
                <w:color w:val="auto"/>
                <w:w w:val="91"/>
              </w:rPr>
              <w:t>Form of Nonqualified Stock Option Agreement between The Toro Company and its Non-Employee Directors (incorporated by reference to</w:t>
            </w:r>
          </w:p>
        </w:tc>
      </w:tr>
      <w:tr>
        <w:trPr>
          <w:trHeight w:val="216"/>
        </w:trPr>
        <w:tc>
          <w:tcPr>
            <w:tcW w:w="860" w:type="dxa"/>
            <w:vAlign w:val="bottom"/>
          </w:tcPr>
          <w:p>
            <w:pPr>
              <w:spacing w:after="0"/>
              <w:rPr>
                <w:sz w:val="18"/>
                <w:szCs w:val="18"/>
                <w:color w:val="auto"/>
              </w:rPr>
            </w:pPr>
          </w:p>
        </w:tc>
        <w:tc>
          <w:tcPr>
            <w:tcW w:w="10060" w:type="dxa"/>
            <w:vAlign w:val="bottom"/>
          </w:tcPr>
          <w:p>
            <w:pPr>
              <w:ind w:left="560"/>
              <w:spacing w:after="0"/>
              <w:rPr>
                <w:sz w:val="20"/>
                <w:szCs w:val="20"/>
                <w:color w:val="auto"/>
              </w:rPr>
            </w:pPr>
            <w:r>
              <w:rPr>
                <w:rFonts w:ascii="Arial" w:cs="Arial" w:eastAsia="Arial" w:hAnsi="Arial"/>
                <w:sz w:val="17"/>
                <w:szCs w:val="17"/>
                <w:color w:val="auto"/>
              </w:rPr>
              <w:t>Exhibit 10.20 to Registrant’s Annual Report on Form 10-K for the fiscal year ended October 31, 2008).</w:t>
            </w:r>
          </w:p>
        </w:tc>
      </w:tr>
      <w:tr>
        <w:trPr>
          <w:trHeight w:val="398"/>
        </w:trPr>
        <w:tc>
          <w:tcPr>
            <w:tcW w:w="860" w:type="dxa"/>
            <w:vAlign w:val="bottom"/>
          </w:tcPr>
          <w:p>
            <w:pPr>
              <w:spacing w:after="0"/>
              <w:rPr>
                <w:sz w:val="20"/>
                <w:szCs w:val="20"/>
                <w:color w:val="auto"/>
              </w:rPr>
            </w:pPr>
            <w:r>
              <w:rPr>
                <w:rFonts w:ascii="Arial" w:cs="Arial" w:eastAsia="Arial" w:hAnsi="Arial"/>
                <w:sz w:val="17"/>
                <w:szCs w:val="17"/>
                <w:color w:val="auto"/>
              </w:rPr>
              <w:t>10.5</w:t>
            </w:r>
          </w:p>
        </w:tc>
        <w:tc>
          <w:tcPr>
            <w:tcW w:w="10060" w:type="dxa"/>
            <w:vAlign w:val="bottom"/>
          </w:tcPr>
          <w:p>
            <w:pPr>
              <w:ind w:left="560"/>
              <w:spacing w:after="0"/>
              <w:rPr>
                <w:sz w:val="20"/>
                <w:szCs w:val="20"/>
                <w:color w:val="auto"/>
              </w:rPr>
            </w:pPr>
            <w:r>
              <w:rPr>
                <w:rFonts w:ascii="Arial" w:cs="Arial" w:eastAsia="Arial" w:hAnsi="Arial"/>
                <w:sz w:val="17"/>
                <w:szCs w:val="17"/>
                <w:color w:val="auto"/>
                <w:w w:val="97"/>
              </w:rPr>
              <w:t>Form of Nonqualified Stock Option Agreement between The Toro Company and its Officers and other employees (incorporated by</w:t>
            </w:r>
          </w:p>
        </w:tc>
      </w:tr>
      <w:tr>
        <w:trPr>
          <w:trHeight w:val="216"/>
        </w:trPr>
        <w:tc>
          <w:tcPr>
            <w:tcW w:w="860" w:type="dxa"/>
            <w:vAlign w:val="bottom"/>
          </w:tcPr>
          <w:p>
            <w:pPr>
              <w:spacing w:after="0"/>
              <w:rPr>
                <w:sz w:val="18"/>
                <w:szCs w:val="18"/>
                <w:color w:val="auto"/>
              </w:rPr>
            </w:pPr>
          </w:p>
        </w:tc>
        <w:tc>
          <w:tcPr>
            <w:tcW w:w="10060" w:type="dxa"/>
            <w:vAlign w:val="bottom"/>
          </w:tcPr>
          <w:p>
            <w:pPr>
              <w:ind w:left="560"/>
              <w:spacing w:after="0"/>
              <w:rPr>
                <w:sz w:val="20"/>
                <w:szCs w:val="20"/>
                <w:color w:val="auto"/>
              </w:rPr>
            </w:pPr>
            <w:r>
              <w:rPr>
                <w:rFonts w:ascii="Arial" w:cs="Arial" w:eastAsia="Arial" w:hAnsi="Arial"/>
                <w:sz w:val="17"/>
                <w:szCs w:val="17"/>
                <w:color w:val="auto"/>
              </w:rPr>
              <w:t>reference to Exhibit 10.21 to Registrant’s Annual Report on Form 10-K for the fiscal year ended October 31, 2008).</w:t>
            </w:r>
          </w:p>
        </w:tc>
      </w:tr>
      <w:tr>
        <w:trPr>
          <w:trHeight w:val="409"/>
        </w:trPr>
        <w:tc>
          <w:tcPr>
            <w:tcW w:w="860" w:type="dxa"/>
            <w:vAlign w:val="bottom"/>
          </w:tcPr>
          <w:p>
            <w:pPr>
              <w:spacing w:after="0"/>
              <w:rPr>
                <w:sz w:val="20"/>
                <w:szCs w:val="20"/>
                <w:color w:val="auto"/>
              </w:rPr>
            </w:pPr>
            <w:r>
              <w:rPr>
                <w:rFonts w:ascii="Arial" w:cs="Arial" w:eastAsia="Arial" w:hAnsi="Arial"/>
                <w:sz w:val="17"/>
                <w:szCs w:val="17"/>
                <w:color w:val="auto"/>
              </w:rPr>
              <w:t>31.1</w:t>
            </w:r>
          </w:p>
        </w:tc>
        <w:tc>
          <w:tcPr>
            <w:tcW w:w="10060" w:type="dxa"/>
            <w:vAlign w:val="bottom"/>
          </w:tcPr>
          <w:p>
            <w:pPr>
              <w:ind w:left="560"/>
              <w:spacing w:after="0"/>
              <w:rPr>
                <w:sz w:val="20"/>
                <w:szCs w:val="20"/>
                <w:color w:val="auto"/>
              </w:rPr>
            </w:pPr>
            <w:r>
              <w:rPr>
                <w:rFonts w:ascii="Arial" w:cs="Arial" w:eastAsia="Arial" w:hAnsi="Arial"/>
                <w:sz w:val="17"/>
                <w:szCs w:val="17"/>
                <w:color w:val="auto"/>
                <w:w w:val="96"/>
              </w:rPr>
              <w:t>Certification of Chief Executive Officer Pursuant to Rule 13a-14(a) (Section 302 of the Sarbanes-Oxley Act of 2002) (filed herewith).</w:t>
            </w:r>
          </w:p>
        </w:tc>
      </w:tr>
      <w:tr>
        <w:trPr>
          <w:trHeight w:val="409"/>
        </w:trPr>
        <w:tc>
          <w:tcPr>
            <w:tcW w:w="860" w:type="dxa"/>
            <w:vAlign w:val="bottom"/>
          </w:tcPr>
          <w:p>
            <w:pPr>
              <w:spacing w:after="0"/>
              <w:rPr>
                <w:sz w:val="20"/>
                <w:szCs w:val="20"/>
                <w:color w:val="auto"/>
              </w:rPr>
            </w:pPr>
            <w:r>
              <w:rPr>
                <w:rFonts w:ascii="Arial" w:cs="Arial" w:eastAsia="Arial" w:hAnsi="Arial"/>
                <w:sz w:val="17"/>
                <w:szCs w:val="17"/>
                <w:color w:val="auto"/>
              </w:rPr>
              <w:t>31.2</w:t>
            </w:r>
          </w:p>
        </w:tc>
        <w:tc>
          <w:tcPr>
            <w:tcW w:w="10060" w:type="dxa"/>
            <w:vAlign w:val="bottom"/>
          </w:tcPr>
          <w:p>
            <w:pPr>
              <w:ind w:left="560"/>
              <w:spacing w:after="0"/>
              <w:rPr>
                <w:sz w:val="20"/>
                <w:szCs w:val="20"/>
                <w:color w:val="auto"/>
              </w:rPr>
            </w:pPr>
            <w:r>
              <w:rPr>
                <w:rFonts w:ascii="Arial" w:cs="Arial" w:eastAsia="Arial" w:hAnsi="Arial"/>
                <w:sz w:val="17"/>
                <w:szCs w:val="17"/>
                <w:color w:val="auto"/>
                <w:w w:val="96"/>
              </w:rPr>
              <w:t>Certification of Chief Financial Officer Pursuant to Rule 13a-14(a) (Section 302 of the Sarbanes-Oxley Act of 2002) (filed herewith).</w:t>
            </w:r>
          </w:p>
        </w:tc>
      </w:tr>
    </w:tbl>
    <w:p>
      <w:pPr>
        <w:spacing w:after="0" w:line="193" w:lineRule="exact"/>
        <w:rPr>
          <w:sz w:val="20"/>
          <w:szCs w:val="20"/>
          <w:color w:val="auto"/>
        </w:rPr>
      </w:pPr>
    </w:p>
    <w:p>
      <w:pPr>
        <w:ind w:left="1420" w:right="180" w:hanging="1417"/>
        <w:spacing w:after="0" w:line="276" w:lineRule="auto"/>
        <w:tabs>
          <w:tab w:leader="none" w:pos="1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Certification of Chief Executive Officer and Chief Financial Officer Pursuant to 18 U.S.C. Section 1350, as Adopted Pursuant to Section 906 of the Sarbanes-Oxley Act of 2002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76200</wp:posOffset>
            </wp:positionV>
            <wp:extent cx="725868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920"/>
          </w:cols>
          <w:pgMar w:left="700" w:top="562" w:right="279" w:bottom="1440" w:gutter="0" w:footer="0" w:header="0"/>
        </w:sectPr>
      </w:pPr>
    </w:p>
    <w:bookmarkStart w:id="28" w:name="page29"/>
    <w:bookmarkEnd w:id="28"/>
    <w:p>
      <w:pPr>
        <w:jc w:val="center"/>
        <w:ind w:right="-79"/>
        <w:spacing w:after="0"/>
        <w:rPr>
          <w:sz w:val="20"/>
          <w:szCs w:val="20"/>
          <w:color w:val="auto"/>
        </w:rPr>
      </w:pPr>
      <w:r>
        <w:rPr>
          <w:rFonts w:ascii="Arial" w:cs="Arial" w:eastAsia="Arial" w:hAnsi="Arial"/>
          <w:sz w:val="17"/>
          <w:szCs w:val="17"/>
          <w:b w:val="1"/>
          <w:bCs w:val="1"/>
          <w:color w:val="auto"/>
        </w:rPr>
        <w:t>SIGNATURES</w:t>
      </w:r>
    </w:p>
    <w:p>
      <w:pPr>
        <w:spacing w:after="0" w:line="243" w:lineRule="exact"/>
        <w:rPr>
          <w:sz w:val="20"/>
          <w:szCs w:val="20"/>
          <w:color w:val="auto"/>
        </w:rPr>
      </w:pPr>
    </w:p>
    <w:p>
      <w:pPr>
        <w:ind w:left="60"/>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THE TORO COMPANY</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(Registrant)</w:t>
      </w:r>
    </w:p>
    <w:p>
      <w:pPr>
        <w:spacing w:after="0" w:line="228" w:lineRule="exact"/>
        <w:rPr>
          <w:sz w:val="20"/>
          <w:szCs w:val="20"/>
          <w:color w:val="auto"/>
        </w:rPr>
      </w:pPr>
    </w:p>
    <w:p>
      <w:pPr>
        <w:spacing w:after="0"/>
        <w:tabs>
          <w:tab w:leader="none" w:pos="3180" w:val="left"/>
        </w:tabs>
        <w:rPr>
          <w:sz w:val="20"/>
          <w:szCs w:val="20"/>
          <w:color w:val="auto"/>
        </w:rPr>
      </w:pPr>
      <w:r>
        <w:rPr>
          <w:rFonts w:ascii="Arial" w:cs="Arial" w:eastAsia="Arial" w:hAnsi="Arial"/>
          <w:sz w:val="17"/>
          <w:szCs w:val="17"/>
          <w:color w:val="auto"/>
        </w:rPr>
        <w:t>Date: March 6, 2009</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u w:val="single" w:color="auto"/>
          <w:color w:val="auto"/>
        </w:rPr>
        <w:t>/s/ Stephen P. Wolfe</w:t>
      </w:r>
    </w:p>
    <w:p>
      <w:pPr>
        <w:spacing w:after="0" w:line="35"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Stephen P. Wolfe</w:t>
      </w:r>
    </w:p>
    <w:p>
      <w:pPr>
        <w:spacing w:after="0" w:line="20"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Vice President, Finance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and Chief Financial Officer</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60"/>
          </w:cols>
          <w:pgMar w:left="240" w:top="353" w:right="29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rFonts w:ascii="Arial" w:cs="Arial" w:eastAsia="Arial" w:hAnsi="Arial"/>
          <w:sz w:val="17"/>
          <w:szCs w:val="17"/>
          <w:color w:val="auto"/>
        </w:rPr>
        <w:t>Exhibit 10.1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TORO COMPANY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FIRST AMENDMENT TO EMPLOYMENT AGREEMENT</w:t>
      </w:r>
    </w:p>
    <w:p>
      <w:pPr>
        <w:spacing w:after="0" w:line="24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THIS FIRST AMENDMENT TO EMPLOYMENT AGREEMENT (this "Amendment"), is entered into as of December 31, 2008 and effective as of January 1, 2009 and amends the Employment Agreement (the "Agreement") dated as of [__________] between The Toro Company, a Delaware corporation (the Company"),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[__________] (the "Executive").</w:t>
      </w:r>
    </w:p>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WHEREAS, the Company and the Executive wish to amend the Agreement in certain respects to reflect the provisions of Section 409A of the Internal Revenue Code, as amended, and any regulations and other guidance issued thereunder;</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NOW, THEREFORE, in consideration of the premises and mutual covenants contained herein, and for other good and valuable consideration, the Company and the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Executive agree as follows: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1. Section 3 shall be amended in its entirety to read as follows:</w:t>
      </w:r>
    </w:p>
    <w:p>
      <w:pPr>
        <w:spacing w:after="0" w:line="239" w:lineRule="exact"/>
        <w:rPr>
          <w:sz w:val="20"/>
          <w:szCs w:val="20"/>
          <w:color w:val="auto"/>
        </w:rPr>
      </w:pPr>
    </w:p>
    <w:p>
      <w:pPr>
        <w:ind w:left="620" w:right="20"/>
        <w:spacing w:after="0" w:line="280" w:lineRule="auto"/>
        <w:rPr>
          <w:sz w:val="20"/>
          <w:szCs w:val="20"/>
          <w:color w:val="auto"/>
        </w:rPr>
      </w:pPr>
      <w:r>
        <w:rPr>
          <w:rFonts w:ascii="Arial" w:cs="Arial" w:eastAsia="Arial" w:hAnsi="Arial"/>
          <w:sz w:val="16"/>
          <w:szCs w:val="16"/>
          <w:i w:val="1"/>
          <w:iCs w:val="1"/>
          <w:color w:val="auto"/>
        </w:rPr>
        <w:t xml:space="preserve">Employment Period. </w:t>
      </w:r>
      <w:r>
        <w:rPr>
          <w:rFonts w:ascii="Arial" w:cs="Arial" w:eastAsia="Arial" w:hAnsi="Arial"/>
          <w:sz w:val="16"/>
          <w:szCs w:val="16"/>
          <w:color w:val="auto"/>
        </w:rPr>
        <w:t>The Company hereby agrees to continue the Executive in its employ, and the Executive hereby agrees to remain in the employ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subject to the terms and conditions of this Agreement, for the period commencing on the Effective Date and ending on the third anniversary of such date (the "Employment Period"); provided, however, that for purposes of Section 6(a), the Employment Period shall end two and one-half months plus one day after the end of the year that contains the first day of the Window Period, as that term is defined in Section 5(c).</w:t>
      </w:r>
    </w:p>
    <w:p>
      <w:pPr>
        <w:spacing w:after="0" w:line="190" w:lineRule="exact"/>
        <w:rPr>
          <w:sz w:val="20"/>
          <w:szCs w:val="20"/>
          <w:color w:val="auto"/>
        </w:rPr>
      </w:pPr>
    </w:p>
    <w:p>
      <w:pPr>
        <w:ind w:left="220" w:hanging="218"/>
        <w:spacing w:after="0"/>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Section 4(b)(ii) shall be amended in its entirety to read as follows:</w:t>
      </w:r>
    </w:p>
    <w:p>
      <w:pPr>
        <w:spacing w:after="0" w:line="239" w:lineRule="exact"/>
        <w:rPr>
          <w:rFonts w:ascii="Arial" w:cs="Arial" w:eastAsia="Arial" w:hAnsi="Arial"/>
          <w:sz w:val="17"/>
          <w:szCs w:val="17"/>
          <w:color w:val="auto"/>
        </w:rPr>
      </w:pPr>
    </w:p>
    <w:p>
      <w:pPr>
        <w:jc w:val="both"/>
        <w:ind w:left="620" w:hanging="4"/>
        <w:spacing w:after="0" w:line="275" w:lineRule="auto"/>
        <w:tabs>
          <w:tab w:leader="none" w:pos="956"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Annual Bonus. </w:t>
      </w:r>
      <w:r>
        <w:rPr>
          <w:rFonts w:ascii="Arial" w:cs="Arial" w:eastAsia="Arial" w:hAnsi="Arial"/>
          <w:sz w:val="16"/>
          <w:szCs w:val="16"/>
          <w:color w:val="auto"/>
        </w:rPr>
        <w:t>In addition to Annual Base Salary, the Executive shall be awarded, for each fiscal year ending during the Employment Period, an annual</w:t>
      </w:r>
      <w:r>
        <w:rPr>
          <w:rFonts w:ascii="Arial" w:cs="Arial" w:eastAsia="Arial" w:hAnsi="Arial"/>
          <w:sz w:val="16"/>
          <w:szCs w:val="16"/>
          <w:i w:val="1"/>
          <w:iCs w:val="1"/>
          <w:color w:val="auto"/>
        </w:rPr>
        <w:t xml:space="preserve"> </w:t>
      </w:r>
      <w:r>
        <w:rPr>
          <w:rFonts w:ascii="Arial" w:cs="Arial" w:eastAsia="Arial" w:hAnsi="Arial"/>
          <w:sz w:val="16"/>
          <w:szCs w:val="16"/>
          <w:color w:val="auto"/>
        </w:rPr>
        <w:t>bonus (the "Annual Bonus") in cash at least equal to the Executive's highest bonus under the Company's applicable annual cash incentive plans, or any comparable bonus under any predecessor or successor plan, for the last three full fiscal years prior to the Effective Date (annualized in the event that the Executive was not employed by the Company for the whole of such fiscal year) (the "Recent Annual Bonus"). Each such Annual Bonus shall be paid during the period two and one-half months after the end of the fiscal year next following the fiscal year for which the Annual Bonus is awarded, unless the Executive shall elect to defer the receipt of such Annual Bonus in accordance with the Company's applicable deferred compensation plan.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31" w:name="page32"/>
    <w:bookmarkEnd w:id="31"/>
    <w:p>
      <w:pPr>
        <w:ind w:left="220" w:hanging="218"/>
        <w:spacing w:after="0"/>
        <w:tabs>
          <w:tab w:leader="none" w:pos="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Section 4(b)(v) shall be amended in its entirety to read as follows:</w:t>
      </w:r>
    </w:p>
    <w:p>
      <w:pPr>
        <w:spacing w:after="0" w:line="239" w:lineRule="exact"/>
        <w:rPr>
          <w:rFonts w:ascii="Arial" w:cs="Arial" w:eastAsia="Arial" w:hAnsi="Arial"/>
          <w:sz w:val="17"/>
          <w:szCs w:val="17"/>
          <w:color w:val="auto"/>
        </w:rPr>
      </w:pPr>
    </w:p>
    <w:p>
      <w:pPr>
        <w:jc w:val="both"/>
        <w:ind w:left="620" w:hanging="4"/>
        <w:spacing w:after="0" w:line="272" w:lineRule="auto"/>
        <w:tabs>
          <w:tab w:leader="none" w:pos="917"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During the Employment Period, the Executive shall be entitled to receive prompt reimbursement for all reasonable expenses incurred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in accordance with the most favorable policies, practices and procedures of the Company and its affiliated companies in effect for the Executive at any time during the 120-day period immediately preceding the Effective Date or, if more favorable to the Executive, as in effect generally at any time thereafter with respect to other peer executives of the Company and its affiliated companies; provided that the Executive shall submit any request for such expense reimbursement under this Section 4(b)(v) or any other provision of this Agreement within six months of the date the expense was incurred. If the Company reimburses the Executive for any amount to which the Executive is entitled to reimbursement hereunder, such reimbursement shall be made promptly, but in any event on or before the last day of the Executive's taxable year following the taxable year in which the expense or cost was incurred and otherwise so as not to provide for a "deferral of compensation" within the meaning of Code Section 409A.</w:t>
      </w:r>
    </w:p>
    <w:p>
      <w:pPr>
        <w:spacing w:after="0" w:line="199" w:lineRule="exact"/>
        <w:rPr>
          <w:rFonts w:ascii="Arial" w:cs="Arial" w:eastAsia="Arial" w:hAnsi="Arial"/>
          <w:sz w:val="16"/>
          <w:szCs w:val="16"/>
          <w:color w:val="auto"/>
        </w:rPr>
      </w:pPr>
    </w:p>
    <w:p>
      <w:pPr>
        <w:ind w:left="220" w:hanging="218"/>
        <w:spacing w:after="0"/>
        <w:tabs>
          <w:tab w:leader="none" w:pos="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Section 5(c) shall be amended in its entirety to read as follows:</w:t>
      </w:r>
    </w:p>
    <w:p>
      <w:pPr>
        <w:spacing w:after="0" w:line="239" w:lineRule="exact"/>
        <w:rPr>
          <w:rFonts w:ascii="Arial" w:cs="Arial" w:eastAsia="Arial" w:hAnsi="Arial"/>
          <w:sz w:val="17"/>
          <w:szCs w:val="17"/>
          <w:color w:val="auto"/>
        </w:rPr>
      </w:pPr>
    </w:p>
    <w:p>
      <w:pPr>
        <w:ind w:left="620" w:hanging="4"/>
        <w:spacing w:after="0" w:line="308" w:lineRule="auto"/>
        <w:tabs>
          <w:tab w:leader="none" w:pos="907"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Good Reason. </w:t>
      </w:r>
      <w:r>
        <w:rPr>
          <w:rFonts w:ascii="Arial" w:cs="Arial" w:eastAsia="Arial" w:hAnsi="Arial"/>
          <w:sz w:val="16"/>
          <w:szCs w:val="16"/>
          <w:color w:val="auto"/>
        </w:rPr>
        <w:t>The Executive's employment may be terminated during the Employment Period by the Executive for Good Reason. For purposes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"Good Reason" shall mean the occurrence or existence of any of the following events or conditions during the Employment Period:</w:t>
      </w:r>
    </w:p>
    <w:p>
      <w:pPr>
        <w:spacing w:after="0" w:line="167" w:lineRule="exact"/>
        <w:rPr>
          <w:rFonts w:ascii="Arial" w:cs="Arial" w:eastAsia="Arial" w:hAnsi="Arial"/>
          <w:sz w:val="16"/>
          <w:szCs w:val="16"/>
          <w:color w:val="auto"/>
        </w:rPr>
      </w:pPr>
    </w:p>
    <w:p>
      <w:pPr>
        <w:jc w:val="both"/>
        <w:ind w:left="1240" w:hanging="10"/>
        <w:spacing w:after="0" w:line="263" w:lineRule="auto"/>
        <w:tabs>
          <w:tab w:leader="none" w:pos="1512" w:val="left"/>
        </w:tabs>
        <w:numPr>
          <w:ilvl w:val="2"/>
          <w:numId w:val="8"/>
        </w:numPr>
        <w:rPr>
          <w:rFonts w:ascii="Arial" w:cs="Arial" w:eastAsia="Arial" w:hAnsi="Arial"/>
          <w:sz w:val="17"/>
          <w:szCs w:val="17"/>
          <w:color w:val="auto"/>
        </w:rPr>
      </w:pPr>
      <w:r>
        <w:rPr>
          <w:rFonts w:ascii="Arial" w:cs="Arial" w:eastAsia="Arial" w:hAnsi="Arial"/>
          <w:sz w:val="17"/>
          <w:szCs w:val="17"/>
          <w:color w:val="auto"/>
        </w:rPr>
        <w:t>any action by the Company which results in a diminution in the Executive's authority, duties or responsibilities, excluding for this purpose an isolated, immaterial or inadvertent action not taken in bad faith and which is remedied by the Company promptly after receipt of notice thereof given by the Executive;</w:t>
      </w:r>
    </w:p>
    <w:p>
      <w:pPr>
        <w:spacing w:after="0" w:line="201" w:lineRule="exact"/>
        <w:rPr>
          <w:rFonts w:ascii="Arial" w:cs="Arial" w:eastAsia="Arial" w:hAnsi="Arial"/>
          <w:sz w:val="17"/>
          <w:szCs w:val="17"/>
          <w:color w:val="auto"/>
        </w:rPr>
      </w:pPr>
    </w:p>
    <w:p>
      <w:pPr>
        <w:ind w:left="1240" w:hanging="10"/>
        <w:spacing w:after="0" w:line="345" w:lineRule="auto"/>
        <w:tabs>
          <w:tab w:leader="none" w:pos="1576" w:val="left"/>
        </w:tabs>
        <w:numPr>
          <w:ilvl w:val="2"/>
          <w:numId w:val="8"/>
        </w:numPr>
        <w:rPr>
          <w:rFonts w:ascii="Arial" w:cs="Arial" w:eastAsia="Arial" w:hAnsi="Arial"/>
          <w:sz w:val="15"/>
          <w:szCs w:val="15"/>
          <w:color w:val="auto"/>
        </w:rPr>
      </w:pPr>
      <w:r>
        <w:rPr>
          <w:rFonts w:ascii="Arial" w:cs="Arial" w:eastAsia="Arial" w:hAnsi="Arial"/>
          <w:sz w:val="15"/>
          <w:szCs w:val="15"/>
          <w:color w:val="auto"/>
        </w:rPr>
        <w:t>any failure by the Company to comply with any of the provisions of Section 4(b) of this Agreement, other than an isolated, immaterial or inadvertent failure not occurring in bad faith and which is remedied by the Company promptly after receipt of notice thereof given by the Executive;</w:t>
      </w:r>
    </w:p>
    <w:p>
      <w:pPr>
        <w:spacing w:after="0" w:line="143" w:lineRule="exact"/>
        <w:rPr>
          <w:rFonts w:ascii="Arial" w:cs="Arial" w:eastAsia="Arial" w:hAnsi="Arial"/>
          <w:sz w:val="15"/>
          <w:szCs w:val="15"/>
          <w:color w:val="auto"/>
        </w:rPr>
      </w:pPr>
    </w:p>
    <w:p>
      <w:pPr>
        <w:ind w:left="1580" w:hanging="350"/>
        <w:spacing w:after="0"/>
        <w:tabs>
          <w:tab w:leader="none" w:pos="1580" w:val="left"/>
        </w:tabs>
        <w:numPr>
          <w:ilvl w:val="2"/>
          <w:numId w:val="8"/>
        </w:numPr>
        <w:rPr>
          <w:rFonts w:ascii="Arial" w:cs="Arial" w:eastAsia="Arial" w:hAnsi="Arial"/>
          <w:sz w:val="17"/>
          <w:szCs w:val="17"/>
          <w:color w:val="auto"/>
        </w:rPr>
      </w:pPr>
      <w:r>
        <w:rPr>
          <w:rFonts w:ascii="Arial" w:cs="Arial" w:eastAsia="Arial" w:hAnsi="Arial"/>
          <w:sz w:val="17"/>
          <w:szCs w:val="17"/>
          <w:color w:val="auto"/>
        </w:rPr>
        <w:t>the Company's requiring the Executive to be based at any office or location other than as provided in Section 4(a)(i)(B) hereof;</w:t>
      </w:r>
    </w:p>
    <w:p>
      <w:pPr>
        <w:spacing w:after="0" w:line="239" w:lineRule="exact"/>
        <w:rPr>
          <w:rFonts w:ascii="Arial" w:cs="Arial" w:eastAsia="Arial" w:hAnsi="Arial"/>
          <w:sz w:val="17"/>
          <w:szCs w:val="17"/>
          <w:color w:val="auto"/>
        </w:rPr>
      </w:pPr>
    </w:p>
    <w:p>
      <w:pPr>
        <w:ind w:left="1560" w:hanging="330"/>
        <w:spacing w:after="0"/>
        <w:tabs>
          <w:tab w:leader="none" w:pos="1560" w:val="left"/>
        </w:tabs>
        <w:numPr>
          <w:ilvl w:val="2"/>
          <w:numId w:val="8"/>
        </w:numPr>
        <w:rPr>
          <w:rFonts w:ascii="Arial" w:cs="Arial" w:eastAsia="Arial" w:hAnsi="Arial"/>
          <w:sz w:val="17"/>
          <w:szCs w:val="17"/>
          <w:color w:val="auto"/>
        </w:rPr>
      </w:pPr>
      <w:r>
        <w:rPr>
          <w:rFonts w:ascii="Arial" w:cs="Arial" w:eastAsia="Arial" w:hAnsi="Arial"/>
          <w:sz w:val="17"/>
          <w:szCs w:val="17"/>
          <w:color w:val="auto"/>
        </w:rPr>
        <w:t>any termination by the Company of the Executive's employment otherwise than as expressly permitted by this Agreement; or</w:t>
      </w:r>
    </w:p>
    <w:p>
      <w:pPr>
        <w:spacing w:after="0" w:line="239" w:lineRule="exact"/>
        <w:rPr>
          <w:rFonts w:ascii="Arial" w:cs="Arial" w:eastAsia="Arial" w:hAnsi="Arial"/>
          <w:sz w:val="17"/>
          <w:szCs w:val="17"/>
          <w:color w:val="auto"/>
        </w:rPr>
      </w:pPr>
    </w:p>
    <w:p>
      <w:pPr>
        <w:ind w:left="1520" w:hanging="290"/>
        <w:spacing w:after="0"/>
        <w:tabs>
          <w:tab w:leader="none" w:pos="1520" w:val="left"/>
        </w:tabs>
        <w:numPr>
          <w:ilvl w:val="2"/>
          <w:numId w:val="8"/>
        </w:numPr>
        <w:rPr>
          <w:rFonts w:ascii="Arial" w:cs="Arial" w:eastAsia="Arial" w:hAnsi="Arial"/>
          <w:sz w:val="17"/>
          <w:szCs w:val="17"/>
          <w:color w:val="auto"/>
        </w:rPr>
      </w:pPr>
      <w:r>
        <w:rPr>
          <w:rFonts w:ascii="Arial" w:cs="Arial" w:eastAsia="Arial" w:hAnsi="Arial"/>
          <w:sz w:val="17"/>
          <w:szCs w:val="17"/>
          <w:color w:val="auto"/>
        </w:rPr>
        <w:t>any failure by the Company to comply with and satisfy Section 11(c) of this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32" w:name="page33"/>
    <w:bookmarkEnd w:id="32"/>
    <w:p>
      <w:pPr>
        <w:jc w:val="both"/>
        <w:ind w:left="620"/>
        <w:spacing w:after="0" w:line="271" w:lineRule="auto"/>
        <w:rPr>
          <w:sz w:val="20"/>
          <w:szCs w:val="20"/>
          <w:color w:val="auto"/>
        </w:rPr>
      </w:pPr>
      <w:r>
        <w:rPr>
          <w:rFonts w:ascii="Arial" w:cs="Arial" w:eastAsia="Arial" w:hAnsi="Arial"/>
          <w:sz w:val="16"/>
          <w:szCs w:val="16"/>
          <w:color w:val="auto"/>
        </w:rPr>
        <w:t>Notwithstanding any provision in this Agreement to the contrary, termination of the Executive's employment shall not be for Good Reason unless (x) the Executive notifies the Company or any successor in writing of the occurrence or existence of the event or condition that the Executive believes constitutes Good Reason within 90 days of the initial existence of such event or condition (which notice specifically identifies the event or condition), (y) the Company or any successor fails to correct the event or condition so identified in all material respects within 30 days after the date on which it receives such notice (the "Remedial Period"), and (z) the Executive actually terminates employment within 30 days after the expiration of the Remedial Period and before the Company or any successor remedies the event or condition (even if after the end of the Remedial Period). If the Executive terminates employment before the expiration of the Remedial Period or after the Company or any successor remedies the event or condition (even if after the end of the Remedial Period), then the Executive's termination will not be considered to be for Good Reason. The Executive may combine the notice required by this Section 5(c) with the Notice of Termination required by Section 5(d). Anything in this Agreement to the contrary notwithstanding, a termination by the Executive for any reason during the 30-day period immediately following the first anniversary of the Effective Date (the "Window Period") shall be deemed to be a termination for Good Reason for all purposes of this Agreement.</w:t>
      </w:r>
    </w:p>
    <w:p>
      <w:pPr>
        <w:spacing w:after="0" w:line="196" w:lineRule="exact"/>
        <w:rPr>
          <w:sz w:val="20"/>
          <w:szCs w:val="20"/>
          <w:color w:val="auto"/>
        </w:rPr>
      </w:pPr>
    </w:p>
    <w:p>
      <w:pPr>
        <w:ind w:left="220" w:hanging="218"/>
        <w:spacing w:after="0"/>
        <w:tabs>
          <w:tab w:leader="none" w:pos="2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first line of Section 6(a)(i) shall be amended to read in its entirety as follows:</w:t>
      </w:r>
    </w:p>
    <w:p>
      <w:pPr>
        <w:spacing w:after="0" w:line="239" w:lineRule="exact"/>
        <w:rPr>
          <w:rFonts w:ascii="Arial" w:cs="Arial" w:eastAsia="Arial" w:hAnsi="Arial"/>
          <w:sz w:val="17"/>
          <w:szCs w:val="17"/>
          <w:color w:val="auto"/>
        </w:rPr>
      </w:pPr>
    </w:p>
    <w:p>
      <w:pPr>
        <w:jc w:val="both"/>
        <w:ind w:left="620" w:hanging="4"/>
        <w:spacing w:after="0" w:line="263" w:lineRule="auto"/>
        <w:tabs>
          <w:tab w:leader="none" w:pos="899"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Company shall pay to the Executive in a lump sum in cash within 30 days after the Date of Termination the aggregate of the following amounts; provided, however, that no payments may be made pursuant to this Section 6(a)(i) later than two and one-half months after the end of the year that contains the first day of the Window Period:</w:t>
      </w:r>
    </w:p>
    <w:p>
      <w:pPr>
        <w:spacing w:after="0" w:line="201" w:lineRule="exact"/>
        <w:rPr>
          <w:rFonts w:ascii="Arial" w:cs="Arial" w:eastAsia="Arial" w:hAnsi="Arial"/>
          <w:sz w:val="17"/>
          <w:szCs w:val="17"/>
          <w:color w:val="auto"/>
        </w:rPr>
      </w:pPr>
    </w:p>
    <w:p>
      <w:pPr>
        <w:ind w:left="220" w:hanging="218"/>
        <w:spacing w:after="0"/>
        <w:tabs>
          <w:tab w:leader="none" w:pos="2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Section 6(a)(i)(A) shall be amended to read in its entirety as follows:</w:t>
      </w:r>
    </w:p>
    <w:p>
      <w:pPr>
        <w:spacing w:after="0" w:line="239" w:lineRule="exact"/>
        <w:rPr>
          <w:sz w:val="20"/>
          <w:szCs w:val="20"/>
          <w:color w:val="auto"/>
        </w:rPr>
      </w:pPr>
    </w:p>
    <w:p>
      <w:pPr>
        <w:ind w:left="880" w:hanging="264"/>
        <w:spacing w:after="0"/>
        <w:tabs>
          <w:tab w:leader="none" w:pos="880" w:val="left"/>
        </w:tabs>
        <w:numPr>
          <w:ilvl w:val="1"/>
          <w:numId w:val="10"/>
        </w:numPr>
        <w:rPr>
          <w:rFonts w:ascii="Arial" w:cs="Arial" w:eastAsia="Arial" w:hAnsi="Arial"/>
          <w:sz w:val="15"/>
          <w:szCs w:val="15"/>
          <w:color w:val="auto"/>
        </w:rPr>
      </w:pPr>
      <w:r>
        <w:rPr>
          <w:rFonts w:ascii="Arial" w:cs="Arial" w:eastAsia="Arial" w:hAnsi="Arial"/>
          <w:sz w:val="15"/>
          <w:szCs w:val="15"/>
          <w:color w:val="auto"/>
        </w:rPr>
        <w:t>the sum of (1) the Executive's Annual Base Salary through the Date of Termination to the extent not theretofore paid, (2) the product of (x) the higher of</w:t>
      </w:r>
    </w:p>
    <w:p>
      <w:pPr>
        <w:spacing w:after="0" w:line="43" w:lineRule="exact"/>
        <w:rPr>
          <w:rFonts w:ascii="Arial" w:cs="Arial" w:eastAsia="Arial" w:hAnsi="Arial"/>
          <w:sz w:val="15"/>
          <w:szCs w:val="15"/>
          <w:color w:val="auto"/>
        </w:rPr>
      </w:pPr>
    </w:p>
    <w:p>
      <w:pPr>
        <w:jc w:val="both"/>
        <w:ind w:left="620"/>
        <w:spacing w:after="0" w:line="273" w:lineRule="auto"/>
        <w:rPr>
          <w:rFonts w:ascii="Arial" w:cs="Arial" w:eastAsia="Arial" w:hAnsi="Arial"/>
          <w:sz w:val="15"/>
          <w:szCs w:val="15"/>
          <w:color w:val="auto"/>
        </w:rPr>
      </w:pPr>
      <w:r>
        <w:rPr>
          <w:rFonts w:ascii="Arial" w:cs="Arial" w:eastAsia="Arial" w:hAnsi="Arial"/>
          <w:sz w:val="16"/>
          <w:szCs w:val="16"/>
          <w:color w:val="auto"/>
        </w:rPr>
        <w:t>(I) the Recent Annual Bonus and (II) the Annual Bonus paid or payable (and annualized for any fiscal year consisting of less than twelve full months or during which the Executive was employed for less than twelve full months), for the most recently completed fiscal year during the Employment Period, if any (such higher amount being referred to as the "Highest Annual Bonus") and (y) a fraction, the numerator of which is the number of days in the current fiscal year through the Date of Termination, and the denominator of which is 365, and (3) any accrued vacation pay to the extent not theretofore paid (the sum of the amounts described in clauses (1), (2), and (3) shall be hereinafter referred to as the "Accrued Obligations");</w:t>
      </w:r>
    </w:p>
    <w:p>
      <w:pPr>
        <w:spacing w:after="0" w:line="195" w:lineRule="exact"/>
        <w:rPr>
          <w:rFonts w:ascii="Arial" w:cs="Arial" w:eastAsia="Arial" w:hAnsi="Arial"/>
          <w:sz w:val="15"/>
          <w:szCs w:val="15"/>
          <w:color w:val="auto"/>
        </w:rPr>
      </w:pPr>
    </w:p>
    <w:p>
      <w:pPr>
        <w:ind w:left="220" w:hanging="218"/>
        <w:spacing w:after="0"/>
        <w:tabs>
          <w:tab w:leader="none" w:pos="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Section 6(a)(ii) shall be amended in its entirety to read as follows: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33" w:name="page34"/>
    <w:bookmarkEnd w:id="33"/>
    <w:p>
      <w:pPr>
        <w:jc w:val="both"/>
        <w:ind w:left="620" w:hanging="4"/>
        <w:spacing w:after="0" w:line="289" w:lineRule="auto"/>
        <w:tabs>
          <w:tab w:leader="none" w:pos="872" w:val="left"/>
        </w:tabs>
        <w:numPr>
          <w:ilvl w:val="1"/>
          <w:numId w:val="12"/>
        </w:numPr>
        <w:rPr>
          <w:rFonts w:ascii="Arial" w:cs="Arial" w:eastAsia="Arial" w:hAnsi="Arial"/>
          <w:sz w:val="15"/>
          <w:szCs w:val="15"/>
          <w:color w:val="auto"/>
        </w:rPr>
      </w:pPr>
      <w:r>
        <w:rPr>
          <w:rFonts w:ascii="Arial" w:cs="Arial" w:eastAsia="Arial" w:hAnsi="Arial"/>
          <w:sz w:val="15"/>
          <w:szCs w:val="15"/>
          <w:color w:val="auto"/>
        </w:rPr>
        <w:t>for three years after the Executive's Date of Termination, or such longer period as may be provided by the terms of the appropriate plan, program, practice or policy, the Company shall continue benefits to the Executive and/or the Executive's family at least equal to those which would have been provided to them in accordance with the plans, programs, practices and policies described in Section 4(b)(iv) of this Agreement (to the extent not subject to the requirements of Code Section 409A) if the Executive's employment had not been terminated or, if more favorable to the Executive, as in effect generally at any time thereafter with respect to other peer executives of the Company and its affiliated companies and their families, provided, however, that if the Executive becomes reemployed with another employer and is eligible to receive medical or other welfare benefits under another employer-provided plan, the medical and other welfare benefits described herein shall be secondary to those provided under such other plan during such applicable period of eligibility; provided further, that to the extent the foregoing coverage commitment applies to a group health plan subject to the requirements Section 4980B(f) of the Internal Revenue Code of 1986, as amended ("COBRA"), the Company shall be deemed to satisfy such commitment by providing COBRA coverage at no cost to the Executive for the COBRA term and such coverage commitment shall be conditioned on the Executive properly electing COBRA coverage. Thereafter, the value of any group health plan coverage pursuant to this Section 6(a)(ii) shall be taxed to the Executive. For purposes of determining eligibility (but not the time of commencement of benefits) of the Executive for retiree benefits pursuant to such plans, practices, programs and policies, the Executive shall be considered to have remained employed until three years after the Date of Termination and to have retired on the last day of such period.</w:t>
      </w:r>
    </w:p>
    <w:p>
      <w:pPr>
        <w:spacing w:after="0" w:line="190" w:lineRule="exact"/>
        <w:rPr>
          <w:rFonts w:ascii="Arial" w:cs="Arial" w:eastAsia="Arial" w:hAnsi="Arial"/>
          <w:sz w:val="15"/>
          <w:szCs w:val="15"/>
          <w:color w:val="auto"/>
        </w:rPr>
      </w:pPr>
    </w:p>
    <w:p>
      <w:pPr>
        <w:ind w:left="220" w:hanging="218"/>
        <w:spacing w:after="0"/>
        <w:tabs>
          <w:tab w:leader="none" w:pos="2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Section 6(a)(iii) shall be amended in its entirety to read as follows:</w:t>
      </w:r>
    </w:p>
    <w:p>
      <w:pPr>
        <w:spacing w:after="0" w:line="239" w:lineRule="exact"/>
        <w:rPr>
          <w:rFonts w:ascii="Arial" w:cs="Arial" w:eastAsia="Arial" w:hAnsi="Arial"/>
          <w:sz w:val="17"/>
          <w:szCs w:val="17"/>
          <w:color w:val="auto"/>
        </w:rPr>
      </w:pPr>
    </w:p>
    <w:p>
      <w:pPr>
        <w:ind w:left="620" w:hanging="4"/>
        <w:spacing w:after="0" w:line="276" w:lineRule="auto"/>
        <w:tabs>
          <w:tab w:leader="none" w:pos="921"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Company shall pay, as incurred, the reasonable costs of outplacement services for a period of two years after the Executive's Date of Termination, the scope and provider of which shall be selected by the Executive in his sole discretion;</w:t>
      </w:r>
    </w:p>
    <w:p>
      <w:pPr>
        <w:spacing w:after="0" w:line="190" w:lineRule="exact"/>
        <w:rPr>
          <w:rFonts w:ascii="Arial" w:cs="Arial" w:eastAsia="Arial" w:hAnsi="Arial"/>
          <w:sz w:val="17"/>
          <w:szCs w:val="17"/>
          <w:color w:val="auto"/>
        </w:rPr>
      </w:pPr>
    </w:p>
    <w:p>
      <w:pPr>
        <w:ind w:left="220" w:hanging="218"/>
        <w:spacing w:after="0"/>
        <w:tabs>
          <w:tab w:leader="none" w:pos="2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Section 9(a) shall be amended by adding the following sentence to the end of the section:</w:t>
      </w:r>
    </w:p>
    <w:p>
      <w:pPr>
        <w:spacing w:after="0" w:line="239" w:lineRule="exact"/>
        <w:rPr>
          <w:sz w:val="20"/>
          <w:szCs w:val="20"/>
          <w:color w:val="auto"/>
        </w:rPr>
      </w:pPr>
    </w:p>
    <w:p>
      <w:pPr>
        <w:jc w:val="both"/>
        <w:ind w:left="620"/>
        <w:spacing w:after="0" w:line="299" w:lineRule="auto"/>
        <w:rPr>
          <w:sz w:val="20"/>
          <w:szCs w:val="20"/>
          <w:color w:val="auto"/>
        </w:rPr>
      </w:pPr>
      <w:r>
        <w:rPr>
          <w:rFonts w:ascii="Arial" w:cs="Arial" w:eastAsia="Arial" w:hAnsi="Arial"/>
          <w:sz w:val="15"/>
          <w:szCs w:val="15"/>
          <w:color w:val="auto"/>
        </w:rPr>
        <w:t>Notwithstanding anything to the contrary in this Agreement, the Company shall pay the Gross-Up Payment to the Executive by the end of the Executive's taxable year that immediately follows the Executive's taxable year in which the related Excise Tax is remitted to the relevant taxing authorities. In the event a reduction is required to be applied to the Payments pursuant to the foregoing provisions of this Section 9(a), the Payments shall be reduced by the Company in its reasonable discretion in the following order: (i) reduction of any Payments that are subject to Code Section 409A on a pro-rata basis or such other manner that complies with Code Section 409A, as determined by the Company and (ii) reduction of any Payments that are exempt from Code Section 409A.</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10. Section 9(c) shall be amended to add the following language to the end of the section:</w:t>
      </w:r>
    </w:p>
    <w:p>
      <w:pPr>
        <w:spacing w:after="0" w:line="239" w:lineRule="exact"/>
        <w:rPr>
          <w:sz w:val="20"/>
          <w:szCs w:val="20"/>
          <w:color w:val="auto"/>
        </w:rPr>
      </w:pPr>
    </w:p>
    <w:p>
      <w:pPr>
        <w:ind w:left="620"/>
        <w:spacing w:after="0" w:line="293" w:lineRule="auto"/>
        <w:rPr>
          <w:sz w:val="20"/>
          <w:szCs w:val="20"/>
          <w:color w:val="auto"/>
        </w:rPr>
      </w:pPr>
      <w:r>
        <w:rPr>
          <w:rFonts w:ascii="Arial" w:cs="Arial" w:eastAsia="Arial" w:hAnsi="Arial"/>
          <w:sz w:val="15"/>
          <w:szCs w:val="15"/>
          <w:color w:val="auto"/>
        </w:rPr>
        <w:t>Any indemnification payments made by the Company to the Executive pursuant to this Section 9(c) for any Excise Tax (including interest and penalties with respect thereto) incurred by the Executive in connection with such tax contest shall be made to the Executive by the end of the Executive's taxable year that immediately follows the Executive's taxable year in which the Excise Tax (together with any interest and penalties) is remitted to the relevant taxing authority. Any indemnification payments made by the Company to the Executive for any other costs or expenses (other than Excise Tax, together with penalties and interest with respect thereto) incurred by the Executive in connection with such tax contest shall be made to the Executive (i) by the end of the Executive's taxable year that immediately follows the Executive's taxable year in which the taxes that are the subject of the tax contest are remitted to the relevant taxing authority or (ii) where as a result of such tax contest no taxes are remitted, the end of the Executive's taxable year immediately following the Executive's taxable year in which the tax contest is completed or there is a final and nonappealable settlement or other resolution of the tax contest.</w:t>
      </w:r>
    </w:p>
    <w:p>
      <w:pPr>
        <w:spacing w:after="0" w:line="183" w:lineRule="exact"/>
        <w:rPr>
          <w:sz w:val="20"/>
          <w:szCs w:val="20"/>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Section 9(d) is amended in its entirety to read as follows:</w:t>
      </w:r>
    </w:p>
    <w:p>
      <w:pPr>
        <w:spacing w:after="0" w:line="239" w:lineRule="exact"/>
        <w:rPr>
          <w:rFonts w:ascii="Arial" w:cs="Arial" w:eastAsia="Arial" w:hAnsi="Arial"/>
          <w:sz w:val="17"/>
          <w:szCs w:val="17"/>
          <w:color w:val="auto"/>
        </w:rPr>
      </w:pPr>
    </w:p>
    <w:p>
      <w:pPr>
        <w:jc w:val="both"/>
        <w:ind w:left="620" w:hanging="4"/>
        <w:spacing w:after="0" w:line="255" w:lineRule="auto"/>
        <w:tabs>
          <w:tab w:leader="none" w:pos="917" w:val="left"/>
        </w:tabs>
        <w:numPr>
          <w:ilvl w:val="1"/>
          <w:numId w:val="14"/>
        </w:numPr>
        <w:rPr>
          <w:rFonts w:ascii="Arial" w:cs="Arial" w:eastAsia="Arial" w:hAnsi="Arial"/>
          <w:sz w:val="17"/>
          <w:szCs w:val="17"/>
          <w:color w:val="auto"/>
        </w:rPr>
      </w:pPr>
      <w:r>
        <w:rPr>
          <w:rFonts w:ascii="Arial" w:cs="Arial" w:eastAsia="Arial" w:hAnsi="Arial"/>
          <w:sz w:val="17"/>
          <w:szCs w:val="17"/>
          <w:color w:val="auto"/>
        </w:rPr>
        <w:t>If, after the receipt by the Executive of an amount paid by the Company pursuant to Section 9, the Executive becomes entitled to receive any tax refund due to an overpayment of any Excise Tax (including interest and penalties with respect thereto), the Executive shall (subject to the Company's complying with the requirements of Section 9(c)) promptly pay to the Company the amount of such refund (together with any interest paid or credited thereon). If, after the receipt by the Executive of an amount paid by the Company pursuant to Section 9, a determination (within the meaning of Section 1313 of the Code) is made that the Executive shall not be entitled to any tax refund and the Company does not notify the Executive in writing of its intent to contest such denial of refund prior to the expiration of 30 days after such determination, the Executive shall not be required to make any repayments to the Company pursuant to this Section 9(d).</w:t>
      </w:r>
    </w:p>
    <w:p>
      <w:pPr>
        <w:spacing w:after="0" w:line="209" w:lineRule="exact"/>
        <w:rPr>
          <w:rFonts w:ascii="Arial" w:cs="Arial" w:eastAsia="Arial" w:hAnsi="Arial"/>
          <w:sz w:val="17"/>
          <w:szCs w:val="17"/>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new Section 12 is added to the Agreement as follows, and the remaining Section is renumbered accordingly:</w:t>
      </w:r>
    </w:p>
    <w:p>
      <w:pPr>
        <w:spacing w:after="0" w:line="239" w:lineRule="exact"/>
        <w:rPr>
          <w:rFonts w:ascii="Arial" w:cs="Arial" w:eastAsia="Arial" w:hAnsi="Arial"/>
          <w:sz w:val="17"/>
          <w:szCs w:val="17"/>
          <w:color w:val="auto"/>
        </w:rPr>
      </w:pPr>
    </w:p>
    <w:p>
      <w:pPr>
        <w:jc w:val="both"/>
        <w:ind w:left="620" w:firstLine="610"/>
        <w:spacing w:after="0" w:line="292" w:lineRule="auto"/>
        <w:tabs>
          <w:tab w:leader="none" w:pos="1571" w:val="left"/>
        </w:tabs>
        <w:numPr>
          <w:ilvl w:val="2"/>
          <w:numId w:val="14"/>
        </w:numPr>
        <w:rPr>
          <w:rFonts w:ascii="Arial" w:cs="Arial" w:eastAsia="Arial" w:hAnsi="Arial"/>
          <w:sz w:val="15"/>
          <w:szCs w:val="15"/>
          <w:color w:val="auto"/>
        </w:rPr>
      </w:pPr>
      <w:r>
        <w:rPr>
          <w:rFonts w:ascii="Arial" w:cs="Arial" w:eastAsia="Arial" w:hAnsi="Arial"/>
          <w:sz w:val="15"/>
          <w:szCs w:val="15"/>
          <w:i w:val="1"/>
          <w:iCs w:val="1"/>
          <w:color w:val="auto"/>
        </w:rPr>
        <w:t xml:space="preserve">Code Section 409A. </w:t>
      </w:r>
      <w:r>
        <w:rPr>
          <w:rFonts w:ascii="Arial" w:cs="Arial" w:eastAsia="Arial" w:hAnsi="Arial"/>
          <w:sz w:val="15"/>
          <w:szCs w:val="15"/>
          <w:color w:val="auto"/>
        </w:rPr>
        <w:t>The parties intend that this Agreement and the benefits provided hereunder be exempt from the requirements of Code</w:t>
      </w:r>
      <w:r>
        <w:rPr>
          <w:rFonts w:ascii="Arial" w:cs="Arial" w:eastAsia="Arial" w:hAnsi="Arial"/>
          <w:sz w:val="15"/>
          <w:szCs w:val="15"/>
          <w:i w:val="1"/>
          <w:iCs w:val="1"/>
          <w:color w:val="auto"/>
        </w:rPr>
        <w:t xml:space="preserve"> </w:t>
      </w:r>
      <w:r>
        <w:rPr>
          <w:rFonts w:ascii="Arial" w:cs="Arial" w:eastAsia="Arial" w:hAnsi="Arial"/>
          <w:sz w:val="15"/>
          <w:szCs w:val="15"/>
          <w:color w:val="auto"/>
        </w:rPr>
        <w:t>Section 409A to the maximum extent possible, whether pursuant to the short-term deferral exception described in Treasury Regulation Section 1.409A-1(b)</w:t>
      </w:r>
    </w:p>
    <w:p>
      <w:pPr>
        <w:jc w:val="both"/>
        <w:ind w:left="620"/>
        <w:spacing w:after="0" w:line="254" w:lineRule="auto"/>
        <w:rPr>
          <w:rFonts w:ascii="Arial" w:cs="Arial" w:eastAsia="Arial" w:hAnsi="Arial"/>
          <w:sz w:val="15"/>
          <w:szCs w:val="15"/>
          <w:color w:val="auto"/>
        </w:rPr>
      </w:pPr>
      <w:r>
        <w:rPr>
          <w:rFonts w:ascii="Arial" w:cs="Arial" w:eastAsia="Arial" w:hAnsi="Arial"/>
          <w:sz w:val="17"/>
          <w:szCs w:val="17"/>
          <w:color w:val="auto"/>
        </w:rPr>
        <w:t>(4), the involuntary separation pay plan exception described in Treasury Regulation Section 1.409A-1(b)(9)(iii), or otherwise. To the extent Code Section 409A is applicable to this Agreement, the parties intend that this Agreement comply with the deferral, payout and other limitations and restrictions imposed under Code Section 409A. Notwithstanding any other provision of this Agreement to the contrary, this Agreement shall be interpreted, operated and administered in a manner consistent with such intentions. Without limiting the generality of the foregoing, and notwithstanding any other provision of this Agreement to the contrary, with respect to any payments and benefits under this Agreement to</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35" w:name="page36"/>
    <w:bookmarkEnd w:id="35"/>
    <w:p>
      <w:pPr>
        <w:jc w:val="both"/>
        <w:ind w:left="620" w:firstLine="614"/>
        <w:spacing w:after="0" w:line="270" w:lineRule="auto"/>
        <w:rPr>
          <w:sz w:val="20"/>
          <w:szCs w:val="20"/>
          <w:color w:val="auto"/>
        </w:rPr>
      </w:pPr>
      <w:r>
        <w:rPr>
          <w:rFonts w:ascii="Arial" w:cs="Arial" w:eastAsia="Arial" w:hAnsi="Arial"/>
          <w:sz w:val="16"/>
          <w:szCs w:val="16"/>
          <w:color w:val="auto"/>
        </w:rPr>
        <w:t>which Code Section 409A applies, all references in this Agreement to the termination of the Executive's employment or separation from service are intended to mean the Executive's "separation from service," within the meaning of Code Section 409A(a)(2)(A)(i). In addition, if the Executive is a "specified employee" within the meaning of Code Section 409A at the time of the Executive's separation from service, then to the extent necessary to avoid subjecting the Executive to the imposition of any additional tax under Code Section 409A, amounts that would otherwise be payable under this Agreement based on the Executive's separation from service, shall not be paid to the Executive during the six-month period immediately following the Executive's separation from service, but shall instead be accumulated and paid to the Executive (or, in the event of the Executive's death, the Executive's estate) in a lump sum on the first business day after the earlier of the date that is six months following the Executive's separation from service or the Executive's death. No additional interest or earnings shall be due on such amounts during such six-month period, except as otherwise specified by this Agreement. This Agreement shall be deemed to be amended, and any deferrals and distributions hereunder shall be deemed to be modified, to the extent permitted by and necessary to comply with Code Section 409A and to avoid or mitigate the imposition of additional taxes under Code Section 409A. Notwithstanding the foregoing, no provision of this Agreement shall be interpreted or construed to transfer any liability for failure to comply with Code Section 409A from the Executive or any other individual to the Company or any of its Affiliated Companies.</w:t>
      </w:r>
    </w:p>
    <w:p>
      <w:pPr>
        <w:spacing w:after="0" w:line="203" w:lineRule="exact"/>
        <w:rPr>
          <w:sz w:val="20"/>
          <w:szCs w:val="20"/>
          <w:color w:val="auto"/>
        </w:rPr>
      </w:pPr>
    </w:p>
    <w:p>
      <w:pPr>
        <w:ind w:left="300" w:hanging="298"/>
        <w:spacing w:after="0"/>
        <w:tabs>
          <w:tab w:leader="none" w:pos="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New Section 13(a) is amended to read in its entirety as follows:</w:t>
      </w:r>
    </w:p>
    <w:p>
      <w:pPr>
        <w:spacing w:after="0" w:line="239" w:lineRule="exact"/>
        <w:rPr>
          <w:rFonts w:ascii="Arial" w:cs="Arial" w:eastAsia="Arial" w:hAnsi="Arial"/>
          <w:sz w:val="17"/>
          <w:szCs w:val="17"/>
          <w:color w:val="auto"/>
        </w:rPr>
      </w:pPr>
    </w:p>
    <w:p>
      <w:pPr>
        <w:jc w:val="both"/>
        <w:ind w:left="620" w:hanging="4"/>
        <w:spacing w:after="0" w:line="259" w:lineRule="auto"/>
        <w:tabs>
          <w:tab w:leader="none" w:pos="909"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in accordance with the laws of the State of Delaware, without reference to principles of conflict of laws, except to the extent preempted by federal law. The captions of this Agreement are not part of the provisions hereof and shall have no force or effect. This Agreement may not be amended or modified otherwise than by a written agreement executed by the parties hereto or their respective successors and legal representatives.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COUNTERPARTS. This Amendment may be executed in counterparts, each of which shall be deemed to be an original.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36" w:name="page37"/>
    <w:bookmarkEnd w:id="36"/>
    <w:p>
      <w:pPr>
        <w:spacing w:after="0"/>
        <w:rPr>
          <w:sz w:val="20"/>
          <w:szCs w:val="20"/>
          <w:color w:val="auto"/>
        </w:rPr>
      </w:pPr>
      <w:r>
        <w:rPr>
          <w:rFonts w:ascii="Arial" w:cs="Arial" w:eastAsia="Arial" w:hAnsi="Arial"/>
          <w:sz w:val="15"/>
          <w:szCs w:val="15"/>
          <w:color w:val="auto"/>
        </w:rPr>
        <w:t>IN WITNESS WHEREOF, the parties have executed this Amendment on the dates set forth below.</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TORO COMPANY</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By: ____________________________________</w:t>
      </w:r>
    </w:p>
    <w:p>
      <w:pPr>
        <w:spacing w:after="0" w:line="2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[insert name]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[insert title]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Dated: ___________________</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2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[insert name]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Dated: ___________________</w:t>
      </w:r>
    </w:p>
    <w:p>
      <w:pPr>
        <w:spacing w:after="0" w:line="38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19"/>
          </w:cols>
          <w:pgMar w:left="240" w:top="498" w:right="1440" w:bottom="1440" w:gutter="0" w:footer="0" w:header="0"/>
        </w:sectPr>
      </w:pPr>
    </w:p>
    <w:bookmarkStart w:id="37" w:name="page38"/>
    <w:bookmarkEnd w:id="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Arial" w:cs="Arial" w:eastAsia="Arial" w:hAnsi="Arial"/>
          <w:sz w:val="17"/>
          <w:szCs w:val="17"/>
          <w:color w:val="auto"/>
        </w:rPr>
        <w:t>Exhibit 10.2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TORO COMPANY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2000 DIRECTORS STOCK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Amended January 20, 2009)</w:t>
      </w:r>
    </w:p>
    <w:p>
      <w:pPr>
        <w:spacing w:after="0" w:line="200" w:lineRule="exact"/>
        <w:rPr>
          <w:sz w:val="20"/>
          <w:szCs w:val="20"/>
          <w:color w:val="auto"/>
        </w:rPr>
      </w:pPr>
    </w:p>
    <w:p>
      <w:pPr>
        <w:spacing w:after="0" w:line="254" w:lineRule="exact"/>
        <w:rPr>
          <w:sz w:val="20"/>
          <w:szCs w:val="20"/>
          <w:color w:val="auto"/>
        </w:rPr>
      </w:pPr>
    </w:p>
    <w:p>
      <w:pPr>
        <w:ind w:right="20" w:firstLine="2"/>
        <w:spacing w:after="0" w:line="306" w:lineRule="auto"/>
        <w:tabs>
          <w:tab w:leader="none" w:pos="639" w:val="left"/>
        </w:tabs>
        <w:numPr>
          <w:ilvl w:val="0"/>
          <w:numId w:val="16"/>
        </w:numPr>
        <w:rPr>
          <w:rFonts w:ascii="Arial" w:cs="Arial" w:eastAsia="Arial" w:hAnsi="Arial"/>
          <w:sz w:val="15"/>
          <w:szCs w:val="15"/>
          <w:color w:val="auto"/>
        </w:rPr>
      </w:pPr>
      <w:r>
        <w:rPr>
          <w:rFonts w:ascii="Arial" w:cs="Arial" w:eastAsia="Arial" w:hAnsi="Arial"/>
          <w:sz w:val="15"/>
          <w:szCs w:val="15"/>
          <w:b w:val="1"/>
          <w:bCs w:val="1"/>
          <w:color w:val="auto"/>
        </w:rPr>
        <w:t xml:space="preserve">Purpose of the Plan. </w:t>
      </w:r>
      <w:r>
        <w:rPr>
          <w:rFonts w:ascii="Arial" w:cs="Arial" w:eastAsia="Arial" w:hAnsi="Arial"/>
          <w:sz w:val="15"/>
          <w:szCs w:val="15"/>
          <w:color w:val="auto"/>
        </w:rPr>
        <w:t>The purpose of The Toro Company 2000 Directors Stock Plan (“Plan”) is to enable The Toro Company (the “Company”) to attract and</w:t>
      </w:r>
      <w:r>
        <w:rPr>
          <w:rFonts w:ascii="Arial" w:cs="Arial" w:eastAsia="Arial" w:hAnsi="Arial"/>
          <w:sz w:val="15"/>
          <w:szCs w:val="15"/>
          <w:b w:val="1"/>
          <w:bCs w:val="1"/>
          <w:color w:val="auto"/>
        </w:rPr>
        <w:t xml:space="preserve"> </w:t>
      </w:r>
      <w:r>
        <w:rPr>
          <w:rFonts w:ascii="Arial" w:cs="Arial" w:eastAsia="Arial" w:hAnsi="Arial"/>
          <w:sz w:val="15"/>
          <w:szCs w:val="15"/>
          <w:color w:val="auto"/>
        </w:rPr>
        <w:t>retain experienced and knowledgeable directors to serve on the Board of Directors of the Company or its subsidiaries, and to further align their interests with those of the stockholders of the Company by providing for or increasing their stock ownership interests in the Company. It is intended that the Plan be interpreted so that transactions under the Plan are exempt under Rule 16b-3 under the Securities Exchange Act of 1934, as amended (the “Exchange Act”), to the extent applicable.</w:t>
      </w:r>
    </w:p>
    <w:p>
      <w:pPr>
        <w:spacing w:after="0" w:line="169" w:lineRule="exact"/>
        <w:rPr>
          <w:rFonts w:ascii="Arial" w:cs="Arial" w:eastAsia="Arial" w:hAnsi="Arial"/>
          <w:sz w:val="15"/>
          <w:szCs w:val="15"/>
          <w:color w:val="auto"/>
        </w:rPr>
      </w:pPr>
    </w:p>
    <w:p>
      <w:pPr>
        <w:ind w:right="360" w:firstLine="2"/>
        <w:spacing w:after="0" w:line="281" w:lineRule="auto"/>
        <w:tabs>
          <w:tab w:leader="none" w:pos="639"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Eligibility. </w:t>
      </w:r>
      <w:r>
        <w:rPr>
          <w:rFonts w:ascii="Arial" w:cs="Arial" w:eastAsia="Arial" w:hAnsi="Arial"/>
          <w:sz w:val="17"/>
          <w:szCs w:val="17"/>
          <w:color w:val="auto"/>
        </w:rPr>
        <w:t>All members of the Company’s Board of Directors who are not current employees of the Company or any of its subsidiaries (“Nonemployee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are eligible to participate in the Plan.</w:t>
      </w:r>
    </w:p>
    <w:p>
      <w:pPr>
        <w:spacing w:after="0" w:line="181" w:lineRule="exact"/>
        <w:rPr>
          <w:rFonts w:ascii="Arial" w:cs="Arial" w:eastAsia="Arial" w:hAnsi="Arial"/>
          <w:sz w:val="17"/>
          <w:szCs w:val="17"/>
          <w:color w:val="auto"/>
        </w:rPr>
      </w:pPr>
    </w:p>
    <w:p>
      <w:pPr>
        <w:ind w:left="640" w:hanging="638"/>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Plan Awards.</w:t>
      </w:r>
    </w:p>
    <w:p>
      <w:pPr>
        <w:spacing w:after="0" w:line="239" w:lineRule="exact"/>
        <w:rPr>
          <w:sz w:val="20"/>
          <w:szCs w:val="20"/>
          <w:color w:val="auto"/>
        </w:rPr>
      </w:pPr>
    </w:p>
    <w:p>
      <w:pPr>
        <w:ind w:right="160" w:firstLine="2"/>
        <w:spacing w:after="0" w:line="278" w:lineRule="auto"/>
        <w:tabs>
          <w:tab w:leader="none" w:pos="63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Directors Shares. </w:t>
      </w:r>
      <w:r>
        <w:rPr>
          <w:rFonts w:ascii="Arial" w:cs="Arial" w:eastAsia="Arial" w:hAnsi="Arial"/>
          <w:sz w:val="16"/>
          <w:szCs w:val="16"/>
          <w:color w:val="auto"/>
        </w:rPr>
        <w:t>To carry out the purposes of the Plan, the Company shall, on the first business day of each fiscal year, issue to each person who is then a</w:t>
      </w:r>
      <w:r>
        <w:rPr>
          <w:rFonts w:ascii="Arial" w:cs="Arial" w:eastAsia="Arial" w:hAnsi="Arial"/>
          <w:sz w:val="16"/>
          <w:szCs w:val="16"/>
          <w:b w:val="1"/>
          <w:bCs w:val="1"/>
          <w:color w:val="auto"/>
        </w:rPr>
        <w:t xml:space="preserve"> </w:t>
      </w:r>
      <w:r>
        <w:rPr>
          <w:rFonts w:ascii="Arial" w:cs="Arial" w:eastAsia="Arial" w:hAnsi="Arial"/>
          <w:sz w:val="16"/>
          <w:szCs w:val="16"/>
          <w:color w:val="auto"/>
        </w:rPr>
        <w:t>Nonemployee Director, shares of the Company’s Common Stock, $1.00 par value (the “Common Stock”), in an amount equal to $20,000 divided by the fair market value of one share of Common Stock rounded down to the greatest number of whole shares (“Directors Shares”), subject to adjustment as provided in Section 5 hereof. Fair market value for this purpose shall be the average of the 4 p.m. Eastern Time closing prices of the Common Stock as reported by the New York Stock Exchange for each of the trading days in the three calendar months immediately prior to the date of issue of the Directors Shares.</w:t>
      </w:r>
    </w:p>
    <w:p>
      <w:pPr>
        <w:spacing w:after="0" w:line="188" w:lineRule="exact"/>
        <w:rPr>
          <w:rFonts w:ascii="Arial" w:cs="Arial" w:eastAsia="Arial" w:hAnsi="Arial"/>
          <w:sz w:val="16"/>
          <w:szCs w:val="16"/>
          <w:color w:val="auto"/>
        </w:rPr>
      </w:pPr>
    </w:p>
    <w:p>
      <w:pPr>
        <w:ind w:left="640" w:hanging="638"/>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Directors Options.</w:t>
      </w:r>
    </w:p>
    <w:p>
      <w:pPr>
        <w:spacing w:after="0" w:line="243" w:lineRule="exact"/>
        <w:rPr>
          <w:sz w:val="20"/>
          <w:szCs w:val="20"/>
          <w:color w:val="auto"/>
        </w:rPr>
      </w:pPr>
    </w:p>
    <w:p>
      <w:pPr>
        <w:ind w:right="80" w:firstLine="2"/>
        <w:spacing w:after="0" w:line="257" w:lineRule="auto"/>
        <w:tabs>
          <w:tab w:leader="none" w:pos="601"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Annual Grant. </w:t>
      </w:r>
      <w:r>
        <w:rPr>
          <w:rFonts w:ascii="Arial" w:cs="Arial" w:eastAsia="Arial" w:hAnsi="Arial"/>
          <w:sz w:val="17"/>
          <w:szCs w:val="17"/>
          <w:color w:val="auto"/>
        </w:rPr>
        <w:t>Subject to the terms and conditions of this Section 3.b., on the first business day of each fiscal year, the Company shall grant to each person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 is then a Nonemployee Director</w:t>
      </w:r>
      <w:r>
        <w:rPr>
          <w:rFonts w:ascii="Arial" w:cs="Arial" w:eastAsia="Arial" w:hAnsi="Arial"/>
          <w:sz w:val="17"/>
          <w:szCs w:val="17"/>
          <w:b w:val="1"/>
          <w:bCs w:val="1"/>
          <w:color w:val="auto"/>
        </w:rPr>
        <w:t>,</w:t>
      </w:r>
      <w:r>
        <w:rPr>
          <w:rFonts w:ascii="Arial" w:cs="Arial" w:eastAsia="Arial" w:hAnsi="Arial"/>
          <w:sz w:val="17"/>
          <w:szCs w:val="17"/>
          <w:color w:val="auto"/>
        </w:rPr>
        <w:t xml:space="preserve"> a nonqualified option to purchase shares of the Common Stock (a “Directors Option”). Each such option shall have a grant date fair value of $40,000, determined using a standard Black-Scholes, binomial or monte carlo valuation formula, based on assumptions consistent with those used to value option grants disclosed under Schedule 14A under the Securities Exchange Act of 1934, or successor requirements, for the business day prior to the date of grant.</w:t>
      </w:r>
    </w:p>
    <w:p>
      <w:pPr>
        <w:spacing w:after="0" w:line="207" w:lineRule="exact"/>
        <w:rPr>
          <w:rFonts w:ascii="Arial" w:cs="Arial" w:eastAsia="Arial" w:hAnsi="Arial"/>
          <w:sz w:val="17"/>
          <w:szCs w:val="17"/>
          <w:color w:val="auto"/>
        </w:rPr>
      </w:pPr>
    </w:p>
    <w:p>
      <w:pPr>
        <w:ind w:left="660" w:hanging="65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Vesting, Transferability and Exercisability.</w:t>
      </w:r>
    </w:p>
    <w:p>
      <w:pPr>
        <w:spacing w:after="0" w:line="239" w:lineRule="exact"/>
        <w:rPr>
          <w:sz w:val="20"/>
          <w:szCs w:val="20"/>
          <w:color w:val="auto"/>
        </w:rPr>
      </w:pPr>
    </w:p>
    <w:p>
      <w:pPr>
        <w:ind w:right="160" w:firstLine="2"/>
        <w:spacing w:after="0" w:line="345" w:lineRule="auto"/>
        <w:tabs>
          <w:tab w:leader="none" w:pos="701" w:val="left"/>
        </w:tabs>
        <w:numPr>
          <w:ilvl w:val="0"/>
          <w:numId w:val="1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Vesting. </w:t>
      </w:r>
      <w:r>
        <w:rPr>
          <w:rFonts w:ascii="Arial" w:cs="Arial" w:eastAsia="Arial" w:hAnsi="Arial"/>
          <w:sz w:val="15"/>
          <w:szCs w:val="15"/>
          <w:color w:val="auto"/>
        </w:rPr>
        <w:t>Except as provided in Sections 3.b.ii.(c)(1) and (2) and Section 6, Directors Options shall vest and become exercisable in three equal installments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each of the first, second and third anniversaries following the date of grant, and shall remain exercisable for a term of ten years after the date of grant.</w:t>
      </w:r>
    </w:p>
    <w:p>
      <w:pPr>
        <w:spacing w:after="0" w:line="143" w:lineRule="exact"/>
        <w:rPr>
          <w:rFonts w:ascii="Arial" w:cs="Arial" w:eastAsia="Arial" w:hAnsi="Arial"/>
          <w:sz w:val="15"/>
          <w:szCs w:val="15"/>
          <w:color w:val="auto"/>
        </w:rPr>
      </w:pPr>
    </w:p>
    <w:p>
      <w:pPr>
        <w:ind w:right="100" w:firstLine="2"/>
        <w:spacing w:after="0" w:line="287" w:lineRule="auto"/>
        <w:tabs>
          <w:tab w:leader="none" w:pos="71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Transfer. </w:t>
      </w:r>
      <w:r>
        <w:rPr>
          <w:rFonts w:ascii="Arial" w:cs="Arial" w:eastAsia="Arial" w:hAnsi="Arial"/>
          <w:sz w:val="16"/>
          <w:szCs w:val="16"/>
          <w:color w:val="auto"/>
        </w:rPr>
        <w:t>No Directors Option shall be assigned or transferred, except by will or the laws of descent and distribution. An option so transferred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39" w:name="page40"/>
    <w:bookmarkEnd w:id="39"/>
    <w:p>
      <w:pPr>
        <w:jc w:val="both"/>
        <w:ind w:right="120" w:firstLine="2"/>
        <w:spacing w:after="0" w:line="263" w:lineRule="auto"/>
        <w:tabs>
          <w:tab w:leader="none" w:pos="701"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Exercise. </w:t>
      </w:r>
      <w:r>
        <w:rPr>
          <w:rFonts w:ascii="Arial" w:cs="Arial" w:eastAsia="Arial" w:hAnsi="Arial"/>
          <w:sz w:val="17"/>
          <w:szCs w:val="17"/>
          <w:color w:val="auto"/>
        </w:rPr>
        <w:t>During the lifetime of a Nonemployee Director, Directors Options held by such individual may be exercised only by the Nonemployee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only while serving as a member of the Board of Directors of the Company and only if the Nonemployee Director has been continuously so serving since the date such options were granted, except as follows:</w:t>
      </w:r>
    </w:p>
    <w:p>
      <w:pPr>
        <w:spacing w:after="0" w:line="202" w:lineRule="exact"/>
        <w:rPr>
          <w:sz w:val="20"/>
          <w:szCs w:val="20"/>
          <w:color w:val="auto"/>
        </w:rPr>
      </w:pPr>
    </w:p>
    <w:p>
      <w:pPr>
        <w:ind w:right="60" w:firstLine="2"/>
        <w:spacing w:after="0" w:line="287" w:lineRule="auto"/>
        <w:tabs>
          <w:tab w:leader="none" w:pos="71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Disability or Death. </w:t>
      </w:r>
      <w:r>
        <w:rPr>
          <w:rFonts w:ascii="Arial" w:cs="Arial" w:eastAsia="Arial" w:hAnsi="Arial"/>
          <w:sz w:val="16"/>
          <w:szCs w:val="16"/>
          <w:color w:val="auto"/>
        </w:rPr>
        <w:t>In the event of disability or death of a Nonemployee Director, all outstanding unvested options shall vest effective as of the date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death or termination of service by reason of disability, and all such vested options may be exercised by such individual or his or her legal representatives not later than the earlier of the date the option expires or one year after the date such service as a Nonemployee Director ceases by reason of disability or death.</w:t>
      </w:r>
    </w:p>
    <w:p>
      <w:pPr>
        <w:spacing w:after="0" w:line="184" w:lineRule="exact"/>
        <w:rPr>
          <w:rFonts w:ascii="Arial" w:cs="Arial" w:eastAsia="Arial" w:hAnsi="Arial"/>
          <w:sz w:val="16"/>
          <w:szCs w:val="16"/>
          <w:color w:val="auto"/>
        </w:rPr>
      </w:pPr>
    </w:p>
    <w:p>
      <w:pPr>
        <w:ind w:firstLine="2"/>
        <w:spacing w:after="0" w:line="288" w:lineRule="auto"/>
        <w:tabs>
          <w:tab w:leader="none" w:pos="71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Termination. </w:t>
      </w:r>
      <w:r>
        <w:rPr>
          <w:rFonts w:ascii="Arial" w:cs="Arial" w:eastAsia="Arial" w:hAnsi="Arial"/>
          <w:sz w:val="15"/>
          <w:szCs w:val="15"/>
          <w:color w:val="auto"/>
        </w:rPr>
        <w:t>If a Nonemployee Director has served as a member of the Board of Directors for ten full fiscal years or longer and terminates service on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Board, (A) outstanding unvested options shall remain outstanding and continue to vest in accordance with their terms, and (B) the Nonemployee Director may exercise all such vested outstanding options for up to four years after the date of termination, but not later than the date an option expires. If a Nonemployee Director has served as a member of the Board of Directors for less than ten years and terminates service on the Board, (C) all unvested options shall expire and be canceled and</w:t>
      </w:r>
    </w:p>
    <w:p>
      <w:pPr>
        <w:spacing w:after="0" w:line="2" w:lineRule="exact"/>
        <w:rPr>
          <w:rFonts w:ascii="Arial" w:cs="Arial" w:eastAsia="Arial" w:hAnsi="Arial"/>
          <w:sz w:val="15"/>
          <w:szCs w:val="15"/>
          <w:color w:val="auto"/>
        </w:rPr>
      </w:pPr>
    </w:p>
    <w:p>
      <w:pPr>
        <w:ind w:right="200"/>
        <w:spacing w:after="0" w:line="262" w:lineRule="auto"/>
        <w:rPr>
          <w:rFonts w:ascii="Arial" w:cs="Arial" w:eastAsia="Arial" w:hAnsi="Arial"/>
          <w:sz w:val="15"/>
          <w:szCs w:val="15"/>
          <w:color w:val="auto"/>
        </w:rPr>
      </w:pPr>
      <w:r>
        <w:rPr>
          <w:rFonts w:ascii="Arial" w:cs="Arial" w:eastAsia="Arial" w:hAnsi="Arial"/>
          <w:sz w:val="17"/>
          <w:szCs w:val="17"/>
          <w:color w:val="auto"/>
        </w:rPr>
        <w:t>(D) the Nonemployee Director may exercise any vested outstanding options for up to three months after the date of termination, but not later than the date an option expires.</w:t>
      </w:r>
    </w:p>
    <w:p>
      <w:pPr>
        <w:spacing w:after="0" w:line="202" w:lineRule="exact"/>
        <w:rPr>
          <w:sz w:val="20"/>
          <w:szCs w:val="20"/>
          <w:color w:val="auto"/>
        </w:rPr>
      </w:pPr>
    </w:p>
    <w:p>
      <w:pPr>
        <w:ind w:firstLine="2"/>
        <w:spacing w:after="0" w:line="272" w:lineRule="auto"/>
        <w:tabs>
          <w:tab w:leader="none" w:pos="71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Methods of Exercise and Payment of Exercise Price. </w:t>
      </w:r>
      <w:r>
        <w:rPr>
          <w:rFonts w:ascii="Arial" w:cs="Arial" w:eastAsia="Arial" w:hAnsi="Arial"/>
          <w:sz w:val="16"/>
          <w:szCs w:val="16"/>
          <w:color w:val="auto"/>
        </w:rPr>
        <w:t>Subject to the terms and conditions of the Plan and the terms and conditions of the option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vested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(1) in cash, (2) by tendering (either actually or by attestation) shares of Common Stock already owned for at least six months (or shorter period necessary to avoid a charge to the Company’s earnings for financial statement purposes) valued at the fair market value of the Common Stock on the date of exercise, (3) in a combination of cash and Common Stock or (4) by delivery of a notice of exercise of options, together with irrevocable instructions, approved in advance by proper officers of the Company, (A) to a brokerage firm designated by the Company, to deliver promptly to the Company the aggregate amount of sale or loan proceeds to pay the exercise price and any related tax withholding obligations and (B) to the Company, to deliver certificates for such purchased shares directly to such brokerage firm, all in accordance with regulations of the Federal Reserve Board.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No shares of Common Stock shall be issued until full payment has been made.</w:t>
      </w:r>
    </w:p>
    <w:p>
      <w:pPr>
        <w:spacing w:after="0" w:line="235" w:lineRule="exact"/>
        <w:rPr>
          <w:sz w:val="20"/>
          <w:szCs w:val="20"/>
          <w:color w:val="auto"/>
        </w:rPr>
      </w:pPr>
    </w:p>
    <w:p>
      <w:pPr>
        <w:ind w:right="40" w:firstLine="2"/>
        <w:spacing w:after="0" w:line="256" w:lineRule="auto"/>
        <w:tabs>
          <w:tab w:leader="none" w:pos="63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Share Proration. </w:t>
      </w:r>
      <w:r>
        <w:rPr>
          <w:rFonts w:ascii="Arial" w:cs="Arial" w:eastAsia="Arial" w:hAnsi="Arial"/>
          <w:sz w:val="17"/>
          <w:szCs w:val="17"/>
          <w:color w:val="auto"/>
        </w:rPr>
        <w:t>If, on any date on which Directors Shares are to be issued pursuant to Section 3.a. or Directors Options are to be granted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3.b., the number of shares of Common Stock is insufficient for the issuance of the entire number of shares to be issued or for the grant of the entire number of options, as calculated in accordance with Section 3.a. or Section 3.b., respectively, then the number of shares to be issued and options to be granted to each Nonemployee Director entitled to receive Directors Shares or Directors Options on such date shall be such Nonemployee Director’s proportionate share of the available number of shares and options (rounded down to the greatest number of whole shares), provided that if a sufficient number of shares of Common Stock is available to issue all of the Directors Shares, then the entire number of Directors Shares shall be issued first and the number of shares to be subjected to options shall be prorated in accordance with this section.</w:t>
      </w:r>
    </w:p>
    <w:p>
      <w:pPr>
        <w:spacing w:after="0" w:line="203" w:lineRule="exact"/>
        <w:rPr>
          <w:sz w:val="20"/>
          <w:szCs w:val="20"/>
          <w:color w:val="auto"/>
        </w:rPr>
      </w:pPr>
    </w:p>
    <w:p>
      <w:pPr>
        <w:jc w:val="both"/>
        <w:ind w:right="20" w:firstLine="2"/>
        <w:spacing w:after="0" w:line="290" w:lineRule="auto"/>
        <w:tabs>
          <w:tab w:leader="none" w:pos="639"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Shares in Lieu of Fees. </w:t>
      </w:r>
      <w:r>
        <w:rPr>
          <w:rFonts w:ascii="Arial" w:cs="Arial" w:eastAsia="Arial" w:hAnsi="Arial"/>
          <w:sz w:val="16"/>
          <w:szCs w:val="16"/>
          <w:color w:val="auto"/>
        </w:rPr>
        <w:t>A Nonemployee Director shall have the right to elect to receive shares of Common Stock in lieu of annual retainer and meeting fees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payable in cash. The election to receive Common Stock shall be made prior to the date fees are otherwise scheduled to be paid but not later than May 31 of the calendar year for which the fees are to be paid. Fees that are earned after the date a director makes an election shall be reserved through</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40" w:name="page41"/>
    <w:bookmarkEnd w:id="40"/>
    <w:p>
      <w:pPr>
        <w:jc w:val="both"/>
        <w:ind w:right="80"/>
        <w:spacing w:after="0" w:line="263" w:lineRule="auto"/>
        <w:rPr>
          <w:sz w:val="20"/>
          <w:szCs w:val="20"/>
          <w:color w:val="auto"/>
        </w:rPr>
      </w:pPr>
      <w:r>
        <w:rPr>
          <w:rFonts w:ascii="Arial" w:cs="Arial" w:eastAsia="Arial" w:hAnsi="Arial"/>
          <w:sz w:val="17"/>
          <w:szCs w:val="17"/>
          <w:color w:val="auto"/>
        </w:rPr>
        <w:t>the rest of the calendar year and shares shall be issued in December of that year. The number of shares to be issued shall be determined by dividing the dollar amount of reserved fees by the 4 p.m. Eastern Time closing price of one share of Common Stock as reported by the New York Stock Exchange for the date that the shares are issued.</w:t>
      </w:r>
    </w:p>
    <w:p>
      <w:pPr>
        <w:spacing w:after="0" w:line="198" w:lineRule="exact"/>
        <w:rPr>
          <w:sz w:val="20"/>
          <w:szCs w:val="20"/>
          <w:color w:val="auto"/>
        </w:rPr>
      </w:pPr>
    </w:p>
    <w:p>
      <w:pPr>
        <w:ind w:right="100" w:firstLine="2"/>
        <w:spacing w:after="0" w:line="270" w:lineRule="auto"/>
        <w:tabs>
          <w:tab w:leader="none" w:pos="639"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Stock Subject to Plan. </w:t>
      </w:r>
      <w:r>
        <w:rPr>
          <w:rFonts w:ascii="Arial" w:cs="Arial" w:eastAsia="Arial" w:hAnsi="Arial"/>
          <w:sz w:val="16"/>
          <w:szCs w:val="16"/>
          <w:color w:val="auto"/>
        </w:rPr>
        <w:t>Subject to adjustment as provided in this paragraph and subject to increase by amendment of the Plan, the total number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reserved and available for issuance in connection with the Plan shall be 455,000 shares. If any Directors Option granted hereunder expires unexercised, terminates, is exchanged for other options without the issuance of shares of Common Stock or is exercised by delivery or constructive delivery of shares of Common Stock already owned by the option holder, the shares of Common Stock reserved for issuance pursuant to such option shall, to the extent of any such termination or to the extent the shares covered by an option are not issued or used, again be available for option grants under the Plan, unless prohibited by applicable law or regulation. Any shares issued by the Company in connection with the assumption or substitution of outstanding option grants from any acquired corporation shall not reduce the shares available for stock awards or option grants under the Plan. In the event of a corporate transaction involving the Company, the Common Stock or the Company’s corporate or capital structure, including but not limited to any stock dividend, stock split, extraordinary cash dividend, recapitalization, reorganization, merger, consolidation, reclassification, split-up, spin-off, combination or exchange of shares, or a sale of the Company or of all or part of its assets or any distribution to stockholders other than a normal cash dividend, the Committee shall make such proportional adjustments as are necessary to preserve the benefits or potential benefits of the Directors Shares and Directors Options. Action by the Committee may include all or any adjustment in (a) the maximum number and kind of securities subject to the Plan as set forth in this paragraph; (b) the maximum number and kind of securities that may be made subject to Directors Options and the determination of the number or kind of Directors Shares; (c) the number and kind of securities subject to any outstanding Directors Option; and (d) any other adjustments that the Committee determines to be equitable.</w:t>
      </w:r>
    </w:p>
    <w:p>
      <w:pPr>
        <w:spacing w:after="0" w:line="197" w:lineRule="exact"/>
        <w:rPr>
          <w:rFonts w:ascii="Arial" w:cs="Arial" w:eastAsia="Arial" w:hAnsi="Arial"/>
          <w:sz w:val="16"/>
          <w:szCs w:val="16"/>
          <w:color w:val="auto"/>
        </w:rPr>
      </w:pPr>
    </w:p>
    <w:p>
      <w:pPr>
        <w:jc w:val="both"/>
        <w:ind w:right="120" w:firstLine="2"/>
        <w:spacing w:after="0" w:line="266" w:lineRule="auto"/>
        <w:tabs>
          <w:tab w:leader="none" w:pos="639"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 xml:space="preserve">Change of Control. </w:t>
      </w:r>
      <w:r>
        <w:rPr>
          <w:rFonts w:ascii="Arial" w:cs="Arial" w:eastAsia="Arial" w:hAnsi="Arial"/>
          <w:sz w:val="17"/>
          <w:szCs w:val="17"/>
          <w:color w:val="auto"/>
        </w:rPr>
        <w:t>In the event of a Change of Control of the Company as hereinafter defined, all Directors Options shall fully vest, and be exercisable in</w:t>
      </w:r>
      <w:r>
        <w:rPr>
          <w:rFonts w:ascii="Arial" w:cs="Arial" w:eastAsia="Arial" w:hAnsi="Arial"/>
          <w:sz w:val="17"/>
          <w:szCs w:val="17"/>
          <w:b w:val="1"/>
          <w:bCs w:val="1"/>
          <w:color w:val="auto"/>
        </w:rPr>
        <w:t xml:space="preserve"> </w:t>
      </w:r>
      <w:r>
        <w:rPr>
          <w:rFonts w:ascii="Arial" w:cs="Arial" w:eastAsia="Arial" w:hAnsi="Arial"/>
          <w:sz w:val="17"/>
          <w:szCs w:val="17"/>
          <w:color w:val="auto"/>
        </w:rPr>
        <w:t>their entirety immediately, and notwithstanding any other provisions of the Plan, shall continue to be exercisable for three years following the Change of Control, but not later than ten years after the date of grant.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Change of Control means:</w:t>
      </w:r>
    </w:p>
    <w:p>
      <w:pPr>
        <w:spacing w:after="0" w:line="239" w:lineRule="exact"/>
        <w:rPr>
          <w:sz w:val="20"/>
          <w:szCs w:val="20"/>
          <w:color w:val="auto"/>
        </w:rPr>
      </w:pPr>
    </w:p>
    <w:p>
      <w:pPr>
        <w:ind w:firstLine="2"/>
        <w:spacing w:after="0" w:line="273" w:lineRule="auto"/>
        <w:tabs>
          <w:tab w:leader="none" w:pos="62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(a “Person”) of beneficial ownership (within the meaning of Rule 13d-3 under the Exchange Act) of 15% or more of either (i) the then-outstanding shares of Common Stock of the Company (the “Outstanding Company Common Stock”) or (ii) 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that complies with clauses (i), (ii) and (iii) of subsection c. of this Section 6; or</w:t>
      </w:r>
    </w:p>
    <w:p>
      <w:pPr>
        <w:spacing w:after="0" w:line="197" w:lineRule="exact"/>
        <w:rPr>
          <w:rFonts w:ascii="Arial" w:cs="Arial" w:eastAsia="Arial" w:hAnsi="Arial"/>
          <w:sz w:val="16"/>
          <w:szCs w:val="16"/>
          <w:color w:val="auto"/>
        </w:rPr>
      </w:pPr>
    </w:p>
    <w:p>
      <w:pPr>
        <w:ind w:right="40" w:firstLine="2"/>
        <w:spacing w:after="0" w:line="259" w:lineRule="auto"/>
        <w:tabs>
          <w:tab w:leader="none" w:pos="639"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41" w:name="page42"/>
    <w:bookmarkEnd w:id="41"/>
    <w:p>
      <w:pPr>
        <w:ind w:right="100"/>
        <w:spacing w:after="0" w:line="276" w:lineRule="auto"/>
        <w:rPr>
          <w:sz w:val="20"/>
          <w:szCs w:val="20"/>
          <w:color w:val="auto"/>
        </w:rPr>
      </w:pPr>
      <w:r>
        <w:rPr>
          <w:rFonts w:ascii="Arial" w:cs="Arial" w:eastAsia="Arial" w:hAnsi="Arial"/>
          <w:sz w:val="17"/>
          <w:szCs w:val="17"/>
          <w:color w:val="auto"/>
        </w:rPr>
        <w:t>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90" w:lineRule="exact"/>
        <w:rPr>
          <w:sz w:val="20"/>
          <w:szCs w:val="20"/>
          <w:color w:val="auto"/>
        </w:rPr>
      </w:pPr>
    </w:p>
    <w:p>
      <w:pPr>
        <w:ind w:right="80" w:firstLine="2"/>
        <w:spacing w:after="0" w:line="270" w:lineRule="auto"/>
        <w:tabs>
          <w:tab w:leader="none" w:pos="63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97" w:lineRule="exact"/>
        <w:rPr>
          <w:rFonts w:ascii="Arial" w:cs="Arial" w:eastAsia="Arial" w:hAnsi="Arial"/>
          <w:sz w:val="16"/>
          <w:szCs w:val="16"/>
          <w:color w:val="auto"/>
        </w:rPr>
      </w:pPr>
    </w:p>
    <w:p>
      <w:pPr>
        <w:ind w:left="640" w:hanging="638"/>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Approval by the stockholders of the Company of a complete liquidation or dissolution of the Company.</w:t>
      </w:r>
    </w:p>
    <w:p>
      <w:pPr>
        <w:spacing w:after="0" w:line="235" w:lineRule="exact"/>
        <w:rPr>
          <w:sz w:val="20"/>
          <w:szCs w:val="20"/>
          <w:color w:val="auto"/>
        </w:rPr>
      </w:pPr>
    </w:p>
    <w:p>
      <w:pPr>
        <w:ind w:firstLine="2"/>
        <w:spacing w:after="0" w:line="261" w:lineRule="auto"/>
        <w:tabs>
          <w:tab w:leader="none" w:pos="639"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Administration of the Plan. </w:t>
      </w:r>
      <w:r>
        <w:rPr>
          <w:rFonts w:ascii="Arial" w:cs="Arial" w:eastAsia="Arial" w:hAnsi="Arial"/>
          <w:sz w:val="17"/>
          <w:szCs w:val="17"/>
          <w:color w:val="auto"/>
        </w:rPr>
        <w:t>The Plan shall be administered by a committee composed of those members of the Board of Directors of the Company who are</w:t>
      </w:r>
      <w:r>
        <w:rPr>
          <w:rFonts w:ascii="Arial" w:cs="Arial" w:eastAsia="Arial" w:hAnsi="Arial"/>
          <w:sz w:val="17"/>
          <w:szCs w:val="17"/>
          <w:b w:val="1"/>
          <w:bCs w:val="1"/>
          <w:color w:val="auto"/>
        </w:rPr>
        <w:t xml:space="preserve"> </w:t>
      </w:r>
      <w:r>
        <w:rPr>
          <w:rFonts w:ascii="Arial" w:cs="Arial" w:eastAsia="Arial" w:hAnsi="Arial"/>
          <w:sz w:val="17"/>
          <w:szCs w:val="17"/>
          <w:color w:val="auto"/>
        </w:rPr>
        <w:t>also employees of the Company (the “Committee”). The Committee shall have the authority to carry out all provisions of the Plan; provided, however, that it shall have no discretion to determine which Nonemployee Directors may receive Directors Shares or Directors Options or to set the value of such Directors Shares or Directors Options, other than to make the calculations required by Section 3.a., Section 3.b. or Section 5.</w:t>
      </w:r>
    </w:p>
    <w:p>
      <w:pPr>
        <w:spacing w:after="0" w:line="198" w:lineRule="exact"/>
        <w:rPr>
          <w:rFonts w:ascii="Arial" w:cs="Arial" w:eastAsia="Arial" w:hAnsi="Arial"/>
          <w:sz w:val="17"/>
          <w:szCs w:val="17"/>
          <w:color w:val="auto"/>
        </w:rPr>
      </w:pPr>
    </w:p>
    <w:p>
      <w:pPr>
        <w:ind w:right="60" w:firstLine="2"/>
        <w:spacing w:after="0" w:line="301" w:lineRule="auto"/>
        <w:tabs>
          <w:tab w:leader="none" w:pos="639" w:val="left"/>
        </w:tabs>
        <w:numPr>
          <w:ilvl w:val="0"/>
          <w:numId w:val="28"/>
        </w:numPr>
        <w:rPr>
          <w:rFonts w:ascii="Arial" w:cs="Arial" w:eastAsia="Arial" w:hAnsi="Arial"/>
          <w:sz w:val="15"/>
          <w:szCs w:val="15"/>
          <w:color w:val="auto"/>
        </w:rPr>
      </w:pPr>
      <w:r>
        <w:rPr>
          <w:rFonts w:ascii="Arial" w:cs="Arial" w:eastAsia="Arial" w:hAnsi="Arial"/>
          <w:sz w:val="15"/>
          <w:szCs w:val="15"/>
          <w:b w:val="1"/>
          <w:bCs w:val="1"/>
          <w:color w:val="auto"/>
        </w:rPr>
        <w:t xml:space="preserve">Tax Withholding. </w:t>
      </w:r>
      <w:r>
        <w:rPr>
          <w:rFonts w:ascii="Arial" w:cs="Arial" w:eastAsia="Arial" w:hAnsi="Arial"/>
          <w:sz w:val="15"/>
          <w:szCs w:val="15"/>
          <w:color w:val="auto"/>
        </w:rPr>
        <w:t>The Company shall have the right to deduct from any settlement made under the Plan, including the exercise of an option or the sale of</w:t>
      </w:r>
      <w:r>
        <w:rPr>
          <w:rFonts w:ascii="Arial" w:cs="Arial" w:eastAsia="Arial" w:hAnsi="Arial"/>
          <w:sz w:val="15"/>
          <w:szCs w:val="15"/>
          <w:b w:val="1"/>
          <w:bCs w:val="1"/>
          <w:color w:val="auto"/>
        </w:rPr>
        <w:t xml:space="preserve"> </w:t>
      </w:r>
      <w:r>
        <w:rPr>
          <w:rFonts w:ascii="Arial" w:cs="Arial" w:eastAsia="Arial" w:hAnsi="Arial"/>
          <w:sz w:val="15"/>
          <w:szCs w:val="15"/>
          <w:color w:val="auto"/>
        </w:rPr>
        <w:t>shares of Common Stock, any federal, state or local taxes of any kind required by law to be withheld with respect to such payments or to require the option holder to pay the amount of any such taxes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The Company may also deduct from any such settlement any other amounts due the Company by the option holder.</w:t>
      </w:r>
    </w:p>
    <w:p>
      <w:pPr>
        <w:spacing w:after="0" w:line="172" w:lineRule="exact"/>
        <w:rPr>
          <w:rFonts w:ascii="Arial" w:cs="Arial" w:eastAsia="Arial" w:hAnsi="Arial"/>
          <w:sz w:val="15"/>
          <w:szCs w:val="15"/>
          <w:color w:val="auto"/>
        </w:rPr>
      </w:pPr>
    </w:p>
    <w:p>
      <w:pPr>
        <w:ind w:right="80" w:firstLine="2"/>
        <w:spacing w:after="0" w:line="281" w:lineRule="auto"/>
        <w:tabs>
          <w:tab w:leader="none" w:pos="639"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Effective Date and Term of Plan. </w:t>
      </w:r>
      <w:r>
        <w:rPr>
          <w:rFonts w:ascii="Arial" w:cs="Arial" w:eastAsia="Arial" w:hAnsi="Arial"/>
          <w:sz w:val="17"/>
          <w:szCs w:val="17"/>
          <w:color w:val="auto"/>
        </w:rPr>
        <w:t>The Plan first became effective March 14, 2001 and shall end March 12, 2011, unless terminated earlier by action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w:t>
      </w:r>
    </w:p>
    <w:p>
      <w:pPr>
        <w:spacing w:after="0" w:line="181" w:lineRule="exact"/>
        <w:rPr>
          <w:rFonts w:ascii="Arial" w:cs="Arial" w:eastAsia="Arial" w:hAnsi="Arial"/>
          <w:sz w:val="17"/>
          <w:szCs w:val="17"/>
          <w:color w:val="auto"/>
        </w:rPr>
      </w:pPr>
    </w:p>
    <w:p>
      <w:pPr>
        <w:ind w:right="80" w:firstLine="2"/>
        <w:spacing w:after="0" w:line="281" w:lineRule="auto"/>
        <w:tabs>
          <w:tab w:leader="none" w:pos="724"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Amendment. </w:t>
      </w:r>
      <w:r>
        <w:rPr>
          <w:rFonts w:ascii="Arial" w:cs="Arial" w:eastAsia="Arial" w:hAnsi="Arial"/>
          <w:sz w:val="17"/>
          <w:szCs w:val="17"/>
          <w:color w:val="auto"/>
        </w:rPr>
        <w:t>The Board may amend, suspend or terminate the Plan at any time, with or without advance notice to Plan participants. The effective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any amendment to the Plan shall be the date of its adoption by the Board of Directors, subject to stockholder approval, if</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42" w:name="page43"/>
    <w:bookmarkEnd w:id="42"/>
    <w:p>
      <w:pPr>
        <w:ind w:right="40"/>
        <w:spacing w:after="0" w:line="276" w:lineRule="auto"/>
        <w:rPr>
          <w:sz w:val="20"/>
          <w:szCs w:val="20"/>
          <w:color w:val="auto"/>
        </w:rPr>
      </w:pPr>
      <w:r>
        <w:rPr>
          <w:rFonts w:ascii="Arial" w:cs="Arial" w:eastAsia="Arial" w:hAnsi="Arial"/>
          <w:sz w:val="17"/>
          <w:szCs w:val="17"/>
          <w:color w:val="auto"/>
        </w:rPr>
        <w:t>required. No amendment of the Plan shall adversely affect in a material manner any right of any option holder with respect to any option theretofore granted without such option holder’s written consent.</w:t>
      </w:r>
    </w:p>
    <w:p>
      <w:pPr>
        <w:spacing w:after="0" w:line="186" w:lineRule="exact"/>
        <w:rPr>
          <w:sz w:val="20"/>
          <w:szCs w:val="20"/>
          <w:color w:val="auto"/>
        </w:rPr>
      </w:pPr>
    </w:p>
    <w:p>
      <w:pPr>
        <w:ind w:firstLine="2"/>
        <w:spacing w:after="0" w:line="290" w:lineRule="auto"/>
        <w:tabs>
          <w:tab w:leader="none" w:pos="718"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The Plan, Directors Shares, Directors Options and agreements entered into under the Plan shall be construed, administered and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in all respects under and by the applicable laws of the State of Delaware, excluding any conflicts or choice of law rule or principle that might otherwise refer construction or interpretation of the Plan or an option or an award or agreement to the substantive law of another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00"/>
          </w:cols>
          <w:pgMar w:left="240" w:top="498" w:right="359" w:bottom="1440" w:gutter="0" w:footer="0" w:header="0"/>
        </w:sectPr>
      </w:pPr>
    </w:p>
    <w:bookmarkStart w:id="43" w:name="page44"/>
    <w:bookmarkEnd w:id="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rFonts w:ascii="Arial" w:cs="Arial" w:eastAsia="Arial" w:hAnsi="Arial"/>
          <w:sz w:val="17"/>
          <w:szCs w:val="17"/>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I, Michael J. Hoffman, certify that:</w:t>
      </w:r>
    </w:p>
    <w:p>
      <w:pPr>
        <w:spacing w:after="0" w:line="239" w:lineRule="exact"/>
        <w:rPr>
          <w:sz w:val="20"/>
          <w:szCs w:val="20"/>
          <w:color w:val="auto"/>
        </w:rPr>
      </w:pPr>
    </w:p>
    <w:p>
      <w:pPr>
        <w:ind w:left="180" w:hanging="178"/>
        <w:spacing w:after="0"/>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39" w:lineRule="exact"/>
        <w:rPr>
          <w:rFonts w:ascii="Arial" w:cs="Arial" w:eastAsia="Arial" w:hAnsi="Arial"/>
          <w:sz w:val="17"/>
          <w:szCs w:val="17"/>
          <w:color w:val="auto"/>
        </w:rPr>
      </w:pPr>
    </w:p>
    <w:p>
      <w:pPr>
        <w:ind w:right="120" w:firstLine="2"/>
        <w:spacing w:after="0" w:line="308" w:lineRule="auto"/>
        <w:tabs>
          <w:tab w:leader="none" w:pos="17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6"/>
          <w:szCs w:val="16"/>
          <w:color w:val="auto"/>
        </w:rPr>
      </w:pPr>
    </w:p>
    <w:p>
      <w:pPr>
        <w:ind w:right="660" w:firstLine="2"/>
        <w:spacing w:after="0" w:line="276" w:lineRule="auto"/>
        <w:tabs>
          <w:tab w:leader="none" w:pos="17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ind w:right="220" w:firstLine="2"/>
        <w:spacing w:after="0" w:line="292" w:lineRule="auto"/>
        <w:tabs>
          <w:tab w:leader="none" w:pos="17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20" w:right="100" w:hanging="311"/>
        <w:spacing w:after="0" w:line="251" w:lineRule="auto"/>
        <w:tabs>
          <w:tab w:leader="none" w:pos="6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20" w:right="400" w:hanging="311"/>
        <w:spacing w:after="0" w:line="251" w:lineRule="auto"/>
        <w:tabs>
          <w:tab w:leader="none" w:pos="6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ind w:left="620" w:right="240" w:hanging="311"/>
        <w:spacing w:after="0" w:line="251" w:lineRule="auto"/>
        <w:tabs>
          <w:tab w:leader="none" w:pos="6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20" w:right="180" w:hanging="311"/>
        <w:spacing w:after="0" w:line="293" w:lineRule="auto"/>
        <w:tabs>
          <w:tab w:leader="none" w:pos="6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9" w:lineRule="exact"/>
        <w:rPr>
          <w:rFonts w:ascii="Arial" w:cs="Arial" w:eastAsia="Arial" w:hAnsi="Arial"/>
          <w:sz w:val="16"/>
          <w:szCs w:val="16"/>
          <w:color w:val="auto"/>
        </w:rPr>
      </w:pPr>
    </w:p>
    <w:p>
      <w:pPr>
        <w:ind w:right="240" w:firstLine="2"/>
        <w:spacing w:after="0" w:line="258" w:lineRule="auto"/>
        <w:tabs>
          <w:tab w:leader="none" w:pos="17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20" w:hanging="221"/>
        <w:spacing w:after="0" w:line="251" w:lineRule="auto"/>
        <w:tabs>
          <w:tab w:leader="none" w:pos="620" w:val="left"/>
        </w:tabs>
        <w:numPr>
          <w:ilvl w:val="2"/>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20" w:hanging="231"/>
        <w:spacing w:after="0" w:line="262" w:lineRule="auto"/>
        <w:tabs>
          <w:tab w:leader="none" w:pos="620" w:val="left"/>
        </w:tabs>
        <w:numPr>
          <w:ilvl w:val="2"/>
          <w:numId w:val="3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Date: March 6, 2009</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Michael J. Hoffman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Michael J. Hoffman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58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7"/>
          <w:szCs w:val="17"/>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I, Stephen P. Wolfe, certify that:</w:t>
      </w:r>
    </w:p>
    <w:p>
      <w:pPr>
        <w:spacing w:after="0" w:line="239" w:lineRule="exact"/>
        <w:rPr>
          <w:sz w:val="20"/>
          <w:szCs w:val="20"/>
          <w:color w:val="auto"/>
        </w:rPr>
      </w:pPr>
    </w:p>
    <w:p>
      <w:pPr>
        <w:ind w:left="180" w:hanging="178"/>
        <w:spacing w:after="0"/>
        <w:tabs>
          <w:tab w:leader="none" w:pos="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39" w:lineRule="exact"/>
        <w:rPr>
          <w:rFonts w:ascii="Arial" w:cs="Arial" w:eastAsia="Arial" w:hAnsi="Arial"/>
          <w:sz w:val="17"/>
          <w:szCs w:val="17"/>
          <w:color w:val="auto"/>
        </w:rPr>
      </w:pPr>
    </w:p>
    <w:p>
      <w:pPr>
        <w:ind w:right="120" w:firstLine="2"/>
        <w:spacing w:after="0" w:line="308" w:lineRule="auto"/>
        <w:tabs>
          <w:tab w:leader="none" w:pos="17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6"/>
          <w:szCs w:val="16"/>
          <w:color w:val="auto"/>
        </w:rPr>
      </w:pPr>
    </w:p>
    <w:p>
      <w:pPr>
        <w:ind w:right="660" w:firstLine="2"/>
        <w:spacing w:after="0" w:line="276" w:lineRule="auto"/>
        <w:tabs>
          <w:tab w:leader="none" w:pos="17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ind w:right="220" w:firstLine="2"/>
        <w:spacing w:after="0" w:line="292" w:lineRule="auto"/>
        <w:tabs>
          <w:tab w:leader="none" w:pos="17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20" w:right="100" w:hanging="311"/>
        <w:spacing w:after="0" w:line="251" w:lineRule="auto"/>
        <w:tabs>
          <w:tab w:leader="none" w:pos="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20" w:right="400" w:hanging="311"/>
        <w:spacing w:after="0" w:line="251" w:lineRule="auto"/>
        <w:tabs>
          <w:tab w:leader="none" w:pos="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ind w:left="620" w:right="240" w:hanging="311"/>
        <w:spacing w:after="0" w:line="251" w:lineRule="auto"/>
        <w:tabs>
          <w:tab w:leader="none" w:pos="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20" w:right="180" w:hanging="311"/>
        <w:spacing w:after="0" w:line="293" w:lineRule="auto"/>
        <w:tabs>
          <w:tab w:leader="none" w:pos="6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9" w:lineRule="exact"/>
        <w:rPr>
          <w:rFonts w:ascii="Arial" w:cs="Arial" w:eastAsia="Arial" w:hAnsi="Arial"/>
          <w:sz w:val="16"/>
          <w:szCs w:val="16"/>
          <w:color w:val="auto"/>
        </w:rPr>
      </w:pPr>
    </w:p>
    <w:p>
      <w:pPr>
        <w:ind w:right="240" w:firstLine="2"/>
        <w:spacing w:after="0" w:line="258" w:lineRule="auto"/>
        <w:tabs>
          <w:tab w:leader="none" w:pos="17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20" w:hanging="221"/>
        <w:spacing w:after="0" w:line="251" w:lineRule="auto"/>
        <w:tabs>
          <w:tab w:leader="none" w:pos="620" w:val="left"/>
        </w:tabs>
        <w:numPr>
          <w:ilvl w:val="2"/>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20" w:hanging="231"/>
        <w:spacing w:after="0" w:line="262" w:lineRule="auto"/>
        <w:tabs>
          <w:tab w:leader="none" w:pos="620" w:val="left"/>
        </w:tabs>
        <w:numPr>
          <w:ilvl w:val="2"/>
          <w:numId w:val="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Date: March 6, 2009</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Stephen P. Wolfe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Stephen P. Wolfe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353"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7"/>
          <w:szCs w:val="17"/>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January 30, 2009 as filed with the Securities and Exchange Commission on the date hereof (the “Report”), we, Michael J. Hoffman, Chairman of the Board, President and Chief Executive Officer of the Company, and Stephen P. Wolfe, Vice President, Finance and Chief Financial Officer of the Company, certify, pursuant to 18 U.S.C. Section 1350, as adopted pursuant to Section 906 of the Sarbanes-Oxley Act of 2002, that to our knowledge:</w:t>
      </w:r>
    </w:p>
    <w:p>
      <w:pPr>
        <w:spacing w:after="0" w:line="205" w:lineRule="exact"/>
        <w:rPr>
          <w:sz w:val="20"/>
          <w:szCs w:val="20"/>
          <w:color w:val="auto"/>
        </w:rPr>
      </w:pPr>
    </w:p>
    <w:p>
      <w:pPr>
        <w:ind w:left="920" w:hanging="281"/>
        <w:spacing w:after="0"/>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9" w:lineRule="exact"/>
        <w:rPr>
          <w:rFonts w:ascii="Arial" w:cs="Arial" w:eastAsia="Arial" w:hAnsi="Arial"/>
          <w:sz w:val="17"/>
          <w:szCs w:val="17"/>
          <w:color w:val="auto"/>
        </w:rPr>
      </w:pPr>
    </w:p>
    <w:p>
      <w:pPr>
        <w:ind w:left="920" w:hanging="281"/>
        <w:spacing w:after="0"/>
        <w:tabs>
          <w:tab w:leader="none" w:pos="9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16459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Michael J. Hoffman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March 6, 2009</w:t>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16522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5227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Stephen P. Wolfe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March 6,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60"/>
        <w:spacing w:after="0" w:line="308"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420"/>
      </w:cols>
      <w:pgMar w:left="240" w:top="3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lowerRoman"/>
      <w:start w:val="3"/>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32"/>
    </w:lvl>
  </w:abstractNum>
  <w:abstractNum w:abstractNumId="5">
    <w:nsid w:val="7C83E458"/>
    <w:multiLevelType w:val="hybridMultilevel"/>
    <w:lvl w:ilvl="0">
      <w:lvlJc w:val="left"/>
      <w:lvlText w:val="%1."/>
      <w:numFmt w:val="decimal"/>
      <w:start w:val="2"/>
    </w:lvl>
    <w:lvl w:ilvl="1">
      <w:lvlJc w:val="left"/>
      <w:lvlText w:val="(%2)"/>
      <w:numFmt w:val="lowerRoman"/>
      <w:start w:val="2"/>
    </w:lvl>
  </w:abstractNum>
  <w:abstractNum w:abstractNumId="6">
    <w:nsid w:val="257130A3"/>
    <w:multiLevelType w:val="hybridMultilevel"/>
    <w:lvl w:ilvl="0">
      <w:lvlJc w:val="left"/>
      <w:lvlText w:val="%1."/>
      <w:numFmt w:val="decimal"/>
      <w:start w:val="3"/>
    </w:lvl>
    <w:lvl w:ilvl="1">
      <w:lvlJc w:val="left"/>
      <w:lvlText w:val="(%2)"/>
      <w:numFmt w:val="lowerLetter"/>
      <w:start w:val="22"/>
    </w:lvl>
    <w:lvl w:ilvl="2">
      <w:lvlJc w:val="left"/>
      <w:lvlText w:val="%3"/>
      <w:numFmt w:val="lowerRoman"/>
      <w:start w:val="1"/>
    </w:lvl>
  </w:abstractNum>
  <w:abstractNum w:abstractNumId="7">
    <w:nsid w:val="62BBD95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
    <w:nsid w:val="436C6125"/>
    <w:multiLevelType w:val="hybridMultilevel"/>
    <w:lvl w:ilvl="0">
      <w:lvlJc w:val="left"/>
      <w:lvlText w:val="%1."/>
      <w:numFmt w:val="decimal"/>
      <w:start w:val="5"/>
    </w:lvl>
    <w:lvl w:ilvl="1">
      <w:lvlJc w:val="left"/>
      <w:lvlText w:val="(%2)"/>
      <w:numFmt w:val="lowerRoman"/>
      <w:start w:val="1"/>
    </w:lvl>
  </w:abstractNum>
  <w:abstractNum w:abstractNumId="9">
    <w:nsid w:val="628C895D"/>
    <w:multiLevelType w:val="hybridMultilevel"/>
    <w:lvl w:ilvl="0">
      <w:lvlJc w:val="left"/>
      <w:lvlText w:val="%1"/>
      <w:numFmt w:val="decimal"/>
      <w:start w:val="1"/>
    </w:lvl>
    <w:lvl w:ilvl="1">
      <w:lvlJc w:val="left"/>
      <w:lvlText w:val="%2."/>
      <w:numFmt w:val="upperLetter"/>
      <w:start w:val="1"/>
    </w:lvl>
  </w:abstractNum>
  <w:abstractNum w:abstractNumId="10">
    <w:nsid w:val="333AB105"/>
    <w:multiLevelType w:val="hybridMultilevel"/>
    <w:lvl w:ilvl="0">
      <w:lvlJc w:val="left"/>
      <w:lvlText w:val="%1."/>
      <w:numFmt w:val="decimal"/>
      <w:start w:val="7"/>
    </w:lvl>
    <w:lvl w:ilvl="1">
      <w:lvlJc w:val="left"/>
      <w:lvlText w:val="%2"/>
      <w:numFmt w:val="upperLetter"/>
      <w:start w:val="1"/>
    </w:lvl>
  </w:abstractNum>
  <w:abstractNum w:abstractNumId="11">
    <w:nsid w:val="721DA317"/>
    <w:multiLevelType w:val="hybridMultilevel"/>
    <w:lvl w:ilvl="0">
      <w:lvlJc w:val="left"/>
      <w:lvlText w:val="%1"/>
      <w:numFmt w:val="decimal"/>
      <w:start w:val="1"/>
    </w:lvl>
    <w:lvl w:ilvl="1">
      <w:lvlJc w:val="left"/>
      <w:lvlText w:val="(%2)"/>
      <w:numFmt w:val="lowerRoman"/>
      <w:start w:val="2"/>
    </w:lvl>
  </w:abstractNum>
  <w:abstractNum w:abstractNumId="12">
    <w:nsid w:val="2443A858"/>
    <w:multiLevelType w:val="hybridMultilevel"/>
    <w:lvl w:ilvl="0">
      <w:lvlJc w:val="left"/>
      <w:lvlText w:val="%1."/>
      <w:numFmt w:val="decimal"/>
      <w:start w:val="8"/>
    </w:lvl>
    <w:lvl w:ilvl="1">
      <w:lvlJc w:val="left"/>
      <w:lvlText w:val="(%2)"/>
      <w:numFmt w:val="lowerRoman"/>
      <w:start w:val="3"/>
    </w:lvl>
  </w:abstractNum>
  <w:abstractNum w:abstractNumId="13">
    <w:nsid w:val="2D1D5AE9"/>
    <w:multiLevelType w:val="hybridMultilevel"/>
    <w:lvl w:ilvl="0">
      <w:lvlJc w:val="left"/>
      <w:lvlText w:val="%1."/>
      <w:numFmt w:val="decimal"/>
      <w:start w:val="11"/>
    </w:lvl>
    <w:lvl w:ilvl="1">
      <w:lvlJc w:val="left"/>
      <w:lvlText w:val="(%2)"/>
      <w:numFmt w:val="lowerLetter"/>
      <w:start w:val="4"/>
    </w:lvl>
    <w:lvl w:ilvl="2">
      <w:lvlJc w:val="left"/>
      <w:lvlText w:val="%3."/>
      <w:numFmt w:val="decimal"/>
      <w:start w:val="12"/>
    </w:lvl>
  </w:abstractNum>
  <w:abstractNum w:abstractNumId="14">
    <w:nsid w:val="6763845E"/>
    <w:multiLevelType w:val="hybridMultilevel"/>
    <w:lvl w:ilvl="0">
      <w:lvlJc w:val="left"/>
      <w:lvlText w:val="%1."/>
      <w:numFmt w:val="decimal"/>
      <w:start w:val="13"/>
    </w:lvl>
    <w:lvl w:ilvl="1">
      <w:lvlJc w:val="left"/>
      <w:lvlText w:val="(%2)"/>
      <w:numFmt w:val="lowerLetter"/>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1."/>
      <w:numFmt w:val="lowerRoman"/>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Letter"/>
      <w:start w:val="3"/>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lowerLetter"/>
      <w:start w:val="4"/>
    </w:lvl>
  </w:abstractNum>
  <w:abstractNum w:abstractNumId="22">
    <w:nsid w:val="71F32454"/>
    <w:multiLevelType w:val="hybridMultilevel"/>
    <w:lvl w:ilvl="0">
      <w:lvlJc w:val="left"/>
      <w:lvlText w:val="%1."/>
      <w:numFmt w:val="lowerLetter"/>
      <w:start w:val="3"/>
    </w:lvl>
  </w:abstractNum>
  <w:abstractNum w:abstractNumId="23">
    <w:nsid w:val="2CA88611"/>
    <w:multiLevelType w:val="hybridMultilevel"/>
    <w:lvl w:ilvl="0">
      <w:lvlJc w:val="left"/>
      <w:lvlText w:val="%1."/>
      <w:numFmt w:val="decimal"/>
      <w:start w:val="4"/>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3"/>
    </w:lvl>
  </w:abstractNum>
  <w:abstractNum w:abstractNumId="27">
    <w:nsid w:val="8138641"/>
    <w:multiLevelType w:val="hybridMultilevel"/>
    <w:lvl w:ilvl="0">
      <w:lvlJc w:val="left"/>
      <w:lvlText w:val="%1."/>
      <w:numFmt w:val="decimal"/>
      <w:start w:val="7"/>
    </w:lvl>
  </w:abstractNum>
  <w:abstractNum w:abstractNumId="28">
    <w:nsid w:val="1E7FF521"/>
    <w:multiLevelType w:val="hybridMultilevel"/>
    <w:lvl w:ilvl="0">
      <w:lvlJc w:val="left"/>
      <w:lvlText w:val="%1."/>
      <w:numFmt w:val="decimal"/>
      <w:start w:val="11"/>
    </w:lvl>
  </w:abstractNum>
  <w:abstractNum w:abstractNumId="29">
    <w:nsid w:val="7C3DBD3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2019-12-10T05:50:19Z</dcterms:created>
  <dcterms:modified xsi:type="dcterms:W3CDTF">2019-12-10T05:50:19Z</dcterms:modified>
</cp:coreProperties>
</file>