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003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00392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074"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Ramstad Peter M</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12/11/2012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66"/>
        <w:spacing w:after="0"/>
        <w:rPr>
          <w:sz w:val="20"/>
          <w:szCs w:val="20"/>
          <w:color w:val="auto"/>
        </w:rPr>
      </w:pPr>
      <w:r>
        <w:rPr>
          <w:rFonts w:ascii="Arial" w:cs="Arial" w:eastAsia="Arial" w:hAnsi="Arial"/>
          <w:sz w:val="17"/>
          <w:szCs w:val="17"/>
          <w:color w:val="0000FF"/>
        </w:rPr>
        <w:t>VP, HR and Bus. Development</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074"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60"/>
              <w:spacing w:after="0"/>
              <w:rPr>
                <w:sz w:val="20"/>
                <w:szCs w:val="20"/>
                <w:color w:val="auto"/>
              </w:rPr>
            </w:pPr>
            <w:r>
              <w:rPr>
                <w:rFonts w:ascii="Arial" w:cs="Arial" w:eastAsia="Arial" w:hAnsi="Arial"/>
                <w:sz w:val="17"/>
                <w:szCs w:val="17"/>
                <w:color w:val="0000FF"/>
              </w:rPr>
              <w:t>55420-1196</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074"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380" w:type="dxa"/>
            <w:vAlign w:val="bottom"/>
            <w:gridSpan w:val="2"/>
          </w:tcPr>
          <w:p>
            <w:pPr>
              <w:ind w:left="48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00"/>
              <w:spacing w:after="0" w:line="132"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7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1380" w:type="dxa"/>
            <w:vAlign w:val="bottom"/>
            <w:gridSpan w:val="2"/>
          </w:tcPr>
          <w:p>
            <w:pPr>
              <w:ind w:left="480"/>
              <w:spacing w:after="0" w:line="132"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ind w:left="70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Beneficially</w:t>
            </w:r>
          </w:p>
        </w:tc>
        <w:tc>
          <w:tcPr>
            <w:tcW w:w="1380" w:type="dxa"/>
            <w:vAlign w:val="bottom"/>
            <w:gridSpan w:val="2"/>
          </w:tcPr>
          <w:p>
            <w:pPr>
              <w:jc w:val="center"/>
              <w:ind w:left="299"/>
              <w:spacing w:after="0" w:line="134" w:lineRule="exact"/>
              <w:rPr>
                <w:sz w:val="20"/>
                <w:szCs w:val="20"/>
                <w:color w:val="auto"/>
              </w:rPr>
            </w:pPr>
            <w:r>
              <w:rPr>
                <w:rFonts w:ascii="Arial" w:cs="Arial" w:eastAsia="Arial" w:hAnsi="Arial"/>
                <w:sz w:val="12"/>
                <w:szCs w:val="12"/>
                <w:b w:val="1"/>
                <w:bCs w:val="1"/>
                <w:color w:val="auto"/>
                <w:w w:val="99"/>
              </w:rPr>
              <w:t>(D) or Indirect</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Owned Following   (I) (Instr. 4)</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80" w:type="dxa"/>
            <w:vAlign w:val="bottom"/>
            <w:vMerge w:val="restart"/>
          </w:tcPr>
          <w:p>
            <w:pPr>
              <w:ind w:left="40"/>
              <w:spacing w:after="0" w:line="134"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5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800" w:type="dxa"/>
            <w:vAlign w:val="bottom"/>
            <w:tcBorders>
              <w:bottom w:val="single" w:sz="8" w:color="2C2C2C"/>
            </w:tcBorders>
            <w:gridSpan w:val="2"/>
          </w:tcPr>
          <w:p>
            <w:pPr>
              <w:ind w:left="800"/>
              <w:spacing w:after="0"/>
              <w:rPr>
                <w:sz w:val="20"/>
                <w:szCs w:val="20"/>
                <w:color w:val="auto"/>
              </w:rPr>
            </w:pPr>
            <w:r>
              <w:rPr>
                <w:rFonts w:ascii="Arial" w:cs="Arial" w:eastAsia="Arial" w:hAnsi="Arial"/>
                <w:sz w:val="17"/>
                <w:szCs w:val="17"/>
                <w:color w:val="0000FF"/>
              </w:rPr>
              <w:t>12/11/2012</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8"/>
              </w:rPr>
              <w:t>18,000</w:t>
            </w:r>
            <w:r>
              <w:rPr>
                <w:rFonts w:ascii="Arial" w:cs="Arial" w:eastAsia="Arial" w:hAnsi="Arial"/>
                <w:sz w:val="22"/>
                <w:szCs w:val="22"/>
                <w:color w:val="008000"/>
                <w:w w:val="88"/>
                <w:vertAlign w:val="superscript"/>
              </w:rPr>
              <w:t>(1)</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580" w:type="dxa"/>
            <w:vAlign w:val="bottom"/>
            <w:tcBorders>
              <w:bottom w:val="single" w:sz="8" w:color="2C2C2C"/>
            </w:tcBorders>
            <w:gridSpan w:val="3"/>
          </w:tcPr>
          <w:p>
            <w:pPr>
              <w:jc w:val="center"/>
              <w:ind w:right="319"/>
              <w:spacing w:after="0"/>
              <w:rPr>
                <w:sz w:val="20"/>
                <w:szCs w:val="20"/>
                <w:color w:val="auto"/>
              </w:rPr>
            </w:pPr>
            <w:r>
              <w:rPr>
                <w:rFonts w:ascii="Arial" w:cs="Arial" w:eastAsia="Arial" w:hAnsi="Arial"/>
                <w:sz w:val="17"/>
                <w:szCs w:val="17"/>
                <w:color w:val="0000FF"/>
                <w:w w:val="89"/>
              </w:rPr>
              <w:t>23,061.686</w:t>
            </w:r>
            <w:r>
              <w:rPr>
                <w:rFonts w:ascii="Arial" w:cs="Arial" w:eastAsia="Arial" w:hAnsi="Arial"/>
                <w:sz w:val="22"/>
                <w:szCs w:val="22"/>
                <w:color w:val="008000"/>
                <w:w w:val="89"/>
                <w:vertAlign w:val="superscript"/>
              </w:rPr>
              <w:t>(2)</w:t>
            </w:r>
          </w:p>
        </w:tc>
        <w:tc>
          <w:tcPr>
            <w:tcW w:w="600" w:type="dxa"/>
            <w:vAlign w:val="bottom"/>
            <w:tcBorders>
              <w:bottom w:val="single" w:sz="8" w:color="2C2C2C"/>
            </w:tcBorders>
          </w:tcPr>
          <w:p>
            <w:pPr>
              <w:jc w:val="center"/>
              <w:ind w:right="331"/>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right="299"/>
              <w:spacing w:after="0"/>
              <w:rPr>
                <w:sz w:val="20"/>
                <w:szCs w:val="20"/>
                <w:color w:val="auto"/>
              </w:rPr>
            </w:pPr>
            <w:r>
              <w:rPr>
                <w:rFonts w:ascii="Arial" w:cs="Arial" w:eastAsia="Arial" w:hAnsi="Arial"/>
                <w:sz w:val="17"/>
                <w:szCs w:val="17"/>
                <w:color w:val="0000FF"/>
                <w:w w:val="87"/>
              </w:rPr>
              <w:t>6,660.171</w:t>
            </w:r>
            <w:r>
              <w:rPr>
                <w:rFonts w:ascii="Arial" w:cs="Arial" w:eastAsia="Arial" w:hAnsi="Arial"/>
                <w:sz w:val="22"/>
                <w:szCs w:val="22"/>
                <w:color w:val="008000"/>
                <w:w w:val="87"/>
                <w:vertAlign w:val="superscript"/>
              </w:rPr>
              <w:t>(3)</w:t>
            </w:r>
          </w:p>
        </w:tc>
        <w:tc>
          <w:tcPr>
            <w:tcW w:w="600" w:type="dxa"/>
            <w:vAlign w:val="bottom"/>
            <w:tcBorders>
              <w:bottom w:val="single" w:sz="8" w:color="2C2C2C"/>
            </w:tcBorders>
          </w:tcPr>
          <w:p>
            <w:pPr>
              <w:jc w:val="center"/>
              <w:ind w:right="331"/>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80" w:type="dxa"/>
            <w:vAlign w:val="bottom"/>
            <w:gridSpan w:val="3"/>
          </w:tcPr>
          <w:p>
            <w:pPr>
              <w:jc w:val="center"/>
              <w:ind w:right="299"/>
              <w:spacing w:after="0" w:line="214" w:lineRule="exact"/>
              <w:rPr>
                <w:sz w:val="20"/>
                <w:szCs w:val="20"/>
                <w:color w:val="auto"/>
              </w:rPr>
            </w:pPr>
            <w:r>
              <w:rPr>
                <w:rFonts w:ascii="Arial" w:cs="Arial" w:eastAsia="Arial" w:hAnsi="Arial"/>
                <w:sz w:val="17"/>
                <w:szCs w:val="17"/>
                <w:color w:val="0000FF"/>
                <w:w w:val="88"/>
              </w:rPr>
              <w:t>545.008</w:t>
            </w:r>
            <w:r>
              <w:rPr>
                <w:rFonts w:ascii="Arial" w:cs="Arial" w:eastAsia="Arial" w:hAnsi="Arial"/>
                <w:sz w:val="22"/>
                <w:szCs w:val="22"/>
                <w:color w:val="008000"/>
                <w:w w:val="88"/>
                <w:vertAlign w:val="superscript"/>
              </w:rPr>
              <w:t>(4)</w:t>
            </w:r>
          </w:p>
        </w:tc>
        <w:tc>
          <w:tcPr>
            <w:tcW w:w="600" w:type="dxa"/>
            <w:vAlign w:val="bottom"/>
          </w:tcPr>
          <w:p>
            <w:pPr>
              <w:jc w:val="center"/>
              <w:ind w:right="311"/>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Savings &amp;</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5680" w:type="dxa"/>
            <w:vAlign w:val="bottom"/>
            <w:tcBorders>
              <w:bottom w:val="single" w:sz="8" w:color="2C2C2C"/>
            </w:tcBorders>
            <w:gridSpan w:val="10"/>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6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 Amount</w:t>
            </w:r>
          </w:p>
        </w:tc>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2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42.06</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12/11/2012</w:t>
            </w:r>
          </w:p>
        </w:tc>
        <w:tc>
          <w:tcPr>
            <w:tcW w:w="1180" w:type="dxa"/>
            <w:vAlign w:val="bottom"/>
          </w:tcPr>
          <w:p>
            <w:pPr>
              <w:spacing w:after="0"/>
              <w:rPr>
                <w:sz w:val="17"/>
                <w:szCs w:val="17"/>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0000FF"/>
              </w:rPr>
              <w:t>A</w:t>
            </w:r>
          </w:p>
        </w:tc>
        <w:tc>
          <w:tcPr>
            <w:tcW w:w="220" w:type="dxa"/>
            <w:vAlign w:val="bottom"/>
          </w:tcPr>
          <w:p>
            <w:pPr>
              <w:spacing w:after="0"/>
              <w:rPr>
                <w:sz w:val="17"/>
                <w:szCs w:val="17"/>
                <w:color w:val="auto"/>
              </w:rPr>
            </w:pPr>
          </w:p>
        </w:tc>
        <w:tc>
          <w:tcPr>
            <w:tcW w:w="540" w:type="dxa"/>
            <w:vAlign w:val="bottom"/>
          </w:tcPr>
          <w:p>
            <w:pPr>
              <w:ind w:left="80"/>
              <w:spacing w:after="0"/>
              <w:rPr>
                <w:sz w:val="20"/>
                <w:szCs w:val="20"/>
                <w:color w:val="auto"/>
              </w:rPr>
            </w:pPr>
            <w:r>
              <w:rPr>
                <w:rFonts w:ascii="Arial" w:cs="Arial" w:eastAsia="Arial" w:hAnsi="Arial"/>
                <w:sz w:val="13"/>
                <w:szCs w:val="13"/>
                <w:color w:val="0000FF"/>
              </w:rPr>
              <w:t>13,700</w:t>
            </w:r>
          </w:p>
        </w:tc>
        <w:tc>
          <w:tcPr>
            <w:tcW w:w="320" w:type="dxa"/>
            <w:vAlign w:val="bottom"/>
          </w:tcPr>
          <w:p>
            <w:pPr>
              <w:spacing w:after="0"/>
              <w:rPr>
                <w:sz w:val="17"/>
                <w:szCs w:val="17"/>
                <w:color w:val="auto"/>
              </w:rPr>
            </w:pPr>
          </w:p>
        </w:tc>
        <w:tc>
          <w:tcPr>
            <w:tcW w:w="800" w:type="dxa"/>
            <w:vAlign w:val="bottom"/>
          </w:tcPr>
          <w:p>
            <w:pPr>
              <w:ind w:left="300"/>
              <w:spacing w:after="0"/>
              <w:rPr>
                <w:sz w:val="20"/>
                <w:szCs w:val="20"/>
                <w:color w:val="auto"/>
              </w:rPr>
            </w:pPr>
            <w:r>
              <w:rPr>
                <w:rFonts w:ascii="Arial" w:cs="Arial" w:eastAsia="Arial" w:hAnsi="Arial"/>
                <w:sz w:val="11"/>
                <w:szCs w:val="11"/>
                <w:color w:val="008000"/>
              </w:rPr>
              <w:t>(5)</w:t>
            </w:r>
          </w:p>
        </w:tc>
        <w:tc>
          <w:tcPr>
            <w:tcW w:w="780" w:type="dxa"/>
            <w:vAlign w:val="bottom"/>
          </w:tcPr>
          <w:p>
            <w:pPr>
              <w:ind w:left="60"/>
              <w:spacing w:after="0"/>
              <w:rPr>
                <w:sz w:val="20"/>
                <w:szCs w:val="20"/>
                <w:color w:val="auto"/>
              </w:rPr>
            </w:pPr>
            <w:r>
              <w:rPr>
                <w:rFonts w:ascii="Arial" w:cs="Arial" w:eastAsia="Arial" w:hAnsi="Arial"/>
                <w:sz w:val="13"/>
                <w:szCs w:val="13"/>
                <w:color w:val="0000FF"/>
              </w:rPr>
              <w:t>12/11/2022</w:t>
            </w:r>
          </w:p>
        </w:tc>
        <w:tc>
          <w:tcPr>
            <w:tcW w:w="660" w:type="dxa"/>
            <w:vAlign w:val="bottom"/>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20"/>
                <w:szCs w:val="20"/>
                <w:color w:val="auto"/>
              </w:rPr>
            </w:pPr>
            <w:r>
              <w:rPr>
                <w:rFonts w:ascii="Arial" w:cs="Arial" w:eastAsia="Arial" w:hAnsi="Arial"/>
                <w:sz w:val="17"/>
                <w:szCs w:val="17"/>
                <w:color w:val="0000FF"/>
                <w:w w:val="99"/>
              </w:rPr>
              <w:t>13,700</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80" w:type="dxa"/>
            <w:vAlign w:val="bottom"/>
          </w:tcPr>
          <w:p>
            <w:pPr>
              <w:ind w:left="240"/>
              <w:spacing w:after="0"/>
              <w:rPr>
                <w:sz w:val="20"/>
                <w:szCs w:val="20"/>
                <w:color w:val="auto"/>
              </w:rPr>
            </w:pPr>
            <w:r>
              <w:rPr>
                <w:rFonts w:ascii="Arial" w:cs="Arial" w:eastAsia="Arial" w:hAnsi="Arial"/>
                <w:sz w:val="13"/>
                <w:szCs w:val="13"/>
                <w:color w:val="0000FF"/>
              </w:rPr>
              <w:t>13,700</w:t>
            </w:r>
          </w:p>
        </w:tc>
        <w:tc>
          <w:tcPr>
            <w:tcW w:w="600" w:type="dxa"/>
            <w:vAlign w:val="bottom"/>
          </w:tcPr>
          <w:p>
            <w:pPr>
              <w:ind w:left="46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Stock</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ind w:left="120"/>
              <w:spacing w:after="0" w:line="109"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40" w:firstLine="8"/>
        <w:spacing w:after="0" w:line="285"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payout of a Performance Share Award for the Fiscal 2010 to Fiscal 2012 Performance Period under The Toro Company Performance Share Plan, as approved by the registrant's Compensation &amp; Human Resources Committee of its Board of Directors on December 11, 2012. The reporting person has deferred the payout of his Performance Share Award under The Toro Company Deferred Compensation Plan for Officers (the "Deferred Plan") and, accordingly, the reporting person's Performance Share Award is paid in performance share units under the Deferred Plan.</w:t>
      </w:r>
    </w:p>
    <w:p>
      <w:pPr>
        <w:spacing w:after="0" w:line="4" w:lineRule="exact"/>
        <w:rPr>
          <w:rFonts w:ascii="Arial" w:cs="Arial" w:eastAsia="Arial" w:hAnsi="Arial"/>
          <w:sz w:val="12"/>
          <w:szCs w:val="12"/>
          <w:color w:val="008000"/>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June 29, 2012, the common stock of the issuer split two-for-one (the "Stock Split"), resulting in the reporting person's ownership of 2,508.691 additional performance share units. Also includes 44.304</w:t>
      </w:r>
    </w:p>
    <w:p>
      <w:pPr>
        <w:spacing w:after="0" w:line="22" w:lineRule="exact"/>
        <w:rPr>
          <w:sz w:val="24"/>
          <w:szCs w:val="24"/>
          <w:color w:val="auto"/>
        </w:rPr>
      </w:pPr>
    </w:p>
    <w:p>
      <w:pPr>
        <w:ind w:left="40" w:right="500"/>
        <w:spacing w:after="0" w:line="252" w:lineRule="auto"/>
        <w:rPr>
          <w:sz w:val="20"/>
          <w:szCs w:val="20"/>
          <w:color w:val="auto"/>
        </w:rPr>
      </w:pPr>
      <w:r>
        <w:rPr>
          <w:rFonts w:ascii="Arial" w:cs="Arial" w:eastAsia="Arial" w:hAnsi="Arial"/>
          <w:sz w:val="13"/>
          <w:szCs w:val="13"/>
          <w:color w:val="008000"/>
        </w:rPr>
        <w:t>post-split performance share units acquired by the reporting person under the dividend reinvestment feature of the Deferred Plan since the date of his last report. All future Form 4 and 5 filings made by the reporting person will include adjustments, as necessary, to reflect the Stock Split.</w:t>
      </w:r>
    </w:p>
    <w:p>
      <w:pPr>
        <w:spacing w:after="0" w:line="23" w:lineRule="exact"/>
        <w:rPr>
          <w:sz w:val="24"/>
          <w:szCs w:val="24"/>
          <w:color w:val="auto"/>
        </w:rPr>
      </w:pPr>
    </w:p>
    <w:p>
      <w:pPr>
        <w:ind w:left="40" w:right="280" w:firstLine="8"/>
        <w:spacing w:after="0" w:line="272" w:lineRule="auto"/>
        <w:tabs>
          <w:tab w:leader="none" w:pos="17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Includes 58.233 post-split shares of common stock acquired by the reporting person under The Toro Company Dividend Reinvestment Plan since the date of his last report and 3,300.969 additional shares of common stock acquired as a result of the Stock Split.</w:t>
      </w:r>
    </w:p>
    <w:p>
      <w:pPr>
        <w:spacing w:after="0" w:line="9" w:lineRule="exact"/>
        <w:rPr>
          <w:rFonts w:ascii="Arial" w:cs="Arial" w:eastAsia="Arial" w:hAnsi="Arial"/>
          <w:sz w:val="13"/>
          <w:szCs w:val="13"/>
          <w:color w:val="008000"/>
        </w:rPr>
      </w:pPr>
    </w:p>
    <w:p>
      <w:pPr>
        <w:ind w:left="40" w:right="220" w:firstLine="8"/>
        <w:spacing w:after="0" w:line="272" w:lineRule="auto"/>
        <w:tabs>
          <w:tab w:leader="none" w:pos="17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Includes 4.764 post-split shares of common stock acquired by the reporting person under the dividend reinvestment feature of The Toro Company Investment, Savings &amp; ESOP since the date of his last report and 270.122 additional shares of common stock acquired as a result of the Stock Split.</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12/13/2012</w:t>
            </w:r>
          </w:p>
        </w:tc>
        <w:tc>
          <w:tcPr>
            <w:tcW w:w="0" w:type="dxa"/>
            <w:vAlign w:val="bottom"/>
          </w:tcPr>
          <w:p>
            <w:pPr>
              <w:spacing w:after="0"/>
              <w:rPr>
                <w:sz w:val="1"/>
                <w:szCs w:val="1"/>
                <w:color w:val="auto"/>
              </w:rPr>
            </w:pPr>
          </w:p>
        </w:tc>
      </w:tr>
      <w:tr>
        <w:trPr>
          <w:trHeight w:val="92"/>
        </w:trPr>
        <w:tc>
          <w:tcPr>
            <w:tcW w:w="1180" w:type="dxa"/>
            <w:vAlign w:val="bottom"/>
            <w:vMerge w:val="restart"/>
          </w:tcPr>
          <w:p>
            <w:pPr>
              <w:spacing w:after="0"/>
              <w:rPr>
                <w:sz w:val="20"/>
                <w:szCs w:val="20"/>
                <w:color w:val="auto"/>
              </w:rPr>
            </w:pPr>
            <w:r>
              <w:rPr>
                <w:rFonts w:ascii="Arial" w:cs="Arial" w:eastAsia="Arial" w:hAnsi="Arial"/>
                <w:sz w:val="17"/>
                <w:szCs w:val="17"/>
                <w:color w:val="0000FF"/>
                <w:w w:val="95"/>
              </w:rPr>
              <w:t>Attorney-in-Fact</w:t>
            </w:r>
          </w:p>
        </w:tc>
        <w:tc>
          <w:tcPr>
            <w:tcW w:w="11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07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1271"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2019-12-17T02:01:13Z</dcterms:created>
  <dcterms:modified xsi:type="dcterms:W3CDTF">2019-12-17T02:01:13Z</dcterms:modified>
</cp:coreProperties>
</file>