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885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852535"/>
                    </a:xfrm>
                    <a:prstGeom prst="rect">
                      <a:avLst/>
                    </a:prstGeom>
                    <a:noFill/>
                  </pic:spPr>
                </pic:pic>
              </a:graphicData>
            </a:graphic>
          </wp:anchor>
        </w:drawing>
      </w:r>
    </w:p>
    <w:p>
      <w:pPr>
        <w:spacing w:after="0" w:line="108" w:lineRule="exact"/>
        <w:rPr>
          <w:sz w:val="24"/>
          <w:szCs w:val="24"/>
          <w:color w:val="auto"/>
        </w:rPr>
      </w:pPr>
    </w:p>
    <w:p>
      <w:pPr>
        <w:sectPr>
          <w:pgSz w:w="11900" w:h="16843"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RENEE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7"/>
          <w:szCs w:val="17"/>
          <w:color w:val="0000FF"/>
        </w:rPr>
        <w:t>VP &amp; CFO</w:t>
      </w:r>
    </w:p>
    <w:p>
      <w:pPr>
        <w:spacing w:after="0" w:line="306" w:lineRule="exact"/>
        <w:rPr>
          <w:sz w:val="24"/>
          <w:szCs w:val="24"/>
          <w:color w:val="auto"/>
        </w:rPr>
      </w:pPr>
    </w:p>
    <w:p>
      <w:pPr>
        <w:sectPr>
          <w:pgSz w:w="11900" w:h="16843" w:orient="portrait"/>
          <w:cols w:equalWidth="0" w:num="3">
            <w:col w:w="3200" w:space="720"/>
            <w:col w:w="3100" w:space="720"/>
            <w:col w:w="3340"/>
          </w:cols>
          <w:pgMar w:left="460" w:top="217" w:right="359" w:bottom="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43"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12/21/2022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7"/>
                <w:szCs w:val="17"/>
                <w:color w:val="0000FF"/>
              </w:rPr>
              <w:t>4,828</w:t>
            </w:r>
            <w:r>
              <w:rPr>
                <w:rFonts w:ascii="Times New Roman" w:cs="Times New Roman" w:eastAsia="Times New Roman" w:hAnsi="Times New Roman"/>
                <w:sz w:val="21"/>
                <w:szCs w:val="21"/>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right="16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17,326.344</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0000FF"/>
              </w:rPr>
              <w:t>12/21/2022</w:t>
            </w:r>
          </w:p>
        </w:tc>
        <w:tc>
          <w:tcPr>
            <w:tcW w:w="10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0000FF"/>
              </w:rPr>
              <w:t>2,008</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112.87</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15,318.344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Renee</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 Peterson</w:t>
            </w:r>
          </w:p>
        </w:tc>
        <w:tc>
          <w:tcPr>
            <w:tcW w:w="0" w:type="dxa"/>
            <w:vAlign w:val="bottom"/>
          </w:tcPr>
          <w:p>
            <w:pPr>
              <w:spacing w:after="0"/>
              <w:rPr>
                <w:sz w:val="1"/>
                <w:szCs w:val="1"/>
                <w:color w:val="auto"/>
              </w:rPr>
            </w:pPr>
          </w:p>
        </w:tc>
      </w:tr>
      <w:tr>
        <w:trPr>
          <w:trHeight w:val="206"/>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1,766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7"/>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#3</w:t>
            </w:r>
          </w:p>
        </w:tc>
        <w:tc>
          <w:tcPr>
            <w:tcW w:w="0" w:type="dxa"/>
            <w:vAlign w:val="bottom"/>
          </w:tcPr>
          <w:p>
            <w:pPr>
              <w:spacing w:after="0"/>
              <w:rPr>
                <w:sz w:val="1"/>
                <w:szCs w:val="1"/>
                <w:color w:val="auto"/>
              </w:rPr>
            </w:pPr>
          </w:p>
        </w:tc>
      </w:tr>
      <w:tr>
        <w:trPr>
          <w:trHeight w:val="59"/>
        </w:trPr>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Renee</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 Peterson</w:t>
            </w:r>
          </w:p>
        </w:tc>
        <w:tc>
          <w:tcPr>
            <w:tcW w:w="0" w:type="dxa"/>
            <w:vAlign w:val="bottom"/>
          </w:tcPr>
          <w:p>
            <w:pPr>
              <w:spacing w:after="0"/>
              <w:rPr>
                <w:sz w:val="1"/>
                <w:szCs w:val="1"/>
                <w:color w:val="auto"/>
              </w:rPr>
            </w:pPr>
          </w:p>
        </w:tc>
      </w:tr>
      <w:tr>
        <w:trPr>
          <w:trHeight w:val="206"/>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12,472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7"/>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#4</w:t>
            </w:r>
          </w:p>
        </w:tc>
        <w:tc>
          <w:tcPr>
            <w:tcW w:w="0" w:type="dxa"/>
            <w:vAlign w:val="bottom"/>
          </w:tcPr>
          <w:p>
            <w:pPr>
              <w:spacing w:after="0"/>
              <w:rPr>
                <w:sz w:val="1"/>
                <w:szCs w:val="1"/>
                <w:color w:val="auto"/>
              </w:rPr>
            </w:pPr>
          </w:p>
        </w:tc>
      </w:tr>
      <w:tr>
        <w:trPr>
          <w:trHeight w:val="59"/>
        </w:trPr>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Renee</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 Peterson</w:t>
            </w:r>
          </w:p>
        </w:tc>
        <w:tc>
          <w:tcPr>
            <w:tcW w:w="0" w:type="dxa"/>
            <w:vAlign w:val="bottom"/>
          </w:tcPr>
          <w:p>
            <w:pPr>
              <w:spacing w:after="0"/>
              <w:rPr>
                <w:sz w:val="1"/>
                <w:szCs w:val="1"/>
                <w:color w:val="auto"/>
              </w:rPr>
            </w:pPr>
          </w:p>
        </w:tc>
      </w:tr>
      <w:tr>
        <w:trPr>
          <w:trHeight w:val="206"/>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26,460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7"/>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#5</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The Toro</w:t>
      </w:r>
    </w:p>
    <w:p>
      <w:pPr>
        <w:ind w:left="80"/>
        <w:spacing w:after="0" w:line="204" w:lineRule="auto"/>
        <w:tabs>
          <w:tab w:leader="none" w:pos="8240" w:val="left"/>
          <w:tab w:leader="none" w:pos="9580" w:val="left"/>
          <w:tab w:leader="none" w:pos="10140" w:val="left"/>
        </w:tabs>
        <w:rPr>
          <w:sz w:val="20"/>
          <w:szCs w:val="20"/>
          <w:color w:val="auto"/>
        </w:rPr>
      </w:pPr>
      <w:r>
        <w:rPr>
          <w:rFonts w:ascii="Times New Roman" w:cs="Times New Roman" w:eastAsia="Times New Roman" w:hAnsi="Times New Roman"/>
          <w:sz w:val="27"/>
          <w:szCs w:val="27"/>
          <w:color w:val="0000FF"/>
          <w:vertAlign w:val="subscript"/>
        </w:rPr>
        <w:t>Common Stock</w:t>
      </w:r>
      <w:r>
        <w:rPr>
          <w:sz w:val="20"/>
          <w:szCs w:val="20"/>
          <w:color w:val="auto"/>
        </w:rPr>
        <w:tab/>
      </w:r>
      <w:r>
        <w:rPr>
          <w:rFonts w:ascii="Times New Roman" w:cs="Times New Roman" w:eastAsia="Times New Roman" w:hAnsi="Times New Roman"/>
          <w:sz w:val="27"/>
          <w:szCs w:val="27"/>
          <w:color w:val="0000FF"/>
          <w:vertAlign w:val="subscript"/>
        </w:rPr>
        <w:t>742.741</w:t>
      </w:r>
      <w:r>
        <w:rPr>
          <w:rFonts w:ascii="Times New Roman" w:cs="Times New Roman" w:eastAsia="Times New Roman" w:hAnsi="Times New Roman"/>
          <w:sz w:val="9"/>
          <w:szCs w:val="9"/>
          <w:color w:val="008000"/>
        </w:rPr>
        <w:t>(2)</w:t>
      </w:r>
      <w:r>
        <w:rPr>
          <w:sz w:val="20"/>
          <w:szCs w:val="20"/>
          <w:color w:val="auto"/>
        </w:rPr>
        <w:tab/>
      </w:r>
      <w:r>
        <w:rPr>
          <w:rFonts w:ascii="Times New Roman" w:cs="Times New Roman" w:eastAsia="Times New Roman" w:hAnsi="Times New Roman"/>
          <w:sz w:val="27"/>
          <w:szCs w:val="27"/>
          <w:color w:val="0000FF"/>
          <w:vertAlign w:val="subscript"/>
        </w:rPr>
        <w:t>I</w:t>
      </w:r>
      <w:r>
        <w:rPr>
          <w:sz w:val="20"/>
          <w:szCs w:val="20"/>
          <w:color w:val="auto"/>
        </w:rPr>
        <w:tab/>
      </w:r>
      <w:r>
        <w:rPr>
          <w:rFonts w:ascii="Times New Roman" w:cs="Times New Roman" w:eastAsia="Times New Roman" w:hAnsi="Times New Roman"/>
          <w:sz w:val="24"/>
          <w:szCs w:val="24"/>
          <w:color w:val="0000FF"/>
          <w:vertAlign w:val="superscript"/>
        </w:rPr>
        <w:t>Company</w:t>
      </w:r>
    </w:p>
    <w:p>
      <w:pPr>
        <w:spacing w:after="0" w:line="1"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Retirement</w:t>
      </w:r>
    </w:p>
    <w:p>
      <w:pPr>
        <w:spacing w:after="0" w:line="4"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Plan</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87,004.809</w:t>
            </w:r>
            <w:r>
              <w:rPr>
                <w:rFonts w:ascii="Times New Roman" w:cs="Times New Roman" w:eastAsia="Times New Roman" w:hAnsi="Times New Roman"/>
                <w:sz w:val="21"/>
                <w:szCs w:val="21"/>
                <w:color w:val="008000"/>
                <w:vertAlign w:val="superscript"/>
              </w:rPr>
              <w:t>(3)</w:t>
            </w:r>
          </w:p>
        </w:tc>
        <w:tc>
          <w:tcPr>
            <w:tcW w:w="7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9"/>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12/22/2022</w:t>
            </w:r>
          </w:p>
        </w:tc>
        <w:tc>
          <w:tcPr>
            <w:tcW w:w="114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12/22/2032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28,200</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(the "Amended and Restated 2010 Plan"), as approved by the Issuer's Compensation &amp; Human Resources Committee of its Board of Directors on December 13, 2022, and which was conditioned upon and subject to confirmation by the Issuer's Fiscal 2022 financial results that were released on December 21, 2022. Performance Share Awards are paid in shares of common stock under the Amended and Restated 2010 Plan.</w:t>
      </w:r>
    </w:p>
    <w:p>
      <w:pPr>
        <w:sectPr>
          <w:pgSz w:w="11900" w:h="16843" w:orient="portrait"/>
          <w:cols w:equalWidth="0" w:num="1">
            <w:col w:w="11080"/>
          </w:cols>
          <w:pgMar w:left="460" w:top="217" w:right="359" w:bottom="0" w:gutter="0" w:footer="0" w:header="0"/>
          <w:type w:val="continuous"/>
        </w:sectPr>
      </w:pPr>
    </w:p>
    <w:bookmarkStart w:id="1" w:name="page2"/>
    <w:bookmarkEnd w:id="1"/>
    <w:p>
      <w:pPr>
        <w:ind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2.311 net shares of common stock acquired by the reporting person since the date of her last report under the dividend reinvestment feature of The Toro Company Retirement Plan, less quarterly non-discretionary administrative fees.</w:t>
      </w:r>
    </w:p>
    <w:p>
      <w:pPr>
        <w:spacing w:after="0" w:line="17" w:lineRule="exact"/>
        <w:rPr>
          <w:rFonts w:ascii="Times New Roman" w:cs="Times New Roman" w:eastAsia="Times New Roman" w:hAnsi="Times New Roman"/>
          <w:sz w:val="13"/>
          <w:szCs w:val="13"/>
          <w:color w:val="008000"/>
        </w:rPr>
      </w:pPr>
    </w:p>
    <w:p>
      <w:pPr>
        <w:ind w:right="240"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271.564 performance share units acquired by the reporting person since the date of her last report under the dividend reinvestment feature of The Toro Company Deferred Compensation Plan for Officers.</w:t>
      </w:r>
    </w:p>
    <w:p>
      <w:pPr>
        <w:spacing w:after="0" w:line="17"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12/23/2022</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0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00" w:top="127"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5" w:lineRule="exact"/>
        <w:rPr>
          <w:sz w:val="20"/>
          <w:szCs w:val="20"/>
          <w:color w:val="auto"/>
        </w:rPr>
      </w:pPr>
    </w:p>
    <w:p>
      <w:pPr>
        <w:ind w:right="3159" w:firstLine="3"/>
        <w:spacing w:after="0" w:line="268" w:lineRule="auto"/>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85"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31" w:lineRule="exact"/>
        <w:rPr>
          <w:sz w:val="20"/>
          <w:szCs w:val="20"/>
          <w:color w:val="auto"/>
        </w:rPr>
      </w:pPr>
    </w:p>
    <w:p>
      <w:pPr>
        <w:ind w:right="3559"/>
        <w:spacing w:after="0" w:line="265"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87" w:lineRule="exact"/>
        <w:rPr>
          <w:sz w:val="20"/>
          <w:szCs w:val="20"/>
          <w:color w:val="auto"/>
        </w:rPr>
      </w:pPr>
    </w:p>
    <w:p>
      <w:pPr>
        <w:ind w:right="3159" w:firstLine="3"/>
        <w:spacing w:after="0" w:line="268" w:lineRule="auto"/>
        <w:tabs>
          <w:tab w:leader="none" w:pos="805"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5" w:lineRule="exact"/>
        <w:rPr>
          <w:rFonts w:ascii="Courier New" w:cs="Courier New" w:eastAsia="Courier New" w:hAnsi="Courier New"/>
          <w:sz w:val="17"/>
          <w:szCs w:val="17"/>
          <w:color w:val="auto"/>
        </w:rPr>
      </w:pPr>
    </w:p>
    <w:p>
      <w:pPr>
        <w:ind w:right="3159" w:firstLine="3"/>
        <w:spacing w:after="0" w:line="256" w:lineRule="auto"/>
        <w:tabs>
          <w:tab w:leader="none" w:pos="805"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31" w:lineRule="exact"/>
        <w:rPr>
          <w:sz w:val="20"/>
          <w:szCs w:val="20"/>
          <w:color w:val="auto"/>
        </w:rPr>
      </w:pPr>
    </w:p>
    <w:p>
      <w:pPr>
        <w:ind w:right="3059"/>
        <w:spacing w:after="0" w:line="246"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08"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w:t>
      </w:r>
    </w:p>
    <w:p>
      <w:pPr>
        <w:spacing w:after="0" w:line="1" w:lineRule="exact"/>
        <w:rPr>
          <w:sz w:val="20"/>
          <w:szCs w:val="20"/>
          <w:color w:val="auto"/>
        </w:rPr>
      </w:pPr>
    </w:p>
    <w:p>
      <w:pPr>
        <w:ind w:right="3459"/>
        <w:spacing w:after="0" w:line="314" w:lineRule="auto"/>
        <w:rPr>
          <w:sz w:val="20"/>
          <w:szCs w:val="20"/>
          <w:color w:val="auto"/>
        </w:rPr>
      </w:pPr>
      <w:r>
        <w:rPr>
          <w:rFonts w:ascii="Courier New" w:cs="Courier New" w:eastAsia="Courier New" w:hAnsi="Courier New"/>
          <w:sz w:val="17"/>
          <w:szCs w:val="17"/>
          <w:color w:val="auto"/>
        </w:rPr>
        <w:t>the undersigned in writing, or at such time as the undersigned is no longer an officer of the Company, whichever first occurs.</w:t>
      </w:r>
    </w:p>
    <w:p>
      <w:pPr>
        <w:sectPr>
          <w:pgSz w:w="11900" w:h="16838" w:orient="portrait"/>
          <w:cols w:equalWidth="0" w:num="1">
            <w:col w:w="9999"/>
          </w:cols>
          <w:pgMar w:left="460" w:top="112" w:right="1440" w:bottom="1440" w:gutter="0" w:footer="0" w:header="0"/>
        </w:sect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Renee J. Peterson</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Renee J. Peterson</w:t>
      </w:r>
    </w:p>
    <w:p>
      <w:pPr>
        <w:spacing w:after="0" w:line="164" w:lineRule="exact"/>
        <w:rPr>
          <w:sz w:val="20"/>
          <w:szCs w:val="20"/>
          <w:color w:val="auto"/>
        </w:rPr>
      </w:pPr>
    </w:p>
    <w:p>
      <w:pPr>
        <w:sectPr>
          <w:pgSz w:w="11900" w:h="16838" w:orient="portrait"/>
          <w:cols w:equalWidth="0" w:num="2">
            <w:col w:w="900" w:space="720"/>
            <w:col w:w="837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2022-12-23T10:21:24Z</dcterms:created>
  <dcterms:modified xsi:type="dcterms:W3CDTF">2022-12-23T10:21:24Z</dcterms:modified>
</cp:coreProperties>
</file>