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78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78294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6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MOELLER PETER D</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462"/>
        <w:spacing w:after="0"/>
        <w:rPr>
          <w:sz w:val="20"/>
          <w:szCs w:val="20"/>
          <w:color w:val="auto"/>
        </w:rPr>
      </w:pPr>
      <w:r>
        <w:rPr>
          <w:rFonts w:ascii="Times New Roman" w:cs="Times New Roman" w:eastAsia="Times New Roman" w:hAnsi="Times New Roman"/>
          <w:sz w:val="17"/>
          <w:szCs w:val="17"/>
          <w:color w:val="0000FF"/>
        </w:rPr>
        <w:t>Group VP, Undg, Spec Con &amp; Inl</w:t>
      </w:r>
    </w:p>
    <w:p>
      <w:pPr>
        <w:spacing w:after="0" w:line="308" w:lineRule="exact"/>
        <w:rPr>
          <w:sz w:val="24"/>
          <w:szCs w:val="24"/>
          <w:color w:val="auto"/>
        </w:rPr>
      </w:pPr>
    </w:p>
    <w:p>
      <w:pPr>
        <w:sectPr>
          <w:pgSz w:w="11900" w:h="16838" w:orient="portrait"/>
          <w:cols w:equalWidth="0" w:num="3">
            <w:col w:w="3180" w:space="720"/>
            <w:col w:w="3118" w:space="720"/>
            <w:col w:w="3342"/>
          </w:cols>
          <w:pgMar w:left="460" w:top="217" w:right="359" w:bottom="617"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right"/>
              <w:ind w:righ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8"/>
          </w:tcPr>
          <w:p>
            <w:pPr>
              <w:ind w:left="24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4,155.055</w:t>
            </w:r>
            <w:r>
              <w:rPr>
                <w:rFonts w:ascii="Times New Roman" w:cs="Times New Roman" w:eastAsia="Times New Roman" w:hAnsi="Times New Roman"/>
                <w:sz w:val="21"/>
                <w:szCs w:val="21"/>
                <w:color w:val="008000"/>
                <w:w w:val="94"/>
                <w:vertAlign w:val="superscript"/>
              </w:rPr>
              <w:t>(1)</w:t>
            </w:r>
          </w:p>
        </w:tc>
        <w:tc>
          <w:tcPr>
            <w:tcW w:w="340" w:type="dxa"/>
            <w:vAlign w:val="bottom"/>
          </w:tcPr>
          <w:p>
            <w:pPr>
              <w:spacing w:after="0"/>
              <w:rPr>
                <w:sz w:val="17"/>
                <w:szCs w:val="17"/>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2,727.498</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600.026</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941.991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right"/>
              <w:ind w:right="142"/>
              <w:spacing w:after="0" w:line="128" w:lineRule="exact"/>
              <w:rPr>
                <w:sz w:val="20"/>
                <w:szCs w:val="20"/>
                <w:color w:val="auto"/>
              </w:rPr>
            </w:pPr>
            <w:r>
              <w:rPr>
                <w:rFonts w:ascii="Times New Roman" w:cs="Times New Roman" w:eastAsia="Times New Roman" w:hAnsi="Times New Roman"/>
                <w:sz w:val="13"/>
                <w:szCs w:val="13"/>
                <w:color w:val="0000FF"/>
              </w:rPr>
              <w:t>941.991</w:t>
            </w:r>
          </w:p>
        </w:tc>
        <w:tc>
          <w:tcPr>
            <w:tcW w:w="52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20,632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10/10/2025</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20,632</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182"/>
              <w:spacing w:after="0" w:line="141" w:lineRule="exact"/>
              <w:rPr>
                <w:sz w:val="20"/>
                <w:szCs w:val="20"/>
                <w:color w:val="auto"/>
              </w:rPr>
            </w:pPr>
            <w:r>
              <w:rPr>
                <w:rFonts w:ascii="Times New Roman" w:cs="Times New Roman" w:eastAsia="Times New Roman" w:hAnsi="Times New Roman"/>
                <w:sz w:val="13"/>
                <w:szCs w:val="13"/>
                <w:color w:val="0000FF"/>
              </w:rPr>
              <w:t>20,632</w:t>
            </w:r>
          </w:p>
        </w:tc>
        <w:tc>
          <w:tcPr>
            <w:tcW w:w="5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-2264410</wp:posOffset>
            </wp:positionV>
            <wp:extent cx="29210" cy="2270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01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43.64 net shares acquired by the reporting person since the date of his last report under the dividend reinvestment feature of The Toro Company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40" w:right="6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28.682 performance share units acquired by the reporting person since the date of his last report under the dividend reinvestment feature of The Toro Company Deferred Compensation Plan for Officers.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2.965 shares of common stock acquired by the reporting person since the date of his last report under a dividend reinvestment feature of the account in which the shares are held.</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full on October 10, 2028, which is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10/10/2025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299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2025-10-14T15:12:26Z</dcterms:created>
  <dcterms:modified xsi:type="dcterms:W3CDTF">2025-10-14T15:12:26Z</dcterms:modified>
</cp:coreProperties>
</file>